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3E5" w:rsidRDefault="00A95B9D">
      <w:pPr>
        <w:ind w:left="720"/>
        <w:jc w:val="both"/>
        <w:rPr>
          <w:rFonts w:ascii="Times New Roman" w:eastAsia="Calibri" w:hAnsi="Times New Roman"/>
          <w:b/>
          <w:sz w:val="24"/>
          <w:szCs w:val="24"/>
        </w:rPr>
      </w:pPr>
      <w:r>
        <w:rPr>
          <w:rFonts w:ascii="Times New Roman" w:eastAsia="Calibri" w:hAnsi="Times New Roman"/>
          <w:b/>
          <w:sz w:val="24"/>
          <w:szCs w:val="24"/>
        </w:rPr>
        <w:t>The effect of refining process on the oxidative stability, thermal stability, and fatty acid composition of shea olein</w:t>
      </w:r>
    </w:p>
    <w:p w:rsidR="00D543E5" w:rsidRDefault="00D543E5">
      <w:pPr>
        <w:ind w:left="720"/>
        <w:jc w:val="both"/>
        <w:rPr>
          <w:rFonts w:ascii="Times New Roman" w:eastAsia="Calibri" w:hAnsi="Times New Roman"/>
          <w:b/>
          <w:sz w:val="24"/>
          <w:szCs w:val="24"/>
        </w:rPr>
      </w:pPr>
    </w:p>
    <w:p w:rsidR="00D543E5" w:rsidRDefault="00A95B9D">
      <w:pPr>
        <w:ind w:left="720"/>
        <w:jc w:val="both"/>
        <w:rPr>
          <w:rFonts w:ascii="Times New Roman" w:eastAsia="Calibri" w:hAnsi="Times New Roman"/>
          <w:b/>
          <w:sz w:val="24"/>
          <w:szCs w:val="24"/>
        </w:rPr>
      </w:pPr>
      <w:r>
        <w:rPr>
          <w:rFonts w:ascii="Times New Roman" w:eastAsia="Calibri" w:hAnsi="Times New Roman"/>
          <w:b/>
          <w:sz w:val="24"/>
          <w:szCs w:val="24"/>
        </w:rPr>
        <w:t>Abstract</w:t>
      </w:r>
    </w:p>
    <w:p w:rsidR="00D543E5" w:rsidRDefault="00A95B9D">
      <w:pPr>
        <w:ind w:left="720"/>
        <w:jc w:val="both"/>
        <w:rPr>
          <w:rFonts w:ascii="Times New Roman" w:eastAsia="Calibri" w:hAnsi="Times New Roman"/>
          <w:sz w:val="24"/>
          <w:szCs w:val="24"/>
        </w:rPr>
      </w:pPr>
      <w:r>
        <w:rPr>
          <w:rFonts w:ascii="Times New Roman" w:eastAsia="Calibri" w:hAnsi="Times New Roman"/>
          <w:sz w:val="24"/>
          <w:szCs w:val="24"/>
        </w:rPr>
        <w:t xml:space="preserve">This study aimed to examine how the refining process conditions influence the oxidative and thermal stability and fatty acid composition of shea olein. </w:t>
      </w:r>
      <w:r>
        <w:rPr>
          <w:rFonts w:ascii="Times New Roman" w:eastAsia="Calibri" w:hAnsi="Times New Roman"/>
          <w:sz w:val="24"/>
          <w:szCs w:val="24"/>
        </w:rPr>
        <w:t>A</w:t>
      </w:r>
      <w:r>
        <w:rPr>
          <w:rFonts w:ascii="Times New Roman" w:eastAsia="Calibri" w:hAnsi="Times New Roman"/>
          <w:sz w:val="24"/>
          <w:szCs w:val="24"/>
        </w:rPr>
        <w:t xml:space="preserve"> chemical refining method was applied to shea olein, which included the removal of mucilaginous compoun</w:t>
      </w:r>
      <w:r>
        <w:rPr>
          <w:rFonts w:ascii="Times New Roman" w:eastAsia="Calibri" w:hAnsi="Times New Roman"/>
          <w:sz w:val="24"/>
          <w:szCs w:val="24"/>
        </w:rPr>
        <w:t>ds, free fatty acids, and metals, thereby enhancing its acceptability in the food industry. The refining losses due to degumming, neutralization, and bleaching were 8.80%, 6.56%, and 7.56%, respectively. A 47% and 87.6% reduction in PV and CD, respectively</w:t>
      </w:r>
      <w:r>
        <w:rPr>
          <w:rFonts w:ascii="Times New Roman" w:eastAsia="Calibri" w:hAnsi="Times New Roman"/>
          <w:sz w:val="24"/>
          <w:szCs w:val="24"/>
        </w:rPr>
        <w:t>, was observed, while</w:t>
      </w:r>
      <w:r>
        <w:rPr>
          <w:rFonts w:ascii="Times New Roman" w:eastAsia="Calibri" w:hAnsi="Times New Roman"/>
          <w:sz w:val="24"/>
          <w:szCs w:val="24"/>
        </w:rPr>
        <w:t xml:space="preserve"> </w:t>
      </w:r>
      <w:r>
        <w:rPr>
          <w:rFonts w:ascii="Times New Roman" w:eastAsia="Calibri" w:hAnsi="Times New Roman"/>
          <w:sz w:val="24"/>
          <w:szCs w:val="24"/>
        </w:rPr>
        <w:t>ρ-AV and</w:t>
      </w:r>
      <w:r>
        <w:rPr>
          <w:rFonts w:ascii="Times New Roman" w:eastAsia="Calibri" w:hAnsi="Times New Roman"/>
          <w:sz w:val="24"/>
          <w:szCs w:val="24"/>
        </w:rPr>
        <w:t xml:space="preserve"> TBARS increased by a factor of 2 compared to the starting material. Thermal stability decreased in the order: NSO</w:t>
      </w:r>
      <w:r>
        <w:rPr>
          <w:rFonts w:ascii="Times New Roman" w:eastAsia="Calibri" w:hAnsi="Times New Roman"/>
          <w:sz w:val="24"/>
          <w:szCs w:val="24"/>
        </w:rPr>
        <w:t>~</w:t>
      </w:r>
      <w:r>
        <w:rPr>
          <w:rFonts w:ascii="Times New Roman" w:eastAsia="Calibri" w:hAnsi="Times New Roman"/>
          <w:sz w:val="24"/>
          <w:szCs w:val="24"/>
        </w:rPr>
        <w:t>BSO</w:t>
      </w:r>
      <w:r>
        <w:rPr>
          <w:rFonts w:ascii="Times New Roman" w:eastAsia="Calibri" w:hAnsi="Times New Roman"/>
          <w:sz w:val="24"/>
          <w:szCs w:val="24"/>
        </w:rPr>
        <w:t>&gt;DSOB&gt;CSB. Refining improved the oleic acid content of shea olein by 10.48% and decreased arachidic acid con</w:t>
      </w:r>
      <w:r>
        <w:rPr>
          <w:rFonts w:ascii="Times New Roman" w:eastAsia="Calibri" w:hAnsi="Times New Roman"/>
          <w:sz w:val="24"/>
          <w:szCs w:val="24"/>
        </w:rPr>
        <w:t xml:space="preserve">tent by 13.37%, respectively. These findings </w:t>
      </w:r>
      <w:r>
        <w:rPr>
          <w:rFonts w:ascii="Times New Roman" w:eastAsia="Calibri" w:hAnsi="Times New Roman"/>
          <w:sz w:val="24"/>
          <w:szCs w:val="24"/>
        </w:rPr>
        <w:t xml:space="preserve">revealed that refining shea olein chemically provided a laudable benefits of stability </w:t>
      </w:r>
      <w:proofErr w:type="spellStart"/>
      <w:proofErr w:type="gramStart"/>
      <w:r>
        <w:rPr>
          <w:rFonts w:ascii="Times New Roman" w:eastAsia="Calibri" w:hAnsi="Times New Roman"/>
          <w:sz w:val="24"/>
          <w:szCs w:val="24"/>
        </w:rPr>
        <w:t>enhancenent</w:t>
      </w:r>
      <w:proofErr w:type="spellEnd"/>
      <w:r>
        <w:rPr>
          <w:rFonts w:ascii="Times New Roman" w:eastAsia="Calibri" w:hAnsi="Times New Roman"/>
          <w:sz w:val="24"/>
          <w:szCs w:val="24"/>
        </w:rPr>
        <w:t xml:space="preserve"> ,</w:t>
      </w:r>
      <w:proofErr w:type="gramEnd"/>
      <w:r>
        <w:rPr>
          <w:rFonts w:ascii="Times New Roman" w:eastAsia="Calibri" w:hAnsi="Times New Roman"/>
          <w:sz w:val="24"/>
          <w:szCs w:val="24"/>
        </w:rPr>
        <w:t xml:space="preserve"> but with drawbacks of  secondary products accumulation and increased trans-fatty acid. Hence, a need to optimi</w:t>
      </w:r>
      <w:r>
        <w:rPr>
          <w:rFonts w:ascii="Times New Roman" w:eastAsia="Calibri" w:hAnsi="Times New Roman"/>
          <w:sz w:val="24"/>
          <w:szCs w:val="24"/>
        </w:rPr>
        <w:t xml:space="preserve">ze a chemical refining process for shea olein to </w:t>
      </w:r>
      <w:proofErr w:type="gramStart"/>
      <w:r>
        <w:rPr>
          <w:rFonts w:ascii="Times New Roman" w:eastAsia="Calibri" w:hAnsi="Times New Roman"/>
          <w:sz w:val="24"/>
          <w:szCs w:val="24"/>
        </w:rPr>
        <w:t>improve  its</w:t>
      </w:r>
      <w:proofErr w:type="gramEnd"/>
      <w:r>
        <w:rPr>
          <w:rFonts w:ascii="Times New Roman" w:eastAsia="Calibri" w:hAnsi="Times New Roman"/>
          <w:sz w:val="24"/>
          <w:szCs w:val="24"/>
        </w:rPr>
        <w:t xml:space="preserve">  stability and utilization in the food industry. </w:t>
      </w:r>
    </w:p>
    <w:p w:rsidR="00D543E5" w:rsidRDefault="00A95B9D">
      <w:pPr>
        <w:ind w:left="720"/>
        <w:jc w:val="both"/>
        <w:rPr>
          <w:rFonts w:ascii="Times New Roman" w:eastAsia="Calibri" w:hAnsi="Times New Roman"/>
          <w:b/>
          <w:sz w:val="24"/>
          <w:szCs w:val="24"/>
        </w:rPr>
      </w:pPr>
      <w:r>
        <w:rPr>
          <w:rFonts w:ascii="Times New Roman" w:eastAsia="Calibri" w:hAnsi="Times New Roman"/>
          <w:b/>
          <w:sz w:val="24"/>
          <w:szCs w:val="24"/>
        </w:rPr>
        <w:t xml:space="preserve">Keywords: Shea olein, refining, oxidative stability, thermal stability, fatty acid composition </w:t>
      </w:r>
    </w:p>
    <w:p w:rsidR="00D543E5" w:rsidRDefault="00A95B9D">
      <w:pPr>
        <w:ind w:left="720"/>
        <w:jc w:val="both"/>
        <w:rPr>
          <w:rFonts w:ascii="Times New Roman" w:eastAsia="Calibri" w:hAnsi="Times New Roman"/>
          <w:b/>
          <w:sz w:val="24"/>
          <w:szCs w:val="24"/>
        </w:rPr>
      </w:pPr>
      <w:r>
        <w:rPr>
          <w:rFonts w:ascii="Times New Roman" w:eastAsia="Calibri" w:hAnsi="Times New Roman"/>
          <w:b/>
          <w:sz w:val="24"/>
          <w:szCs w:val="24"/>
        </w:rPr>
        <w:t>1.Introduction</w:t>
      </w:r>
    </w:p>
    <w:p w:rsidR="00D543E5" w:rsidRDefault="00A95B9D">
      <w:pPr>
        <w:pStyle w:val="NormalWeb"/>
        <w:ind w:left="720"/>
        <w:jc w:val="both"/>
      </w:pPr>
      <w:r>
        <w:t>Shea butter, derived from the nut</w:t>
      </w:r>
      <w:r>
        <w:t>s of the shea tree (</w:t>
      </w:r>
      <w:r>
        <w:rPr>
          <w:i/>
          <w:iCs/>
        </w:rPr>
        <w:t xml:space="preserve">Vitellaria </w:t>
      </w:r>
      <w:proofErr w:type="spellStart"/>
      <w:r>
        <w:rPr>
          <w:i/>
          <w:iCs/>
        </w:rPr>
        <w:t>paradoxa</w:t>
      </w:r>
      <w:proofErr w:type="spellEnd"/>
      <w:r>
        <w:rPr>
          <w:i/>
          <w:iCs/>
        </w:rPr>
        <w:t>)</w:t>
      </w:r>
      <w:r>
        <w:t xml:space="preserve">, is a versatile fat widely used in the food, cosmetic, and pharmaceutical industries due to its unique physicochemical properties (Ky-Dembele </w:t>
      </w:r>
      <w:r>
        <w:rPr>
          <w:i/>
        </w:rPr>
        <w:t>et al</w:t>
      </w:r>
      <w:r>
        <w:t xml:space="preserve">., 2021). Native to sub-Saharan Africa, the shea tree produces nuts </w:t>
      </w:r>
      <w:r>
        <w:t>that are processed to extract butter, which consists primarily of triglycerides rich in stearic and oleic acids, along with a high unsaponifiable fraction including tocopherols, phytosterols, and phenolic compounds (Abdel-</w:t>
      </w:r>
      <w:proofErr w:type="spellStart"/>
      <w:r>
        <w:t>Razek</w:t>
      </w:r>
      <w:proofErr w:type="spellEnd"/>
      <w:r>
        <w:t xml:space="preserve"> </w:t>
      </w:r>
      <w:r>
        <w:rPr>
          <w:i/>
        </w:rPr>
        <w:t>et al</w:t>
      </w:r>
      <w:r>
        <w:t>., 2023). These compone</w:t>
      </w:r>
      <w:r>
        <w:t>nts contribute to its emollient, antioxidant, and anti-inflammatory attributes, making it a valuable ingredient in products ranging from bakery/chocolate formulations to skincare creams. According to the Mordor Intelligence report, the global shea butter m</w:t>
      </w:r>
      <w:r>
        <w:t>arket is projected to reach USD 3.75 billion by 2030, driven by increasing demand for natural and sustainable ingredients in the beauty and food sectors, resulting in significant growth</w:t>
      </w:r>
      <w:r>
        <w:t xml:space="preserve"> (Mordor Intelligence, 2025</w:t>
      </w:r>
      <w:proofErr w:type="gramStart"/>
      <w:r>
        <w:t xml:space="preserve">) </w:t>
      </w:r>
      <w:r>
        <w:t>.</w:t>
      </w:r>
      <w:proofErr w:type="gramEnd"/>
      <w:r>
        <w:t xml:space="preserve"> However, if the food sector will benefit</w:t>
      </w:r>
      <w:r>
        <w:t xml:space="preserve"> immensely from this growth, attention must be paid to the potential of the shea olein fraction of shea butter, which is composed of above 50% oleic acid in its fatty acid profile, in addition to the current benefits obtained from shea stearin, which is us</w:t>
      </w:r>
      <w:r>
        <w:t>ed as a cocoa butter substitute in the food confectionery industry</w:t>
      </w:r>
      <w:r>
        <w:t xml:space="preserve"> (</w:t>
      </w:r>
      <w:proofErr w:type="spellStart"/>
      <w:r>
        <w:t>Korede</w:t>
      </w:r>
      <w:proofErr w:type="spellEnd"/>
      <w:r>
        <w:t xml:space="preserve"> </w:t>
      </w:r>
      <w:r>
        <w:rPr>
          <w:i/>
          <w:iCs/>
        </w:rPr>
        <w:t>et al.,</w:t>
      </w:r>
      <w:r>
        <w:t xml:space="preserve"> 2024; Abdel-</w:t>
      </w:r>
      <w:proofErr w:type="spellStart"/>
      <w:r>
        <w:t>Razek</w:t>
      </w:r>
      <w:proofErr w:type="spellEnd"/>
      <w:r>
        <w:t xml:space="preserve"> </w:t>
      </w:r>
      <w:r>
        <w:rPr>
          <w:i/>
          <w:iCs/>
        </w:rPr>
        <w:t xml:space="preserve">et al, </w:t>
      </w:r>
      <w:r>
        <w:t xml:space="preserve">2023; Hang </w:t>
      </w:r>
      <w:r>
        <w:rPr>
          <w:i/>
          <w:iCs/>
        </w:rPr>
        <w:t xml:space="preserve">et al., </w:t>
      </w:r>
      <w:r>
        <w:t>2017)</w:t>
      </w:r>
      <w:r>
        <w:t>.</w:t>
      </w:r>
    </w:p>
    <w:p w:rsidR="00D543E5" w:rsidRDefault="00A95B9D">
      <w:pPr>
        <w:ind w:left="720"/>
        <w:jc w:val="both"/>
        <w:rPr>
          <w:rFonts w:ascii="Times New Roman" w:hAnsi="Times New Roman"/>
          <w:sz w:val="24"/>
          <w:szCs w:val="24"/>
        </w:rPr>
      </w:pPr>
      <w:r>
        <w:rPr>
          <w:rFonts w:ascii="Times New Roman" w:hAnsi="Times New Roman"/>
          <w:sz w:val="24"/>
          <w:szCs w:val="24"/>
        </w:rPr>
        <w:lastRenderedPageBreak/>
        <w:t>Shea olein, a liquid fraction of shea butter obtained after the complete removal of shea stearin, a hard fraction, is an e</w:t>
      </w:r>
      <w:r>
        <w:rPr>
          <w:rFonts w:ascii="Times New Roman" w:hAnsi="Times New Roman"/>
          <w:sz w:val="24"/>
          <w:szCs w:val="24"/>
        </w:rPr>
        <w:t>merging food oil widely used in the cosmetic industry but ignored in the food industry due to its instability and unpleasant sensory notes (</w:t>
      </w:r>
      <w:proofErr w:type="spellStart"/>
      <w:r>
        <w:rPr>
          <w:rFonts w:ascii="Times New Roman" w:hAnsi="Times New Roman"/>
          <w:sz w:val="24"/>
          <w:szCs w:val="24"/>
        </w:rPr>
        <w:t>Korede</w:t>
      </w:r>
      <w:proofErr w:type="spellEnd"/>
      <w:r>
        <w:rPr>
          <w:rFonts w:ascii="Times New Roman" w:hAnsi="Times New Roman"/>
          <w:sz w:val="24"/>
          <w:szCs w:val="24"/>
        </w:rPr>
        <w:t xml:space="preserve"> et al., 2024). Shea olein is a golden-yellow liquid characterized by its unique fatty acid composition and bi</w:t>
      </w:r>
      <w:r>
        <w:rPr>
          <w:rFonts w:ascii="Times New Roman" w:hAnsi="Times New Roman"/>
          <w:sz w:val="24"/>
          <w:szCs w:val="24"/>
        </w:rPr>
        <w:t>oactive compounds, which are similar to those found in olive oil (</w:t>
      </w:r>
      <w:proofErr w:type="spellStart"/>
      <w:r>
        <w:rPr>
          <w:rFonts w:ascii="Times New Roman" w:hAnsi="Times New Roman"/>
          <w:sz w:val="24"/>
          <w:szCs w:val="24"/>
        </w:rPr>
        <w:t>Korede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2024; Zhang </w:t>
      </w:r>
      <w:r>
        <w:rPr>
          <w:rFonts w:ascii="Times New Roman" w:hAnsi="Times New Roman"/>
          <w:i/>
          <w:sz w:val="24"/>
          <w:szCs w:val="24"/>
        </w:rPr>
        <w:t>et al</w:t>
      </w:r>
      <w:r>
        <w:rPr>
          <w:rFonts w:ascii="Times New Roman" w:hAnsi="Times New Roman"/>
          <w:sz w:val="24"/>
          <w:szCs w:val="24"/>
        </w:rPr>
        <w:t>., 2017). It contains the natural antioxidant alpha tocopherol, one of the advantages of oils considered for cooking. Studies have found that the alpha tocopherol content of shea olein is about 3 times higher than that of refined palm olein and that its fa</w:t>
      </w:r>
      <w:r>
        <w:rPr>
          <w:rFonts w:ascii="Times New Roman" w:hAnsi="Times New Roman"/>
          <w:sz w:val="24"/>
          <w:szCs w:val="24"/>
        </w:rPr>
        <w:t>tty acids are highly resistant to oxidation (</w:t>
      </w:r>
      <w:proofErr w:type="spellStart"/>
      <w:r>
        <w:rPr>
          <w:rFonts w:ascii="Times New Roman" w:hAnsi="Times New Roman"/>
          <w:sz w:val="24"/>
          <w:szCs w:val="24"/>
        </w:rPr>
        <w:t>Korede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2024; Abdel-</w:t>
      </w:r>
      <w:proofErr w:type="spellStart"/>
      <w:r>
        <w:rPr>
          <w:rFonts w:ascii="Times New Roman" w:hAnsi="Times New Roman"/>
          <w:sz w:val="24"/>
          <w:szCs w:val="24"/>
        </w:rPr>
        <w:t>razek</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Zhang </w:t>
      </w:r>
      <w:r>
        <w:rPr>
          <w:rFonts w:ascii="Times New Roman" w:hAnsi="Times New Roman"/>
          <w:i/>
          <w:sz w:val="24"/>
          <w:szCs w:val="24"/>
        </w:rPr>
        <w:t>et al</w:t>
      </w:r>
      <w:r>
        <w:rPr>
          <w:rFonts w:ascii="Times New Roman" w:hAnsi="Times New Roman"/>
          <w:sz w:val="24"/>
          <w:szCs w:val="24"/>
        </w:rPr>
        <w:t>., 2017). Although various vegetable oils such as flaxseed oil, sunflower oil, canola oil, and soybean oil have been previously refined and the effects o</w:t>
      </w:r>
      <w:r>
        <w:rPr>
          <w:rFonts w:ascii="Times New Roman" w:hAnsi="Times New Roman"/>
          <w:sz w:val="24"/>
          <w:szCs w:val="24"/>
        </w:rPr>
        <w:t xml:space="preserve">f refining steps on different oxidative indices measured (Jing </w:t>
      </w:r>
      <w:r>
        <w:rPr>
          <w:rFonts w:ascii="Times New Roman" w:hAnsi="Times New Roman"/>
          <w:i/>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Gharby</w:t>
      </w:r>
      <w:proofErr w:type="spellEnd"/>
      <w:r>
        <w:rPr>
          <w:rFonts w:ascii="Times New Roman" w:hAnsi="Times New Roman"/>
          <w:sz w:val="24"/>
          <w:szCs w:val="24"/>
        </w:rPr>
        <w:t xml:space="preserve">, 2022; Nagy </w:t>
      </w:r>
      <w:r>
        <w:rPr>
          <w:rFonts w:ascii="Times New Roman" w:hAnsi="Times New Roman"/>
          <w:i/>
          <w:sz w:val="24"/>
          <w:szCs w:val="24"/>
        </w:rPr>
        <w:t>et al</w:t>
      </w:r>
      <w:r>
        <w:rPr>
          <w:rFonts w:ascii="Times New Roman" w:hAnsi="Times New Roman"/>
          <w:sz w:val="24"/>
          <w:szCs w:val="24"/>
        </w:rPr>
        <w:t>., 2024). There is a paucity of findings on refining shea olein and the possible outcomes for its stability during the process. If shea olein is considered</w:t>
      </w:r>
      <w:r>
        <w:rPr>
          <w:rFonts w:ascii="Times New Roman" w:hAnsi="Times New Roman"/>
          <w:sz w:val="24"/>
          <w:szCs w:val="24"/>
        </w:rPr>
        <w:t xml:space="preserve"> an emerging food oil with great potential, there is a need to assess its stability during the refining process. This will elucidate its stability potential and identify areas of necessary intervention during the process.</w:t>
      </w:r>
    </w:p>
    <w:p w:rsidR="00D543E5" w:rsidRDefault="00A95B9D">
      <w:pPr>
        <w:ind w:left="720"/>
        <w:jc w:val="both"/>
        <w:rPr>
          <w:rFonts w:ascii="Times New Roman" w:hAnsi="Times New Roman"/>
          <w:sz w:val="24"/>
          <w:szCs w:val="24"/>
        </w:rPr>
      </w:pPr>
      <w:r>
        <w:rPr>
          <w:rFonts w:ascii="Times New Roman" w:hAnsi="Times New Roman"/>
          <w:sz w:val="24"/>
          <w:szCs w:val="24"/>
        </w:rPr>
        <w:t>Refining is the process of removin</w:t>
      </w:r>
      <w:r>
        <w:rPr>
          <w:rFonts w:ascii="Times New Roman" w:hAnsi="Times New Roman"/>
          <w:sz w:val="24"/>
          <w:szCs w:val="24"/>
        </w:rPr>
        <w:t>g unwanted and detrimental components to prepare healthy and acceptable food products (</w:t>
      </w:r>
      <w:proofErr w:type="spellStart"/>
      <w:r>
        <w:rPr>
          <w:rFonts w:ascii="Times New Roman" w:hAnsi="Times New Roman"/>
          <w:sz w:val="24"/>
          <w:szCs w:val="24"/>
        </w:rPr>
        <w:t>Squeo</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Various methods have been established for refining vegetable oil: chemical and physical methods. The choice of refining method is highly dependent o</w:t>
      </w:r>
      <w:r>
        <w:rPr>
          <w:rFonts w:ascii="Times New Roman" w:hAnsi="Times New Roman"/>
          <w:sz w:val="24"/>
          <w:szCs w:val="24"/>
        </w:rPr>
        <w:t>n the quality and composition of the crude oil (free fatty acids), economic considerations (yield and energy consumption), and the desired final product quality (tocopherol retention and flavor) (</w:t>
      </w:r>
      <w:proofErr w:type="spellStart"/>
      <w:r>
        <w:rPr>
          <w:rFonts w:ascii="Times New Roman" w:hAnsi="Times New Roman"/>
          <w:sz w:val="24"/>
          <w:szCs w:val="24"/>
        </w:rPr>
        <w:t>Gharby</w:t>
      </w:r>
      <w:proofErr w:type="spellEnd"/>
      <w:r>
        <w:rPr>
          <w:rFonts w:ascii="Times New Roman" w:hAnsi="Times New Roman"/>
          <w:sz w:val="24"/>
          <w:szCs w:val="24"/>
        </w:rPr>
        <w:t xml:space="preserve">, 2022; Wen </w:t>
      </w:r>
      <w:r>
        <w:rPr>
          <w:rFonts w:ascii="Times New Roman" w:hAnsi="Times New Roman"/>
          <w:i/>
          <w:sz w:val="24"/>
          <w:szCs w:val="24"/>
        </w:rPr>
        <w:t>et al</w:t>
      </w:r>
      <w:r>
        <w:rPr>
          <w:rFonts w:ascii="Times New Roman" w:hAnsi="Times New Roman"/>
          <w:sz w:val="24"/>
          <w:szCs w:val="24"/>
        </w:rPr>
        <w:t>., 2023). However, studies have shown</w:t>
      </w:r>
      <w:r>
        <w:rPr>
          <w:rFonts w:ascii="Times New Roman" w:hAnsi="Times New Roman"/>
          <w:sz w:val="24"/>
          <w:szCs w:val="24"/>
        </w:rPr>
        <w:t xml:space="preserve"> that refining generally improves safety and removes harmful substances (oxidation products), enhances sensory qualities, increases stability and shelf life, and preserves essential fatty acids, among other benefits (</w:t>
      </w:r>
      <w:proofErr w:type="spellStart"/>
      <w:r>
        <w:rPr>
          <w:rFonts w:ascii="Times New Roman" w:hAnsi="Times New Roman"/>
          <w:color w:val="222222"/>
          <w:sz w:val="24"/>
          <w:szCs w:val="24"/>
          <w:shd w:val="clear" w:color="auto" w:fill="FFFFFF"/>
        </w:rPr>
        <w:t>Zufarov</w:t>
      </w:r>
      <w:proofErr w:type="spellEnd"/>
      <w:r>
        <w:rPr>
          <w:rFonts w:ascii="Times New Roman" w:hAnsi="Times New Roman"/>
          <w:color w:val="222222"/>
          <w:sz w:val="24"/>
          <w:szCs w:val="24"/>
          <w:shd w:val="clear" w:color="auto" w:fill="FFFFFF"/>
        </w:rPr>
        <w:t xml:space="preserve">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2024; </w:t>
      </w:r>
      <w:proofErr w:type="spellStart"/>
      <w:r>
        <w:rPr>
          <w:rFonts w:ascii="Times New Roman" w:hAnsi="Times New Roman"/>
          <w:color w:val="222222"/>
          <w:sz w:val="24"/>
          <w:szCs w:val="24"/>
          <w:shd w:val="clear" w:color="auto" w:fill="FFFFFF"/>
        </w:rPr>
        <w:t>Mavlanov</w:t>
      </w:r>
      <w:proofErr w:type="spellEnd"/>
      <w:r>
        <w:rPr>
          <w:rFonts w:ascii="Times New Roman" w:hAnsi="Times New Roman"/>
          <w:color w:val="222222"/>
          <w:sz w:val="24"/>
          <w:szCs w:val="24"/>
          <w:shd w:val="clear" w:color="auto" w:fill="FFFFFF"/>
        </w:rPr>
        <w:t xml:space="preserve">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2024; </w:t>
      </w:r>
      <w:proofErr w:type="spellStart"/>
      <w:r>
        <w:rPr>
          <w:rFonts w:ascii="Times New Roman" w:hAnsi="Times New Roman"/>
          <w:color w:val="222222"/>
          <w:sz w:val="24"/>
          <w:szCs w:val="24"/>
          <w:shd w:val="clear" w:color="auto" w:fill="FFFFFF"/>
        </w:rPr>
        <w:t>Oey</w:t>
      </w:r>
      <w:proofErr w:type="spellEnd"/>
      <w:r>
        <w:rPr>
          <w:rFonts w:ascii="Times New Roman" w:hAnsi="Times New Roman"/>
          <w:color w:val="222222"/>
          <w:sz w:val="24"/>
          <w:szCs w:val="24"/>
          <w:shd w:val="clear" w:color="auto" w:fill="FFFFFF"/>
        </w:rPr>
        <w:t xml:space="preserve">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2022)</w:t>
      </w:r>
      <w:r>
        <w:rPr>
          <w:rFonts w:ascii="Times New Roman" w:hAnsi="Times New Roman"/>
          <w:sz w:val="24"/>
          <w:szCs w:val="24"/>
        </w:rPr>
        <w:t>. The process also contributes to the loss of beneficial minor components such as tocopherol, phytosterol, polyphenols, and carotenoids. It could also result in potential formation of undesirable compounds, reduced nutritional profil</w:t>
      </w:r>
      <w:r>
        <w:rPr>
          <w:rFonts w:ascii="Times New Roman" w:hAnsi="Times New Roman"/>
          <w:sz w:val="24"/>
          <w:szCs w:val="24"/>
        </w:rPr>
        <w:t>e and environmental drawbacks (</w:t>
      </w:r>
      <w:proofErr w:type="spellStart"/>
      <w:r>
        <w:rPr>
          <w:rFonts w:ascii="Times New Roman" w:hAnsi="Times New Roman"/>
          <w:sz w:val="24"/>
          <w:szCs w:val="24"/>
        </w:rPr>
        <w:t>Gharby</w:t>
      </w:r>
      <w:proofErr w:type="spellEnd"/>
      <w:r>
        <w:rPr>
          <w:rFonts w:ascii="Times New Roman" w:hAnsi="Times New Roman"/>
          <w:sz w:val="24"/>
          <w:szCs w:val="24"/>
        </w:rPr>
        <w:t xml:space="preserve">, 2022; </w:t>
      </w:r>
      <w:proofErr w:type="spellStart"/>
      <w:r>
        <w:rPr>
          <w:rFonts w:ascii="Times New Roman" w:hAnsi="Times New Roman"/>
          <w:color w:val="222222"/>
          <w:sz w:val="24"/>
          <w:szCs w:val="24"/>
          <w:shd w:val="clear" w:color="auto" w:fill="FFFFFF"/>
        </w:rPr>
        <w:t>Oey</w:t>
      </w:r>
      <w:proofErr w:type="spellEnd"/>
      <w:r>
        <w:rPr>
          <w:rFonts w:ascii="Times New Roman" w:hAnsi="Times New Roman"/>
          <w:color w:val="222222"/>
          <w:sz w:val="24"/>
          <w:szCs w:val="24"/>
          <w:shd w:val="clear" w:color="auto" w:fill="FFFFFF"/>
        </w:rPr>
        <w:t xml:space="preserve"> </w:t>
      </w:r>
      <w:r>
        <w:rPr>
          <w:rFonts w:ascii="Times New Roman" w:hAnsi="Times New Roman"/>
          <w:i/>
          <w:color w:val="222222"/>
          <w:sz w:val="24"/>
          <w:szCs w:val="24"/>
          <w:shd w:val="clear" w:color="auto" w:fill="FFFFFF"/>
        </w:rPr>
        <w:t>et al.,</w:t>
      </w:r>
      <w:r>
        <w:rPr>
          <w:rFonts w:ascii="Times New Roman" w:hAnsi="Times New Roman"/>
          <w:color w:val="222222"/>
          <w:sz w:val="24"/>
          <w:szCs w:val="24"/>
          <w:shd w:val="clear" w:color="auto" w:fill="FFFFFF"/>
        </w:rPr>
        <w:t xml:space="preserve"> 2022).</w:t>
      </w:r>
    </w:p>
    <w:p w:rsidR="00D543E5" w:rsidRDefault="00A95B9D">
      <w:pPr>
        <w:ind w:left="720"/>
        <w:jc w:val="both"/>
        <w:rPr>
          <w:rFonts w:ascii="Times New Roman" w:eastAsia="Calibri" w:hAnsi="Times New Roman"/>
          <w:b/>
          <w:sz w:val="24"/>
          <w:szCs w:val="24"/>
        </w:rPr>
      </w:pPr>
      <w:r>
        <w:rPr>
          <w:rFonts w:ascii="Times New Roman" w:hAnsi="Times New Roman"/>
          <w:sz w:val="24"/>
          <w:szCs w:val="24"/>
        </w:rPr>
        <w:t>It is therefore important, to weigh the pros and cons of refining shea olein, if it will become an added benefit to the food industry. Hence, this work aims to measure the effect of refining o</w:t>
      </w:r>
      <w:r>
        <w:rPr>
          <w:rFonts w:ascii="Times New Roman" w:hAnsi="Times New Roman"/>
          <w:sz w:val="24"/>
          <w:szCs w:val="24"/>
        </w:rPr>
        <w:t>n the stability and fatty acid composition of shea olein</w:t>
      </w:r>
    </w:p>
    <w:p w:rsidR="00D543E5" w:rsidRDefault="00A95B9D">
      <w:pPr>
        <w:ind w:left="720"/>
        <w:jc w:val="both"/>
        <w:rPr>
          <w:rFonts w:ascii="Times New Roman" w:eastAsia="Calibri" w:hAnsi="Times New Roman"/>
          <w:b/>
          <w:sz w:val="24"/>
          <w:szCs w:val="24"/>
        </w:rPr>
      </w:pPr>
      <w:r>
        <w:rPr>
          <w:rFonts w:ascii="Times New Roman" w:eastAsia="Calibri" w:hAnsi="Times New Roman"/>
          <w:b/>
          <w:sz w:val="24"/>
          <w:szCs w:val="24"/>
        </w:rPr>
        <w:t>2. Materials</w:t>
      </w:r>
    </w:p>
    <w:p w:rsidR="00D543E5" w:rsidRDefault="00A95B9D">
      <w:pPr>
        <w:ind w:left="720"/>
        <w:jc w:val="both"/>
        <w:rPr>
          <w:rFonts w:ascii="Times New Roman" w:hAnsi="Times New Roman"/>
          <w:sz w:val="24"/>
          <w:szCs w:val="24"/>
        </w:rPr>
      </w:pPr>
      <w:r>
        <w:rPr>
          <w:rFonts w:ascii="Times New Roman" w:eastAsia="Calibri" w:hAnsi="Times New Roman"/>
          <w:sz w:val="24"/>
          <w:szCs w:val="24"/>
        </w:rPr>
        <w:t xml:space="preserve">Shea kernels utilized to produce shea butter were procured at </w:t>
      </w:r>
      <w:proofErr w:type="spellStart"/>
      <w:r>
        <w:rPr>
          <w:rFonts w:ascii="Times New Roman" w:eastAsia="Calibri" w:hAnsi="Times New Roman"/>
          <w:sz w:val="24"/>
          <w:szCs w:val="24"/>
        </w:rPr>
        <w:t>Kishi</w:t>
      </w:r>
      <w:proofErr w:type="spellEnd"/>
      <w:r>
        <w:rPr>
          <w:rFonts w:ascii="Times New Roman" w:eastAsia="Calibri" w:hAnsi="Times New Roman"/>
          <w:sz w:val="24"/>
          <w:szCs w:val="24"/>
        </w:rPr>
        <w:t xml:space="preserve"> market of </w:t>
      </w:r>
      <w:proofErr w:type="spellStart"/>
      <w:r>
        <w:rPr>
          <w:rFonts w:ascii="Times New Roman" w:eastAsia="Calibri" w:hAnsi="Times New Roman"/>
          <w:sz w:val="24"/>
          <w:szCs w:val="24"/>
        </w:rPr>
        <w:t>Irepodun</w:t>
      </w:r>
      <w:proofErr w:type="spellEnd"/>
      <w:r>
        <w:rPr>
          <w:rFonts w:ascii="Times New Roman" w:eastAsia="Calibri" w:hAnsi="Times New Roman"/>
          <w:sz w:val="24"/>
          <w:szCs w:val="24"/>
        </w:rPr>
        <w:t xml:space="preserve"> local government area of Oyo state</w:t>
      </w:r>
      <w:r>
        <w:rPr>
          <w:rFonts w:ascii="Times New Roman" w:hAnsi="Times New Roman"/>
          <w:sz w:val="24"/>
          <w:szCs w:val="24"/>
        </w:rPr>
        <w:t xml:space="preserve">.  Chemicals and reagents used for this study were of analytical </w:t>
      </w:r>
      <w:r>
        <w:rPr>
          <w:rFonts w:ascii="Times New Roman" w:hAnsi="Times New Roman"/>
          <w:sz w:val="24"/>
          <w:szCs w:val="24"/>
        </w:rPr>
        <w:t>grade</w:t>
      </w:r>
    </w:p>
    <w:p w:rsidR="00D543E5" w:rsidRDefault="00A95B9D">
      <w:pPr>
        <w:ind w:left="720"/>
        <w:jc w:val="both"/>
        <w:rPr>
          <w:rFonts w:ascii="Times New Roman" w:hAnsi="Times New Roman"/>
          <w:b/>
          <w:sz w:val="24"/>
          <w:szCs w:val="24"/>
        </w:rPr>
      </w:pPr>
      <w:r>
        <w:rPr>
          <w:rFonts w:ascii="Times New Roman" w:eastAsia="Calibri" w:hAnsi="Times New Roman"/>
          <w:b/>
          <w:sz w:val="24"/>
          <w:szCs w:val="24"/>
        </w:rPr>
        <w:t>3. Methods</w:t>
      </w:r>
    </w:p>
    <w:p w:rsidR="00D543E5" w:rsidRDefault="00A95B9D">
      <w:pPr>
        <w:spacing w:before="0" w:beforeAutospacing="0" w:after="0" w:line="360" w:lineRule="auto"/>
        <w:ind w:left="720"/>
        <w:jc w:val="both"/>
        <w:rPr>
          <w:rFonts w:ascii="Times New Roman" w:hAnsi="Times New Roman"/>
          <w:b/>
          <w:sz w:val="24"/>
          <w:szCs w:val="24"/>
        </w:rPr>
      </w:pPr>
      <w:r>
        <w:rPr>
          <w:rFonts w:ascii="Times New Roman" w:hAnsi="Times New Roman"/>
          <w:b/>
          <w:sz w:val="24"/>
          <w:szCs w:val="24"/>
        </w:rPr>
        <w:t>Refining of shea olein</w:t>
      </w:r>
    </w:p>
    <w:p w:rsidR="00D543E5" w:rsidRDefault="00A95B9D">
      <w:pPr>
        <w:spacing w:before="0" w:beforeAutospacing="0" w:after="0" w:line="240" w:lineRule="auto"/>
        <w:ind w:left="720"/>
        <w:contextualSpacing/>
        <w:jc w:val="both"/>
        <w:rPr>
          <w:rFonts w:ascii="Times New Roman" w:hAnsi="Times New Roman"/>
          <w:sz w:val="24"/>
          <w:szCs w:val="24"/>
        </w:rPr>
      </w:pPr>
      <w:r>
        <w:rPr>
          <w:rFonts w:ascii="Times New Roman" w:hAnsi="Times New Roman"/>
          <w:sz w:val="24"/>
          <w:szCs w:val="24"/>
        </w:rPr>
        <w:lastRenderedPageBreak/>
        <w:t xml:space="preserve">Crude shea butter (CSB) was prepared according to the method described by </w:t>
      </w:r>
      <w:proofErr w:type="spellStart"/>
      <w:r>
        <w:rPr>
          <w:rFonts w:ascii="Times New Roman" w:hAnsi="Times New Roman"/>
          <w:sz w:val="24"/>
          <w:szCs w:val="24"/>
        </w:rPr>
        <w:t>Korede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(2024). The refining process was conducted according to the method described by </w:t>
      </w:r>
      <w:proofErr w:type="spellStart"/>
      <w:r>
        <w:rPr>
          <w:rFonts w:ascii="Times New Roman" w:hAnsi="Times New Roman"/>
          <w:sz w:val="24"/>
          <w:szCs w:val="24"/>
        </w:rPr>
        <w:t>Tavakoli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To about 1 kg of melted CSB at 65 ℃, 4 mL (0.4% w/v shea olein) of 85% ortho phosphoric acid was added, and the mixture was homogenized with a high-speed hand mixer (BOSCH, Ergo </w:t>
      </w:r>
      <w:proofErr w:type="spellStart"/>
      <w:r>
        <w:rPr>
          <w:rFonts w:ascii="Times New Roman" w:hAnsi="Times New Roman"/>
          <w:sz w:val="24"/>
          <w:szCs w:val="24"/>
        </w:rPr>
        <w:t>Mixx</w:t>
      </w:r>
      <w:proofErr w:type="spellEnd"/>
      <w:r>
        <w:rPr>
          <w:rFonts w:ascii="Times New Roman" w:hAnsi="Times New Roman"/>
          <w:sz w:val="24"/>
          <w:szCs w:val="24"/>
        </w:rPr>
        <w:t>, Slovenia) for two minutes. The mixture was separated using a c</w:t>
      </w:r>
      <w:r>
        <w:rPr>
          <w:rFonts w:ascii="Times New Roman" w:hAnsi="Times New Roman"/>
          <w:sz w:val="24"/>
          <w:szCs w:val="24"/>
        </w:rPr>
        <w:t xml:space="preserve">old centrifuge (5430R, Eppendorf, Germany) at 4000 revolutions per minute (rpm) for 30 min at 20 ℃ to remove gums and other phospholipid materials. After degumming, CSB was fractionated into degummed shea olein and degummed shea stearin according to Hwang </w:t>
      </w:r>
      <w:r>
        <w:rPr>
          <w:rFonts w:ascii="Times New Roman" w:hAnsi="Times New Roman"/>
          <w:i/>
          <w:iCs/>
          <w:sz w:val="24"/>
          <w:szCs w:val="24"/>
        </w:rPr>
        <w:t>et al</w:t>
      </w:r>
      <w:r>
        <w:rPr>
          <w:rFonts w:ascii="Times New Roman" w:hAnsi="Times New Roman"/>
          <w:sz w:val="24"/>
          <w:szCs w:val="24"/>
        </w:rPr>
        <w:t xml:space="preserve">. </w:t>
      </w:r>
      <w:r>
        <w:rPr>
          <w:rFonts w:ascii="Times New Roman" w:hAnsi="Times New Roman"/>
          <w:sz w:val="24"/>
          <w:szCs w:val="24"/>
        </w:rPr>
        <w:t xml:space="preserve">(2021). A 500 mL sample of degummed shea olein at 50 ℃ was further mixed with 2.5 mL of 0.8N NaOH for five minutes. The emulsion was transferred into a glass beaker and melted in a water bath (WBE601, LAB CON, </w:t>
      </w:r>
      <w:proofErr w:type="spellStart"/>
      <w:r>
        <w:rPr>
          <w:rFonts w:ascii="Times New Roman" w:hAnsi="Times New Roman"/>
          <w:sz w:val="24"/>
          <w:szCs w:val="24"/>
        </w:rPr>
        <w:t>Maraisburg</w:t>
      </w:r>
      <w:proofErr w:type="spellEnd"/>
      <w:r>
        <w:rPr>
          <w:rFonts w:ascii="Times New Roman" w:hAnsi="Times New Roman"/>
          <w:sz w:val="24"/>
          <w:szCs w:val="24"/>
        </w:rPr>
        <w:t>) at 90 ℃ for 10 minutes. The</w:t>
      </w:r>
      <w:r>
        <w:rPr>
          <w:rFonts w:ascii="Times New Roman" w:hAnsi="Times New Roman"/>
          <w:sz w:val="24"/>
          <w:szCs w:val="24"/>
        </w:rPr>
        <w:t xml:space="preserve"> </w:t>
      </w:r>
      <w:proofErr w:type="spellStart"/>
      <w:r>
        <w:rPr>
          <w:rFonts w:ascii="Times New Roman" w:hAnsi="Times New Roman"/>
          <w:sz w:val="24"/>
          <w:szCs w:val="24"/>
        </w:rPr>
        <w:t>soapstock</w:t>
      </w:r>
      <w:proofErr w:type="spellEnd"/>
      <w:r>
        <w:rPr>
          <w:rFonts w:ascii="Times New Roman" w:hAnsi="Times New Roman"/>
          <w:sz w:val="24"/>
          <w:szCs w:val="24"/>
        </w:rPr>
        <w:t xml:space="preserve"> was separated from the oil using an Eppendorf cold centrifuge (5430R, Eppendorf, Germany) at 4000 rpm for 30 min at 20 ℃. The neutralized oil was washed with 1% sodium chloride at a volume 3% larger than the free fatty acid content of shea olein</w:t>
      </w:r>
      <w:r>
        <w:rPr>
          <w:rFonts w:ascii="Times New Roman" w:hAnsi="Times New Roman"/>
          <w:sz w:val="24"/>
          <w:szCs w:val="24"/>
        </w:rPr>
        <w:t xml:space="preserve">. This was repeated to ensure effective removal of </w:t>
      </w:r>
      <w:proofErr w:type="spellStart"/>
      <w:r>
        <w:rPr>
          <w:rFonts w:ascii="Times New Roman" w:hAnsi="Times New Roman"/>
          <w:sz w:val="24"/>
          <w:szCs w:val="24"/>
        </w:rPr>
        <w:t>soapstock</w:t>
      </w:r>
      <w:proofErr w:type="spellEnd"/>
      <w:r>
        <w:rPr>
          <w:rFonts w:ascii="Times New Roman" w:hAnsi="Times New Roman"/>
          <w:sz w:val="24"/>
          <w:szCs w:val="24"/>
        </w:rPr>
        <w:t xml:space="preserve"> by centrifugation. The resulting shea olein was placed in an oven at 60 ℃ to reduce its moisture content. Further refining was carried out by bleaching shea olein at 85 ℃ under vacuum with the ai</w:t>
      </w:r>
      <w:r>
        <w:rPr>
          <w:rFonts w:ascii="Times New Roman" w:hAnsi="Times New Roman"/>
          <w:sz w:val="24"/>
          <w:szCs w:val="24"/>
        </w:rPr>
        <w:t>d of bentonite for 30 min. A 2% bentonite was added to shea olein to ensure complete removal of color bodies. The resulting mixture was centrifuged at 4000 rpm for 20 minutes to separate refined bleached shea olein from the bleaching earth. The refined ble</w:t>
      </w:r>
      <w:r>
        <w:rPr>
          <w:rFonts w:ascii="Times New Roman" w:hAnsi="Times New Roman"/>
          <w:sz w:val="24"/>
          <w:szCs w:val="24"/>
        </w:rPr>
        <w:t>ached shea olein and other fractions were further kept at -20 ℃ for further application and analysis.</w:t>
      </w:r>
    </w:p>
    <w:p w:rsidR="00D543E5" w:rsidRDefault="00D543E5">
      <w:pPr>
        <w:spacing w:before="0" w:beforeAutospacing="0" w:after="0" w:line="240" w:lineRule="auto"/>
        <w:ind w:left="720"/>
        <w:contextualSpacing/>
        <w:jc w:val="both"/>
        <w:rPr>
          <w:rFonts w:ascii="Times New Roman" w:hAnsi="Times New Roman"/>
          <w:sz w:val="24"/>
          <w:szCs w:val="24"/>
        </w:rPr>
      </w:pPr>
    </w:p>
    <w:p w:rsidR="00D543E5" w:rsidRDefault="00A95B9D">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peroxide value</w:t>
      </w:r>
    </w:p>
    <w:p w:rsidR="00D543E5" w:rsidRDefault="00A95B9D">
      <w:pPr>
        <w:spacing w:before="0" w:beforeAutospacing="0" w:after="0"/>
        <w:ind w:left="720"/>
        <w:jc w:val="both"/>
        <w:rPr>
          <w:rFonts w:ascii="Times New Roman" w:hAnsi="Times New Roman"/>
          <w:sz w:val="24"/>
          <w:szCs w:val="24"/>
        </w:rPr>
      </w:pPr>
      <w:r>
        <w:rPr>
          <w:rFonts w:ascii="Times New Roman" w:hAnsi="Times New Roman"/>
          <w:sz w:val="24"/>
          <w:szCs w:val="24"/>
        </w:rPr>
        <w:t>A 5 g sample of oil was weighed into a conical flask. The content of the flask was dissolved in a 30 mL mixture of acetic</w:t>
      </w:r>
      <w:r>
        <w:rPr>
          <w:rFonts w:ascii="Times New Roman" w:hAnsi="Times New Roman"/>
          <w:sz w:val="24"/>
          <w:szCs w:val="24"/>
        </w:rPr>
        <w:t xml:space="preserve"> acid and chloroform (2:1), and 0.5 mL of a saturated potassium iodide solution was added. The mixture was then shaken and allowed to stand for 1 min. After which, 30 mL of distilled water and 0.5 mL starch indicator were added, and the content was titrate</w:t>
      </w:r>
      <w:r>
        <w:rPr>
          <w:rFonts w:ascii="Times New Roman" w:hAnsi="Times New Roman"/>
          <w:sz w:val="24"/>
          <w:szCs w:val="24"/>
        </w:rPr>
        <w:t>d against 0.01 N sodium thiosulphate. The blank test was conducted (AOAC, 2012). Peroxide value was calculated as ml equivalent of active oxygen /kg of sample as indicated in Eqn. 3.</w:t>
      </w:r>
    </w:p>
    <w:p w:rsidR="00D543E5" w:rsidRDefault="00A95B9D">
      <w:pPr>
        <w:ind w:left="720"/>
        <w:jc w:val="both"/>
        <w:rPr>
          <w:rFonts w:ascii="Times New Roman" w:hAnsi="Times New Roman"/>
          <w:sz w:val="24"/>
          <w:szCs w:val="24"/>
        </w:rPr>
      </w:pPr>
      <w:r>
        <w:rPr>
          <w:rFonts w:ascii="Times New Roman" w:hAnsi="Times New Roman"/>
          <w:sz w:val="24"/>
          <w:szCs w:val="24"/>
        </w:rPr>
        <w:t xml:space="preserve">Peroxide value =     </w:t>
      </w:r>
      <w:r>
        <w:rPr>
          <w:rFonts w:ascii="Times New Roman" w:eastAsia="Calibri" w:hAnsi="Times New Roman"/>
          <w:noProof/>
          <w:position w:val="-18"/>
          <w:sz w:val="24"/>
          <w:szCs w:val="24"/>
        </w:rPr>
        <w:drawing>
          <wp:inline distT="0" distB="0" distL="114300" distR="114300">
            <wp:extent cx="796925" cy="263525"/>
            <wp:effectExtent l="0" t="0" r="3175" b="3175"/>
            <wp:docPr id="7" name="Picture 19"/>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9"/>
                    <a:stretch>
                      <a:fillRect/>
                    </a:stretch>
                  </pic:blipFill>
                  <pic:spPr>
                    <a:xfrm>
                      <a:off x="0" y="0"/>
                      <a:ext cx="796925" cy="263525"/>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      </w:t>
      </w:r>
    </w:p>
    <w:p w:rsidR="00D543E5" w:rsidRDefault="00A95B9D">
      <w:pPr>
        <w:ind w:left="720"/>
        <w:jc w:val="both"/>
        <w:rPr>
          <w:rFonts w:ascii="Times New Roman" w:hAnsi="Times New Roman"/>
          <w:sz w:val="24"/>
          <w:szCs w:val="24"/>
        </w:rPr>
      </w:pPr>
      <w:r>
        <w:rPr>
          <w:rFonts w:ascii="Times New Roman" w:hAnsi="Times New Roman"/>
          <w:sz w:val="24"/>
          <w:szCs w:val="24"/>
        </w:rPr>
        <w:t xml:space="preserve">S = </w:t>
      </w:r>
      <w:proofErr w:type="spellStart"/>
      <w:r>
        <w:rPr>
          <w:rFonts w:ascii="Times New Roman" w:hAnsi="Times New Roman"/>
          <w:sz w:val="24"/>
          <w:szCs w:val="24"/>
        </w:rPr>
        <w:t>Titre</w:t>
      </w:r>
      <w:proofErr w:type="spellEnd"/>
      <w:r>
        <w:rPr>
          <w:rFonts w:ascii="Times New Roman" w:hAnsi="Times New Roman"/>
          <w:sz w:val="24"/>
          <w:szCs w:val="24"/>
        </w:rPr>
        <w:t xml:space="preserve"> v</w:t>
      </w:r>
      <w:r>
        <w:rPr>
          <w:rFonts w:ascii="Times New Roman" w:hAnsi="Times New Roman"/>
          <w:sz w:val="24"/>
          <w:szCs w:val="24"/>
        </w:rPr>
        <w:t xml:space="preserve">alue of sample – </w:t>
      </w:r>
      <w:proofErr w:type="spellStart"/>
      <w:r>
        <w:rPr>
          <w:rFonts w:ascii="Times New Roman" w:hAnsi="Times New Roman"/>
          <w:sz w:val="24"/>
          <w:szCs w:val="24"/>
        </w:rPr>
        <w:t>Titre</w:t>
      </w:r>
      <w:proofErr w:type="spellEnd"/>
      <w:r>
        <w:rPr>
          <w:rFonts w:ascii="Times New Roman" w:hAnsi="Times New Roman"/>
          <w:sz w:val="24"/>
          <w:szCs w:val="24"/>
        </w:rPr>
        <w:t xml:space="preserve"> value of blank, N = Molarity of the thiosulphate </w:t>
      </w:r>
    </w:p>
    <w:p w:rsidR="00D543E5" w:rsidRDefault="00D543E5">
      <w:pPr>
        <w:spacing w:after="0"/>
        <w:jc w:val="both"/>
        <w:rPr>
          <w:rFonts w:ascii="Times New Roman" w:hAnsi="Times New Roman"/>
          <w:b/>
          <w:sz w:val="24"/>
          <w:szCs w:val="24"/>
        </w:rPr>
      </w:pPr>
    </w:p>
    <w:p w:rsidR="00D543E5" w:rsidRDefault="00D543E5">
      <w:pPr>
        <w:spacing w:after="0"/>
        <w:jc w:val="both"/>
        <w:rPr>
          <w:rFonts w:ascii="Times New Roman" w:hAnsi="Times New Roman"/>
          <w:b/>
          <w:sz w:val="24"/>
          <w:szCs w:val="24"/>
        </w:rPr>
      </w:pPr>
    </w:p>
    <w:p w:rsidR="00D543E5" w:rsidRDefault="00A95B9D">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ρ-</w:t>
      </w:r>
      <w:proofErr w:type="spellStart"/>
      <w:r>
        <w:rPr>
          <w:rFonts w:ascii="Times New Roman" w:hAnsi="Times New Roman"/>
          <w:b/>
          <w:sz w:val="24"/>
          <w:szCs w:val="24"/>
        </w:rPr>
        <w:t>anisidine</w:t>
      </w:r>
      <w:proofErr w:type="spellEnd"/>
      <w:r>
        <w:rPr>
          <w:rFonts w:ascii="Times New Roman" w:hAnsi="Times New Roman"/>
          <w:b/>
          <w:sz w:val="24"/>
          <w:szCs w:val="24"/>
        </w:rPr>
        <w:t xml:space="preserve"> value</w:t>
      </w:r>
    </w:p>
    <w:p w:rsidR="00D543E5" w:rsidRDefault="00A95B9D">
      <w:pPr>
        <w:spacing w:before="0" w:beforeAutospacing="0" w:after="0"/>
        <w:ind w:left="720"/>
        <w:jc w:val="both"/>
        <w:rPr>
          <w:rFonts w:ascii="Times New Roman" w:hAnsi="Times New Roman"/>
          <w:sz w:val="24"/>
          <w:szCs w:val="24"/>
        </w:rPr>
      </w:pPr>
      <w:r>
        <w:rPr>
          <w:rFonts w:ascii="Times New Roman" w:hAnsi="Times New Roman"/>
          <w:sz w:val="24"/>
          <w:szCs w:val="24"/>
        </w:rPr>
        <w:t>The p-</w:t>
      </w:r>
      <w:proofErr w:type="spellStart"/>
      <w:r>
        <w:rPr>
          <w:rFonts w:ascii="Times New Roman" w:hAnsi="Times New Roman"/>
          <w:sz w:val="24"/>
          <w:szCs w:val="24"/>
        </w:rPr>
        <w:t>anisidine</w:t>
      </w:r>
      <w:proofErr w:type="spellEnd"/>
      <w:r>
        <w:rPr>
          <w:rFonts w:ascii="Times New Roman" w:hAnsi="Times New Roman"/>
          <w:sz w:val="24"/>
          <w:szCs w:val="24"/>
        </w:rPr>
        <w:t xml:space="preserve"> value (AV) was determined according to the AOCS Official Method Cd 18-90, with modification using a UV-visible microplate reader (</w:t>
      </w:r>
      <w:proofErr w:type="spellStart"/>
      <w:r>
        <w:rPr>
          <w:rFonts w:ascii="Times New Roman" w:hAnsi="Times New Roman"/>
          <w:sz w:val="24"/>
          <w:szCs w:val="24"/>
        </w:rPr>
        <w:t>PowerWave</w:t>
      </w:r>
      <w:proofErr w:type="spellEnd"/>
      <w:r>
        <w:rPr>
          <w:rFonts w:ascii="Times New Roman" w:hAnsi="Times New Roman"/>
          <w:sz w:val="24"/>
          <w:szCs w:val="24"/>
        </w:rPr>
        <w:t xml:space="preserve"> HT microplate reader, </w:t>
      </w:r>
      <w:proofErr w:type="spellStart"/>
      <w:r>
        <w:rPr>
          <w:rFonts w:ascii="Times New Roman" w:hAnsi="Times New Roman"/>
          <w:sz w:val="24"/>
          <w:szCs w:val="24"/>
        </w:rPr>
        <w:t>BioTek</w:t>
      </w:r>
      <w:proofErr w:type="spellEnd"/>
      <w:r>
        <w:rPr>
          <w:rFonts w:ascii="Times New Roman" w:hAnsi="Times New Roman"/>
          <w:sz w:val="24"/>
          <w:szCs w:val="24"/>
        </w:rPr>
        <w:t>) at a wavelength of 350 nm. The 0.25% p-</w:t>
      </w:r>
      <w:proofErr w:type="spellStart"/>
      <w:r>
        <w:rPr>
          <w:rFonts w:ascii="Times New Roman" w:hAnsi="Times New Roman"/>
          <w:sz w:val="24"/>
          <w:szCs w:val="24"/>
        </w:rPr>
        <w:t>anisidine</w:t>
      </w:r>
      <w:proofErr w:type="spellEnd"/>
      <w:r>
        <w:rPr>
          <w:rFonts w:ascii="Times New Roman" w:hAnsi="Times New Roman"/>
          <w:sz w:val="24"/>
          <w:szCs w:val="24"/>
        </w:rPr>
        <w:t xml:space="preserve"> reagent was prepared every working day. 0.25 grams of p-</w:t>
      </w:r>
      <w:proofErr w:type="spellStart"/>
      <w:r>
        <w:rPr>
          <w:rFonts w:ascii="Times New Roman" w:hAnsi="Times New Roman"/>
          <w:sz w:val="24"/>
          <w:szCs w:val="24"/>
        </w:rPr>
        <w:t>anisidine</w:t>
      </w:r>
      <w:proofErr w:type="spellEnd"/>
      <w:r>
        <w:rPr>
          <w:rFonts w:ascii="Times New Roman" w:hAnsi="Times New Roman"/>
          <w:sz w:val="24"/>
          <w:szCs w:val="24"/>
        </w:rPr>
        <w:t xml:space="preserve"> was dissolved in 100 mL of 100 % acetic acid, and the absorbance was measured to ensure a value below</w:t>
      </w:r>
      <w:r>
        <w:rPr>
          <w:rFonts w:ascii="Times New Roman" w:hAnsi="Times New Roman"/>
          <w:sz w:val="24"/>
          <w:szCs w:val="24"/>
        </w:rPr>
        <w:t xml:space="preserve"> Abs = 0.2. To analyze the samples, 0.1 g (100 mg) of oil was weighed directly in test tubes and dissolved </w:t>
      </w:r>
      <w:r>
        <w:rPr>
          <w:rFonts w:ascii="Times New Roman" w:hAnsi="Times New Roman"/>
          <w:sz w:val="24"/>
          <w:szCs w:val="24"/>
        </w:rPr>
        <w:lastRenderedPageBreak/>
        <w:t>in 5 mL of iso-octane. 2.5mL of sample was transferred to a cuvette, and the absorbance was measured at 350 nm against pure iso-octane as a blank. Th</w:t>
      </w:r>
      <w:r>
        <w:rPr>
          <w:rFonts w:ascii="Times New Roman" w:hAnsi="Times New Roman"/>
          <w:sz w:val="24"/>
          <w:szCs w:val="24"/>
        </w:rPr>
        <w:t>en, 0.5 mL of p-</w:t>
      </w:r>
      <w:proofErr w:type="spellStart"/>
      <w:r>
        <w:rPr>
          <w:rFonts w:ascii="Times New Roman" w:hAnsi="Times New Roman"/>
          <w:sz w:val="24"/>
          <w:szCs w:val="24"/>
        </w:rPr>
        <w:t>anisidine</w:t>
      </w:r>
      <w:proofErr w:type="spellEnd"/>
      <w:r>
        <w:rPr>
          <w:rFonts w:ascii="Times New Roman" w:hAnsi="Times New Roman"/>
          <w:sz w:val="24"/>
          <w:szCs w:val="24"/>
        </w:rPr>
        <w:t xml:space="preserve"> reagent was added, and the cuvette was shaken by hand. The cuvette was kept in the dark for 10 min before the second absorbance measurement was made. The p-AV is given by the formula:</w:t>
      </w:r>
    </w:p>
    <w:p w:rsidR="00D543E5" w:rsidRDefault="00A95B9D">
      <w:pPr>
        <w:ind w:left="720"/>
        <w:jc w:val="both"/>
        <w:rPr>
          <w:rFonts w:ascii="Times New Roman" w:hAnsi="Times New Roman"/>
          <w:sz w:val="24"/>
          <w:szCs w:val="24"/>
        </w:rPr>
      </w:pPr>
      <m:oMath>
        <m:r>
          <w:rPr>
            <w:rFonts w:ascii="Cambria Math" w:hAnsi="Cambria Math"/>
            <w:sz w:val="24"/>
            <w:szCs w:val="24"/>
          </w:rPr>
          <m:t>ρ</m:t>
        </m:r>
        <m:r>
          <w:rPr>
            <w:rFonts w:ascii="Cambria Math" w:hAnsi="Cambria Math"/>
            <w:sz w:val="24"/>
            <w:szCs w:val="24"/>
          </w:rPr>
          <m:t>-</m:t>
        </m:r>
        <m:r>
          <w:rPr>
            <w:rFonts w:ascii="Cambria Math" w:hAnsi="Cambria Math"/>
            <w:sz w:val="24"/>
            <w:szCs w:val="24"/>
          </w:rPr>
          <m:t>AV</m:t>
        </m:r>
        <m:r>
          <w:rPr>
            <w:rFonts w:ascii="Cambria Math" w:hAnsi="Cambria Math"/>
            <w:sz w:val="24"/>
            <w:szCs w:val="24"/>
          </w:rPr>
          <m:t>=</m:t>
        </m:r>
        <m:r>
          <w:rPr>
            <w:rFonts w:ascii="Cambria Math" w:hAnsi="Cambria Math"/>
            <w:sz w:val="24"/>
            <w:szCs w:val="24"/>
          </w:rPr>
          <m:t>D</m:t>
        </m:r>
        <m:r>
          <w:rPr>
            <w:rFonts w:ascii="Cambria Math" w:hAnsi="Cambria Math"/>
            <w:sz w:val="24"/>
            <w:szCs w:val="24"/>
          </w:rPr>
          <m:t xml:space="preserve"> </m:t>
        </m:r>
        <m:r>
          <w:rPr>
            <w:rFonts w:ascii="Cambria Math" w:hAnsi="Cambria Math"/>
            <w:sz w:val="24"/>
            <w:szCs w:val="24"/>
          </w:rPr>
          <m:t>x</m:t>
        </m:r>
        <m:r>
          <w:rPr>
            <w:rFonts w:ascii="Cambria Math" w:hAnsi="Cambria Math"/>
            <w:sz w:val="24"/>
            <w:szCs w:val="24"/>
          </w:rPr>
          <m:t xml:space="preserve"> [1.2 </m:t>
        </m:r>
        <m:r>
          <w:rPr>
            <w:rFonts w:ascii="Cambria Math" w:hAnsi="Cambria Math"/>
            <w:sz w:val="24"/>
            <w:szCs w:val="24"/>
          </w:rPr>
          <m:t>x</m:t>
        </m:r>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AS</m:t>
            </m:r>
            <m:r>
              <m:rPr>
                <m:sty m:val="p"/>
              </m:rPr>
              <w:rPr>
                <w:rFonts w:ascii="Cambria Math" w:hAnsi="Cambria Math"/>
                <w:sz w:val="24"/>
                <w:szCs w:val="24"/>
                <w:vertAlign w:val="subscript"/>
              </w:rPr>
              <m:t>2</m:t>
            </m:r>
            <m:r>
              <w:rPr>
                <w:rFonts w:ascii="Cambria Math" w:hAnsi="Cambria Math"/>
                <w:sz w:val="24"/>
                <w:szCs w:val="24"/>
              </w:rPr>
              <m:t>-</m:t>
            </m:r>
            <m:r>
              <w:rPr>
                <w:rFonts w:ascii="Cambria Math" w:hAnsi="Cambria Math"/>
                <w:sz w:val="24"/>
                <w:szCs w:val="24"/>
              </w:rPr>
              <m:t>AB</m:t>
            </m:r>
            <m:r>
              <w:rPr>
                <w:rFonts w:ascii="Cambria Math" w:hAnsi="Cambria Math"/>
                <w:sz w:val="24"/>
                <w:szCs w:val="24"/>
              </w:rPr>
              <m:t>2</m:t>
            </m:r>
          </m:e>
        </m:d>
        <m:r>
          <w:rPr>
            <w:rFonts w:ascii="Cambria Math" w:hAnsi="Cambria Math"/>
            <w:sz w:val="24"/>
            <w:szCs w:val="24"/>
          </w:rPr>
          <m:t>-</m:t>
        </m:r>
        <m:r>
          <w:rPr>
            <w:rFonts w:ascii="Cambria Math" w:hAnsi="Cambria Math"/>
            <w:sz w:val="24"/>
            <w:szCs w:val="24"/>
          </w:rPr>
          <m:t>(</m:t>
        </m:r>
        <m:r>
          <w:rPr>
            <w:rFonts w:ascii="Cambria Math" w:hAnsi="Cambria Math"/>
            <w:sz w:val="24"/>
            <w:szCs w:val="24"/>
          </w:rPr>
          <m:t>AS</m:t>
        </m:r>
        <m:r>
          <w:rPr>
            <w:rFonts w:ascii="Cambria Math" w:hAnsi="Cambria Math"/>
            <w:sz w:val="24"/>
            <w:szCs w:val="24"/>
          </w:rPr>
          <m:t>1-</m:t>
        </m:r>
        <m:r>
          <w:rPr>
            <w:rFonts w:ascii="Cambria Math" w:hAnsi="Cambria Math"/>
            <w:sz w:val="24"/>
            <w:szCs w:val="24"/>
          </w:rPr>
          <m:t>AB</m:t>
        </m:r>
        <m:r>
          <w:rPr>
            <w:rFonts w:ascii="Cambria Math" w:hAnsi="Cambria Math"/>
            <w:sz w:val="24"/>
            <w:szCs w:val="24"/>
          </w:rPr>
          <m:t>1</m:t>
        </m:r>
        <m:r>
          <w:rPr>
            <w:rFonts w:ascii="Cambria Math" w:hAnsi="Cambria Math"/>
            <w:sz w:val="24"/>
            <w:szCs w:val="24"/>
          </w:rPr>
          <m:t>)/</m:t>
        </m:r>
        <m:r>
          <w:rPr>
            <w:rFonts w:ascii="Cambria Math" w:hAnsi="Cambria Math"/>
            <w:sz w:val="24"/>
            <w:szCs w:val="24"/>
          </w:rPr>
          <m:t>m</m:t>
        </m:r>
        <m:r>
          <w:rPr>
            <w:rFonts w:ascii="Cambria Math" w:hAnsi="Cambria Math"/>
            <w:sz w:val="24"/>
            <w:szCs w:val="24"/>
          </w:rPr>
          <m:t>]</m:t>
        </m:r>
      </m:oMath>
      <w:r>
        <w:rPr>
          <w:rFonts w:ascii="Times New Roman" w:eastAsiaTheme="minorEastAsia" w:hAnsi="Times New Roman"/>
          <w:sz w:val="24"/>
          <w:szCs w:val="24"/>
        </w:rPr>
        <w:t xml:space="preserve">                                      2</w:t>
      </w:r>
    </w:p>
    <w:p w:rsidR="00D543E5" w:rsidRDefault="00A95B9D">
      <w:pPr>
        <w:ind w:left="720"/>
        <w:jc w:val="both"/>
        <w:rPr>
          <w:rFonts w:ascii="Times New Roman" w:hAnsi="Times New Roman"/>
          <w:sz w:val="24"/>
          <w:szCs w:val="24"/>
        </w:rPr>
      </w:pPr>
      <w:r>
        <w:rPr>
          <w:rFonts w:ascii="Times New Roman" w:hAnsi="Times New Roman"/>
          <w:sz w:val="24"/>
          <w:szCs w:val="24"/>
        </w:rPr>
        <w:t>Where, D is the volume of iso-octane used to dissolve oil sample (1 mL), AS1= Absorbance of the oil solution before reaction with the p-</w:t>
      </w:r>
      <w:proofErr w:type="spellStart"/>
      <w:r>
        <w:rPr>
          <w:rFonts w:ascii="Times New Roman" w:hAnsi="Times New Roman"/>
          <w:sz w:val="24"/>
          <w:szCs w:val="24"/>
        </w:rPr>
        <w:t>anisidine</w:t>
      </w:r>
      <w:proofErr w:type="spellEnd"/>
      <w:r>
        <w:rPr>
          <w:rFonts w:ascii="Times New Roman" w:hAnsi="Times New Roman"/>
          <w:sz w:val="24"/>
          <w:szCs w:val="24"/>
        </w:rPr>
        <w:t xml:space="preserve"> reagent, AS2 = Absorbance of the oil solution after reaction with</w:t>
      </w:r>
      <w:r>
        <w:rPr>
          <w:rFonts w:ascii="Times New Roman" w:hAnsi="Times New Roman"/>
          <w:sz w:val="24"/>
          <w:szCs w:val="24"/>
        </w:rPr>
        <w:t xml:space="preserve"> the p-</w:t>
      </w:r>
      <w:proofErr w:type="spellStart"/>
      <w:r>
        <w:rPr>
          <w:rFonts w:ascii="Times New Roman" w:hAnsi="Times New Roman"/>
          <w:sz w:val="24"/>
          <w:szCs w:val="24"/>
        </w:rPr>
        <w:t>anisidine</w:t>
      </w:r>
      <w:proofErr w:type="spellEnd"/>
      <w:r>
        <w:rPr>
          <w:rFonts w:ascii="Times New Roman" w:hAnsi="Times New Roman"/>
          <w:sz w:val="24"/>
          <w:szCs w:val="24"/>
        </w:rPr>
        <w:t xml:space="preserve"> reagent, AB1= Absorbance of iso-octane before reaction with the p-</w:t>
      </w:r>
      <w:proofErr w:type="spellStart"/>
      <w:r>
        <w:rPr>
          <w:rFonts w:ascii="Times New Roman" w:hAnsi="Times New Roman"/>
          <w:sz w:val="24"/>
          <w:szCs w:val="24"/>
        </w:rPr>
        <w:t>anisidine</w:t>
      </w:r>
      <w:proofErr w:type="spellEnd"/>
      <w:r>
        <w:rPr>
          <w:rFonts w:ascii="Times New Roman" w:hAnsi="Times New Roman"/>
          <w:sz w:val="24"/>
          <w:szCs w:val="24"/>
        </w:rPr>
        <w:t xml:space="preserve"> reagent, AS2 = Absorbance of iso-octane after reaction with the p-</w:t>
      </w:r>
      <w:proofErr w:type="spellStart"/>
      <w:r>
        <w:rPr>
          <w:rFonts w:ascii="Times New Roman" w:hAnsi="Times New Roman"/>
          <w:sz w:val="24"/>
          <w:szCs w:val="24"/>
        </w:rPr>
        <w:t>anisidine</w:t>
      </w:r>
      <w:proofErr w:type="spellEnd"/>
      <w:r>
        <w:rPr>
          <w:rFonts w:ascii="Times New Roman" w:hAnsi="Times New Roman"/>
          <w:sz w:val="24"/>
          <w:szCs w:val="24"/>
        </w:rPr>
        <w:t xml:space="preserve"> reagent, and m = mass of the sample (20 mg).</w:t>
      </w:r>
    </w:p>
    <w:p w:rsidR="00D543E5" w:rsidRDefault="00A95B9D">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conjugated dienes</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Conjuga</w:t>
      </w:r>
      <w:r>
        <w:rPr>
          <w:rFonts w:ascii="Times New Roman" w:hAnsi="Times New Roman"/>
          <w:sz w:val="24"/>
          <w:szCs w:val="24"/>
        </w:rPr>
        <w:t xml:space="preserve">ted dienes were determined by the </w:t>
      </w:r>
      <w:proofErr w:type="spellStart"/>
      <w:r>
        <w:rPr>
          <w:rFonts w:ascii="Times New Roman" w:hAnsi="Times New Roman"/>
          <w:sz w:val="24"/>
          <w:szCs w:val="24"/>
        </w:rPr>
        <w:t>Kūka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(2018) method. 100 mg of each sample was weighed into a test tube, and 5 mL of iso-octane was added to dissolve it. About 300 µL of each sample was transferred into a 96-well microplate. The absorbance reading </w:t>
      </w:r>
      <w:r>
        <w:rPr>
          <w:rFonts w:ascii="Times New Roman" w:hAnsi="Times New Roman"/>
          <w:sz w:val="24"/>
          <w:szCs w:val="24"/>
        </w:rPr>
        <w:t>of each sample solution was taken at 234 nm using a microplate reader (</w:t>
      </w:r>
      <w:proofErr w:type="spellStart"/>
      <w:r>
        <w:rPr>
          <w:rFonts w:ascii="Times New Roman" w:hAnsi="Times New Roman"/>
          <w:sz w:val="24"/>
          <w:szCs w:val="24"/>
        </w:rPr>
        <w:t>PowerWave</w:t>
      </w:r>
      <w:proofErr w:type="spellEnd"/>
      <w:r>
        <w:rPr>
          <w:rFonts w:ascii="Times New Roman" w:hAnsi="Times New Roman"/>
          <w:sz w:val="24"/>
          <w:szCs w:val="24"/>
        </w:rPr>
        <w:t xml:space="preserve"> HT microplate reader, </w:t>
      </w:r>
      <w:proofErr w:type="spellStart"/>
      <w:r>
        <w:rPr>
          <w:rFonts w:ascii="Times New Roman" w:hAnsi="Times New Roman"/>
          <w:sz w:val="24"/>
          <w:szCs w:val="24"/>
        </w:rPr>
        <w:t>BioTek</w:t>
      </w:r>
      <w:proofErr w:type="spellEnd"/>
      <w:r>
        <w:rPr>
          <w:rFonts w:ascii="Times New Roman" w:hAnsi="Times New Roman"/>
          <w:sz w:val="24"/>
          <w:szCs w:val="24"/>
        </w:rPr>
        <w:t xml:space="preserve">). Absorbance was taken against 1% methyl stearate in iso-octane as a blank. </w:t>
      </w:r>
    </w:p>
    <w:p w:rsidR="00D543E5" w:rsidRDefault="00A95B9D">
      <w:pPr>
        <w:spacing w:after="0" w:line="240" w:lineRule="auto"/>
        <w:ind w:left="720"/>
        <w:jc w:val="both"/>
        <w:rPr>
          <w:rFonts w:ascii="Times New Roman" w:hAnsi="Times New Roman"/>
          <w:sz w:val="24"/>
          <w:szCs w:val="24"/>
        </w:rPr>
      </w:pPr>
      <m:oMath>
        <m:r>
          <w:rPr>
            <w:rFonts w:ascii="Cambria Math" w:hAnsi="Cambria Math"/>
            <w:sz w:val="24"/>
            <w:szCs w:val="24"/>
          </w:rPr>
          <m:t>CD</m:t>
        </m:r>
        <m:r>
          <w:rPr>
            <w:rFonts w:ascii="Cambria Math" w:hAnsi="Cambria Math"/>
            <w:sz w:val="24"/>
            <w:szCs w:val="24"/>
          </w:rPr>
          <m:t>=</m:t>
        </m:r>
        <m:r>
          <w:rPr>
            <w:rFonts w:ascii="Cambria Math" w:hAnsi="Cambria Math"/>
            <w:sz w:val="24"/>
            <w:szCs w:val="24"/>
          </w:rPr>
          <m:t>A</m:t>
        </m:r>
        <m:r>
          <w:rPr>
            <w:rFonts w:ascii="Cambria Math" w:hAnsi="Cambria Math"/>
            <w:sz w:val="24"/>
            <w:szCs w:val="24"/>
          </w:rPr>
          <m:t>/</m:t>
        </m:r>
        <m:r>
          <w:rPr>
            <w:rFonts w:ascii="Cambria Math" w:hAnsi="Cambria Math"/>
            <w:sz w:val="24"/>
            <w:szCs w:val="24"/>
          </w:rPr>
          <m:t>εl</m:t>
        </m:r>
      </m:oMath>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3</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Where</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CD is the concentration of conj</w:t>
      </w:r>
      <w:r>
        <w:rPr>
          <w:rFonts w:ascii="Times New Roman" w:hAnsi="Times New Roman"/>
          <w:sz w:val="24"/>
          <w:szCs w:val="24"/>
        </w:rPr>
        <w:t>ugated dienes in the sample</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A is the sample absorbance in iso-octane, which varies across the samples</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l is the path length, which equals 1 cm</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ε is the molar absorptivity of 1% solution, which is 25250 M-1 ·cm -1 – molar absorptivity of linoleic acid hydrop</w:t>
      </w:r>
      <w:r>
        <w:rPr>
          <w:rFonts w:ascii="Times New Roman" w:hAnsi="Times New Roman"/>
          <w:sz w:val="24"/>
          <w:szCs w:val="24"/>
        </w:rPr>
        <w:t xml:space="preserve">eroxide </w:t>
      </w:r>
      <w:r>
        <w:rPr>
          <w:rFonts w:ascii="Times New Roman" w:hAnsi="Times New Roman"/>
          <w:sz w:val="24"/>
          <w:szCs w:val="24"/>
        </w:rPr>
        <w:tab/>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The conjugated diene value (CD value) was calculated as follows:</w:t>
      </w:r>
    </w:p>
    <w:p w:rsidR="00D543E5" w:rsidRDefault="00A95B9D">
      <w:pPr>
        <w:spacing w:after="0" w:line="240" w:lineRule="auto"/>
        <w:ind w:left="720"/>
        <w:jc w:val="both"/>
        <w:rPr>
          <w:rFonts w:ascii="Times New Roman" w:hAnsi="Times New Roman"/>
          <w:sz w:val="24"/>
          <w:szCs w:val="24"/>
        </w:rPr>
      </w:pPr>
      <m:oMath>
        <m:m>
          <m:mPr>
            <m:plcHide m:val="1"/>
            <m:mcs>
              <m:mc>
                <m:mcPr>
                  <m:count m:val="4"/>
                  <m:mcJc m:val="center"/>
                </m:mcPr>
              </m:mc>
            </m:mcs>
            <m:ctrlPr>
              <w:rPr>
                <w:rFonts w:ascii="Cambria Math" w:hAnsi="Cambria Math"/>
                <w:sz w:val="24"/>
                <w:szCs w:val="24"/>
              </w:rPr>
            </m:ctrlPr>
          </m:mPr>
          <m:mr>
            <m:e/>
            <m:e>
              <m:r>
                <m:rPr>
                  <m:nor/>
                </m:rPr>
                <w:rPr>
                  <w:rFonts w:ascii="Times New Roman" w:hAnsi="Times New Roman"/>
                  <w:sz w:val="24"/>
                  <w:szCs w:val="24"/>
                </w:rPr>
                <m:t>CD value</m:t>
              </m:r>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m:t>
                  </m:r>
                  <m:r>
                    <w:rPr>
                      <w:rFonts w:ascii="Cambria Math" w:hAnsi="Cambria Math"/>
                      <w:sz w:val="24"/>
                      <w:szCs w:val="24"/>
                    </w:rPr>
                    <m:t>CD</m:t>
                  </m:r>
                  <m:r>
                    <w:rPr>
                      <w:rFonts w:ascii="Cambria Math" w:hAnsi="Cambria Math"/>
                      <w:sz w:val="24"/>
                      <w:szCs w:val="24"/>
                    </w:rPr>
                    <m:t>]×5×</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4</m:t>
                      </m:r>
                    </m:sup>
                  </m:sSup>
                </m:num>
                <m:den>
                  <m:r>
                    <w:rPr>
                      <w:rFonts w:ascii="Cambria Math" w:hAnsi="Cambria Math"/>
                      <w:sz w:val="24"/>
                      <w:szCs w:val="24"/>
                    </w:rPr>
                    <m:t>m</m:t>
                  </m:r>
                </m:den>
              </m:f>
            </m:e>
            <m:e/>
            <m:e/>
          </m:mr>
        </m:m>
      </m:oMath>
      <w:r>
        <w:rPr>
          <w:rFonts w:ascii="Times New Roman" w:eastAsiaTheme="minorEastAsia" w:hAnsi="Times New Roman"/>
          <w:sz w:val="24"/>
          <w:szCs w:val="24"/>
          <w:vertAlign w:val="superscript"/>
        </w:rPr>
        <w:t xml:space="preserve">                                                                                      </w:t>
      </w:r>
      <w:r>
        <w:rPr>
          <w:rFonts w:ascii="Times New Roman" w:eastAsiaTheme="minorEastAsia" w:hAnsi="Times New Roman"/>
          <w:sz w:val="24"/>
          <w:szCs w:val="24"/>
        </w:rPr>
        <w:t>4</w:t>
      </w:r>
      <w:r>
        <w:rPr>
          <w:rFonts w:ascii="Times New Roman" w:eastAsiaTheme="minorEastAsia" w:hAnsi="Times New Roman"/>
          <w:sz w:val="24"/>
          <w:szCs w:val="24"/>
          <w:vertAlign w:val="superscript"/>
        </w:rPr>
        <w:t xml:space="preserve">      </w:t>
      </w:r>
    </w:p>
    <w:p w:rsidR="00D543E5" w:rsidRDefault="00A95B9D">
      <w:pPr>
        <w:spacing w:after="0" w:line="240" w:lineRule="auto"/>
        <w:ind w:left="720"/>
        <w:jc w:val="both"/>
        <w:rPr>
          <w:rFonts w:ascii="Times New Roman" w:hAnsi="Times New Roman"/>
          <w:sz w:val="24"/>
          <w:szCs w:val="24"/>
        </w:rPr>
      </w:pPr>
      <w:r>
        <w:rPr>
          <w:rFonts w:ascii="Times New Roman" w:hAnsi="Times New Roman"/>
          <w:sz w:val="24"/>
          <w:szCs w:val="24"/>
        </w:rPr>
        <w:t xml:space="preserve"> where</w:t>
      </w:r>
    </w:p>
    <w:p w:rsidR="00D543E5" w:rsidRDefault="00A95B9D">
      <w:pPr>
        <w:spacing w:after="0" w:line="240" w:lineRule="auto"/>
        <w:ind w:left="720"/>
        <w:jc w:val="both"/>
        <w:rPr>
          <w:rFonts w:ascii="Times New Roman" w:hAnsi="Times New Roman"/>
          <w:sz w:val="24"/>
          <w:szCs w:val="24"/>
        </w:rPr>
      </w:pPr>
      <w:r>
        <w:rPr>
          <w:rFonts w:ascii="Times New Roman" w:hAnsi="Times New Roman"/>
          <w:sz w:val="24"/>
          <w:szCs w:val="24"/>
        </w:rPr>
        <w:t>5 x10</w:t>
      </w:r>
      <w:r>
        <w:rPr>
          <w:rFonts w:ascii="Times New Roman" w:hAnsi="Times New Roman"/>
          <w:sz w:val="24"/>
          <w:szCs w:val="24"/>
          <w:vertAlign w:val="superscript"/>
        </w:rPr>
        <w:t>4</w:t>
      </w:r>
      <w:r>
        <w:rPr>
          <w:rFonts w:ascii="Times New Roman" w:hAnsi="Times New Roman"/>
          <w:sz w:val="24"/>
          <w:szCs w:val="24"/>
        </w:rPr>
        <w:t xml:space="preserve"> </w:t>
      </w:r>
      <w:r>
        <w:rPr>
          <w:rFonts w:ascii="Times New Roman" w:hAnsi="Times New Roman"/>
          <w:sz w:val="24"/>
          <w:szCs w:val="24"/>
        </w:rPr>
        <w:t xml:space="preserve">– a factor that encompasses the volume of </w:t>
      </w:r>
      <w:r>
        <w:rPr>
          <w:rFonts w:ascii="Times New Roman" w:hAnsi="Times New Roman"/>
          <w:sz w:val="24"/>
          <w:szCs w:val="24"/>
        </w:rPr>
        <w:t>iso-octane (50 mL) used to dissolve the oil sample for the determination of CD concentration in µmol, m – sample weight</w:t>
      </w:r>
    </w:p>
    <w:p w:rsidR="00D543E5" w:rsidRDefault="00D543E5">
      <w:pPr>
        <w:spacing w:after="0" w:line="240" w:lineRule="auto"/>
        <w:ind w:left="720"/>
        <w:jc w:val="both"/>
        <w:rPr>
          <w:rFonts w:ascii="Times New Roman" w:hAnsi="Times New Roman"/>
          <w:sz w:val="24"/>
          <w:szCs w:val="24"/>
        </w:rPr>
      </w:pPr>
    </w:p>
    <w:p w:rsidR="00D543E5" w:rsidRDefault="00A95B9D">
      <w:pPr>
        <w:spacing w:before="0" w:beforeAutospacing="0" w:after="0"/>
        <w:ind w:left="720"/>
        <w:jc w:val="both"/>
        <w:rPr>
          <w:rFonts w:ascii="Times New Roman" w:hAnsi="Times New Roman"/>
          <w:b/>
          <w:sz w:val="24"/>
          <w:szCs w:val="24"/>
        </w:rPr>
      </w:pPr>
      <w:r>
        <w:rPr>
          <w:rFonts w:ascii="Times New Roman" w:hAnsi="Times New Roman"/>
          <w:b/>
          <w:sz w:val="24"/>
          <w:szCs w:val="24"/>
        </w:rPr>
        <w:t xml:space="preserve">Determination of </w:t>
      </w:r>
      <w:proofErr w:type="spellStart"/>
      <w:r>
        <w:rPr>
          <w:rFonts w:ascii="Times New Roman" w:hAnsi="Times New Roman"/>
          <w:b/>
          <w:sz w:val="24"/>
          <w:szCs w:val="24"/>
        </w:rPr>
        <w:t>thiobarbituric</w:t>
      </w:r>
      <w:proofErr w:type="spellEnd"/>
      <w:r>
        <w:rPr>
          <w:rFonts w:ascii="Times New Roman" w:hAnsi="Times New Roman"/>
          <w:b/>
          <w:sz w:val="24"/>
          <w:szCs w:val="24"/>
        </w:rPr>
        <w:t xml:space="preserve"> acid reactive substance (TBARS)</w:t>
      </w:r>
    </w:p>
    <w:p w:rsidR="00D543E5" w:rsidRDefault="00A95B9D">
      <w:pPr>
        <w:spacing w:before="0" w:beforeAutospacing="0"/>
        <w:ind w:left="720"/>
        <w:jc w:val="both"/>
        <w:rPr>
          <w:rFonts w:ascii="Times New Roman" w:hAnsi="Times New Roman"/>
          <w:sz w:val="24"/>
          <w:szCs w:val="24"/>
        </w:rPr>
      </w:pPr>
      <w:r>
        <w:rPr>
          <w:rFonts w:ascii="Times New Roman" w:hAnsi="Times New Roman"/>
          <w:sz w:val="24"/>
          <w:szCs w:val="24"/>
        </w:rPr>
        <w:t>TBARS was measured with a little modification in the method described b</w:t>
      </w:r>
      <w:r>
        <w:rPr>
          <w:rFonts w:ascii="Times New Roman" w:hAnsi="Times New Roman"/>
          <w:sz w:val="24"/>
          <w:szCs w:val="24"/>
        </w:rPr>
        <w:t xml:space="preserve">y Zeb and Ullah (2016). Briefly, 50 mg of the oil sample was homogenized in 1 mL of 50% glacial acetic acid solution at 50 °C for 2 min. The mixture was allowed to cool to room temperature. A 57.66 mg </w:t>
      </w:r>
      <w:proofErr w:type="spellStart"/>
      <w:r>
        <w:rPr>
          <w:rFonts w:ascii="Times New Roman" w:hAnsi="Times New Roman"/>
          <w:sz w:val="24"/>
          <w:szCs w:val="24"/>
        </w:rPr>
        <w:t>thiobarbituric</w:t>
      </w:r>
      <w:proofErr w:type="spellEnd"/>
      <w:r>
        <w:rPr>
          <w:rFonts w:ascii="Times New Roman" w:hAnsi="Times New Roman"/>
          <w:sz w:val="24"/>
          <w:szCs w:val="24"/>
        </w:rPr>
        <w:t xml:space="preserve"> acid (TBA) in 100 mL glacial acetic acid</w:t>
      </w:r>
      <w:r>
        <w:rPr>
          <w:rFonts w:ascii="Times New Roman" w:hAnsi="Times New Roman"/>
          <w:sz w:val="24"/>
          <w:szCs w:val="24"/>
        </w:rPr>
        <w:t xml:space="preserve"> (4.0 mM) was prepared, and exactly 150 µL each of the sample solution and TBA were placed in microplate wells </w:t>
      </w:r>
      <w:r>
        <w:rPr>
          <w:rFonts w:ascii="Times New Roman" w:hAnsi="Times New Roman"/>
          <w:sz w:val="24"/>
          <w:szCs w:val="24"/>
        </w:rPr>
        <w:lastRenderedPageBreak/>
        <w:t xml:space="preserve">and heated in an oven (60 °C) for 60 min to develop a pink color. The blank sample was prepared by adding 150 µL 50% acetic acid + 150 µL TBA in </w:t>
      </w:r>
      <w:r>
        <w:rPr>
          <w:rFonts w:ascii="Times New Roman" w:hAnsi="Times New Roman"/>
          <w:sz w:val="24"/>
          <w:szCs w:val="24"/>
        </w:rPr>
        <w:t xml:space="preserve">a microplate well. The calibration standard (1mM) was prepared by dissolving 31.35 mg of malondialdehyde tetrabutylammonium salt (MDA) in 100 mL of glacial acetic acid. This was diluted to give 0.2, 0.4, 0.6, and 0.8 </w:t>
      </w:r>
      <w:proofErr w:type="spellStart"/>
      <w:r>
        <w:rPr>
          <w:rFonts w:ascii="Times New Roman" w:hAnsi="Times New Roman"/>
          <w:sz w:val="24"/>
          <w:szCs w:val="24"/>
        </w:rPr>
        <w:t>mM.</w:t>
      </w:r>
      <w:proofErr w:type="spellEnd"/>
      <w:r>
        <w:rPr>
          <w:rFonts w:ascii="Times New Roman" w:hAnsi="Times New Roman"/>
          <w:sz w:val="24"/>
          <w:szCs w:val="24"/>
        </w:rPr>
        <w:t xml:space="preserve"> 150 µL of TBA was added to the same</w:t>
      </w:r>
      <w:r>
        <w:rPr>
          <w:rFonts w:ascii="Times New Roman" w:hAnsi="Times New Roman"/>
          <w:sz w:val="24"/>
          <w:szCs w:val="24"/>
        </w:rPr>
        <w:t xml:space="preserve"> volume of MDA in the microplate well. The samples were measured at 532 nm in a microplate reader (</w:t>
      </w:r>
      <w:proofErr w:type="spellStart"/>
      <w:r>
        <w:rPr>
          <w:rFonts w:ascii="Times New Roman" w:hAnsi="Times New Roman"/>
          <w:sz w:val="24"/>
          <w:szCs w:val="24"/>
        </w:rPr>
        <w:t>PowerWave</w:t>
      </w:r>
      <w:proofErr w:type="spellEnd"/>
      <w:r>
        <w:rPr>
          <w:rFonts w:ascii="Times New Roman" w:hAnsi="Times New Roman"/>
          <w:sz w:val="24"/>
          <w:szCs w:val="24"/>
        </w:rPr>
        <w:t xml:space="preserve"> HT microplate reader, </w:t>
      </w:r>
      <w:proofErr w:type="spellStart"/>
      <w:r>
        <w:rPr>
          <w:rFonts w:ascii="Times New Roman" w:hAnsi="Times New Roman"/>
          <w:sz w:val="24"/>
          <w:szCs w:val="24"/>
        </w:rPr>
        <w:t>BioTek</w:t>
      </w:r>
      <w:proofErr w:type="spellEnd"/>
      <w:r>
        <w:rPr>
          <w:rFonts w:ascii="Times New Roman" w:hAnsi="Times New Roman"/>
          <w:sz w:val="24"/>
          <w:szCs w:val="24"/>
        </w:rPr>
        <w:t>). A calibration curve of absorbance was plotted against the concentration, and the concentration of the samples was de</w:t>
      </w:r>
      <w:r>
        <w:rPr>
          <w:rFonts w:ascii="Times New Roman" w:hAnsi="Times New Roman"/>
          <w:sz w:val="24"/>
          <w:szCs w:val="24"/>
        </w:rPr>
        <w:t xml:space="preserve">termined and expressed as mmol MDA equivalents/g oil. </w:t>
      </w:r>
    </w:p>
    <w:p w:rsidR="00D543E5" w:rsidRDefault="00A95B9D">
      <w:pPr>
        <w:spacing w:before="0" w:beforeAutospacing="0" w:after="0"/>
        <w:ind w:left="720"/>
        <w:jc w:val="both"/>
        <w:rPr>
          <w:rFonts w:ascii="Times New Roman" w:hAnsi="Times New Roman"/>
          <w:b/>
          <w:sz w:val="24"/>
          <w:szCs w:val="24"/>
        </w:rPr>
      </w:pPr>
      <w:r>
        <w:rPr>
          <w:rFonts w:ascii="Times New Roman" w:hAnsi="Times New Roman"/>
          <w:b/>
          <w:sz w:val="24"/>
          <w:szCs w:val="24"/>
        </w:rPr>
        <w:t xml:space="preserve">Determination of thermal stability </w:t>
      </w:r>
    </w:p>
    <w:p w:rsidR="00D543E5" w:rsidRDefault="00A95B9D">
      <w:pPr>
        <w:spacing w:before="0" w:beforeAutospacing="0"/>
        <w:ind w:left="720"/>
        <w:jc w:val="both"/>
        <w:rPr>
          <w:rFonts w:ascii="Times New Roman" w:hAnsi="Times New Roman"/>
          <w:sz w:val="24"/>
          <w:szCs w:val="24"/>
        </w:rPr>
      </w:pPr>
      <w:r>
        <w:rPr>
          <w:rFonts w:ascii="Times New Roman" w:hAnsi="Times New Roman"/>
          <w:sz w:val="24"/>
          <w:szCs w:val="24"/>
        </w:rPr>
        <w:t xml:space="preserve">The thermal stability of the shea fractions was assessed using the method described by Islam </w:t>
      </w:r>
      <w:r>
        <w:rPr>
          <w:rFonts w:ascii="Times New Roman" w:hAnsi="Times New Roman"/>
          <w:i/>
          <w:sz w:val="24"/>
          <w:szCs w:val="24"/>
        </w:rPr>
        <w:t>et al.</w:t>
      </w:r>
      <w:r>
        <w:rPr>
          <w:rFonts w:ascii="Times New Roman" w:hAnsi="Times New Roman"/>
          <w:sz w:val="24"/>
          <w:szCs w:val="24"/>
        </w:rPr>
        <w:t xml:space="preserve"> (2023). An empty sealed pan was used as a reference, and lipid sa</w:t>
      </w:r>
      <w:r>
        <w:rPr>
          <w:rFonts w:ascii="Times New Roman" w:hAnsi="Times New Roman"/>
          <w:sz w:val="24"/>
          <w:szCs w:val="24"/>
        </w:rPr>
        <w:t xml:space="preserve">mples (6–8 mg) were firmly sealed in a 100 µL </w:t>
      </w:r>
      <w:proofErr w:type="spellStart"/>
      <w:r>
        <w:rPr>
          <w:rFonts w:ascii="Times New Roman" w:hAnsi="Times New Roman"/>
          <w:sz w:val="24"/>
          <w:szCs w:val="24"/>
        </w:rPr>
        <w:t>aluminium</w:t>
      </w:r>
      <w:proofErr w:type="spellEnd"/>
      <w:r>
        <w:rPr>
          <w:rFonts w:ascii="Times New Roman" w:hAnsi="Times New Roman"/>
          <w:sz w:val="24"/>
          <w:szCs w:val="24"/>
        </w:rPr>
        <w:t xml:space="preserve"> pan. At a rate of 20 °C per min, these samples were heated isothermally from 25 °C to 140 °C, and they were kept in the </w:t>
      </w:r>
      <w:r>
        <w:rPr>
          <w:rFonts w:ascii="Times New Roman" w:hAnsi="Times New Roman"/>
          <w:sz w:val="24"/>
          <w:szCs w:val="24"/>
        </w:rPr>
        <w:t>D</w:t>
      </w:r>
      <w:r>
        <w:rPr>
          <w:rFonts w:ascii="Times New Roman" w:hAnsi="Times New Roman"/>
          <w:sz w:val="24"/>
          <w:szCs w:val="24"/>
        </w:rPr>
        <w:t xml:space="preserve">ifferential </w:t>
      </w:r>
      <w:r>
        <w:rPr>
          <w:rFonts w:ascii="Times New Roman" w:hAnsi="Times New Roman"/>
          <w:sz w:val="24"/>
          <w:szCs w:val="24"/>
        </w:rPr>
        <w:t>S</w:t>
      </w:r>
      <w:r>
        <w:rPr>
          <w:rFonts w:ascii="Times New Roman" w:hAnsi="Times New Roman"/>
          <w:sz w:val="24"/>
          <w:szCs w:val="24"/>
        </w:rPr>
        <w:t xml:space="preserve">canning </w:t>
      </w:r>
      <w:r>
        <w:rPr>
          <w:rFonts w:ascii="Times New Roman" w:hAnsi="Times New Roman"/>
          <w:sz w:val="24"/>
          <w:szCs w:val="24"/>
        </w:rPr>
        <w:t>C</w:t>
      </w:r>
      <w:r>
        <w:rPr>
          <w:rFonts w:ascii="Times New Roman" w:hAnsi="Times New Roman"/>
          <w:sz w:val="24"/>
          <w:szCs w:val="24"/>
        </w:rPr>
        <w:t>alorimeter (DSC)</w:t>
      </w:r>
      <w:r>
        <w:rPr>
          <w:rFonts w:ascii="Times New Roman" w:hAnsi="Times New Roman"/>
          <w:sz w:val="24"/>
          <w:szCs w:val="24"/>
        </w:rPr>
        <w:t xml:space="preserve"> furnace for 90 min. The profiles were an</w:t>
      </w:r>
      <w:r>
        <w:rPr>
          <w:rFonts w:ascii="Times New Roman" w:hAnsi="Times New Roman"/>
          <w:sz w:val="24"/>
          <w:szCs w:val="24"/>
        </w:rPr>
        <w:t>alyzed using the DSC system software (</w:t>
      </w:r>
      <w:proofErr w:type="spellStart"/>
      <w:r>
        <w:rPr>
          <w:rFonts w:ascii="Times New Roman" w:hAnsi="Times New Roman"/>
          <w:sz w:val="24"/>
          <w:szCs w:val="24"/>
          <w:vertAlign w:val="superscript"/>
        </w:rPr>
        <w:t>e</w:t>
      </w:r>
      <w:r>
        <w:rPr>
          <w:rFonts w:ascii="Times New Roman" w:hAnsi="Times New Roman"/>
          <w:sz w:val="24"/>
          <w:szCs w:val="24"/>
        </w:rPr>
        <w:t>star</w:t>
      </w:r>
      <w:proofErr w:type="spellEnd"/>
      <w:r>
        <w:rPr>
          <w:rFonts w:ascii="Times New Roman" w:hAnsi="Times New Roman"/>
          <w:sz w:val="24"/>
          <w:szCs w:val="24"/>
        </w:rPr>
        <w:t xml:space="preserve">, Mettler </w:t>
      </w:r>
      <w:proofErr w:type="spellStart"/>
      <w:r>
        <w:rPr>
          <w:rFonts w:ascii="Times New Roman" w:hAnsi="Times New Roman"/>
          <w:sz w:val="24"/>
          <w:szCs w:val="24"/>
        </w:rPr>
        <w:t>Tonado</w:t>
      </w:r>
      <w:proofErr w:type="spellEnd"/>
      <w:r>
        <w:rPr>
          <w:rFonts w:ascii="Times New Roman" w:hAnsi="Times New Roman"/>
          <w:sz w:val="24"/>
          <w:szCs w:val="24"/>
        </w:rPr>
        <w:t xml:space="preserve">, Shelton, CT, USA). The temperature for the isothermal program was set at 140 °C. </w:t>
      </w:r>
    </w:p>
    <w:p w:rsidR="00D543E5" w:rsidRDefault="00A95B9D">
      <w:pPr>
        <w:spacing w:before="0" w:beforeAutospacing="0" w:after="0"/>
        <w:ind w:left="720"/>
        <w:jc w:val="both"/>
        <w:rPr>
          <w:rFonts w:ascii="Times New Roman" w:hAnsi="Times New Roman"/>
          <w:b/>
          <w:sz w:val="24"/>
          <w:szCs w:val="24"/>
        </w:rPr>
      </w:pPr>
      <w:r>
        <w:rPr>
          <w:rFonts w:ascii="Times New Roman" w:hAnsi="Times New Roman"/>
          <w:b/>
          <w:sz w:val="24"/>
          <w:szCs w:val="24"/>
        </w:rPr>
        <w:t>Determination of fatty acid composition</w:t>
      </w:r>
    </w:p>
    <w:p w:rsidR="00D543E5" w:rsidRDefault="00A95B9D">
      <w:pPr>
        <w:spacing w:before="0" w:beforeAutospacing="0"/>
        <w:ind w:left="720"/>
        <w:jc w:val="both"/>
        <w:rPr>
          <w:rFonts w:ascii="Times New Roman" w:hAnsi="Times New Roman"/>
          <w:sz w:val="24"/>
          <w:szCs w:val="24"/>
        </w:rPr>
      </w:pPr>
      <w:r>
        <w:rPr>
          <w:rFonts w:ascii="Times New Roman" w:hAnsi="Times New Roman"/>
          <w:sz w:val="24"/>
          <w:szCs w:val="24"/>
        </w:rPr>
        <w:t>The following two procedures were used to prepare the fatty acid methyl e</w:t>
      </w:r>
      <w:r>
        <w:rPr>
          <w:rFonts w:ascii="Times New Roman" w:hAnsi="Times New Roman"/>
          <w:sz w:val="24"/>
          <w:szCs w:val="24"/>
        </w:rPr>
        <w:t xml:space="preserve">sters (FAMEs): 10 mL screw-capped tubes containing 40 </w:t>
      </w:r>
      <w:proofErr w:type="spellStart"/>
      <w:r>
        <w:rPr>
          <w:rFonts w:ascii="Times New Roman" w:hAnsi="Times New Roman"/>
          <w:sz w:val="24"/>
          <w:szCs w:val="24"/>
        </w:rPr>
        <w:t>μL</w:t>
      </w:r>
      <w:proofErr w:type="spellEnd"/>
      <w:r>
        <w:rPr>
          <w:rFonts w:ascii="Times New Roman" w:hAnsi="Times New Roman"/>
          <w:sz w:val="24"/>
          <w:szCs w:val="24"/>
        </w:rPr>
        <w:t xml:space="preserve"> of treated shea olein were filled with 0.7 mL of potassium hydroxide (10 M) solution and 5.3 mL of methanol. For 1.5 hours, the reaction was carried out at 55 °C, with 5 seconds of mixing every 20 mi</w:t>
      </w:r>
      <w:r>
        <w:rPr>
          <w:rFonts w:ascii="Times New Roman" w:hAnsi="Times New Roman"/>
          <w:sz w:val="24"/>
          <w:szCs w:val="24"/>
        </w:rPr>
        <w:t>n. 0.58 mL of sulfuric acid (10 M) solution was added after the mixture had cooled to room temperature. The reaction was then maintained at 55 °C for 1.5 hours, with 5 s of mixing every 20 min. A 3 mL of n-hexane was added and stirred for five minutes afte</w:t>
      </w:r>
      <w:r>
        <w:rPr>
          <w:rFonts w:ascii="Times New Roman" w:hAnsi="Times New Roman"/>
          <w:sz w:val="24"/>
          <w:szCs w:val="24"/>
        </w:rPr>
        <w:t xml:space="preserve">r the mixture had cooled to room temperature. The tubes were then centrifuged for five minutes, and the extracts were placed in the vial for analysis (Wang </w:t>
      </w:r>
      <w:r>
        <w:rPr>
          <w:rFonts w:ascii="Times New Roman" w:hAnsi="Times New Roman"/>
          <w:i/>
          <w:sz w:val="24"/>
          <w:szCs w:val="24"/>
        </w:rPr>
        <w:t>et al.,</w:t>
      </w:r>
      <w:r>
        <w:rPr>
          <w:rFonts w:ascii="Times New Roman" w:hAnsi="Times New Roman"/>
          <w:sz w:val="24"/>
          <w:szCs w:val="24"/>
        </w:rPr>
        <w:t xml:space="preserve"> 2015). </w:t>
      </w:r>
    </w:p>
    <w:p w:rsidR="00D543E5" w:rsidRDefault="00A95B9D">
      <w:pPr>
        <w:ind w:left="720"/>
        <w:jc w:val="both"/>
        <w:rPr>
          <w:rFonts w:ascii="Times New Roman" w:hAnsi="Times New Roman"/>
          <w:sz w:val="24"/>
          <w:szCs w:val="24"/>
        </w:rPr>
      </w:pPr>
      <w:r>
        <w:rPr>
          <w:rFonts w:ascii="Times New Roman" w:hAnsi="Times New Roman"/>
          <w:sz w:val="24"/>
          <w:szCs w:val="24"/>
        </w:rPr>
        <w:t>A gas chromatography flame ionization detector (GC/FID) analysis using a Shima</w:t>
      </w:r>
      <w:r>
        <w:rPr>
          <w:rFonts w:ascii="Times New Roman" w:hAnsi="Times New Roman"/>
          <w:sz w:val="24"/>
          <w:szCs w:val="24"/>
        </w:rPr>
        <w:t>d</w:t>
      </w:r>
      <w:r>
        <w:rPr>
          <w:rFonts w:ascii="Times New Roman" w:hAnsi="Times New Roman"/>
          <w:sz w:val="24"/>
          <w:szCs w:val="24"/>
        </w:rPr>
        <w:t xml:space="preserve">zu instrument was conducted. The separation was performed on an RTX-5 capillary column, measuring 30 × 0.25 mm in diameter with a film thickness of 0.25 </w:t>
      </w:r>
      <w:proofErr w:type="spellStart"/>
      <w:r>
        <w:rPr>
          <w:rFonts w:ascii="Times New Roman" w:hAnsi="Times New Roman"/>
          <w:sz w:val="24"/>
          <w:szCs w:val="24"/>
        </w:rPr>
        <w:t>μm</w:t>
      </w:r>
      <w:proofErr w:type="spellEnd"/>
      <w:r>
        <w:rPr>
          <w:rFonts w:ascii="Times New Roman" w:hAnsi="Times New Roman"/>
          <w:sz w:val="24"/>
          <w:szCs w:val="24"/>
        </w:rPr>
        <w:t>. Here are the operating conditions: the carrier gas pressure was set at 100 kPa, and we used nitroge</w:t>
      </w:r>
      <w:r>
        <w:rPr>
          <w:rFonts w:ascii="Times New Roman" w:hAnsi="Times New Roman"/>
          <w:sz w:val="24"/>
          <w:szCs w:val="24"/>
        </w:rPr>
        <w:t>n with a split ratio of 1:100. The injection temperature was 250 °C, and the oven temperature was programmed to start at 50 °C for 2 minutes, then increase to 174 °C at a rate of 50 °C/min, and finally rise to 215 °C at 2 °C/min until the end of the analys</w:t>
      </w:r>
      <w:r>
        <w:rPr>
          <w:rFonts w:ascii="Times New Roman" w:hAnsi="Times New Roman"/>
          <w:sz w:val="24"/>
          <w:szCs w:val="24"/>
        </w:rPr>
        <w:t>is. We identified and quantified the individual fatty acids by comparing their retention times with the external FAME 37 standards (</w:t>
      </w:r>
      <w:proofErr w:type="spellStart"/>
      <w:r>
        <w:rPr>
          <w:rFonts w:ascii="Times New Roman" w:hAnsi="Times New Roman"/>
          <w:sz w:val="24"/>
          <w:szCs w:val="24"/>
        </w:rPr>
        <w:t>Korede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2024).    </w:t>
      </w:r>
    </w:p>
    <w:p w:rsidR="00D543E5" w:rsidRDefault="00A95B9D">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3.1 Statistical Analysis</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Samples were prepared in two duplicates, and analyses were carried out tw</w:t>
      </w:r>
      <w:r>
        <w:rPr>
          <w:rFonts w:ascii="Times New Roman" w:hAnsi="Times New Roman"/>
          <w:sz w:val="24"/>
          <w:szCs w:val="24"/>
        </w:rPr>
        <w:t>ice. All of the experimental results, which were presented as means and standard deviation, were assessed using one-way analysis of variance (ANOVA). Using IBM SPSS Statistics 27 software (SAS Institute, Inc., Cary, NC, USA), the Tukey HSD test found signi</w:t>
      </w:r>
      <w:r>
        <w:rPr>
          <w:rFonts w:ascii="Times New Roman" w:hAnsi="Times New Roman"/>
          <w:sz w:val="24"/>
          <w:szCs w:val="24"/>
        </w:rPr>
        <w:t>ficant differences (p&lt;0.05) across the examined samples.</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4. Result and discussion</w:t>
      </w:r>
    </w:p>
    <w:p w:rsidR="00D543E5" w:rsidRDefault="00A95B9D">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Refining loss</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The refining steps (degumming, neutralization, bleaching) resulted in a measurable oil loss as shown in Figure 1: degumming (8.8%), neutralization (6.56%), and</w:t>
      </w:r>
      <w:r>
        <w:rPr>
          <w:rFonts w:ascii="Times New Roman" w:hAnsi="Times New Roman"/>
          <w:sz w:val="24"/>
          <w:szCs w:val="24"/>
        </w:rPr>
        <w:t xml:space="preserve"> bleaching (7.56%). These losses are typical and arose from the removal of gums, free fatty acids soaps, and adsorbates, respectively. According to Hwang </w:t>
      </w:r>
      <w:r>
        <w:rPr>
          <w:rFonts w:ascii="Times New Roman" w:hAnsi="Times New Roman"/>
          <w:i/>
          <w:sz w:val="24"/>
          <w:szCs w:val="24"/>
        </w:rPr>
        <w:t>et al.</w:t>
      </w:r>
      <w:r>
        <w:rPr>
          <w:rFonts w:ascii="Times New Roman" w:hAnsi="Times New Roman"/>
          <w:sz w:val="24"/>
          <w:szCs w:val="24"/>
        </w:rPr>
        <w:t xml:space="preserve"> (2021), degumming losses could arise from the removal of gummy materials in crude shea butter. </w:t>
      </w:r>
      <w:r>
        <w:rPr>
          <w:rFonts w:ascii="Times New Roman" w:hAnsi="Times New Roman"/>
          <w:sz w:val="24"/>
          <w:szCs w:val="24"/>
        </w:rPr>
        <w:t>Degumming removes phospholipids (gums), metal-bound complexes, and other hydratable impurities. When gums are hydrated and separated, some oil is entrained in the gum phase, producing about 8–9% loss as reported by Abdel-</w:t>
      </w:r>
      <w:proofErr w:type="spellStart"/>
      <w:r>
        <w:rPr>
          <w:rFonts w:ascii="Times New Roman" w:hAnsi="Times New Roman"/>
          <w:sz w:val="24"/>
          <w:szCs w:val="24"/>
        </w:rPr>
        <w:t>Razek</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Our result ali</w:t>
      </w:r>
      <w:r>
        <w:rPr>
          <w:rFonts w:ascii="Times New Roman" w:hAnsi="Times New Roman"/>
          <w:sz w:val="24"/>
          <w:szCs w:val="24"/>
        </w:rPr>
        <w:t xml:space="preserve">gns with that of Méndez </w:t>
      </w:r>
      <w:r>
        <w:rPr>
          <w:rFonts w:ascii="Times New Roman" w:hAnsi="Times New Roman"/>
          <w:i/>
          <w:sz w:val="24"/>
          <w:szCs w:val="24"/>
        </w:rPr>
        <w:t>et al</w:t>
      </w:r>
      <w:r>
        <w:rPr>
          <w:rFonts w:ascii="Times New Roman" w:hAnsi="Times New Roman"/>
          <w:sz w:val="24"/>
          <w:szCs w:val="24"/>
        </w:rPr>
        <w:t xml:space="preserve">. (1991), who reported a degumming loss from shea butter refining of between 5.6% and 7.6%. The observed degumming loss correlates with the amount of unsaponifiable fraction of shea butter as reported by Hwang </w:t>
      </w:r>
      <w:r>
        <w:rPr>
          <w:rFonts w:ascii="Times New Roman" w:hAnsi="Times New Roman"/>
          <w:i/>
          <w:sz w:val="24"/>
          <w:szCs w:val="24"/>
        </w:rPr>
        <w:t>et al</w:t>
      </w:r>
      <w:r>
        <w:rPr>
          <w:rFonts w:ascii="Times New Roman" w:hAnsi="Times New Roman"/>
          <w:sz w:val="24"/>
          <w:szCs w:val="24"/>
        </w:rPr>
        <w:t>. (2021).</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 neutralization loss observed during refining could be a result of </w:t>
      </w:r>
      <w:proofErr w:type="spellStart"/>
      <w:r>
        <w:rPr>
          <w:rFonts w:ascii="Times New Roman" w:hAnsi="Times New Roman"/>
          <w:sz w:val="24"/>
          <w:szCs w:val="24"/>
        </w:rPr>
        <w:t>soapstock</w:t>
      </w:r>
      <w:proofErr w:type="spellEnd"/>
      <w:r>
        <w:rPr>
          <w:rFonts w:ascii="Times New Roman" w:hAnsi="Times New Roman"/>
          <w:sz w:val="24"/>
          <w:szCs w:val="24"/>
        </w:rPr>
        <w:t xml:space="preserve"> formation and oil entrainment. In this step, free fatty acids (FFA) are converted into soap, which is separated as a </w:t>
      </w:r>
      <w:proofErr w:type="spellStart"/>
      <w:r>
        <w:rPr>
          <w:rFonts w:ascii="Times New Roman" w:hAnsi="Times New Roman"/>
          <w:sz w:val="24"/>
          <w:szCs w:val="24"/>
        </w:rPr>
        <w:t>soapstock</w:t>
      </w:r>
      <w:proofErr w:type="spellEnd"/>
      <w:r>
        <w:rPr>
          <w:rFonts w:ascii="Times New Roman" w:hAnsi="Times New Roman"/>
          <w:sz w:val="24"/>
          <w:szCs w:val="24"/>
        </w:rPr>
        <w:t>. This step inherently removes the FFA plus entrain</w:t>
      </w:r>
      <w:r>
        <w:rPr>
          <w:rFonts w:ascii="Times New Roman" w:hAnsi="Times New Roman"/>
          <w:sz w:val="24"/>
          <w:szCs w:val="24"/>
        </w:rPr>
        <w:t xml:space="preserve">ed neutral oil, which explains the 6.5% loss observed in </w:t>
      </w:r>
      <w:r>
        <w:rPr>
          <w:rFonts w:ascii="Times New Roman" w:hAnsi="Times New Roman"/>
          <w:sz w:val="24"/>
          <w:szCs w:val="24"/>
        </w:rPr>
        <w:t>Figu</w:t>
      </w:r>
      <w:r>
        <w:rPr>
          <w:rFonts w:ascii="Times New Roman" w:hAnsi="Times New Roman"/>
          <w:sz w:val="24"/>
          <w:szCs w:val="24"/>
        </w:rPr>
        <w:t>r</w:t>
      </w:r>
      <w:r>
        <w:rPr>
          <w:rFonts w:ascii="Times New Roman" w:hAnsi="Times New Roman"/>
          <w:sz w:val="24"/>
          <w:szCs w:val="24"/>
        </w:rPr>
        <w:t xml:space="preserve">e </w:t>
      </w:r>
      <w:r>
        <w:rPr>
          <w:rFonts w:ascii="Times New Roman" w:hAnsi="Times New Roman"/>
          <w:sz w:val="24"/>
          <w:szCs w:val="24"/>
        </w:rPr>
        <w:t xml:space="preserve">1. </w:t>
      </w:r>
      <w:proofErr w:type="spellStart"/>
      <w:r>
        <w:rPr>
          <w:rFonts w:ascii="Times New Roman" w:hAnsi="Times New Roman"/>
          <w:sz w:val="24"/>
          <w:szCs w:val="24"/>
        </w:rPr>
        <w:t>Gharby</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identified possible causes of increased loss of oil to include long-mix neutralization and inadequate phase separation. These losses could be minimized with modern refi</w:t>
      </w:r>
      <w:r>
        <w:rPr>
          <w:rFonts w:ascii="Times New Roman" w:hAnsi="Times New Roman"/>
          <w:sz w:val="24"/>
          <w:szCs w:val="24"/>
        </w:rPr>
        <w:t xml:space="preserve">ners who utilize optimized alkali dosing, centrifugation, and counter-current washing. The observed result aligns with Kumar and Krishna (2015), who reported a 30% loss of neutral oil during alkaline neutralization of palm oil, but a lesser loss (12%) was </w:t>
      </w:r>
      <w:r>
        <w:rPr>
          <w:rFonts w:ascii="Times New Roman" w:hAnsi="Times New Roman"/>
          <w:sz w:val="24"/>
          <w:szCs w:val="24"/>
        </w:rPr>
        <w:t>observed when ethanol was used for neutralization.</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Bleaching removes pigments and polar minor components by adsorption (and with them some oil). Adsorbent earth removes </w:t>
      </w:r>
      <w:proofErr w:type="spellStart"/>
      <w:r>
        <w:rPr>
          <w:rFonts w:ascii="Times New Roman" w:hAnsi="Times New Roman"/>
          <w:sz w:val="24"/>
          <w:szCs w:val="24"/>
        </w:rPr>
        <w:t>coloured</w:t>
      </w:r>
      <w:proofErr w:type="spellEnd"/>
      <w:r>
        <w:rPr>
          <w:rFonts w:ascii="Times New Roman" w:hAnsi="Times New Roman"/>
          <w:sz w:val="24"/>
          <w:szCs w:val="24"/>
        </w:rPr>
        <w:t xml:space="preserve"> compounds, trace metals, and oxidation precursors, but they also physically r</w:t>
      </w:r>
      <w:r>
        <w:rPr>
          <w:rFonts w:ascii="Times New Roman" w:hAnsi="Times New Roman"/>
          <w:sz w:val="24"/>
          <w:szCs w:val="24"/>
        </w:rPr>
        <w:t xml:space="preserve">etain small amounts of oil on the clay surface. Adsorption or entrainment of oil explains the 7–8% loss observed during bleaching. The extent of loss depends on bleaching earth type, dosage, contact time, and </w:t>
      </w:r>
      <w:proofErr w:type="spellStart"/>
      <w:r>
        <w:rPr>
          <w:rFonts w:ascii="Times New Roman" w:hAnsi="Times New Roman"/>
          <w:sz w:val="24"/>
          <w:szCs w:val="24"/>
        </w:rPr>
        <w:t>decolourization</w:t>
      </w:r>
      <w:proofErr w:type="spellEnd"/>
      <w:r>
        <w:rPr>
          <w:rFonts w:ascii="Times New Roman" w:hAnsi="Times New Roman"/>
          <w:sz w:val="24"/>
          <w:szCs w:val="24"/>
        </w:rPr>
        <w:t xml:space="preserve"> temperature.</w:t>
      </w:r>
    </w:p>
    <w:p w:rsidR="00D543E5" w:rsidRDefault="00D543E5">
      <w:pPr>
        <w:tabs>
          <w:tab w:val="left" w:pos="720"/>
        </w:tabs>
        <w:spacing w:before="0" w:beforeAutospacing="0" w:after="0" w:line="240" w:lineRule="auto"/>
        <w:ind w:left="720"/>
        <w:jc w:val="both"/>
        <w:rPr>
          <w:rFonts w:ascii="Times New Roman" w:hAnsi="Times New Roman"/>
          <w:sz w:val="24"/>
          <w:szCs w:val="24"/>
        </w:rPr>
      </w:pPr>
    </w:p>
    <w:p w:rsidR="00D543E5" w:rsidRDefault="00D543E5">
      <w:pPr>
        <w:tabs>
          <w:tab w:val="left" w:pos="720"/>
        </w:tabs>
        <w:spacing w:before="0" w:beforeAutospacing="0" w:after="0" w:line="240" w:lineRule="auto"/>
        <w:jc w:val="both"/>
        <w:rPr>
          <w:rFonts w:ascii="Times New Roman" w:hAnsi="Times New Roman"/>
          <w:b/>
          <w:sz w:val="24"/>
          <w:szCs w:val="24"/>
        </w:rPr>
      </w:pPr>
    </w:p>
    <w:p w:rsidR="00D543E5" w:rsidRDefault="00A95B9D">
      <w:pPr>
        <w:tabs>
          <w:tab w:val="left" w:pos="720"/>
        </w:tabs>
        <w:spacing w:before="0" w:beforeAutospacing="0" w:after="0" w:line="240" w:lineRule="auto"/>
        <w:ind w:left="720"/>
        <w:jc w:val="both"/>
        <w:rPr>
          <w:rFonts w:ascii="Times New Roman" w:hAnsi="Times New Roman"/>
          <w:sz w:val="24"/>
          <w:szCs w:val="24"/>
        </w:rPr>
      </w:pPr>
      <w:r>
        <w:rPr>
          <w:rFonts w:ascii="Times New Roman" w:hAnsi="Times New Roman"/>
          <w:b/>
          <w:sz w:val="24"/>
          <w:szCs w:val="24"/>
        </w:rPr>
        <w:t>Peroxide value</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Table 1 presents the oxidative indices of super shea olein during refining. The peroxide values were significantly different (p˂0.05) during refining, ranging from 0.24 </w:t>
      </w:r>
      <w:proofErr w:type="spellStart"/>
      <w:r>
        <w:rPr>
          <w:rFonts w:ascii="Times New Roman" w:hAnsi="Times New Roman"/>
          <w:sz w:val="24"/>
          <w:szCs w:val="24"/>
        </w:rPr>
        <w:t>meq</w:t>
      </w:r>
      <w:proofErr w:type="spellEnd"/>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 xml:space="preserve">/kg to 1.59 </w:t>
      </w:r>
      <w:proofErr w:type="spellStart"/>
      <w:r>
        <w:rPr>
          <w:rFonts w:ascii="Times New Roman" w:hAnsi="Times New Roman"/>
          <w:sz w:val="24"/>
          <w:szCs w:val="24"/>
        </w:rPr>
        <w:t>meq</w:t>
      </w:r>
      <w:proofErr w:type="spellEnd"/>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 xml:space="preserve">/kg. PV decreased from 1.59 </w:t>
      </w:r>
      <w:proofErr w:type="spellStart"/>
      <w:r>
        <w:rPr>
          <w:rFonts w:ascii="Times New Roman" w:hAnsi="Times New Roman"/>
          <w:sz w:val="24"/>
          <w:szCs w:val="24"/>
        </w:rPr>
        <w:t>meq</w:t>
      </w:r>
      <w:proofErr w:type="spellEnd"/>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/kg in crude shea butter (CSB</w:t>
      </w:r>
      <w:r>
        <w:rPr>
          <w:rFonts w:ascii="Times New Roman" w:hAnsi="Times New Roman"/>
          <w:sz w:val="24"/>
          <w:szCs w:val="24"/>
        </w:rPr>
        <w:t xml:space="preserve">) to 0.32 </w:t>
      </w:r>
      <w:proofErr w:type="spellStart"/>
      <w:r>
        <w:rPr>
          <w:rFonts w:ascii="Times New Roman" w:hAnsi="Times New Roman"/>
          <w:sz w:val="24"/>
          <w:szCs w:val="24"/>
        </w:rPr>
        <w:t>meq</w:t>
      </w:r>
      <w:proofErr w:type="spellEnd"/>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 xml:space="preserve">/kg in degummed shea olein (DSOB) and further to 0.26 </w:t>
      </w:r>
      <w:proofErr w:type="spellStart"/>
      <w:r>
        <w:rPr>
          <w:rFonts w:ascii="Times New Roman" w:hAnsi="Times New Roman"/>
          <w:sz w:val="24"/>
          <w:szCs w:val="24"/>
        </w:rPr>
        <w:t>meq</w:t>
      </w:r>
      <w:proofErr w:type="spellEnd"/>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/kg in neutralized shea olein (NSO), indicating that the degumming and neutralization processes were effective in reducing primary oxidation products. The observation indicates the</w:t>
      </w:r>
      <w:r>
        <w:rPr>
          <w:rFonts w:ascii="Times New Roman" w:hAnsi="Times New Roman"/>
          <w:sz w:val="24"/>
          <w:szCs w:val="24"/>
        </w:rPr>
        <w:t xml:space="preserve"> removal of phosphatides, pro-oxidant metals, and hydroperoxides during the processes (Karim </w:t>
      </w:r>
      <w:r>
        <w:rPr>
          <w:rFonts w:ascii="Times New Roman" w:hAnsi="Times New Roman"/>
          <w:i/>
          <w:sz w:val="24"/>
          <w:szCs w:val="24"/>
        </w:rPr>
        <w:t>et al</w:t>
      </w:r>
      <w:r>
        <w:rPr>
          <w:rFonts w:ascii="Times New Roman" w:hAnsi="Times New Roman"/>
          <w:sz w:val="24"/>
          <w:szCs w:val="24"/>
        </w:rPr>
        <w:t xml:space="preserve">., 2022; Wen </w:t>
      </w:r>
      <w:r>
        <w:rPr>
          <w:rFonts w:ascii="Times New Roman" w:hAnsi="Times New Roman"/>
          <w:i/>
          <w:sz w:val="24"/>
          <w:szCs w:val="24"/>
        </w:rPr>
        <w:t>et al</w:t>
      </w:r>
      <w:r>
        <w:rPr>
          <w:rFonts w:ascii="Times New Roman" w:hAnsi="Times New Roman"/>
          <w:sz w:val="24"/>
          <w:szCs w:val="24"/>
        </w:rPr>
        <w:t xml:space="preserve">., 2023). However, the notable observation in this case was that bleaching (BSO) reduced PV even further to 0.24 </w:t>
      </w:r>
      <w:proofErr w:type="spellStart"/>
      <w:r>
        <w:rPr>
          <w:rFonts w:ascii="Times New Roman" w:hAnsi="Times New Roman"/>
          <w:sz w:val="24"/>
          <w:szCs w:val="24"/>
        </w:rPr>
        <w:t>meq</w:t>
      </w:r>
      <w:proofErr w:type="spellEnd"/>
      <w:r>
        <w:rPr>
          <w:rFonts w:ascii="Times New Roman" w:hAnsi="Times New Roman"/>
          <w:sz w:val="24"/>
          <w:szCs w:val="24"/>
        </w:rPr>
        <w:t xml:space="preserve"> O</w:t>
      </w:r>
      <w:r>
        <w:rPr>
          <w:rFonts w:ascii="Times New Roman" w:hAnsi="Times New Roman"/>
          <w:sz w:val="24"/>
          <w:szCs w:val="24"/>
          <w:vertAlign w:val="subscript"/>
        </w:rPr>
        <w:t>2</w:t>
      </w:r>
      <w:r>
        <w:rPr>
          <w:rFonts w:ascii="Times New Roman" w:hAnsi="Times New Roman"/>
          <w:sz w:val="24"/>
          <w:szCs w:val="24"/>
        </w:rPr>
        <w:t>/kg, suggesting the a</w:t>
      </w:r>
      <w:r>
        <w:rPr>
          <w:rFonts w:ascii="Times New Roman" w:hAnsi="Times New Roman"/>
          <w:sz w:val="24"/>
          <w:szCs w:val="24"/>
        </w:rPr>
        <w:t>dsorptive character of bleaching earth and activated clays for the removal of hydroperoxides, pigments, and trace metals (</w:t>
      </w:r>
      <w:proofErr w:type="spellStart"/>
      <w:r>
        <w:rPr>
          <w:rFonts w:ascii="Times New Roman" w:hAnsi="Times New Roman"/>
          <w:sz w:val="24"/>
          <w:szCs w:val="24"/>
        </w:rPr>
        <w:t>Almoselhy</w:t>
      </w:r>
      <w:proofErr w:type="spellEnd"/>
      <w:r>
        <w:rPr>
          <w:rFonts w:ascii="Times New Roman" w:hAnsi="Times New Roman"/>
          <w:sz w:val="24"/>
          <w:szCs w:val="24"/>
        </w:rPr>
        <w:t xml:space="preserve">, 2021). This observation agrees with the findings of   </w:t>
      </w:r>
      <w:proofErr w:type="spellStart"/>
      <w:r>
        <w:rPr>
          <w:rFonts w:ascii="Times New Roman" w:hAnsi="Times New Roman"/>
          <w:sz w:val="24"/>
          <w:szCs w:val="24"/>
        </w:rPr>
        <w:t>Icyer</w:t>
      </w:r>
      <w:proofErr w:type="spellEnd"/>
      <w:r>
        <w:rPr>
          <w:rFonts w:ascii="Times New Roman" w:hAnsi="Times New Roman"/>
          <w:sz w:val="24"/>
          <w:szCs w:val="24"/>
        </w:rPr>
        <w:t xml:space="preserve"> and </w:t>
      </w:r>
      <w:proofErr w:type="spellStart"/>
      <w:r>
        <w:rPr>
          <w:rFonts w:ascii="Times New Roman" w:hAnsi="Times New Roman"/>
          <w:sz w:val="24"/>
          <w:szCs w:val="24"/>
        </w:rPr>
        <w:t>Durak</w:t>
      </w:r>
      <w:proofErr w:type="spellEnd"/>
      <w:r>
        <w:rPr>
          <w:rFonts w:ascii="Times New Roman" w:hAnsi="Times New Roman"/>
          <w:sz w:val="24"/>
          <w:szCs w:val="24"/>
        </w:rPr>
        <w:t xml:space="preserve"> </w:t>
      </w:r>
      <w:r>
        <w:rPr>
          <w:rFonts w:ascii="Times New Roman" w:hAnsi="Times New Roman"/>
          <w:sz w:val="24"/>
          <w:szCs w:val="24"/>
        </w:rPr>
        <w:lastRenderedPageBreak/>
        <w:t>(2018) when assessing ultrasound-assisted bleaching o</w:t>
      </w:r>
      <w:r>
        <w:rPr>
          <w:rFonts w:ascii="Times New Roman" w:hAnsi="Times New Roman"/>
          <w:sz w:val="24"/>
          <w:szCs w:val="24"/>
        </w:rPr>
        <w:t>f canola oil. Thus, bleaching provided the best improvement in PV stability.</w:t>
      </w:r>
    </w:p>
    <w:p w:rsidR="00D543E5" w:rsidRDefault="00D543E5">
      <w:pPr>
        <w:spacing w:before="0" w:beforeAutospacing="0" w:after="0" w:line="240" w:lineRule="auto"/>
        <w:ind w:left="720"/>
        <w:jc w:val="both"/>
        <w:rPr>
          <w:rFonts w:ascii="Times New Roman" w:hAnsi="Times New Roman"/>
          <w:b/>
          <w:sz w:val="24"/>
          <w:szCs w:val="24"/>
        </w:rPr>
      </w:pPr>
    </w:p>
    <w:p w:rsidR="00D543E5" w:rsidRDefault="00A95B9D">
      <w:pPr>
        <w:tabs>
          <w:tab w:val="left" w:pos="720"/>
        </w:tabs>
        <w:spacing w:before="0" w:beforeAutospacing="0" w:after="0" w:line="240" w:lineRule="auto"/>
        <w:ind w:left="720"/>
        <w:jc w:val="both"/>
        <w:rPr>
          <w:rFonts w:ascii="Times New Roman" w:hAnsi="Times New Roman"/>
          <w:b/>
          <w:sz w:val="24"/>
          <w:szCs w:val="24"/>
        </w:rPr>
      </w:pPr>
      <w:r>
        <w:rPr>
          <w:rFonts w:cs="Calibri"/>
          <w:b/>
          <w:sz w:val="24"/>
          <w:szCs w:val="24"/>
        </w:rPr>
        <w:t>ρ</w:t>
      </w:r>
      <w:r>
        <w:rPr>
          <w:rFonts w:ascii="Times New Roman" w:hAnsi="Times New Roman"/>
          <w:b/>
          <w:sz w:val="24"/>
          <w:szCs w:val="24"/>
        </w:rPr>
        <w:t>-</w:t>
      </w:r>
      <w:proofErr w:type="spellStart"/>
      <w:r>
        <w:rPr>
          <w:rFonts w:ascii="Times New Roman" w:hAnsi="Times New Roman"/>
          <w:b/>
          <w:sz w:val="24"/>
          <w:szCs w:val="24"/>
        </w:rPr>
        <w:t>Anisidine</w:t>
      </w:r>
      <w:proofErr w:type="spellEnd"/>
      <w:r>
        <w:rPr>
          <w:rFonts w:ascii="Times New Roman" w:hAnsi="Times New Roman"/>
          <w:b/>
          <w:sz w:val="24"/>
          <w:szCs w:val="24"/>
        </w:rPr>
        <w:t xml:space="preserve"> value</w:t>
      </w:r>
    </w:p>
    <w:p w:rsidR="00D543E5" w:rsidRDefault="00A95B9D">
      <w:pPr>
        <w:tabs>
          <w:tab w:val="left" w:pos="720"/>
        </w:tabs>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anisidine</w:t>
      </w:r>
      <w:proofErr w:type="spellEnd"/>
      <w:r>
        <w:rPr>
          <w:rFonts w:ascii="Times New Roman" w:hAnsi="Times New Roman"/>
          <w:sz w:val="24"/>
          <w:szCs w:val="24"/>
        </w:rPr>
        <w:t xml:space="preserve"> value, which measures secondary oxidation products (aldehydes, ketones), decreased significantly from 11.51 in CSB to 7.49 in DSOB and 7.28 in NSO. This revealed that early refining steps helped decrease volatile aldehydes by removing phospho</w:t>
      </w:r>
      <w:r>
        <w:rPr>
          <w:rFonts w:ascii="Times New Roman" w:hAnsi="Times New Roman"/>
          <w:sz w:val="24"/>
          <w:szCs w:val="24"/>
        </w:rPr>
        <w:t>lipids and free fatty acids, which catalyze their formation. Bleaching, nevertheless, caused AV to rise to 9.30. This could probably be because bleaching conditions promoted some breakdown of hydroperoxides to aldehydes on heating and contact with adsorben</w:t>
      </w:r>
      <w:r>
        <w:rPr>
          <w:rFonts w:ascii="Times New Roman" w:hAnsi="Times New Roman"/>
          <w:sz w:val="24"/>
          <w:szCs w:val="24"/>
        </w:rPr>
        <w:t xml:space="preserve">ts. This </w:t>
      </w:r>
      <w:proofErr w:type="gramStart"/>
      <w:r>
        <w:rPr>
          <w:rFonts w:ascii="Times New Roman" w:hAnsi="Times New Roman"/>
          <w:sz w:val="24"/>
          <w:szCs w:val="24"/>
        </w:rPr>
        <w:t>is in agreement</w:t>
      </w:r>
      <w:proofErr w:type="gramEnd"/>
      <w:r>
        <w:rPr>
          <w:rFonts w:ascii="Times New Roman" w:hAnsi="Times New Roman"/>
          <w:sz w:val="24"/>
          <w:szCs w:val="24"/>
        </w:rPr>
        <w:t xml:space="preserve"> with the report of Shahidi and Zhong (2020), that bleaching, while effective in reducing pigments and peroxides, may catalyze the breakdown of hydroperoxides to secondary products and enhance </w:t>
      </w:r>
      <w:r>
        <w:rPr>
          <w:rFonts w:cs="Calibri"/>
          <w:sz w:val="24"/>
          <w:szCs w:val="24"/>
        </w:rPr>
        <w:t>ρ</w:t>
      </w:r>
      <w:r>
        <w:rPr>
          <w:rFonts w:ascii="Times New Roman" w:hAnsi="Times New Roman"/>
          <w:sz w:val="24"/>
          <w:szCs w:val="24"/>
        </w:rPr>
        <w:t>-AV.</w:t>
      </w:r>
      <w:r>
        <w:rPr>
          <w:rFonts w:ascii="Times New Roman" w:hAnsi="Times New Roman"/>
          <w:sz w:val="24"/>
          <w:szCs w:val="24"/>
        </w:rPr>
        <w:t xml:space="preserve"> Hence, the need for optimization </w:t>
      </w:r>
      <w:r>
        <w:rPr>
          <w:rFonts w:ascii="Times New Roman" w:hAnsi="Times New Roman"/>
          <w:sz w:val="24"/>
          <w:szCs w:val="24"/>
        </w:rPr>
        <w:t>of bleaching process.</w:t>
      </w:r>
    </w:p>
    <w:p w:rsidR="00D543E5" w:rsidRDefault="00D543E5">
      <w:pPr>
        <w:spacing w:before="0" w:beforeAutospacing="0" w:after="0" w:line="240" w:lineRule="auto"/>
        <w:ind w:left="720"/>
        <w:jc w:val="both"/>
        <w:rPr>
          <w:rFonts w:ascii="Times New Roman" w:hAnsi="Times New Roman"/>
          <w:b/>
          <w:sz w:val="24"/>
          <w:szCs w:val="24"/>
        </w:rPr>
      </w:pPr>
    </w:p>
    <w:p w:rsidR="00D543E5" w:rsidRDefault="00A95B9D">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Conjugated dienes</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CD decreased stepwise during refining from 5.00 mmol/g (CSB) to 0.59 mmol/g (DSOB) to 0.47 mmol/g (NSO). This downward trend reflects that neutralization is highly </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effective for the removal of dienic hydroperoxides</w:t>
      </w:r>
      <w:r>
        <w:rPr>
          <w:rFonts w:ascii="Times New Roman" w:hAnsi="Times New Roman"/>
          <w:sz w:val="24"/>
          <w:szCs w:val="24"/>
        </w:rPr>
        <w:t>. Bleaching, however, brought about a slight increase in CD to 0.62 mmol/g. the slight increase could be attributed to the partial isomerization or oxidation of residual unsaturated lipids during bleaching. Increases in CD after bleaching have been observe</w:t>
      </w:r>
      <w:r>
        <w:rPr>
          <w:rFonts w:ascii="Times New Roman" w:hAnsi="Times New Roman"/>
          <w:sz w:val="24"/>
          <w:szCs w:val="24"/>
        </w:rPr>
        <w:t>d for palm oil and shea oil and are attributable to light oxidation catalyzed by bleaching earth (Abdel-</w:t>
      </w:r>
      <w:proofErr w:type="spellStart"/>
      <w:r>
        <w:rPr>
          <w:rFonts w:ascii="Times New Roman" w:hAnsi="Times New Roman"/>
          <w:sz w:val="24"/>
          <w:szCs w:val="24"/>
        </w:rPr>
        <w:t>Razek</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2023).</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proofErr w:type="spellStart"/>
      <w:r>
        <w:rPr>
          <w:rFonts w:ascii="Times New Roman" w:hAnsi="Times New Roman"/>
          <w:b/>
          <w:sz w:val="24"/>
          <w:szCs w:val="24"/>
        </w:rPr>
        <w:t>Thiobarbituric</w:t>
      </w:r>
      <w:proofErr w:type="spellEnd"/>
      <w:r>
        <w:rPr>
          <w:rFonts w:ascii="Times New Roman" w:hAnsi="Times New Roman"/>
          <w:b/>
          <w:sz w:val="24"/>
          <w:szCs w:val="24"/>
        </w:rPr>
        <w:t xml:space="preserve"> acid reactive substance (TBARS)</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TBARS, which measure aldehydic breakdown products (mainly malondialdehyde), ranged </w:t>
      </w:r>
      <w:r>
        <w:rPr>
          <w:rFonts w:ascii="Times New Roman" w:hAnsi="Times New Roman"/>
          <w:sz w:val="24"/>
          <w:szCs w:val="24"/>
        </w:rPr>
        <w:t>between 0.10 mmol MDA/g to 0.26 mmol MDA/g. TBARS were relatively low in CSB (0.14 mmol MDA/g), and were not affected by degumming (0.10 mmol MDA/g) and neutralization (0.16 mmol MDA/g), but were elevated by bleaching (0.26 mmol MDA/g). This showed that wh</w:t>
      </w:r>
      <w:r>
        <w:rPr>
          <w:rFonts w:ascii="Times New Roman" w:hAnsi="Times New Roman"/>
          <w:sz w:val="24"/>
          <w:szCs w:val="24"/>
        </w:rPr>
        <w:t>ile early refining steps did not worsen aldehydic breakdown, bleaching promoted thermal decomposition of polyunsaturated lipids and hydroperoxides to TBARS-active species. This phenomenon was observed in food oils, where bleaching could encourage the forma</w:t>
      </w:r>
      <w:r>
        <w:rPr>
          <w:rFonts w:ascii="Times New Roman" w:hAnsi="Times New Roman"/>
          <w:sz w:val="24"/>
          <w:szCs w:val="24"/>
        </w:rPr>
        <w:t xml:space="preserve">tion of secondary oxidation products if not properly controlled (Rohm </w:t>
      </w:r>
      <w:r>
        <w:rPr>
          <w:rFonts w:ascii="Times New Roman" w:hAnsi="Times New Roman"/>
          <w:i/>
          <w:sz w:val="24"/>
          <w:szCs w:val="24"/>
        </w:rPr>
        <w:t>et al.,</w:t>
      </w:r>
      <w:r>
        <w:rPr>
          <w:rFonts w:ascii="Times New Roman" w:hAnsi="Times New Roman"/>
          <w:sz w:val="24"/>
          <w:szCs w:val="24"/>
        </w:rPr>
        <w:t xml:space="preserve"> 2020; Durand </w:t>
      </w:r>
      <w:r>
        <w:rPr>
          <w:rFonts w:ascii="Times New Roman" w:hAnsi="Times New Roman"/>
          <w:i/>
          <w:sz w:val="24"/>
          <w:szCs w:val="24"/>
        </w:rPr>
        <w:t>et al</w:t>
      </w:r>
      <w:r>
        <w:rPr>
          <w:rFonts w:ascii="Times New Roman" w:hAnsi="Times New Roman"/>
          <w:sz w:val="24"/>
          <w:szCs w:val="24"/>
        </w:rPr>
        <w:t>., 2024).</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Refining significantly improved the oxidative profile of shea olein by reducing hydroperoxides (PV) and conjugated dienes (CD), especially through de</w:t>
      </w:r>
      <w:r>
        <w:rPr>
          <w:rFonts w:ascii="Times New Roman" w:hAnsi="Times New Roman"/>
          <w:sz w:val="24"/>
          <w:szCs w:val="24"/>
        </w:rPr>
        <w:t>gumming and neutralization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rPr>
        <w:t xml:space="preserve">owever, </w:t>
      </w:r>
      <w:r>
        <w:rPr>
          <w:rFonts w:ascii="Times New Roman" w:hAnsi="Times New Roman"/>
          <w:sz w:val="24"/>
          <w:szCs w:val="24"/>
        </w:rPr>
        <w:t>the</w:t>
      </w:r>
      <w:r>
        <w:rPr>
          <w:rFonts w:ascii="Times New Roman" w:hAnsi="Times New Roman"/>
          <w:sz w:val="24"/>
          <w:szCs w:val="24"/>
        </w:rPr>
        <w:t xml:space="preserve"> drawbacks</w:t>
      </w:r>
      <w:r>
        <w:rPr>
          <w:rFonts w:ascii="Times New Roman" w:hAnsi="Times New Roman"/>
          <w:sz w:val="24"/>
          <w:szCs w:val="24"/>
        </w:rPr>
        <w:t xml:space="preserve"> of the refining process resulted in </w:t>
      </w:r>
      <w:r>
        <w:rPr>
          <w:rFonts w:ascii="Times New Roman" w:hAnsi="Times New Roman"/>
          <w:sz w:val="24"/>
          <w:szCs w:val="24"/>
        </w:rPr>
        <w:t>increase</w:t>
      </w:r>
      <w:r>
        <w:rPr>
          <w:rFonts w:ascii="Times New Roman" w:hAnsi="Times New Roman"/>
          <w:sz w:val="24"/>
          <w:szCs w:val="24"/>
        </w:rPr>
        <w:t>d</w:t>
      </w:r>
      <w:r>
        <w:rPr>
          <w:rFonts w:ascii="Times New Roman" w:hAnsi="Times New Roman"/>
          <w:sz w:val="24"/>
          <w:szCs w:val="24"/>
        </w:rPr>
        <w:t xml:space="preserve"> p-AV and TBARS</w:t>
      </w:r>
      <w:r>
        <w:rPr>
          <w:rFonts w:ascii="Times New Roman" w:hAnsi="Times New Roman"/>
          <w:sz w:val="24"/>
          <w:szCs w:val="24"/>
        </w:rPr>
        <w:t xml:space="preserve"> during bleaching process</w:t>
      </w:r>
      <w:r>
        <w:rPr>
          <w:rFonts w:ascii="Times New Roman" w:hAnsi="Times New Roman"/>
          <w:sz w:val="24"/>
          <w:szCs w:val="24"/>
        </w:rPr>
        <w:t xml:space="preserve">. This </w:t>
      </w:r>
      <w:r>
        <w:rPr>
          <w:rFonts w:ascii="Times New Roman" w:hAnsi="Times New Roman"/>
          <w:sz w:val="24"/>
          <w:szCs w:val="24"/>
        </w:rPr>
        <w:t>indicate</w:t>
      </w:r>
      <w:r>
        <w:rPr>
          <w:rFonts w:ascii="Times New Roman" w:hAnsi="Times New Roman"/>
          <w:sz w:val="24"/>
          <w:szCs w:val="24"/>
        </w:rPr>
        <w:t xml:space="preserve">s that bleaching conditions (temperature, time, and adsorbent dosage) must be well optimized to improve </w:t>
      </w:r>
      <w:r>
        <w:rPr>
          <w:rFonts w:ascii="Times New Roman" w:hAnsi="Times New Roman"/>
          <w:sz w:val="24"/>
          <w:szCs w:val="24"/>
        </w:rPr>
        <w:t>oxidative stability without inducing hydroperoxide decomposition to aldehydes.</w:t>
      </w: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b/>
          <w:sz w:val="24"/>
          <w:szCs w:val="24"/>
        </w:rPr>
      </w:pPr>
    </w:p>
    <w:p w:rsidR="00D543E5" w:rsidRDefault="00A95B9D">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 xml:space="preserve">Effects of refining on thermal stability </w:t>
      </w:r>
    </w:p>
    <w:p w:rsidR="00D543E5" w:rsidRDefault="00A95B9D">
      <w:pPr>
        <w:spacing w:before="0" w:beforeAutospacing="0" w:line="240" w:lineRule="auto"/>
        <w:ind w:left="720" w:right="90"/>
        <w:jc w:val="both"/>
        <w:rPr>
          <w:rFonts w:ascii="Times New Roman" w:hAnsi="Times New Roman"/>
          <w:sz w:val="24"/>
          <w:szCs w:val="24"/>
        </w:rPr>
      </w:pPr>
      <w:r>
        <w:rPr>
          <w:rFonts w:ascii="Times New Roman" w:hAnsi="Times New Roman"/>
          <w:sz w:val="24"/>
          <w:szCs w:val="24"/>
        </w:rPr>
        <w:lastRenderedPageBreak/>
        <w:t>The thermal stability of shea olein during refining DSC curve, is shown in Figure 2. The thermogram illustrated the thermal propertie</w:t>
      </w:r>
      <w:r>
        <w:rPr>
          <w:rFonts w:ascii="Times New Roman" w:hAnsi="Times New Roman"/>
          <w:sz w:val="24"/>
          <w:szCs w:val="24"/>
        </w:rPr>
        <w:t xml:space="preserve">s </w:t>
      </w:r>
      <w:r>
        <w:rPr>
          <w:rFonts w:ascii="Times New Roman" w:hAnsi="Times New Roman"/>
          <w:sz w:val="24"/>
          <w:szCs w:val="24"/>
        </w:rPr>
        <w:t xml:space="preserve">(Onset temperature, Peak temperature and Enthalpy) </w:t>
      </w:r>
      <w:r>
        <w:rPr>
          <w:rFonts w:ascii="Times New Roman" w:hAnsi="Times New Roman"/>
          <w:sz w:val="24"/>
          <w:szCs w:val="24"/>
        </w:rPr>
        <w:t>of shea olein</w:t>
      </w:r>
      <w:r>
        <w:rPr>
          <w:rFonts w:ascii="Times New Roman" w:hAnsi="Times New Roman"/>
          <w:sz w:val="24"/>
          <w:szCs w:val="24"/>
        </w:rPr>
        <w:t xml:space="preserve"> as presented in Table 2</w:t>
      </w:r>
      <w:r>
        <w:rPr>
          <w:rFonts w:ascii="Times New Roman" w:hAnsi="Times New Roman"/>
          <w:sz w:val="24"/>
          <w:szCs w:val="24"/>
        </w:rPr>
        <w:t xml:space="preserve"> during refining</w:t>
      </w:r>
      <w:r>
        <w:rPr>
          <w:rFonts w:ascii="Times New Roman" w:hAnsi="Times New Roman"/>
          <w:sz w:val="24"/>
          <w:szCs w:val="24"/>
        </w:rPr>
        <w:t xml:space="preserve">. </w:t>
      </w:r>
    </w:p>
    <w:p w:rsidR="00D543E5" w:rsidRDefault="00A95B9D">
      <w:pPr>
        <w:spacing w:before="0" w:beforeAutospacing="0" w:line="240" w:lineRule="auto"/>
        <w:ind w:left="720" w:right="90"/>
        <w:jc w:val="both"/>
        <w:rPr>
          <w:rFonts w:ascii="Times New Roman" w:hAnsi="Times New Roman"/>
          <w:sz w:val="24"/>
          <w:szCs w:val="24"/>
        </w:rPr>
      </w:pPr>
      <w:r>
        <w:rPr>
          <w:rFonts w:ascii="Times New Roman" w:hAnsi="Times New Roman"/>
          <w:sz w:val="24"/>
          <w:szCs w:val="24"/>
        </w:rPr>
        <w:t>The onset temperature, a sensitive indicator of thermal stability representing the initial melting point, ranged from 130.14 °C to 138.18 °C across</w:t>
      </w:r>
      <w:r>
        <w:rPr>
          <w:rFonts w:ascii="Times New Roman" w:hAnsi="Times New Roman"/>
          <w:sz w:val="24"/>
          <w:szCs w:val="24"/>
        </w:rPr>
        <w:t xml:space="preserve"> the samples. Crude shea butter (CSB) exhibited the lowest onset temperature (130.135 °C), reflecting the presence of pro-oxidant impurities such as free fatty acids, phospholipids, peroxides, and unsaponifiable matter that facilitate premature melting and</w:t>
      </w:r>
      <w:r>
        <w:rPr>
          <w:rFonts w:ascii="Times New Roman" w:hAnsi="Times New Roman"/>
          <w:sz w:val="24"/>
          <w:szCs w:val="24"/>
        </w:rPr>
        <w:t xml:space="preserve"> reduce overall thermal stability. Degumming markedly enhanced thermal stability, as evidenced by a substantially reduced exothermic drop at the beginning of heating and a comparatively flat baseline near 0 </w:t>
      </w:r>
      <w:proofErr w:type="spellStart"/>
      <w:r>
        <w:rPr>
          <w:rFonts w:ascii="Times New Roman" w:hAnsi="Times New Roman"/>
          <w:sz w:val="24"/>
          <w:szCs w:val="24"/>
        </w:rPr>
        <w:t>mW</w:t>
      </w:r>
      <w:proofErr w:type="spellEnd"/>
      <w:r>
        <w:rPr>
          <w:rFonts w:ascii="Times New Roman" w:hAnsi="Times New Roman"/>
          <w:sz w:val="24"/>
          <w:szCs w:val="24"/>
        </w:rPr>
        <w:t xml:space="preserve"> as shown in Figure 2</w:t>
      </w:r>
      <w:r>
        <w:rPr>
          <w:rFonts w:ascii="Times New Roman" w:hAnsi="Times New Roman"/>
          <w:sz w:val="24"/>
          <w:szCs w:val="24"/>
        </w:rPr>
        <w:t>. This improvement is attr</w:t>
      </w:r>
      <w:r>
        <w:rPr>
          <w:rFonts w:ascii="Times New Roman" w:hAnsi="Times New Roman"/>
          <w:sz w:val="24"/>
          <w:szCs w:val="24"/>
        </w:rPr>
        <w:t>ibuted to the removal of phospholipids, free fatty acids, and initial oxidation products, which exacerbate thermal decomposition in crude shea butter. The degumming step achieved reductions of 79.87%–88.20% in primary oxidation products (peroxide value, PV</w:t>
      </w:r>
      <w:r>
        <w:rPr>
          <w:rFonts w:ascii="Times New Roman" w:hAnsi="Times New Roman"/>
          <w:sz w:val="24"/>
          <w:szCs w:val="24"/>
        </w:rPr>
        <w:t>) and 28.50%–31.36% in secondary oxidation products (p-</w:t>
      </w:r>
      <w:proofErr w:type="spellStart"/>
      <w:r>
        <w:rPr>
          <w:rFonts w:ascii="Times New Roman" w:hAnsi="Times New Roman"/>
          <w:sz w:val="24"/>
          <w:szCs w:val="24"/>
        </w:rPr>
        <w:t>anisidine</w:t>
      </w:r>
      <w:proofErr w:type="spellEnd"/>
      <w:r>
        <w:rPr>
          <w:rFonts w:ascii="Times New Roman" w:hAnsi="Times New Roman"/>
          <w:sz w:val="24"/>
          <w:szCs w:val="24"/>
        </w:rPr>
        <w:t xml:space="preserve"> value, p-AV), consistent with Abdel-</w:t>
      </w:r>
      <w:proofErr w:type="spellStart"/>
      <w:r>
        <w:rPr>
          <w:rFonts w:ascii="Times New Roman" w:hAnsi="Times New Roman"/>
          <w:sz w:val="24"/>
          <w:szCs w:val="24"/>
        </w:rPr>
        <w:t>Razek</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who reported </w:t>
      </w:r>
      <w:proofErr w:type="gramStart"/>
      <w:r>
        <w:rPr>
          <w:rFonts w:ascii="Times New Roman" w:hAnsi="Times New Roman"/>
          <w:sz w:val="24"/>
          <w:szCs w:val="24"/>
        </w:rPr>
        <w:t>a</w:t>
      </w:r>
      <w:proofErr w:type="gramEnd"/>
      <w:r>
        <w:rPr>
          <w:rFonts w:ascii="Times New Roman" w:hAnsi="Times New Roman"/>
          <w:sz w:val="24"/>
          <w:szCs w:val="24"/>
        </w:rPr>
        <w:t xml:space="preserve"> 89.3% reduction in PV (from 5.91 to 0.63 </w:t>
      </w:r>
      <w:proofErr w:type="spellStart"/>
      <w:r>
        <w:rPr>
          <w:rFonts w:ascii="Times New Roman" w:hAnsi="Times New Roman"/>
          <w:sz w:val="24"/>
          <w:szCs w:val="24"/>
        </w:rPr>
        <w:t>meq</w:t>
      </w:r>
      <w:proofErr w:type="spellEnd"/>
      <w:r>
        <w:rPr>
          <w:rFonts w:ascii="Times New Roman" w:hAnsi="Times New Roman"/>
          <w:sz w:val="24"/>
          <w:szCs w:val="24"/>
        </w:rPr>
        <w:t xml:space="preserve"> O₂/kg) during degumming of shea olein.</w:t>
      </w:r>
    </w:p>
    <w:p w:rsidR="00D543E5" w:rsidRDefault="00A95B9D">
      <w:pPr>
        <w:spacing w:before="0" w:beforeAutospacing="0" w:line="240" w:lineRule="auto"/>
        <w:ind w:left="720" w:right="90"/>
        <w:jc w:val="both"/>
        <w:rPr>
          <w:rFonts w:ascii="Times New Roman" w:hAnsi="Times New Roman"/>
          <w:sz w:val="24"/>
          <w:szCs w:val="24"/>
        </w:rPr>
      </w:pPr>
      <w:r>
        <w:rPr>
          <w:rFonts w:ascii="Times New Roman" w:hAnsi="Times New Roman"/>
          <w:sz w:val="24"/>
          <w:szCs w:val="24"/>
        </w:rPr>
        <w:t xml:space="preserve">DSOB, NSO, and BSO demonstrated </w:t>
      </w:r>
      <w:r>
        <w:rPr>
          <w:rFonts w:ascii="Times New Roman" w:hAnsi="Times New Roman"/>
          <w:sz w:val="24"/>
          <w:szCs w:val="24"/>
        </w:rPr>
        <w:t>higher onset temperatures (135.56 °C–138.18 °C), although the differences were not statistically significant. The highest onset was observed in neutralized shea olein (NSO) at 138.18 °C, while bleached shea olein (BSO) showed a slight decrease to 137.92 °C</w:t>
      </w:r>
      <w:r>
        <w:rPr>
          <w:rFonts w:ascii="Times New Roman" w:hAnsi="Times New Roman"/>
          <w:sz w:val="24"/>
          <w:szCs w:val="24"/>
        </w:rPr>
        <w:t>, possibly due to partial loss of natural antioxidants such as tocopherols during bleaching, which may limit further stability gains despite the removal of oxidation catalysts</w:t>
      </w:r>
      <w:r>
        <w:rPr>
          <w:rFonts w:ascii="Times New Roman" w:hAnsi="Times New Roman"/>
          <w:sz w:val="24"/>
          <w:szCs w:val="24"/>
        </w:rPr>
        <w:t xml:space="preserve">. This is consistent with the finding of Abedi </w:t>
      </w:r>
      <w:r>
        <w:rPr>
          <w:rFonts w:ascii="Times New Roman" w:hAnsi="Times New Roman"/>
          <w:i/>
          <w:iCs/>
          <w:sz w:val="24"/>
          <w:szCs w:val="24"/>
        </w:rPr>
        <w:t>et al</w:t>
      </w:r>
      <w:r>
        <w:rPr>
          <w:rFonts w:ascii="Times New Roman" w:hAnsi="Times New Roman"/>
          <w:sz w:val="24"/>
          <w:szCs w:val="24"/>
        </w:rPr>
        <w:t>. (2025), who reported a toco</w:t>
      </w:r>
      <w:r>
        <w:rPr>
          <w:rFonts w:ascii="Times New Roman" w:hAnsi="Times New Roman"/>
          <w:sz w:val="24"/>
          <w:szCs w:val="24"/>
        </w:rPr>
        <w:t xml:space="preserve">pherol reduction of 16.8 to 37.8% in sunflower oil </w:t>
      </w:r>
      <w:r>
        <w:rPr>
          <w:rFonts w:ascii="Times New Roman" w:hAnsi="Times New Roman"/>
          <w:sz w:val="24"/>
          <w:szCs w:val="24"/>
        </w:rPr>
        <w:t>with corresponding decreases in oxidative resistance due to diminished radical scavenging</w:t>
      </w:r>
      <w:r>
        <w:rPr>
          <w:rFonts w:ascii="Times New Roman" w:hAnsi="Times New Roman"/>
          <w:sz w:val="24"/>
          <w:szCs w:val="24"/>
        </w:rPr>
        <w:t xml:space="preserve">. </w:t>
      </w:r>
      <w:r>
        <w:rPr>
          <w:rFonts w:ascii="Times New Roman" w:hAnsi="Times New Roman"/>
          <w:sz w:val="24"/>
          <w:szCs w:val="24"/>
        </w:rPr>
        <w:t>Neutralization, involving alkali treatment to remove free fatty acids (FFAs), further enhanced oxidative stability</w:t>
      </w:r>
      <w:r>
        <w:rPr>
          <w:rFonts w:ascii="Times New Roman" w:hAnsi="Times New Roman"/>
          <w:sz w:val="24"/>
          <w:szCs w:val="24"/>
        </w:rPr>
        <w:t xml:space="preserve">, as indicated by a small exothermic transition (−1.41 </w:t>
      </w:r>
      <w:proofErr w:type="spellStart"/>
      <w:r>
        <w:rPr>
          <w:rFonts w:ascii="Times New Roman" w:hAnsi="Times New Roman"/>
          <w:sz w:val="24"/>
          <w:szCs w:val="24"/>
        </w:rPr>
        <w:t>mW</w:t>
      </w:r>
      <w:proofErr w:type="spellEnd"/>
      <w:r>
        <w:rPr>
          <w:rFonts w:ascii="Times New Roman" w:hAnsi="Times New Roman"/>
          <w:sz w:val="24"/>
          <w:szCs w:val="24"/>
        </w:rPr>
        <w:t>) followed by a stable plateau at baseline. This pattern reflects minimized hydroperoxide decomposition and reduced propagation of secondary oxidation products, consistent with the removal of FFAs th</w:t>
      </w:r>
      <w:r>
        <w:rPr>
          <w:rFonts w:ascii="Times New Roman" w:hAnsi="Times New Roman"/>
          <w:sz w:val="24"/>
          <w:szCs w:val="24"/>
        </w:rPr>
        <w:t>at catalyze thermal instability (Islam</w:t>
      </w:r>
      <w:r>
        <w:rPr>
          <w:rFonts w:ascii="Times New Roman" w:hAnsi="Times New Roman"/>
          <w:i/>
          <w:iCs/>
          <w:sz w:val="24"/>
          <w:szCs w:val="24"/>
        </w:rPr>
        <w:t xml:space="preserve"> et a</w:t>
      </w:r>
      <w:r>
        <w:rPr>
          <w:rFonts w:ascii="Times New Roman" w:hAnsi="Times New Roman"/>
          <w:sz w:val="24"/>
          <w:szCs w:val="24"/>
        </w:rPr>
        <w:t>l., 2023).</w:t>
      </w:r>
      <w:r>
        <w:rPr>
          <w:rFonts w:ascii="Times New Roman" w:hAnsi="Times New Roman"/>
          <w:sz w:val="24"/>
          <w:szCs w:val="24"/>
        </w:rPr>
        <w:t xml:space="preserve"> </w:t>
      </w:r>
    </w:p>
    <w:p w:rsidR="00D543E5" w:rsidRDefault="00A95B9D">
      <w:pPr>
        <w:spacing w:before="0" w:beforeAutospacing="0" w:line="240" w:lineRule="auto"/>
        <w:ind w:left="720" w:right="90"/>
        <w:jc w:val="both"/>
        <w:rPr>
          <w:rFonts w:ascii="Times New Roman" w:hAnsi="Times New Roman"/>
          <w:sz w:val="24"/>
          <w:szCs w:val="24"/>
        </w:rPr>
      </w:pPr>
      <w:r>
        <w:rPr>
          <w:rFonts w:ascii="Times New Roman" w:hAnsi="Times New Roman"/>
          <w:sz w:val="24"/>
          <w:szCs w:val="24"/>
        </w:rPr>
        <w:t>Peak temperatures remained highly consistent across all samples, ranging between 139.35 °C and 140.20 °C (a narrow range of ~0.85 °C), with statistically significant differences (p &lt; 0.05) observed dur</w:t>
      </w:r>
      <w:r>
        <w:rPr>
          <w:rFonts w:ascii="Times New Roman" w:hAnsi="Times New Roman"/>
          <w:sz w:val="24"/>
          <w:szCs w:val="24"/>
        </w:rPr>
        <w:t>ing refining.</w:t>
      </w:r>
      <w:r>
        <w:rPr>
          <w:rFonts w:ascii="Times New Roman" w:hAnsi="Times New Roman"/>
          <w:sz w:val="24"/>
          <w:szCs w:val="24"/>
        </w:rPr>
        <w:t xml:space="preserve"> This range signaled stability and </w:t>
      </w:r>
      <w:r>
        <w:rPr>
          <w:rFonts w:ascii="Times New Roman" w:hAnsi="Times New Roman"/>
          <w:sz w:val="24"/>
          <w:szCs w:val="24"/>
        </w:rPr>
        <w:t>suggest</w:t>
      </w:r>
      <w:r>
        <w:rPr>
          <w:rFonts w:ascii="Times New Roman" w:hAnsi="Times New Roman"/>
          <w:sz w:val="24"/>
          <w:szCs w:val="24"/>
        </w:rPr>
        <w:t>s</w:t>
      </w:r>
      <w:r>
        <w:rPr>
          <w:rFonts w:ascii="Times New Roman" w:hAnsi="Times New Roman"/>
          <w:sz w:val="24"/>
          <w:szCs w:val="24"/>
        </w:rPr>
        <w:t xml:space="preserve"> that the dominant triglyceride species responsible for the main melting event</w:t>
      </w:r>
      <w:r>
        <w:rPr>
          <w:rFonts w:ascii="Times New Roman" w:hAnsi="Times New Roman"/>
          <w:sz w:val="24"/>
          <w:szCs w:val="24"/>
        </w:rPr>
        <w:t xml:space="preserve">, which are primarily Arachidic -Oleic-Arachidic (A-O-A) and related high melting </w:t>
      </w:r>
      <w:proofErr w:type="spellStart"/>
      <w:r>
        <w:rPr>
          <w:rFonts w:ascii="Times New Roman" w:hAnsi="Times New Roman"/>
          <w:sz w:val="24"/>
          <w:szCs w:val="24"/>
        </w:rPr>
        <w:t>triacylglycerides</w:t>
      </w:r>
      <w:proofErr w:type="spellEnd"/>
      <w:r>
        <w:rPr>
          <w:rFonts w:ascii="Times New Roman" w:hAnsi="Times New Roman"/>
          <w:sz w:val="24"/>
          <w:szCs w:val="24"/>
        </w:rPr>
        <w:t xml:space="preserve"> </w:t>
      </w:r>
      <w:r>
        <w:rPr>
          <w:rFonts w:ascii="Times New Roman" w:hAnsi="Times New Roman"/>
          <w:sz w:val="24"/>
          <w:szCs w:val="24"/>
        </w:rPr>
        <w:t xml:space="preserve">are largely preserved </w:t>
      </w:r>
      <w:proofErr w:type="gramStart"/>
      <w:r>
        <w:rPr>
          <w:rFonts w:ascii="Times New Roman" w:hAnsi="Times New Roman"/>
          <w:sz w:val="24"/>
          <w:szCs w:val="24"/>
        </w:rPr>
        <w:t xml:space="preserve">throughout </w:t>
      </w:r>
      <w:r>
        <w:rPr>
          <w:rFonts w:ascii="Times New Roman" w:hAnsi="Times New Roman"/>
          <w:sz w:val="24"/>
          <w:szCs w:val="24"/>
        </w:rPr>
        <w:t xml:space="preserve"> refining</w:t>
      </w:r>
      <w:proofErr w:type="gramEnd"/>
      <w:r>
        <w:rPr>
          <w:rFonts w:ascii="Times New Roman" w:hAnsi="Times New Roman"/>
          <w:sz w:val="24"/>
          <w:szCs w:val="24"/>
        </w:rPr>
        <w:t xml:space="preserve"> </w:t>
      </w:r>
      <w:r>
        <w:rPr>
          <w:rFonts w:ascii="Times New Roman" w:hAnsi="Times New Roman"/>
          <w:sz w:val="24"/>
          <w:szCs w:val="24"/>
        </w:rPr>
        <w:t>proces</w:t>
      </w:r>
      <w:r>
        <w:rPr>
          <w:rFonts w:ascii="Times New Roman" w:hAnsi="Times New Roman"/>
          <w:sz w:val="24"/>
          <w:szCs w:val="24"/>
        </w:rPr>
        <w:t xml:space="preserve">s. This is consistent with our finding in Table 3, where arachidic acid is </w:t>
      </w:r>
      <w:proofErr w:type="spellStart"/>
      <w:r>
        <w:rPr>
          <w:rFonts w:ascii="Times New Roman" w:hAnsi="Times New Roman"/>
          <w:sz w:val="24"/>
          <w:szCs w:val="24"/>
        </w:rPr>
        <w:t>maitained</w:t>
      </w:r>
      <w:proofErr w:type="spellEnd"/>
      <w:r>
        <w:rPr>
          <w:rFonts w:ascii="Times New Roman" w:hAnsi="Times New Roman"/>
          <w:sz w:val="24"/>
          <w:szCs w:val="24"/>
        </w:rPr>
        <w:t xml:space="preserve"> throughout refining process. The slight upward shift in temperature form CSB (</w:t>
      </w:r>
      <w:proofErr w:type="gramStart"/>
      <w:r>
        <w:rPr>
          <w:rFonts w:ascii="Times New Roman" w:hAnsi="Times New Roman"/>
          <w:sz w:val="24"/>
          <w:szCs w:val="24"/>
        </w:rPr>
        <w:t>139.35 )</w:t>
      </w:r>
      <w:proofErr w:type="gramEnd"/>
      <w:r>
        <w:rPr>
          <w:rFonts w:ascii="Times New Roman" w:hAnsi="Times New Roman"/>
          <w:sz w:val="24"/>
          <w:szCs w:val="24"/>
        </w:rPr>
        <w:t>, DSOB (140.02 ), NSO (140.06 ) and BSO (140.20 ) during r</w:t>
      </w:r>
      <w:r>
        <w:rPr>
          <w:rFonts w:ascii="Times New Roman" w:hAnsi="Times New Roman"/>
          <w:sz w:val="24"/>
          <w:szCs w:val="24"/>
        </w:rPr>
        <w:t xml:space="preserve">efining </w:t>
      </w:r>
      <w:r>
        <w:rPr>
          <w:rFonts w:ascii="Times New Roman" w:hAnsi="Times New Roman"/>
          <w:sz w:val="24"/>
          <w:szCs w:val="24"/>
        </w:rPr>
        <w:t xml:space="preserve">indicates a modest sharpening of the melting profile, likely due to selective removal of </w:t>
      </w:r>
      <w:r>
        <w:rPr>
          <w:rFonts w:ascii="Times New Roman" w:hAnsi="Times New Roman"/>
          <w:sz w:val="24"/>
          <w:szCs w:val="24"/>
        </w:rPr>
        <w:t>high</w:t>
      </w:r>
      <w:r>
        <w:rPr>
          <w:rFonts w:ascii="Times New Roman" w:hAnsi="Times New Roman"/>
          <w:sz w:val="24"/>
          <w:szCs w:val="24"/>
        </w:rPr>
        <w:t>-melting components and enrichment in more uniform crystalline forms</w:t>
      </w:r>
      <w:r>
        <w:rPr>
          <w:rFonts w:ascii="Times New Roman" w:hAnsi="Times New Roman"/>
          <w:sz w:val="24"/>
          <w:szCs w:val="24"/>
        </w:rPr>
        <w:t xml:space="preserve">. This is consistent with our findings on fatty acid composition in Table 3, the lower </w:t>
      </w:r>
      <w:r>
        <w:rPr>
          <w:rFonts w:ascii="Times New Roman" w:hAnsi="Times New Roman"/>
          <w:sz w:val="24"/>
          <w:szCs w:val="24"/>
        </w:rPr>
        <w:t xml:space="preserve">the content of arachidic acid in the refined shea </w:t>
      </w:r>
      <w:proofErr w:type="gramStart"/>
      <w:r>
        <w:rPr>
          <w:rFonts w:ascii="Times New Roman" w:hAnsi="Times New Roman"/>
          <w:sz w:val="24"/>
          <w:szCs w:val="24"/>
        </w:rPr>
        <w:t>olein ,</w:t>
      </w:r>
      <w:proofErr w:type="gramEnd"/>
      <w:r>
        <w:rPr>
          <w:rFonts w:ascii="Times New Roman" w:hAnsi="Times New Roman"/>
          <w:sz w:val="24"/>
          <w:szCs w:val="24"/>
        </w:rPr>
        <w:t xml:space="preserve"> the higher the peak temperature, the better the thermal stability. Zhang </w:t>
      </w:r>
      <w:r>
        <w:rPr>
          <w:rFonts w:ascii="Times New Roman" w:hAnsi="Times New Roman"/>
          <w:i/>
          <w:iCs/>
          <w:sz w:val="24"/>
          <w:szCs w:val="24"/>
        </w:rPr>
        <w:t>et al</w:t>
      </w:r>
      <w:r>
        <w:rPr>
          <w:rFonts w:ascii="Times New Roman" w:hAnsi="Times New Roman"/>
          <w:sz w:val="24"/>
          <w:szCs w:val="24"/>
        </w:rPr>
        <w:t xml:space="preserve">. (2017) and Gao </w:t>
      </w:r>
      <w:r>
        <w:rPr>
          <w:rFonts w:ascii="Times New Roman" w:hAnsi="Times New Roman"/>
          <w:i/>
          <w:iCs/>
          <w:sz w:val="24"/>
          <w:szCs w:val="24"/>
        </w:rPr>
        <w:t>et al</w:t>
      </w:r>
      <w:r>
        <w:rPr>
          <w:rFonts w:ascii="Times New Roman" w:hAnsi="Times New Roman"/>
          <w:sz w:val="24"/>
          <w:szCs w:val="24"/>
        </w:rPr>
        <w:t xml:space="preserve">. (2022) related improved stability and sharper DSC melting transition to reduction in </w:t>
      </w:r>
      <w:r>
        <w:rPr>
          <w:rFonts w:ascii="Times New Roman" w:hAnsi="Times New Roman"/>
          <w:sz w:val="24"/>
          <w:szCs w:val="24"/>
        </w:rPr>
        <w:t>in long-cha</w:t>
      </w:r>
      <w:r>
        <w:rPr>
          <w:rFonts w:ascii="Times New Roman" w:hAnsi="Times New Roman"/>
          <w:sz w:val="24"/>
          <w:szCs w:val="24"/>
        </w:rPr>
        <w:t>in saturated fatty acids (e.g., arachidic, behenic)</w:t>
      </w:r>
      <w:r>
        <w:rPr>
          <w:rFonts w:ascii="Times New Roman" w:hAnsi="Times New Roman"/>
          <w:sz w:val="24"/>
          <w:szCs w:val="24"/>
        </w:rPr>
        <w:t xml:space="preserve">. this is because a </w:t>
      </w:r>
      <w:r>
        <w:rPr>
          <w:rFonts w:ascii="Times New Roman" w:hAnsi="Times New Roman"/>
          <w:sz w:val="24"/>
          <w:szCs w:val="24"/>
        </w:rPr>
        <w:t>more homogeneous crystal networks</w:t>
      </w:r>
      <w:r>
        <w:rPr>
          <w:rFonts w:ascii="Times New Roman" w:hAnsi="Times New Roman"/>
          <w:sz w:val="24"/>
          <w:szCs w:val="24"/>
        </w:rPr>
        <w:t xml:space="preserve"> is formed with unsaturated triglycerides. In another study on shea butter thermal </w:t>
      </w:r>
      <w:proofErr w:type="spellStart"/>
      <w:r>
        <w:rPr>
          <w:rFonts w:ascii="Times New Roman" w:hAnsi="Times New Roman"/>
          <w:sz w:val="24"/>
          <w:szCs w:val="24"/>
        </w:rPr>
        <w:t>behaviuor</w:t>
      </w:r>
      <w:proofErr w:type="spellEnd"/>
      <w:r>
        <w:rPr>
          <w:rFonts w:ascii="Times New Roman" w:hAnsi="Times New Roman"/>
          <w:sz w:val="24"/>
          <w:szCs w:val="24"/>
        </w:rPr>
        <w:t xml:space="preserve"> </w:t>
      </w:r>
      <w:r>
        <w:rPr>
          <w:rFonts w:ascii="Times New Roman" w:hAnsi="Times New Roman"/>
          <w:sz w:val="24"/>
          <w:szCs w:val="24"/>
        </w:rPr>
        <w:lastRenderedPageBreak/>
        <w:t xml:space="preserve">by </w:t>
      </w:r>
      <w:proofErr w:type="spellStart"/>
      <w:r>
        <w:rPr>
          <w:rFonts w:ascii="Times New Roman" w:hAnsi="Times New Roman"/>
          <w:sz w:val="24"/>
          <w:szCs w:val="24"/>
        </w:rPr>
        <w:t>Goumbri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2024)</w:t>
      </w:r>
      <w:r>
        <w:rPr>
          <w:rFonts w:ascii="Times New Roman" w:hAnsi="Times New Roman"/>
          <w:sz w:val="24"/>
          <w:szCs w:val="24"/>
        </w:rPr>
        <w:t xml:space="preserve">, he reported that refining led to </w:t>
      </w:r>
      <w:r>
        <w:rPr>
          <w:rFonts w:ascii="Times New Roman" w:hAnsi="Times New Roman"/>
          <w:sz w:val="24"/>
          <w:szCs w:val="24"/>
        </w:rPr>
        <w:t xml:space="preserve">a </w:t>
      </w:r>
      <w:proofErr w:type="gramStart"/>
      <w:r>
        <w:rPr>
          <w:rFonts w:ascii="Times New Roman" w:hAnsi="Times New Roman"/>
          <w:sz w:val="24"/>
          <w:szCs w:val="24"/>
        </w:rPr>
        <w:t xml:space="preserve">shift  </w:t>
      </w:r>
      <w:r>
        <w:rPr>
          <w:rFonts w:ascii="Times New Roman" w:hAnsi="Times New Roman"/>
          <w:sz w:val="24"/>
          <w:szCs w:val="24"/>
        </w:rPr>
        <w:t>toward</w:t>
      </w:r>
      <w:proofErr w:type="gramEnd"/>
      <w:r>
        <w:rPr>
          <w:rFonts w:ascii="Times New Roman" w:hAnsi="Times New Roman"/>
          <w:sz w:val="24"/>
          <w:szCs w:val="24"/>
        </w:rPr>
        <w:t xml:space="preserve"> higher and sharper peak temperatures in olein fractions, attributed to the preferential removal of high-melting saturated species and retention of a more uniform oleic-rich profile</w:t>
      </w:r>
    </w:p>
    <w:p w:rsidR="00D543E5" w:rsidRDefault="00A95B9D">
      <w:pPr>
        <w:spacing w:before="0" w:beforeAutospacing="0" w:line="240" w:lineRule="auto"/>
        <w:ind w:left="720" w:right="90"/>
        <w:jc w:val="both"/>
        <w:rPr>
          <w:rFonts w:ascii="Times New Roman" w:hAnsi="Times New Roman"/>
          <w:sz w:val="24"/>
          <w:szCs w:val="24"/>
        </w:rPr>
      </w:pPr>
      <w:r>
        <w:rPr>
          <w:rFonts w:ascii="Times New Roman" w:hAnsi="Times New Roman"/>
          <w:sz w:val="24"/>
          <w:szCs w:val="24"/>
        </w:rPr>
        <w:t>Enthalpy values, representing the heat absorbed during melt</w:t>
      </w:r>
      <w:r>
        <w:rPr>
          <w:rFonts w:ascii="Times New Roman" w:hAnsi="Times New Roman"/>
          <w:sz w:val="24"/>
          <w:szCs w:val="24"/>
        </w:rPr>
        <w:t>ing, decreased from CSB (1647.11 J/g) to DSOB (1342.705 J/g), indicating a reduction in the total energy required for melting after degumming. NSO exhibited a high enthalpy (1700.125 J/g), comparable to CSB, possibly due to neutralization preserving more c</w:t>
      </w:r>
      <w:r>
        <w:rPr>
          <w:rFonts w:ascii="Times New Roman" w:hAnsi="Times New Roman"/>
          <w:sz w:val="24"/>
          <w:szCs w:val="24"/>
        </w:rPr>
        <w:t>rystalline structure. Bleached shea olein (BSO) showed an intermediate value (1507.59 J/g), suggesting partial loss of crystalline material during the removal of pigments, peroxides, and natural antioxidants.</w:t>
      </w:r>
    </w:p>
    <w:p w:rsidR="00D543E5" w:rsidRDefault="00A95B9D">
      <w:pPr>
        <w:spacing w:before="0" w:beforeAutospacing="0" w:line="240" w:lineRule="auto"/>
        <w:ind w:left="720" w:right="90"/>
        <w:jc w:val="both"/>
        <w:rPr>
          <w:rFonts w:ascii="Times New Roman" w:hAnsi="Times New Roman"/>
          <w:sz w:val="24"/>
          <w:szCs w:val="24"/>
        </w:rPr>
      </w:pPr>
      <w:r>
        <w:rPr>
          <w:rFonts w:ascii="Times New Roman" w:hAnsi="Times New Roman"/>
          <w:sz w:val="24"/>
          <w:szCs w:val="24"/>
        </w:rPr>
        <w:t xml:space="preserve">In a nutshell, </w:t>
      </w:r>
      <w:r>
        <w:rPr>
          <w:rFonts w:ascii="Times New Roman" w:hAnsi="Times New Roman"/>
          <w:sz w:val="24"/>
          <w:szCs w:val="24"/>
        </w:rPr>
        <w:t>neutralization</w:t>
      </w:r>
      <w:r>
        <w:rPr>
          <w:rFonts w:ascii="Times New Roman" w:hAnsi="Times New Roman"/>
          <w:sz w:val="24"/>
          <w:szCs w:val="24"/>
        </w:rPr>
        <w:t xml:space="preserve"> shea olein is con</w:t>
      </w:r>
      <w:r>
        <w:rPr>
          <w:rFonts w:ascii="Times New Roman" w:hAnsi="Times New Roman"/>
          <w:sz w:val="24"/>
          <w:szCs w:val="24"/>
        </w:rPr>
        <w:t xml:space="preserve">sidered most stable among the sample as a result of high onset temperature and enthalpy values. </w:t>
      </w:r>
      <w:r>
        <w:rPr>
          <w:rFonts w:ascii="Times New Roman" w:hAnsi="Times New Roman"/>
          <w:sz w:val="24"/>
          <w:szCs w:val="24"/>
        </w:rPr>
        <w:t>Bleach</w:t>
      </w:r>
      <w:r>
        <w:rPr>
          <w:rFonts w:ascii="Times New Roman" w:hAnsi="Times New Roman"/>
          <w:sz w:val="24"/>
          <w:szCs w:val="24"/>
        </w:rPr>
        <w:t>ed shea olein is moderately stable due to its high peak temperature but could not match-up with NSO due to loss of natural antioxidants during process. Ye</w:t>
      </w:r>
      <w:r>
        <w:rPr>
          <w:rFonts w:ascii="Times New Roman" w:hAnsi="Times New Roman"/>
          <w:sz w:val="24"/>
          <w:szCs w:val="24"/>
        </w:rPr>
        <w:t>t, the process enhanced thermal stability of shea olein as compared with crude shea butter. Hence, t</w:t>
      </w:r>
      <w:r>
        <w:rPr>
          <w:rFonts w:ascii="Times New Roman" w:hAnsi="Times New Roman"/>
          <w:sz w:val="24"/>
          <w:szCs w:val="24"/>
        </w:rPr>
        <w:t>hese improvements render refined shea olein more resistant to thermal degradation and oxidative deterioration, making it highly suitable for food applicatio</w:t>
      </w:r>
      <w:r>
        <w:rPr>
          <w:rFonts w:ascii="Times New Roman" w:hAnsi="Times New Roman"/>
          <w:sz w:val="24"/>
          <w:szCs w:val="24"/>
        </w:rPr>
        <w:t>ns such as frying oils, specialty fats, and margarine.</w:t>
      </w:r>
    </w:p>
    <w:p w:rsidR="00D543E5" w:rsidRDefault="00D543E5">
      <w:pPr>
        <w:spacing w:before="0" w:beforeAutospacing="0" w:after="0" w:line="240" w:lineRule="auto"/>
        <w:ind w:left="720" w:right="90"/>
        <w:jc w:val="both"/>
        <w:rPr>
          <w:rFonts w:ascii="Times New Roman" w:hAnsi="Times New Roman"/>
          <w:b/>
          <w:sz w:val="24"/>
          <w:szCs w:val="24"/>
        </w:rPr>
      </w:pPr>
    </w:p>
    <w:p w:rsidR="00D543E5" w:rsidRDefault="00A95B9D">
      <w:pPr>
        <w:spacing w:before="0" w:beforeAutospacing="0" w:after="0" w:line="240" w:lineRule="auto"/>
        <w:ind w:left="720"/>
        <w:rPr>
          <w:rFonts w:ascii="Times New Roman" w:hAnsi="Times New Roman"/>
          <w:b/>
          <w:sz w:val="24"/>
          <w:szCs w:val="24"/>
        </w:rPr>
      </w:pPr>
      <w:r>
        <w:rPr>
          <w:rFonts w:ascii="Times New Roman" w:hAnsi="Times New Roman"/>
          <w:b/>
          <w:sz w:val="24"/>
          <w:szCs w:val="24"/>
        </w:rPr>
        <w:t>Effects of refining on fatty acid composition</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Fatty acid composition during refining is presented in Table </w:t>
      </w:r>
      <w:r>
        <w:rPr>
          <w:rFonts w:ascii="Times New Roman" w:hAnsi="Times New Roman"/>
          <w:sz w:val="24"/>
          <w:szCs w:val="24"/>
        </w:rPr>
        <w:t>3</w:t>
      </w:r>
      <w:r>
        <w:rPr>
          <w:rFonts w:ascii="Times New Roman" w:hAnsi="Times New Roman"/>
          <w:sz w:val="24"/>
          <w:szCs w:val="24"/>
        </w:rPr>
        <w:t>. The composition of fatty acids varied significantly (p˂0.05) in all samples. The refining sequence (CSB → DSOB → NSO → BSO) produced clear, systematic shifts in individual fatty acids: oleic acid rose markedly (47.65 → 58.13%), arachidic (C20:0) and othe</w:t>
      </w:r>
      <w:r>
        <w:rPr>
          <w:rFonts w:ascii="Times New Roman" w:hAnsi="Times New Roman"/>
          <w:sz w:val="24"/>
          <w:szCs w:val="24"/>
        </w:rPr>
        <w:t xml:space="preserve">r very-long-chain saturated fatty acids declined (C20:0: 39.05 → 26.42%; C22:0: 1.18 → 0.52%), palmitic (C16:0) was essentially stable (≈3.2–3.4%), </w:t>
      </w:r>
      <w:proofErr w:type="spellStart"/>
      <w:r>
        <w:rPr>
          <w:rFonts w:ascii="Times New Roman" w:hAnsi="Times New Roman"/>
          <w:sz w:val="24"/>
          <w:szCs w:val="24"/>
        </w:rPr>
        <w:t>elaidic</w:t>
      </w:r>
      <w:proofErr w:type="spellEnd"/>
      <w:r>
        <w:rPr>
          <w:rFonts w:ascii="Times New Roman" w:hAnsi="Times New Roman"/>
          <w:sz w:val="24"/>
          <w:szCs w:val="24"/>
        </w:rPr>
        <w:t xml:space="preserve"> (trans-C18:1) increased (6.87 → 9.52%), and minor PUFAs (linoleic, C18:2; DGLA, C20:3 n6) showed sma</w:t>
      </w:r>
      <w:r>
        <w:rPr>
          <w:rFonts w:ascii="Times New Roman" w:hAnsi="Times New Roman"/>
          <w:sz w:val="24"/>
          <w:szCs w:val="24"/>
        </w:rPr>
        <w:t xml:space="preserve">ll rises in the final bleached oil. </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The significant variations (p&lt;0.05) in fatty acid composition across the refining sequence (CSB → DSOB → NSO → BSO) highlight the progressive purification and minor redistributions induced by each step, with oleic acid </w:t>
      </w:r>
      <w:r>
        <w:rPr>
          <w:rFonts w:ascii="Times New Roman" w:hAnsi="Times New Roman"/>
          <w:sz w:val="24"/>
          <w:szCs w:val="24"/>
        </w:rPr>
        <w:t>(C18:1) exhibiting a marked increase from 47.65% to 58.13%. This elevation in monounsaturated fatty acids (MUFAs) like oleic is typical in refined olein fractions, as refining processes such as degumming, neutralization, and bleaching selectively remove im</w:t>
      </w:r>
      <w:r>
        <w:rPr>
          <w:rFonts w:ascii="Times New Roman" w:hAnsi="Times New Roman"/>
          <w:sz w:val="24"/>
          <w:szCs w:val="24"/>
        </w:rPr>
        <w:t xml:space="preserve">purities while preserving or slightly enhancing the liquid, unsaturated components through incidental fractionation effects during heating and filtration (Azad </w:t>
      </w:r>
      <w:r>
        <w:rPr>
          <w:rFonts w:ascii="Times New Roman" w:hAnsi="Times New Roman"/>
          <w:i/>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Tavakoli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This is consistent with the study conducted by Abdel-</w:t>
      </w:r>
      <w:proofErr w:type="spellStart"/>
      <w:r>
        <w:rPr>
          <w:rFonts w:ascii="Times New Roman" w:hAnsi="Times New Roman"/>
          <w:sz w:val="24"/>
          <w:szCs w:val="24"/>
        </w:rPr>
        <w:t>Razek</w:t>
      </w:r>
      <w:proofErr w:type="spellEnd"/>
      <w:r>
        <w:rPr>
          <w:rFonts w:ascii="Times New Roman" w:hAnsi="Times New Roman"/>
          <w:sz w:val="24"/>
          <w:szCs w:val="24"/>
        </w:rPr>
        <w:t xml:space="preserve"> et al. (2023) on crude shea butter and refined shea olein. He observed a similar trend in oleic content in refined olein to 56.04% from 45.77% in crude, attributed to the migration of oleic-rich triglycerides into the liquid phase, aligning closely with t</w:t>
      </w:r>
      <w:r>
        <w:rPr>
          <w:rFonts w:ascii="Times New Roman" w:hAnsi="Times New Roman"/>
          <w:sz w:val="24"/>
          <w:szCs w:val="24"/>
        </w:rPr>
        <w:t xml:space="preserve">he observed trend in Table 2. Similarly, Jing </w:t>
      </w:r>
      <w:r>
        <w:rPr>
          <w:rFonts w:ascii="Times New Roman" w:hAnsi="Times New Roman"/>
          <w:i/>
          <w:sz w:val="24"/>
          <w:szCs w:val="24"/>
        </w:rPr>
        <w:t>et al</w:t>
      </w:r>
      <w:r>
        <w:rPr>
          <w:rFonts w:ascii="Times New Roman" w:hAnsi="Times New Roman"/>
          <w:sz w:val="24"/>
          <w:szCs w:val="24"/>
        </w:rPr>
        <w:t>. (2025) observed an increase in oleic acid of flaxseed oil during refining.</w:t>
      </w:r>
    </w:p>
    <w:p w:rsidR="00D543E5" w:rsidRDefault="00D543E5">
      <w:pPr>
        <w:spacing w:before="0" w:beforeAutospacing="0" w:after="0" w:line="240" w:lineRule="auto"/>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Conversely, the decline in very-long-chain saturated fatty acids, such as arachidic (C20:0) from 39.05% to 26.42% and behenic (</w:t>
      </w:r>
      <w:r>
        <w:rPr>
          <w:rFonts w:ascii="Times New Roman" w:hAnsi="Times New Roman"/>
          <w:sz w:val="24"/>
          <w:szCs w:val="24"/>
        </w:rPr>
        <w:t>C22:0) from 1.18% to 0.52%, reflects the preferential removal of saturated chains during refining steps, particularly neutralization and bleaching, which can induce partial crystallization and separation of high-melting-point saturates. This pattern unders</w:t>
      </w:r>
      <w:r>
        <w:rPr>
          <w:rFonts w:ascii="Times New Roman" w:hAnsi="Times New Roman"/>
          <w:sz w:val="24"/>
          <w:szCs w:val="24"/>
        </w:rPr>
        <w:t xml:space="preserve">cores saturation reduction in refined shea olein for improved fluidity (Khan </w:t>
      </w:r>
      <w:r>
        <w:rPr>
          <w:rFonts w:ascii="Times New Roman" w:hAnsi="Times New Roman"/>
          <w:i/>
          <w:sz w:val="24"/>
          <w:szCs w:val="24"/>
        </w:rPr>
        <w:t>et al</w:t>
      </w:r>
      <w:r>
        <w:rPr>
          <w:rFonts w:ascii="Times New Roman" w:hAnsi="Times New Roman"/>
          <w:sz w:val="24"/>
          <w:szCs w:val="24"/>
        </w:rPr>
        <w:t>., 2024). This result aligns with the observation of Abdel-</w:t>
      </w:r>
      <w:proofErr w:type="spellStart"/>
      <w:r>
        <w:rPr>
          <w:rFonts w:ascii="Times New Roman" w:hAnsi="Times New Roman"/>
          <w:sz w:val="24"/>
          <w:szCs w:val="24"/>
        </w:rPr>
        <w:t>Razek</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w:t>
      </w:r>
      <w:r>
        <w:rPr>
          <w:rFonts w:ascii="Times New Roman" w:hAnsi="Times New Roman"/>
          <w:sz w:val="24"/>
          <w:szCs w:val="24"/>
        </w:rPr>
        <w:lastRenderedPageBreak/>
        <w:t>who obtained a TSFA of 35.40% on refined shea olein while investigating the fatty acid compone</w:t>
      </w:r>
      <w:r>
        <w:rPr>
          <w:rFonts w:ascii="Times New Roman" w:hAnsi="Times New Roman"/>
          <w:sz w:val="24"/>
          <w:szCs w:val="24"/>
        </w:rPr>
        <w:t>nt of shea butter during refining. With reduced TSFA, olein becomes more liquid and transparent at room temperature, with improved cold stability (</w:t>
      </w:r>
      <w:proofErr w:type="spellStart"/>
      <w:r>
        <w:rPr>
          <w:rFonts w:ascii="Times New Roman" w:hAnsi="Times New Roman"/>
          <w:sz w:val="24"/>
          <w:szCs w:val="24"/>
        </w:rPr>
        <w:t>Tavakoli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 Khan </w:t>
      </w:r>
      <w:r>
        <w:rPr>
          <w:rFonts w:ascii="Times New Roman" w:hAnsi="Times New Roman"/>
          <w:i/>
          <w:sz w:val="24"/>
          <w:szCs w:val="24"/>
        </w:rPr>
        <w:t>et al</w:t>
      </w:r>
      <w:r>
        <w:rPr>
          <w:rFonts w:ascii="Times New Roman" w:hAnsi="Times New Roman"/>
          <w:sz w:val="24"/>
          <w:szCs w:val="24"/>
        </w:rPr>
        <w:t>., 2024). High arachidic acid value in this composition is worthy of note, a</w:t>
      </w:r>
      <w:r>
        <w:rPr>
          <w:rFonts w:ascii="Times New Roman" w:hAnsi="Times New Roman"/>
          <w:sz w:val="24"/>
          <w:szCs w:val="24"/>
        </w:rPr>
        <w:t>s it represents a switch in the composition of stearic acid common to shea butter.  This could result from different varieties of shea trees in the south-western part of Nigeria.</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 xml:space="preserve">The increase in </w:t>
      </w:r>
      <w:proofErr w:type="spellStart"/>
      <w:r>
        <w:rPr>
          <w:rFonts w:ascii="Times New Roman" w:hAnsi="Times New Roman"/>
          <w:sz w:val="24"/>
          <w:szCs w:val="24"/>
        </w:rPr>
        <w:t>elaidic</w:t>
      </w:r>
      <w:proofErr w:type="spellEnd"/>
      <w:r>
        <w:rPr>
          <w:rFonts w:ascii="Times New Roman" w:hAnsi="Times New Roman"/>
          <w:sz w:val="24"/>
          <w:szCs w:val="24"/>
        </w:rPr>
        <w:t xml:space="preserve"> acid (trans-C18:1) from 6.87% to 9.52% suggests pote</w:t>
      </w:r>
      <w:r>
        <w:rPr>
          <w:rFonts w:ascii="Times New Roman" w:hAnsi="Times New Roman"/>
          <w:sz w:val="24"/>
          <w:szCs w:val="24"/>
        </w:rPr>
        <w:t>ntial isomerization during thermal steps, such as bleaching, where elevated temperatures (typically 90–110°C) can promote cis-to-trans conversions in unsaturated chains. However, this is less common in mild refining and warrants control to minimize trans f</w:t>
      </w:r>
      <w:r>
        <w:rPr>
          <w:rFonts w:ascii="Times New Roman" w:hAnsi="Times New Roman"/>
          <w:sz w:val="24"/>
          <w:szCs w:val="24"/>
        </w:rPr>
        <w:t xml:space="preserve">ats. Minor polyunsaturated fatty acids (PUFAs) like linoleic (C18:2) (0.49% to 0.73%), and </w:t>
      </w:r>
      <w:proofErr w:type="spellStart"/>
      <w:r>
        <w:rPr>
          <w:rFonts w:ascii="Times New Roman" w:hAnsi="Times New Roman"/>
          <w:sz w:val="24"/>
          <w:szCs w:val="24"/>
        </w:rPr>
        <w:t>dihomo</w:t>
      </w:r>
      <w:proofErr w:type="spellEnd"/>
      <w:r>
        <w:rPr>
          <w:rFonts w:ascii="Times New Roman" w:hAnsi="Times New Roman"/>
          <w:sz w:val="24"/>
          <w:szCs w:val="24"/>
        </w:rPr>
        <w:t xml:space="preserve">-gamma-linolenic acid (DGLA, C20:3 n-6) (0.34% to 0.52%), showing small rises in bleached oil align with enrichment in the liquid fraction, as PUFAs partition </w:t>
      </w:r>
      <w:r>
        <w:rPr>
          <w:rFonts w:ascii="Times New Roman" w:hAnsi="Times New Roman"/>
          <w:sz w:val="24"/>
          <w:szCs w:val="24"/>
        </w:rPr>
        <w:t xml:space="preserve">into olein enhancing nutritional value but requiring antioxidants to counter oxidation susceptibility (Azad </w:t>
      </w:r>
      <w:r>
        <w:rPr>
          <w:rFonts w:ascii="Times New Roman" w:hAnsi="Times New Roman"/>
          <w:i/>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Fadda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2022)</w:t>
      </w:r>
    </w:p>
    <w:p w:rsidR="00D543E5" w:rsidRDefault="00A95B9D">
      <w:pPr>
        <w:spacing w:after="0" w:line="240" w:lineRule="auto"/>
        <w:ind w:left="720"/>
        <w:rPr>
          <w:rFonts w:ascii="Times New Roman" w:hAnsi="Times New Roman"/>
          <w:b/>
          <w:sz w:val="24"/>
          <w:szCs w:val="24"/>
        </w:rPr>
      </w:pPr>
      <w:r>
        <w:rPr>
          <w:rFonts w:ascii="Times New Roman" w:hAnsi="Times New Roman"/>
          <w:b/>
          <w:sz w:val="24"/>
          <w:szCs w:val="24"/>
        </w:rPr>
        <w:t>Conclusion</w:t>
      </w:r>
    </w:p>
    <w:p w:rsidR="00D543E5" w:rsidRDefault="00A95B9D">
      <w:pPr>
        <w:spacing w:before="0" w:beforeAutospacing="0" w:after="0" w:line="240" w:lineRule="auto"/>
        <w:ind w:left="720"/>
        <w:jc w:val="both"/>
        <w:rPr>
          <w:rFonts w:ascii="Times New Roman" w:hAnsi="Times New Roman"/>
          <w:sz w:val="24"/>
          <w:szCs w:val="24"/>
        </w:rPr>
      </w:pPr>
      <w:r>
        <w:rPr>
          <w:rFonts w:ascii="Times New Roman" w:hAnsi="Times New Roman"/>
          <w:sz w:val="24"/>
          <w:szCs w:val="24"/>
        </w:rPr>
        <w:t>This study demonstrated that refining improved oxidative indices, thermal stability, and nutritional pr</w:t>
      </w:r>
      <w:r>
        <w:rPr>
          <w:rFonts w:ascii="Times New Roman" w:hAnsi="Times New Roman"/>
          <w:sz w:val="24"/>
          <w:szCs w:val="24"/>
        </w:rPr>
        <w:t xml:space="preserve">ofile of shea olein. Among refined samples, </w:t>
      </w:r>
      <w:r>
        <w:rPr>
          <w:rFonts w:ascii="Times New Roman" w:hAnsi="Times New Roman"/>
          <w:sz w:val="24"/>
          <w:szCs w:val="24"/>
        </w:rPr>
        <w:t xml:space="preserve">NSO </w:t>
      </w:r>
      <w:r>
        <w:rPr>
          <w:rFonts w:ascii="Times New Roman" w:hAnsi="Times New Roman"/>
          <w:sz w:val="24"/>
          <w:szCs w:val="24"/>
        </w:rPr>
        <w:t>demonstrated increased thermal stability</w:t>
      </w:r>
      <w:r>
        <w:rPr>
          <w:rFonts w:ascii="Times New Roman" w:hAnsi="Times New Roman"/>
          <w:sz w:val="24"/>
          <w:szCs w:val="24"/>
        </w:rPr>
        <w:t xml:space="preserve"> over BSO</w:t>
      </w:r>
      <w:r>
        <w:rPr>
          <w:rFonts w:ascii="Times New Roman" w:hAnsi="Times New Roman"/>
          <w:sz w:val="24"/>
          <w:szCs w:val="24"/>
        </w:rPr>
        <w:t xml:space="preserve">, which resulted from the elimination of pigments, trace </w:t>
      </w:r>
      <w:proofErr w:type="gramStart"/>
      <w:r>
        <w:rPr>
          <w:rFonts w:ascii="Times New Roman" w:hAnsi="Times New Roman"/>
          <w:sz w:val="24"/>
          <w:szCs w:val="24"/>
        </w:rPr>
        <w:t>metals,</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peroxides</w:t>
      </w:r>
      <w:r>
        <w:rPr>
          <w:rFonts w:ascii="Times New Roman" w:hAnsi="Times New Roman"/>
          <w:sz w:val="24"/>
          <w:szCs w:val="24"/>
        </w:rPr>
        <w:t xml:space="preserve"> and natural antioxidant</w:t>
      </w:r>
      <w:r>
        <w:rPr>
          <w:rFonts w:ascii="Times New Roman" w:hAnsi="Times New Roman"/>
          <w:sz w:val="24"/>
          <w:szCs w:val="24"/>
        </w:rPr>
        <w:t xml:space="preserve"> through bleaching.  BSO also revealed fatty acid compositio</w:t>
      </w:r>
      <w:r>
        <w:rPr>
          <w:rFonts w:ascii="Times New Roman" w:hAnsi="Times New Roman"/>
          <w:sz w:val="24"/>
          <w:szCs w:val="24"/>
        </w:rPr>
        <w:t xml:space="preserve">n with the highest oleic acid and monounsaturated fatty </w:t>
      </w:r>
      <w:proofErr w:type="gramStart"/>
      <w:r>
        <w:rPr>
          <w:rFonts w:ascii="Times New Roman" w:hAnsi="Times New Roman"/>
          <w:sz w:val="24"/>
          <w:szCs w:val="24"/>
        </w:rPr>
        <w:t xml:space="preserve">acid </w:t>
      </w:r>
      <w:r>
        <w:rPr>
          <w:rFonts w:ascii="Times New Roman" w:hAnsi="Times New Roman"/>
          <w:sz w:val="24"/>
          <w:szCs w:val="24"/>
        </w:rPr>
        <w:t xml:space="preserve"> with</w:t>
      </w:r>
      <w:proofErr w:type="gramEnd"/>
      <w:r>
        <w:rPr>
          <w:rFonts w:ascii="Times New Roman" w:hAnsi="Times New Roman"/>
          <w:sz w:val="24"/>
          <w:szCs w:val="24"/>
        </w:rPr>
        <w:t xml:space="preserve"> highest trans-fatty acid content </w:t>
      </w:r>
      <w:r>
        <w:rPr>
          <w:rFonts w:ascii="Times New Roman" w:hAnsi="Times New Roman"/>
          <w:sz w:val="24"/>
          <w:szCs w:val="24"/>
        </w:rPr>
        <w:t xml:space="preserve">as compared to other refined samples. Oxidative indices revealed </w:t>
      </w:r>
      <w:r>
        <w:rPr>
          <w:rFonts w:ascii="Times New Roman" w:hAnsi="Times New Roman"/>
          <w:sz w:val="24"/>
          <w:szCs w:val="24"/>
        </w:rPr>
        <w:t>N</w:t>
      </w:r>
      <w:r>
        <w:rPr>
          <w:rFonts w:ascii="Times New Roman" w:hAnsi="Times New Roman"/>
          <w:sz w:val="24"/>
          <w:szCs w:val="24"/>
        </w:rPr>
        <w:t xml:space="preserve">SO as most stable against the formation of primary </w:t>
      </w:r>
      <w:r>
        <w:rPr>
          <w:rFonts w:ascii="Times New Roman" w:hAnsi="Times New Roman"/>
          <w:sz w:val="24"/>
          <w:szCs w:val="24"/>
        </w:rPr>
        <w:t xml:space="preserve">and secondary </w:t>
      </w:r>
      <w:r>
        <w:rPr>
          <w:rFonts w:ascii="Times New Roman" w:hAnsi="Times New Roman"/>
          <w:sz w:val="24"/>
          <w:szCs w:val="24"/>
        </w:rPr>
        <w:t>oxidation products</w:t>
      </w:r>
      <w:r>
        <w:rPr>
          <w:rFonts w:ascii="Times New Roman" w:hAnsi="Times New Roman"/>
          <w:sz w:val="24"/>
          <w:szCs w:val="24"/>
        </w:rPr>
        <w:t>, while</w:t>
      </w:r>
      <w:r>
        <w:rPr>
          <w:rFonts w:ascii="Times New Roman" w:hAnsi="Times New Roman"/>
          <w:sz w:val="24"/>
          <w:szCs w:val="24"/>
        </w:rPr>
        <w:t xml:space="preserve"> the formation of secondary oxidation products </w:t>
      </w:r>
      <w:r>
        <w:rPr>
          <w:rFonts w:ascii="Times New Roman" w:hAnsi="Times New Roman"/>
          <w:sz w:val="24"/>
          <w:szCs w:val="24"/>
        </w:rPr>
        <w:t>(</w:t>
      </w:r>
      <w:r>
        <w:rPr>
          <w:rFonts w:cs="Calibri"/>
          <w:sz w:val="24"/>
          <w:szCs w:val="24"/>
        </w:rPr>
        <w:t>ρ</w:t>
      </w:r>
      <w:r>
        <w:rPr>
          <w:rFonts w:ascii="Times New Roman" w:hAnsi="Times New Roman"/>
          <w:sz w:val="24"/>
          <w:szCs w:val="24"/>
        </w:rPr>
        <w:t>-AV and TBAR</w:t>
      </w:r>
      <w:r>
        <w:rPr>
          <w:rFonts w:ascii="Times New Roman" w:hAnsi="Times New Roman"/>
          <w:sz w:val="24"/>
          <w:szCs w:val="24"/>
        </w:rPr>
        <w:t>s) are enhanced during bleaching process</w:t>
      </w:r>
      <w:r>
        <w:rPr>
          <w:rFonts w:ascii="Times New Roman" w:hAnsi="Times New Roman"/>
          <w:sz w:val="24"/>
          <w:szCs w:val="24"/>
        </w:rPr>
        <w:t xml:space="preserve">. Future research should focus on optimizing the </w:t>
      </w:r>
      <w:r>
        <w:rPr>
          <w:rFonts w:ascii="Times New Roman" w:hAnsi="Times New Roman"/>
          <w:sz w:val="24"/>
          <w:szCs w:val="24"/>
        </w:rPr>
        <w:t xml:space="preserve">refining </w:t>
      </w:r>
      <w:r>
        <w:rPr>
          <w:rFonts w:ascii="Times New Roman" w:hAnsi="Times New Roman"/>
          <w:sz w:val="24"/>
          <w:szCs w:val="24"/>
        </w:rPr>
        <w:t>process to improve its stability against the formation of secondary oxidation products</w:t>
      </w:r>
      <w:r>
        <w:rPr>
          <w:rFonts w:ascii="Times New Roman" w:hAnsi="Times New Roman"/>
          <w:sz w:val="24"/>
          <w:szCs w:val="24"/>
        </w:rPr>
        <w:t xml:space="preserve"> and trans </w:t>
      </w:r>
      <w:r>
        <w:rPr>
          <w:rFonts w:ascii="Times New Roman" w:hAnsi="Times New Roman"/>
          <w:sz w:val="24"/>
          <w:szCs w:val="24"/>
        </w:rPr>
        <w:t>fatty acids</w:t>
      </w:r>
      <w:r>
        <w:rPr>
          <w:rFonts w:ascii="Times New Roman" w:hAnsi="Times New Roman"/>
          <w:sz w:val="24"/>
          <w:szCs w:val="24"/>
        </w:rPr>
        <w:t xml:space="preserve">, thereby providing another </w:t>
      </w:r>
      <w:r>
        <w:rPr>
          <w:rFonts w:ascii="Times New Roman" w:hAnsi="Times New Roman"/>
          <w:sz w:val="24"/>
          <w:szCs w:val="24"/>
        </w:rPr>
        <w:t xml:space="preserve">healthy </w:t>
      </w:r>
      <w:r>
        <w:rPr>
          <w:rFonts w:ascii="Times New Roman" w:hAnsi="Times New Roman"/>
          <w:sz w:val="24"/>
          <w:szCs w:val="24"/>
        </w:rPr>
        <w:t>vegetable oil source for food formulations.</w:t>
      </w: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b/>
          <w:sz w:val="24"/>
          <w:szCs w:val="24"/>
        </w:rPr>
      </w:pPr>
      <w:r>
        <w:rPr>
          <w:rFonts w:ascii="Times New Roman" w:hAnsi="Times New Roman"/>
          <w:b/>
          <w:sz w:val="24"/>
          <w:szCs w:val="24"/>
        </w:rPr>
        <w:t>Competing Interests</w:t>
      </w:r>
    </w:p>
    <w:p w:rsidR="00D543E5" w:rsidRDefault="00A95B9D">
      <w:pPr>
        <w:spacing w:before="0" w:beforeAutospacing="0" w:after="0" w:line="240" w:lineRule="auto"/>
        <w:ind w:left="720"/>
        <w:jc w:val="both"/>
        <w:rPr>
          <w:rFonts w:ascii="Times New Roman" w:hAnsi="Times New Roman"/>
          <w:sz w:val="24"/>
          <w:szCs w:val="24"/>
        </w:rPr>
      </w:pPr>
      <w:proofErr w:type="spellStart"/>
      <w:r>
        <w:rPr>
          <w:rFonts w:ascii="Times New Roman" w:hAnsi="Times New Roman"/>
          <w:sz w:val="24"/>
          <w:szCs w:val="24"/>
        </w:rPr>
        <w:t>Authours</w:t>
      </w:r>
      <w:proofErr w:type="spellEnd"/>
      <w:r>
        <w:rPr>
          <w:rFonts w:ascii="Times New Roman" w:hAnsi="Times New Roman"/>
          <w:sz w:val="24"/>
          <w:szCs w:val="24"/>
        </w:rPr>
        <w:t xml:space="preserve"> have declared that no competing interest exist.</w:t>
      </w:r>
    </w:p>
    <w:p w:rsidR="00E60300" w:rsidRDefault="00E60300" w:rsidP="00E60300">
      <w:pPr>
        <w:rPr>
          <w:rFonts w:asciiTheme="minorHAnsi" w:hAnsiTheme="minorHAnsi"/>
          <w:highlight w:val="yellow"/>
        </w:rPr>
      </w:pPr>
      <w:r>
        <w:rPr>
          <w:highlight w:val="yellow"/>
        </w:rPr>
        <w:t>Disclaimer (Artificial intelligence)</w:t>
      </w:r>
    </w:p>
    <w:p w:rsidR="00E60300" w:rsidRDefault="00E60300" w:rsidP="00E60300">
      <w:pPr>
        <w:rPr>
          <w:highlight w:val="yellow"/>
        </w:rPr>
      </w:pPr>
      <w:r>
        <w:rPr>
          <w:highlight w:val="yellow"/>
        </w:rPr>
        <w:t xml:space="preserve">Option 1: </w:t>
      </w:r>
    </w:p>
    <w:p w:rsidR="00E60300" w:rsidRDefault="00E60300" w:rsidP="00E6030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60300" w:rsidRDefault="00E60300">
      <w:pPr>
        <w:spacing w:before="0" w:beforeAutospacing="0" w:after="0" w:line="240" w:lineRule="auto"/>
        <w:ind w:left="720"/>
        <w:jc w:val="both"/>
        <w:rPr>
          <w:rFonts w:ascii="Times New Roman" w:hAnsi="Times New Roman"/>
          <w:sz w:val="24"/>
          <w:szCs w:val="24"/>
        </w:rPr>
      </w:pPr>
      <w:bookmarkStart w:id="0" w:name="_GoBack"/>
      <w:bookmarkEnd w:id="0"/>
    </w:p>
    <w:p w:rsidR="00D543E5" w:rsidRDefault="00A95B9D">
      <w:pPr>
        <w:spacing w:line="240" w:lineRule="auto"/>
        <w:ind w:left="720"/>
        <w:rPr>
          <w:rFonts w:ascii="Times New Roman" w:hAnsi="Times New Roman"/>
          <w:b/>
          <w:sz w:val="24"/>
          <w:szCs w:val="24"/>
        </w:rPr>
      </w:pPr>
      <w:r>
        <w:rPr>
          <w:rFonts w:ascii="Times New Roman" w:hAnsi="Times New Roman"/>
          <w:b/>
          <w:sz w:val="24"/>
          <w:szCs w:val="24"/>
        </w:rPr>
        <w:t>References</w:t>
      </w:r>
    </w:p>
    <w:p w:rsidR="00D543E5" w:rsidRPr="00FE0D90" w:rsidRDefault="00A95B9D" w:rsidP="00FE0D90">
      <w:pPr>
        <w:pStyle w:val="ListParagraph"/>
        <w:numPr>
          <w:ilvl w:val="0"/>
          <w:numId w:val="1"/>
        </w:numPr>
        <w:spacing w:before="0" w:beforeAutospacing="0" w:after="0" w:line="240" w:lineRule="auto"/>
        <w:jc w:val="both"/>
        <w:rPr>
          <w:rFonts w:ascii="Times New Roman" w:hAnsi="Times New Roman"/>
          <w:sz w:val="24"/>
          <w:szCs w:val="24"/>
        </w:rPr>
      </w:pPr>
      <w:r w:rsidRPr="00FE0D90">
        <w:rPr>
          <w:rFonts w:ascii="Times New Roman" w:hAnsi="Times New Roman"/>
          <w:sz w:val="24"/>
          <w:szCs w:val="24"/>
        </w:rPr>
        <w:t>Abdel-</w:t>
      </w:r>
      <w:proofErr w:type="spellStart"/>
      <w:r w:rsidRPr="00FE0D90">
        <w:rPr>
          <w:rFonts w:ascii="Times New Roman" w:hAnsi="Times New Roman"/>
          <w:sz w:val="24"/>
          <w:szCs w:val="24"/>
        </w:rPr>
        <w:t>Razek</w:t>
      </w:r>
      <w:proofErr w:type="spellEnd"/>
      <w:r w:rsidRPr="00FE0D90">
        <w:rPr>
          <w:rFonts w:ascii="Times New Roman" w:hAnsi="Times New Roman"/>
          <w:sz w:val="24"/>
          <w:szCs w:val="24"/>
        </w:rPr>
        <w:t>, A. G., Abo-</w:t>
      </w:r>
      <w:proofErr w:type="spellStart"/>
      <w:r w:rsidRPr="00FE0D90">
        <w:rPr>
          <w:rFonts w:ascii="Times New Roman" w:hAnsi="Times New Roman"/>
          <w:sz w:val="24"/>
          <w:szCs w:val="24"/>
        </w:rPr>
        <w:t>Elwafa</w:t>
      </w:r>
      <w:proofErr w:type="spellEnd"/>
      <w:r w:rsidRPr="00FE0D90">
        <w:rPr>
          <w:rFonts w:ascii="Times New Roman" w:hAnsi="Times New Roman"/>
          <w:sz w:val="24"/>
          <w:szCs w:val="24"/>
        </w:rPr>
        <w:t>, G. A., Al-</w:t>
      </w:r>
      <w:proofErr w:type="spellStart"/>
      <w:r w:rsidRPr="00FE0D90">
        <w:rPr>
          <w:rFonts w:ascii="Times New Roman" w:hAnsi="Times New Roman"/>
          <w:sz w:val="24"/>
          <w:szCs w:val="24"/>
        </w:rPr>
        <w:t>Amrousi</w:t>
      </w:r>
      <w:proofErr w:type="spellEnd"/>
      <w:r w:rsidRPr="00FE0D90">
        <w:rPr>
          <w:rFonts w:ascii="Times New Roman" w:hAnsi="Times New Roman"/>
          <w:sz w:val="24"/>
          <w:szCs w:val="24"/>
        </w:rPr>
        <w:t xml:space="preserve">, E. F., </w:t>
      </w:r>
      <w:proofErr w:type="spellStart"/>
      <w:r w:rsidRPr="00FE0D90">
        <w:rPr>
          <w:rFonts w:ascii="Times New Roman" w:hAnsi="Times New Roman"/>
          <w:sz w:val="24"/>
          <w:szCs w:val="24"/>
        </w:rPr>
        <w:t>Badr</w:t>
      </w:r>
      <w:proofErr w:type="spellEnd"/>
      <w:r w:rsidRPr="00FE0D90">
        <w:rPr>
          <w:rFonts w:ascii="Times New Roman" w:hAnsi="Times New Roman"/>
          <w:sz w:val="24"/>
          <w:szCs w:val="24"/>
        </w:rPr>
        <w:t xml:space="preserve">, A. N., </w:t>
      </w:r>
      <w:proofErr w:type="spellStart"/>
      <w:r w:rsidRPr="00FE0D90">
        <w:rPr>
          <w:rFonts w:ascii="Times New Roman" w:hAnsi="Times New Roman"/>
          <w:sz w:val="24"/>
          <w:szCs w:val="24"/>
        </w:rPr>
        <w:t>Hassanein</w:t>
      </w:r>
      <w:proofErr w:type="spellEnd"/>
      <w:r w:rsidRPr="00FE0D90">
        <w:rPr>
          <w:rFonts w:ascii="Times New Roman" w:hAnsi="Times New Roman"/>
          <w:sz w:val="24"/>
          <w:szCs w:val="24"/>
        </w:rPr>
        <w:t xml:space="preserve">, M. M. M., Qian, Y., </w:t>
      </w:r>
      <w:proofErr w:type="spellStart"/>
      <w:r w:rsidRPr="00FE0D90">
        <w:rPr>
          <w:rFonts w:ascii="Times New Roman" w:hAnsi="Times New Roman"/>
          <w:sz w:val="24"/>
          <w:szCs w:val="24"/>
        </w:rPr>
        <w:t>Siger</w:t>
      </w:r>
      <w:proofErr w:type="spellEnd"/>
      <w:r w:rsidRPr="00FE0D90">
        <w:rPr>
          <w:rFonts w:ascii="Times New Roman" w:hAnsi="Times New Roman"/>
          <w:sz w:val="24"/>
          <w:szCs w:val="24"/>
        </w:rPr>
        <w:t xml:space="preserve">, A., </w:t>
      </w:r>
      <w:proofErr w:type="spellStart"/>
      <w:r w:rsidRPr="00FE0D90">
        <w:rPr>
          <w:rFonts w:ascii="Times New Roman" w:hAnsi="Times New Roman"/>
          <w:sz w:val="24"/>
          <w:szCs w:val="24"/>
        </w:rPr>
        <w:t>Grygier</w:t>
      </w:r>
      <w:proofErr w:type="spellEnd"/>
      <w:r w:rsidRPr="00FE0D90">
        <w:rPr>
          <w:rFonts w:ascii="Times New Roman" w:hAnsi="Times New Roman"/>
          <w:sz w:val="24"/>
          <w:szCs w:val="24"/>
        </w:rPr>
        <w:t xml:space="preserve">, A., </w:t>
      </w:r>
      <w:proofErr w:type="spellStart"/>
      <w:r w:rsidRPr="00FE0D90">
        <w:rPr>
          <w:rFonts w:ascii="Times New Roman" w:hAnsi="Times New Roman"/>
          <w:sz w:val="24"/>
          <w:szCs w:val="24"/>
        </w:rPr>
        <w:t>Radziejewska-Kubzdela</w:t>
      </w:r>
      <w:proofErr w:type="spellEnd"/>
      <w:r w:rsidRPr="00FE0D90">
        <w:rPr>
          <w:rFonts w:ascii="Times New Roman" w:hAnsi="Times New Roman"/>
          <w:sz w:val="24"/>
          <w:szCs w:val="24"/>
        </w:rPr>
        <w:t xml:space="preserve">, </w:t>
      </w:r>
      <w:proofErr w:type="spellStart"/>
      <w:proofErr w:type="gramStart"/>
      <w:r w:rsidRPr="00FE0D90">
        <w:rPr>
          <w:rFonts w:ascii="Times New Roman" w:hAnsi="Times New Roman"/>
          <w:sz w:val="24"/>
          <w:szCs w:val="24"/>
        </w:rPr>
        <w:t>E.,and</w:t>
      </w:r>
      <w:proofErr w:type="spellEnd"/>
      <w:proofErr w:type="gramEnd"/>
      <w:r w:rsidRPr="00FE0D90">
        <w:rPr>
          <w:rFonts w:ascii="Times New Roman" w:hAnsi="Times New Roman"/>
          <w:sz w:val="24"/>
          <w:szCs w:val="24"/>
        </w:rPr>
        <w:t xml:space="preserve"> </w:t>
      </w:r>
      <w:proofErr w:type="spellStart"/>
      <w:r w:rsidRPr="00FE0D90">
        <w:rPr>
          <w:rFonts w:ascii="Times New Roman" w:hAnsi="Times New Roman"/>
          <w:sz w:val="24"/>
          <w:szCs w:val="24"/>
        </w:rPr>
        <w:t>Rudzińska</w:t>
      </w:r>
      <w:proofErr w:type="spellEnd"/>
      <w:r w:rsidRPr="00FE0D90">
        <w:rPr>
          <w:rFonts w:ascii="Times New Roman" w:hAnsi="Times New Roman"/>
          <w:sz w:val="24"/>
          <w:szCs w:val="24"/>
        </w:rPr>
        <w:t xml:space="preserve">, M. </w:t>
      </w:r>
      <w:r w:rsidRPr="00FE0D90">
        <w:rPr>
          <w:rFonts w:ascii="Times New Roman" w:hAnsi="Times New Roman"/>
          <w:sz w:val="24"/>
          <w:szCs w:val="24"/>
        </w:rPr>
        <w:lastRenderedPageBreak/>
        <w:t>(2023). Effect of refining and fractionation processes on minor components, fatty acid</w:t>
      </w:r>
      <w:r w:rsidRPr="00FE0D90">
        <w:rPr>
          <w:rFonts w:ascii="Times New Roman" w:hAnsi="Times New Roman"/>
          <w:sz w:val="24"/>
          <w:szCs w:val="24"/>
        </w:rPr>
        <w:t xml:space="preserve">s, antioxidant and antimicrobial activities of shea butter. </w:t>
      </w:r>
      <w:r w:rsidRPr="00FE0D90">
        <w:rPr>
          <w:rFonts w:ascii="Times New Roman" w:hAnsi="Times New Roman"/>
          <w:i/>
          <w:sz w:val="24"/>
          <w:szCs w:val="24"/>
        </w:rPr>
        <w:t>Foods, 12</w:t>
      </w:r>
      <w:r w:rsidRPr="00FE0D90">
        <w:rPr>
          <w:rFonts w:ascii="Times New Roman" w:hAnsi="Times New Roman"/>
          <w:sz w:val="24"/>
          <w:szCs w:val="24"/>
        </w:rPr>
        <w:t>(8), 1626.</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proofErr w:type="spellStart"/>
      <w:r w:rsidRPr="00FE0D90">
        <w:rPr>
          <w:rFonts w:ascii="Times New Roman" w:hAnsi="Times New Roman"/>
          <w:color w:val="222222"/>
          <w:sz w:val="24"/>
          <w:szCs w:val="24"/>
          <w:shd w:val="clear" w:color="auto" w:fill="FFFFFF"/>
        </w:rPr>
        <w:t>Almoselhy</w:t>
      </w:r>
      <w:proofErr w:type="spellEnd"/>
      <w:r w:rsidRPr="00FE0D90">
        <w:rPr>
          <w:rFonts w:ascii="Times New Roman" w:hAnsi="Times New Roman"/>
          <w:color w:val="222222"/>
          <w:sz w:val="24"/>
          <w:szCs w:val="24"/>
          <w:shd w:val="clear" w:color="auto" w:fill="FFFFFF"/>
        </w:rPr>
        <w:t>, R. I. (2022). Application of nanotechnology for optimization of bleaching efficiency of edible oils. </w:t>
      </w:r>
      <w:r w:rsidRPr="00FE0D90">
        <w:rPr>
          <w:rFonts w:ascii="Times New Roman" w:hAnsi="Times New Roman"/>
          <w:i/>
          <w:iCs/>
          <w:color w:val="222222"/>
          <w:sz w:val="24"/>
          <w:szCs w:val="24"/>
          <w:shd w:val="clear" w:color="auto" w:fill="FFFFFF"/>
        </w:rPr>
        <w:t>Open Access J Sci</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5</w:t>
      </w:r>
      <w:r w:rsidRPr="00FE0D90">
        <w:rPr>
          <w:rFonts w:ascii="Times New Roman" w:hAnsi="Times New Roman"/>
          <w:color w:val="222222"/>
          <w:sz w:val="24"/>
          <w:szCs w:val="24"/>
          <w:shd w:val="clear" w:color="auto" w:fill="FFFFFF"/>
        </w:rPr>
        <w:t>(1), 29-30.</w:t>
      </w:r>
    </w:p>
    <w:p w:rsidR="00D543E5" w:rsidRDefault="00A95B9D" w:rsidP="00FE0D90">
      <w:pPr>
        <w:pStyle w:val="EndNoteBibliography"/>
        <w:numPr>
          <w:ilvl w:val="0"/>
          <w:numId w:val="1"/>
        </w:numPr>
        <w:spacing w:after="2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OAC. (2012). Peroxide Value of Oils and Fats, in Official Methods of Analysis of AOAC International, 19th Ed., AOAC International, Gaithersburg, MD. </w:t>
      </w:r>
    </w:p>
    <w:p w:rsidR="00D543E5" w:rsidRDefault="00A95B9D" w:rsidP="00FE0D90">
      <w:pPr>
        <w:pStyle w:val="EndNoteBibliography"/>
        <w:numPr>
          <w:ilvl w:val="0"/>
          <w:numId w:val="1"/>
        </w:numPr>
        <w:spacing w:after="240"/>
        <w:rPr>
          <w:rFonts w:ascii="Times New Roman" w:hAnsi="Times New Roman" w:cs="Times New Roman"/>
          <w:sz w:val="24"/>
          <w:szCs w:val="24"/>
        </w:rPr>
      </w:pPr>
      <w:r>
        <w:rPr>
          <w:rFonts w:ascii="Times New Roman" w:hAnsi="Times New Roman" w:cs="Times New Roman"/>
          <w:sz w:val="24"/>
          <w:szCs w:val="24"/>
        </w:rPr>
        <w:t>AOCS. (1995). Official methods and recommended practices of the American Oil Chemists' Society (Method Cd</w:t>
      </w:r>
      <w:r>
        <w:rPr>
          <w:rFonts w:ascii="Times New Roman" w:hAnsi="Times New Roman" w:cs="Times New Roman"/>
          <w:sz w:val="24"/>
          <w:szCs w:val="24"/>
        </w:rPr>
        <w:t xml:space="preserve"> 18-90). AOCS Press. </w:t>
      </w:r>
    </w:p>
    <w:p w:rsidR="00D543E5" w:rsidRPr="00FE0D90" w:rsidRDefault="00A95B9D" w:rsidP="00FE0D90">
      <w:pPr>
        <w:pStyle w:val="ListParagraph"/>
        <w:numPr>
          <w:ilvl w:val="0"/>
          <w:numId w:val="1"/>
        </w:numPr>
        <w:autoSpaceDE w:val="0"/>
        <w:autoSpaceDN w:val="0"/>
        <w:adjustRightInd w:val="0"/>
        <w:spacing w:after="0" w:line="240" w:lineRule="auto"/>
        <w:rPr>
          <w:rFonts w:ascii="Times New Roman" w:hAnsi="Times New Roman"/>
          <w:sz w:val="24"/>
          <w:szCs w:val="24"/>
        </w:rPr>
      </w:pPr>
      <w:r w:rsidRPr="00FE0D90">
        <w:rPr>
          <w:rFonts w:ascii="Times New Roman" w:hAnsi="Times New Roman"/>
          <w:sz w:val="24"/>
          <w:szCs w:val="24"/>
        </w:rPr>
        <w:t xml:space="preserve">Azad, M., et al. (2021). "Impact of fractionation on fatty acids composition, phenolic compounds, antioxidant characteristics of olein and super olein fractions of flaxseed oil." Journal of Food Processing and Preservation </w:t>
      </w:r>
      <w:r w:rsidRPr="00FE0D90">
        <w:rPr>
          <w:rFonts w:ascii="Times New Roman" w:hAnsi="Times New Roman"/>
          <w:b/>
          <w:bCs/>
          <w:sz w:val="24"/>
          <w:szCs w:val="24"/>
        </w:rPr>
        <w:t>45</w:t>
      </w:r>
      <w:r w:rsidRPr="00FE0D90">
        <w:rPr>
          <w:rFonts w:ascii="Times New Roman" w:hAnsi="Times New Roman"/>
          <w:sz w:val="24"/>
          <w:szCs w:val="24"/>
        </w:rPr>
        <w:t>(4): e153</w:t>
      </w:r>
      <w:r w:rsidRPr="00FE0D90">
        <w:rPr>
          <w:rFonts w:ascii="Times New Roman" w:hAnsi="Times New Roman"/>
          <w:sz w:val="24"/>
          <w:szCs w:val="24"/>
        </w:rPr>
        <w:t>69.</w:t>
      </w:r>
    </w:p>
    <w:p w:rsidR="00D543E5" w:rsidRPr="00FE0D90" w:rsidRDefault="00A95B9D" w:rsidP="00FE0D90">
      <w:pPr>
        <w:pStyle w:val="ListParagraph"/>
        <w:numPr>
          <w:ilvl w:val="0"/>
          <w:numId w:val="1"/>
        </w:numPr>
        <w:jc w:val="both"/>
        <w:rPr>
          <w:rFonts w:ascii="Times New Roman" w:hAnsi="Times New Roman"/>
          <w:sz w:val="24"/>
          <w:szCs w:val="24"/>
        </w:rPr>
      </w:pPr>
      <w:proofErr w:type="spellStart"/>
      <w:r w:rsidRPr="00FE0D90">
        <w:rPr>
          <w:rFonts w:ascii="Times New Roman" w:hAnsi="Times New Roman"/>
          <w:sz w:val="24"/>
          <w:szCs w:val="24"/>
        </w:rPr>
        <w:t>Fadda</w:t>
      </w:r>
      <w:proofErr w:type="spellEnd"/>
      <w:r w:rsidRPr="00FE0D90">
        <w:rPr>
          <w:rFonts w:ascii="Times New Roman" w:hAnsi="Times New Roman"/>
          <w:sz w:val="24"/>
          <w:szCs w:val="24"/>
        </w:rPr>
        <w:t xml:space="preserve">, A., </w:t>
      </w:r>
      <w:proofErr w:type="spellStart"/>
      <w:r w:rsidRPr="00FE0D90">
        <w:rPr>
          <w:rFonts w:ascii="Times New Roman" w:hAnsi="Times New Roman"/>
          <w:sz w:val="24"/>
          <w:szCs w:val="24"/>
        </w:rPr>
        <w:t>Sanna</w:t>
      </w:r>
      <w:proofErr w:type="spellEnd"/>
      <w:r w:rsidRPr="00FE0D90">
        <w:rPr>
          <w:rFonts w:ascii="Times New Roman" w:hAnsi="Times New Roman"/>
          <w:sz w:val="24"/>
          <w:szCs w:val="24"/>
        </w:rPr>
        <w:t xml:space="preserve">, D., Sakar, E. H., </w:t>
      </w:r>
      <w:proofErr w:type="spellStart"/>
      <w:r w:rsidRPr="00FE0D90">
        <w:rPr>
          <w:rFonts w:ascii="Times New Roman" w:hAnsi="Times New Roman"/>
          <w:sz w:val="24"/>
          <w:szCs w:val="24"/>
        </w:rPr>
        <w:t>Gharby</w:t>
      </w:r>
      <w:proofErr w:type="spellEnd"/>
      <w:r w:rsidRPr="00FE0D90">
        <w:rPr>
          <w:rFonts w:ascii="Times New Roman" w:hAnsi="Times New Roman"/>
          <w:sz w:val="24"/>
          <w:szCs w:val="24"/>
        </w:rPr>
        <w:t xml:space="preserve">, S., </w:t>
      </w:r>
      <w:proofErr w:type="spellStart"/>
      <w:r w:rsidRPr="00FE0D90">
        <w:rPr>
          <w:rFonts w:ascii="Times New Roman" w:hAnsi="Times New Roman"/>
          <w:sz w:val="24"/>
          <w:szCs w:val="24"/>
        </w:rPr>
        <w:t>Mulas</w:t>
      </w:r>
      <w:proofErr w:type="spellEnd"/>
      <w:r w:rsidRPr="00FE0D90">
        <w:rPr>
          <w:rFonts w:ascii="Times New Roman" w:hAnsi="Times New Roman"/>
          <w:sz w:val="24"/>
          <w:szCs w:val="24"/>
        </w:rPr>
        <w:t xml:space="preserve">, M., </w:t>
      </w:r>
      <w:proofErr w:type="spellStart"/>
      <w:r w:rsidRPr="00FE0D90">
        <w:rPr>
          <w:rFonts w:ascii="Times New Roman" w:hAnsi="Times New Roman"/>
          <w:sz w:val="24"/>
          <w:szCs w:val="24"/>
        </w:rPr>
        <w:t>Medda</w:t>
      </w:r>
      <w:proofErr w:type="spellEnd"/>
      <w:r w:rsidRPr="00FE0D90">
        <w:rPr>
          <w:rFonts w:ascii="Times New Roman" w:hAnsi="Times New Roman"/>
          <w:sz w:val="24"/>
          <w:szCs w:val="24"/>
        </w:rPr>
        <w:t xml:space="preserve">, S., </w:t>
      </w:r>
      <w:proofErr w:type="spellStart"/>
      <w:r w:rsidRPr="00FE0D90">
        <w:rPr>
          <w:rFonts w:ascii="Times New Roman" w:hAnsi="Times New Roman"/>
          <w:sz w:val="24"/>
          <w:szCs w:val="24"/>
        </w:rPr>
        <w:t>Yesilcubuk</w:t>
      </w:r>
      <w:proofErr w:type="spellEnd"/>
      <w:r w:rsidRPr="00FE0D90">
        <w:rPr>
          <w:rFonts w:ascii="Times New Roman" w:hAnsi="Times New Roman"/>
          <w:sz w:val="24"/>
          <w:szCs w:val="24"/>
        </w:rPr>
        <w:t xml:space="preserve">, N.S., </w:t>
      </w:r>
      <w:proofErr w:type="spellStart"/>
      <w:r w:rsidRPr="00FE0D90">
        <w:rPr>
          <w:rFonts w:ascii="Times New Roman" w:hAnsi="Times New Roman"/>
          <w:sz w:val="24"/>
          <w:szCs w:val="24"/>
        </w:rPr>
        <w:t>Karaca</w:t>
      </w:r>
      <w:proofErr w:type="spellEnd"/>
      <w:r w:rsidRPr="00FE0D90">
        <w:rPr>
          <w:rFonts w:ascii="Times New Roman" w:hAnsi="Times New Roman"/>
          <w:sz w:val="24"/>
          <w:szCs w:val="24"/>
        </w:rPr>
        <w:t xml:space="preserve">, A.C., </w:t>
      </w:r>
      <w:proofErr w:type="spellStart"/>
      <w:r w:rsidRPr="00FE0D90">
        <w:rPr>
          <w:rFonts w:ascii="Times New Roman" w:hAnsi="Times New Roman"/>
          <w:sz w:val="24"/>
          <w:szCs w:val="24"/>
        </w:rPr>
        <w:t>Gozukirmizi</w:t>
      </w:r>
      <w:proofErr w:type="spellEnd"/>
      <w:r w:rsidRPr="00FE0D90">
        <w:rPr>
          <w:rFonts w:ascii="Times New Roman" w:hAnsi="Times New Roman"/>
          <w:sz w:val="24"/>
          <w:szCs w:val="24"/>
        </w:rPr>
        <w:t xml:space="preserve">, C.K., Lucarini, </w:t>
      </w:r>
      <w:proofErr w:type="spellStart"/>
      <w:r w:rsidRPr="00FE0D90">
        <w:rPr>
          <w:rFonts w:ascii="Times New Roman" w:hAnsi="Times New Roman"/>
          <w:sz w:val="24"/>
          <w:szCs w:val="24"/>
        </w:rPr>
        <w:t>M.and</w:t>
      </w:r>
      <w:proofErr w:type="spellEnd"/>
      <w:r w:rsidRPr="00FE0D90">
        <w:rPr>
          <w:rFonts w:ascii="Times New Roman" w:hAnsi="Times New Roman"/>
          <w:sz w:val="24"/>
          <w:szCs w:val="24"/>
        </w:rPr>
        <w:t xml:space="preserve"> Durazzo, A. (2022). Innovative and sustainable technologies to enhance the oxidative stability of vegetable oils. </w:t>
      </w:r>
      <w:r w:rsidRPr="00FE0D90">
        <w:rPr>
          <w:rFonts w:ascii="Times New Roman" w:hAnsi="Times New Roman"/>
          <w:i/>
          <w:sz w:val="24"/>
          <w:szCs w:val="24"/>
        </w:rPr>
        <w:t>S</w:t>
      </w:r>
      <w:r w:rsidRPr="00FE0D90">
        <w:rPr>
          <w:rFonts w:ascii="Times New Roman" w:hAnsi="Times New Roman"/>
          <w:i/>
          <w:sz w:val="24"/>
          <w:szCs w:val="24"/>
        </w:rPr>
        <w:t>ustainability,</w:t>
      </w:r>
      <w:r w:rsidRPr="00FE0D90">
        <w:rPr>
          <w:rFonts w:ascii="Times New Roman" w:hAnsi="Times New Roman"/>
          <w:sz w:val="24"/>
          <w:szCs w:val="24"/>
        </w:rPr>
        <w:t xml:space="preserve"> </w:t>
      </w:r>
      <w:r w:rsidRPr="00FE0D90">
        <w:rPr>
          <w:rFonts w:ascii="Times New Roman" w:hAnsi="Times New Roman"/>
          <w:b/>
          <w:sz w:val="24"/>
          <w:szCs w:val="24"/>
        </w:rPr>
        <w:t>14</w:t>
      </w:r>
      <w:r w:rsidRPr="00FE0D90">
        <w:rPr>
          <w:rFonts w:ascii="Times New Roman" w:hAnsi="Times New Roman"/>
          <w:sz w:val="24"/>
          <w:szCs w:val="24"/>
        </w:rPr>
        <w:t>(2), 849</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proofErr w:type="spellStart"/>
      <w:r w:rsidRPr="00FE0D90">
        <w:rPr>
          <w:rFonts w:ascii="Times New Roman" w:hAnsi="Times New Roman"/>
          <w:color w:val="222222"/>
          <w:sz w:val="24"/>
          <w:szCs w:val="24"/>
          <w:shd w:val="clear" w:color="auto" w:fill="FFFFFF"/>
        </w:rPr>
        <w:t>Gharby</w:t>
      </w:r>
      <w:proofErr w:type="spellEnd"/>
      <w:r w:rsidRPr="00FE0D90">
        <w:rPr>
          <w:rFonts w:ascii="Times New Roman" w:hAnsi="Times New Roman"/>
          <w:color w:val="222222"/>
          <w:sz w:val="24"/>
          <w:szCs w:val="24"/>
          <w:shd w:val="clear" w:color="auto" w:fill="FFFFFF"/>
        </w:rPr>
        <w:t>, S. (2022). Refining vegetable oils: Chemical and physical refining. </w:t>
      </w:r>
      <w:r w:rsidRPr="00FE0D90">
        <w:rPr>
          <w:rFonts w:ascii="Times New Roman" w:hAnsi="Times New Roman"/>
          <w:i/>
          <w:iCs/>
          <w:color w:val="222222"/>
          <w:sz w:val="24"/>
          <w:szCs w:val="24"/>
          <w:shd w:val="clear" w:color="auto" w:fill="FFFFFF"/>
        </w:rPr>
        <w:t>The Scientific World Journal</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2022</w:t>
      </w:r>
      <w:r w:rsidRPr="00FE0D90">
        <w:rPr>
          <w:rFonts w:ascii="Times New Roman" w:hAnsi="Times New Roman"/>
          <w:color w:val="222222"/>
          <w:sz w:val="24"/>
          <w:szCs w:val="24"/>
          <w:shd w:val="clear" w:color="auto" w:fill="FFFFFF"/>
        </w:rPr>
        <w:t>(1), 6627013.</w:t>
      </w:r>
    </w:p>
    <w:p w:rsidR="00D543E5" w:rsidRPr="00FE0D90" w:rsidRDefault="00A95B9D" w:rsidP="00FE0D90">
      <w:pPr>
        <w:pStyle w:val="ListParagraph"/>
        <w:numPr>
          <w:ilvl w:val="0"/>
          <w:numId w:val="1"/>
        </w:numPr>
        <w:jc w:val="both"/>
        <w:rPr>
          <w:rFonts w:asciiTheme="minorHAnsi" w:hAnsiTheme="minorHAnsi" w:cstheme="minorBidi"/>
        </w:rPr>
      </w:pPr>
      <w:proofErr w:type="spellStart"/>
      <w:r w:rsidRPr="00FE0D90">
        <w:rPr>
          <w:rFonts w:ascii="Times New Roman" w:hAnsi="Times New Roman"/>
          <w:color w:val="222222"/>
          <w:sz w:val="24"/>
          <w:szCs w:val="24"/>
          <w:shd w:val="clear" w:color="auto" w:fill="FFFFFF"/>
        </w:rPr>
        <w:t>Goumbri</w:t>
      </w:r>
      <w:proofErr w:type="spellEnd"/>
      <w:r w:rsidRPr="00FE0D90">
        <w:rPr>
          <w:rFonts w:ascii="Times New Roman" w:hAnsi="Times New Roman"/>
          <w:color w:val="222222"/>
          <w:sz w:val="24"/>
          <w:szCs w:val="24"/>
          <w:shd w:val="clear" w:color="auto" w:fill="FFFFFF"/>
        </w:rPr>
        <w:t xml:space="preserve">, B. W., </w:t>
      </w:r>
      <w:proofErr w:type="spellStart"/>
      <w:r w:rsidRPr="00FE0D90">
        <w:rPr>
          <w:rFonts w:ascii="Times New Roman" w:hAnsi="Times New Roman"/>
          <w:color w:val="222222"/>
          <w:sz w:val="24"/>
          <w:szCs w:val="24"/>
          <w:shd w:val="clear" w:color="auto" w:fill="FFFFFF"/>
        </w:rPr>
        <w:t>Kouassi</w:t>
      </w:r>
      <w:proofErr w:type="spellEnd"/>
      <w:r w:rsidRPr="00FE0D90">
        <w:rPr>
          <w:rFonts w:ascii="Times New Roman" w:hAnsi="Times New Roman"/>
          <w:color w:val="222222"/>
          <w:sz w:val="24"/>
          <w:szCs w:val="24"/>
          <w:shd w:val="clear" w:color="auto" w:fill="FFFFFF"/>
        </w:rPr>
        <w:t xml:space="preserve">, A. K., </w:t>
      </w:r>
      <w:proofErr w:type="spellStart"/>
      <w:r w:rsidRPr="00FE0D90">
        <w:rPr>
          <w:rFonts w:ascii="Times New Roman" w:hAnsi="Times New Roman"/>
          <w:color w:val="222222"/>
          <w:sz w:val="24"/>
          <w:szCs w:val="24"/>
          <w:shd w:val="clear" w:color="auto" w:fill="FFFFFF"/>
        </w:rPr>
        <w:t>Djang’eing’a</w:t>
      </w:r>
      <w:proofErr w:type="spellEnd"/>
      <w:r w:rsidRPr="00FE0D90">
        <w:rPr>
          <w:rFonts w:ascii="Times New Roman" w:hAnsi="Times New Roman"/>
          <w:color w:val="222222"/>
          <w:sz w:val="24"/>
          <w:szCs w:val="24"/>
          <w:shd w:val="clear" w:color="auto" w:fill="FFFFFF"/>
        </w:rPr>
        <w:t xml:space="preserve">, R. M., </w:t>
      </w:r>
      <w:proofErr w:type="spellStart"/>
      <w:r w:rsidRPr="00FE0D90">
        <w:rPr>
          <w:rFonts w:ascii="Times New Roman" w:hAnsi="Times New Roman"/>
          <w:color w:val="222222"/>
          <w:sz w:val="24"/>
          <w:szCs w:val="24"/>
          <w:shd w:val="clear" w:color="auto" w:fill="FFFFFF"/>
        </w:rPr>
        <w:t>Semde</w:t>
      </w:r>
      <w:proofErr w:type="spellEnd"/>
      <w:r w:rsidRPr="00FE0D90">
        <w:rPr>
          <w:rFonts w:ascii="Times New Roman" w:hAnsi="Times New Roman"/>
          <w:color w:val="222222"/>
          <w:sz w:val="24"/>
          <w:szCs w:val="24"/>
          <w:shd w:val="clear" w:color="auto" w:fill="FFFFFF"/>
        </w:rPr>
        <w:t xml:space="preserve">, R., </w:t>
      </w:r>
      <w:proofErr w:type="spellStart"/>
      <w:r w:rsidRPr="00FE0D90">
        <w:rPr>
          <w:rFonts w:ascii="Times New Roman" w:hAnsi="Times New Roman"/>
          <w:color w:val="222222"/>
          <w:sz w:val="24"/>
          <w:szCs w:val="24"/>
          <w:shd w:val="clear" w:color="auto" w:fill="FFFFFF"/>
        </w:rPr>
        <w:t>Mouithys-Mickalad</w:t>
      </w:r>
      <w:proofErr w:type="spellEnd"/>
      <w:r w:rsidRPr="00FE0D90">
        <w:rPr>
          <w:rFonts w:ascii="Times New Roman" w:hAnsi="Times New Roman"/>
          <w:color w:val="222222"/>
          <w:sz w:val="24"/>
          <w:szCs w:val="24"/>
          <w:shd w:val="clear" w:color="auto" w:fill="FFFFFF"/>
        </w:rPr>
        <w:t xml:space="preserve">, A., </w:t>
      </w:r>
      <w:proofErr w:type="spellStart"/>
      <w:r w:rsidRPr="00FE0D90">
        <w:rPr>
          <w:rFonts w:ascii="Times New Roman" w:hAnsi="Times New Roman"/>
          <w:color w:val="222222"/>
          <w:sz w:val="24"/>
          <w:szCs w:val="24"/>
          <w:shd w:val="clear" w:color="auto" w:fill="FFFFFF"/>
        </w:rPr>
        <w:t>Sakira</w:t>
      </w:r>
      <w:proofErr w:type="spellEnd"/>
      <w:r w:rsidRPr="00FE0D90">
        <w:rPr>
          <w:rFonts w:ascii="Times New Roman" w:hAnsi="Times New Roman"/>
          <w:color w:val="222222"/>
          <w:sz w:val="24"/>
          <w:szCs w:val="24"/>
          <w:shd w:val="clear" w:color="auto" w:fill="FFFFFF"/>
        </w:rPr>
        <w:t xml:space="preserve">, A. K., ... </w:t>
      </w:r>
      <w:r w:rsidRPr="00FE0D90">
        <w:rPr>
          <w:rFonts w:ascii="Times New Roman" w:hAnsi="Times New Roman"/>
          <w:color w:val="222222"/>
          <w:sz w:val="24"/>
          <w:szCs w:val="24"/>
          <w:shd w:val="clear" w:color="auto" w:fill="FFFFFF"/>
        </w:rPr>
        <w:t xml:space="preserve">&amp; </w:t>
      </w:r>
      <w:proofErr w:type="spellStart"/>
      <w:r w:rsidRPr="00FE0D90">
        <w:rPr>
          <w:rFonts w:ascii="Times New Roman" w:hAnsi="Times New Roman"/>
          <w:color w:val="222222"/>
          <w:sz w:val="24"/>
          <w:szCs w:val="24"/>
          <w:shd w:val="clear" w:color="auto" w:fill="FFFFFF"/>
        </w:rPr>
        <w:t>Danthine</w:t>
      </w:r>
      <w:proofErr w:type="spellEnd"/>
      <w:r w:rsidRPr="00FE0D90">
        <w:rPr>
          <w:rFonts w:ascii="Times New Roman" w:hAnsi="Times New Roman"/>
          <w:color w:val="222222"/>
          <w:sz w:val="24"/>
          <w:szCs w:val="24"/>
          <w:shd w:val="clear" w:color="auto" w:fill="FFFFFF"/>
        </w:rPr>
        <w:t xml:space="preserve">, S. (2024). Quality characteristics and thermal behavior diversity of traditional crude shea (Vitellaria </w:t>
      </w:r>
      <w:proofErr w:type="spellStart"/>
      <w:r w:rsidRPr="00FE0D90">
        <w:rPr>
          <w:rFonts w:ascii="Times New Roman" w:hAnsi="Times New Roman"/>
          <w:color w:val="222222"/>
          <w:sz w:val="24"/>
          <w:szCs w:val="24"/>
          <w:shd w:val="clear" w:color="auto" w:fill="FFFFFF"/>
        </w:rPr>
        <w:t>paradoxa</w:t>
      </w:r>
      <w:proofErr w:type="spellEnd"/>
      <w:r w:rsidRPr="00FE0D90">
        <w:rPr>
          <w:rFonts w:ascii="Times New Roman" w:hAnsi="Times New Roman"/>
          <w:color w:val="222222"/>
          <w:sz w:val="24"/>
          <w:szCs w:val="24"/>
          <w:shd w:val="clear" w:color="auto" w:fill="FFFFFF"/>
        </w:rPr>
        <w:t xml:space="preserve"> </w:t>
      </w:r>
      <w:proofErr w:type="spellStart"/>
      <w:r w:rsidRPr="00FE0D90">
        <w:rPr>
          <w:rFonts w:ascii="Times New Roman" w:hAnsi="Times New Roman"/>
          <w:color w:val="222222"/>
          <w:sz w:val="24"/>
          <w:szCs w:val="24"/>
          <w:shd w:val="clear" w:color="auto" w:fill="FFFFFF"/>
        </w:rPr>
        <w:t>Gaertn</w:t>
      </w:r>
      <w:proofErr w:type="spellEnd"/>
      <w:r w:rsidRPr="00FE0D90">
        <w:rPr>
          <w:rFonts w:ascii="Times New Roman" w:hAnsi="Times New Roman"/>
          <w:color w:val="222222"/>
          <w:sz w:val="24"/>
          <w:szCs w:val="24"/>
          <w:shd w:val="clear" w:color="auto" w:fill="FFFFFF"/>
        </w:rPr>
        <w:t>) butter from Burkina Faso. </w:t>
      </w:r>
      <w:r w:rsidRPr="00FE0D90">
        <w:rPr>
          <w:i/>
          <w:iCs/>
        </w:rPr>
        <w:t>Food Biophysics</w:t>
      </w:r>
      <w:r>
        <w:t>, </w:t>
      </w:r>
      <w:r w:rsidRPr="00FE0D90">
        <w:rPr>
          <w:i/>
          <w:iCs/>
        </w:rPr>
        <w:t>19</w:t>
      </w:r>
      <w:r>
        <w:t>(3), 609-626.</w:t>
      </w:r>
    </w:p>
    <w:p w:rsidR="00D543E5" w:rsidRDefault="00A95B9D" w:rsidP="00FE0D90">
      <w:pPr>
        <w:pStyle w:val="ListParagraph"/>
        <w:numPr>
          <w:ilvl w:val="0"/>
          <w:numId w:val="1"/>
        </w:numPr>
        <w:jc w:val="both"/>
      </w:pPr>
      <w:r w:rsidRPr="00FE0D90">
        <w:rPr>
          <w:rFonts w:ascii="Times New Roman" w:hAnsi="Times New Roman"/>
          <w:color w:val="222222"/>
          <w:sz w:val="24"/>
          <w:szCs w:val="24"/>
          <w:shd w:val="clear" w:color="auto" w:fill="FFFFFF"/>
        </w:rPr>
        <w:t>Guo, T., Wan, C., Huang, F., Wei, C., &amp; Xiang, X. (2021). Proces</w:t>
      </w:r>
      <w:r w:rsidRPr="00FE0D90">
        <w:rPr>
          <w:rFonts w:ascii="Times New Roman" w:hAnsi="Times New Roman"/>
          <w:color w:val="222222"/>
          <w:sz w:val="24"/>
          <w:szCs w:val="24"/>
          <w:shd w:val="clear" w:color="auto" w:fill="FFFFFF"/>
        </w:rPr>
        <w:t>s optimization and characterization of arachidonic acid oil degumming using ultrasound-assisted enzymatic method. </w:t>
      </w:r>
      <w:proofErr w:type="spellStart"/>
      <w:r w:rsidRPr="00FE0D90">
        <w:rPr>
          <w:i/>
          <w:iCs/>
        </w:rPr>
        <w:t>Ultrasonics</w:t>
      </w:r>
      <w:proofErr w:type="spellEnd"/>
      <w:r w:rsidRPr="00FE0D90">
        <w:rPr>
          <w:i/>
          <w:iCs/>
        </w:rPr>
        <w:t xml:space="preserve"> Sonochemistry</w:t>
      </w:r>
      <w:r>
        <w:t>, </w:t>
      </w:r>
      <w:r w:rsidRPr="00FE0D90">
        <w:rPr>
          <w:i/>
          <w:iCs/>
        </w:rPr>
        <w:t>78</w:t>
      </w:r>
      <w:r>
        <w:t>, 105720.</w:t>
      </w:r>
    </w:p>
    <w:p w:rsidR="00D543E5" w:rsidRDefault="00A95B9D" w:rsidP="00FE0D90">
      <w:pPr>
        <w:pStyle w:val="EndNoteBibliography"/>
        <w:numPr>
          <w:ilvl w:val="0"/>
          <w:numId w:val="1"/>
        </w:numP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 xml:space="preserve">wang, J., Jun, H., </w:t>
      </w:r>
      <w:proofErr w:type="spellStart"/>
      <w:r>
        <w:rPr>
          <w:rFonts w:ascii="Times New Roman" w:hAnsi="Times New Roman" w:cs="Times New Roman"/>
          <w:sz w:val="24"/>
          <w:szCs w:val="24"/>
        </w:rPr>
        <w:t>Roh</w:t>
      </w:r>
      <w:proofErr w:type="spellEnd"/>
      <w:r>
        <w:rPr>
          <w:rFonts w:ascii="Times New Roman" w:hAnsi="Times New Roman" w:cs="Times New Roman"/>
          <w:sz w:val="24"/>
          <w:szCs w:val="24"/>
        </w:rPr>
        <w:t xml:space="preserve">, S., Lee, S. J., Mun, J. M., Kim, S. W., Chung, M.-Y., Kim, I.-H., and Kim, B. H. (2021). Preparation of low-diacylglycerol cocoa butter equivalents by hexane fractionation of palm stearin and shea butter. </w:t>
      </w:r>
      <w:r>
        <w:rPr>
          <w:rFonts w:ascii="Times New Roman" w:hAnsi="Times New Roman" w:cs="Times New Roman"/>
          <w:i/>
          <w:sz w:val="24"/>
          <w:szCs w:val="24"/>
        </w:rPr>
        <w:t>Molecules, 26</w:t>
      </w:r>
      <w:r>
        <w:rPr>
          <w:rFonts w:ascii="Times New Roman" w:hAnsi="Times New Roman" w:cs="Times New Roman"/>
          <w:sz w:val="24"/>
          <w:szCs w:val="24"/>
        </w:rPr>
        <w:t xml:space="preserve">(11), 3231. </w:t>
      </w:r>
    </w:p>
    <w:p w:rsidR="00D543E5" w:rsidRPr="00FE0D90" w:rsidRDefault="00A95B9D" w:rsidP="00FE0D90">
      <w:pPr>
        <w:pStyle w:val="ListParagraph"/>
        <w:numPr>
          <w:ilvl w:val="0"/>
          <w:numId w:val="1"/>
        </w:numPr>
        <w:jc w:val="both"/>
        <w:rPr>
          <w:rFonts w:ascii="Times New Roman" w:hAnsi="Times New Roman"/>
          <w:sz w:val="24"/>
          <w:szCs w:val="24"/>
        </w:rPr>
      </w:pPr>
      <w:proofErr w:type="spellStart"/>
      <w:r w:rsidRPr="00FE0D90">
        <w:rPr>
          <w:rFonts w:ascii="Times New Roman" w:hAnsi="Times New Roman"/>
          <w:sz w:val="24"/>
          <w:szCs w:val="24"/>
        </w:rPr>
        <w:t>Icyer</w:t>
      </w:r>
      <w:proofErr w:type="spellEnd"/>
      <w:r w:rsidRPr="00FE0D90">
        <w:rPr>
          <w:rFonts w:ascii="Times New Roman" w:hAnsi="Times New Roman"/>
          <w:sz w:val="24"/>
          <w:szCs w:val="24"/>
        </w:rPr>
        <w:t xml:space="preserve">, N. C. and M. Z. </w:t>
      </w:r>
      <w:proofErr w:type="spellStart"/>
      <w:r w:rsidRPr="00FE0D90">
        <w:rPr>
          <w:rFonts w:ascii="Times New Roman" w:hAnsi="Times New Roman"/>
          <w:sz w:val="24"/>
          <w:szCs w:val="24"/>
        </w:rPr>
        <w:t>Durak</w:t>
      </w:r>
      <w:proofErr w:type="spellEnd"/>
      <w:r w:rsidRPr="00FE0D90">
        <w:rPr>
          <w:rFonts w:ascii="Times New Roman" w:hAnsi="Times New Roman"/>
          <w:sz w:val="24"/>
          <w:szCs w:val="24"/>
        </w:rPr>
        <w:t xml:space="preserve"> (2018). Ultrasound-assisted bleaching of canola oil: Improve the bleaching process by central composite design. </w:t>
      </w:r>
      <w:proofErr w:type="spellStart"/>
      <w:r w:rsidRPr="00FE0D90">
        <w:rPr>
          <w:rFonts w:ascii="Times New Roman" w:hAnsi="Times New Roman"/>
          <w:sz w:val="24"/>
          <w:szCs w:val="24"/>
          <w:u w:val="single"/>
        </w:rPr>
        <w:t>Lwt</w:t>
      </w:r>
      <w:proofErr w:type="spellEnd"/>
      <w:r w:rsidRPr="00FE0D90">
        <w:rPr>
          <w:rFonts w:ascii="Times New Roman" w:hAnsi="Times New Roman"/>
          <w:sz w:val="24"/>
          <w:szCs w:val="24"/>
        </w:rPr>
        <w:t xml:space="preserve"> </w:t>
      </w:r>
      <w:r w:rsidRPr="00FE0D90">
        <w:rPr>
          <w:rFonts w:ascii="Times New Roman" w:hAnsi="Times New Roman"/>
          <w:b/>
          <w:bCs/>
          <w:sz w:val="24"/>
          <w:szCs w:val="24"/>
        </w:rPr>
        <w:t>97</w:t>
      </w:r>
      <w:r w:rsidRPr="00FE0D90">
        <w:rPr>
          <w:rFonts w:ascii="Times New Roman" w:hAnsi="Times New Roman"/>
          <w:sz w:val="24"/>
          <w:szCs w:val="24"/>
        </w:rPr>
        <w:t>, 640-647.</w:t>
      </w:r>
    </w:p>
    <w:p w:rsidR="00D543E5" w:rsidRPr="00FE0D90" w:rsidRDefault="00A95B9D" w:rsidP="00FE0D90">
      <w:pPr>
        <w:pStyle w:val="ListParagraph"/>
        <w:numPr>
          <w:ilvl w:val="0"/>
          <w:numId w:val="1"/>
        </w:numPr>
        <w:jc w:val="both"/>
        <w:rPr>
          <w:rFonts w:asciiTheme="minorHAnsi" w:hAnsiTheme="minorHAnsi" w:cstheme="minorBidi"/>
        </w:rPr>
      </w:pPr>
      <w:r w:rsidRPr="00FE0D90">
        <w:rPr>
          <w:rFonts w:ascii="Times New Roman" w:hAnsi="Times New Roman"/>
          <w:color w:val="222222"/>
          <w:sz w:val="24"/>
          <w:szCs w:val="24"/>
          <w:shd w:val="clear" w:color="auto" w:fill="FFFFFF"/>
        </w:rPr>
        <w:t xml:space="preserve">Islam, M., Kaczmarek, A., &amp; </w:t>
      </w:r>
      <w:proofErr w:type="spellStart"/>
      <w:r w:rsidRPr="00FE0D90">
        <w:rPr>
          <w:rFonts w:ascii="Times New Roman" w:hAnsi="Times New Roman"/>
          <w:color w:val="222222"/>
          <w:sz w:val="24"/>
          <w:szCs w:val="24"/>
          <w:shd w:val="clear" w:color="auto" w:fill="FFFFFF"/>
        </w:rPr>
        <w:t>Tomaszewska</w:t>
      </w:r>
      <w:proofErr w:type="spellEnd"/>
      <w:r w:rsidRPr="00FE0D90">
        <w:rPr>
          <w:rFonts w:ascii="Times New Roman" w:hAnsi="Times New Roman"/>
          <w:color w:val="222222"/>
          <w:sz w:val="24"/>
          <w:szCs w:val="24"/>
          <w:shd w:val="clear" w:color="auto" w:fill="FFFFFF"/>
        </w:rPr>
        <w:t>-Gras, J. (2023). Differential scanning calorimetry as a to</w:t>
      </w:r>
      <w:r w:rsidRPr="00FE0D90">
        <w:rPr>
          <w:rFonts w:ascii="Times New Roman" w:hAnsi="Times New Roman"/>
          <w:color w:val="222222"/>
          <w:sz w:val="24"/>
          <w:szCs w:val="24"/>
          <w:shd w:val="clear" w:color="auto" w:fill="FFFFFF"/>
        </w:rPr>
        <w:t>ol to assess the oxidation state of cold-pressed oils during shelf-life. </w:t>
      </w:r>
      <w:r w:rsidRPr="00FE0D90">
        <w:rPr>
          <w:i/>
          <w:iCs/>
        </w:rPr>
        <w:t>Journal of Food Measurement and Characterization</w:t>
      </w:r>
      <w:r>
        <w:t>, </w:t>
      </w:r>
      <w:r w:rsidRPr="00FE0D90">
        <w:rPr>
          <w:i/>
          <w:iCs/>
        </w:rPr>
        <w:t>17</w:t>
      </w:r>
      <w:r>
        <w:t>(6), 6639-6651.</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r w:rsidRPr="00FE0D90">
        <w:rPr>
          <w:rFonts w:ascii="Times New Roman" w:hAnsi="Times New Roman"/>
          <w:color w:val="222222"/>
          <w:sz w:val="24"/>
          <w:szCs w:val="24"/>
          <w:shd w:val="clear" w:color="auto" w:fill="FFFFFF"/>
        </w:rPr>
        <w:t xml:space="preserve">Jing, Y., Song, Z., Li, H., Wei, X., </w:t>
      </w:r>
      <w:proofErr w:type="spellStart"/>
      <w:r w:rsidRPr="00FE0D90">
        <w:rPr>
          <w:rFonts w:ascii="Times New Roman" w:hAnsi="Times New Roman"/>
          <w:color w:val="222222"/>
          <w:sz w:val="24"/>
          <w:szCs w:val="24"/>
          <w:shd w:val="clear" w:color="auto" w:fill="FFFFFF"/>
        </w:rPr>
        <w:t>Xie</w:t>
      </w:r>
      <w:proofErr w:type="spellEnd"/>
      <w:r w:rsidRPr="00FE0D90">
        <w:rPr>
          <w:rFonts w:ascii="Times New Roman" w:hAnsi="Times New Roman"/>
          <w:color w:val="222222"/>
          <w:sz w:val="24"/>
          <w:szCs w:val="24"/>
          <w:shd w:val="clear" w:color="auto" w:fill="FFFFFF"/>
        </w:rPr>
        <w:t>, J., &amp; Shen, M. (2025). The quality and oxidative stability of flaxseed oi</w:t>
      </w:r>
      <w:r w:rsidRPr="00FE0D90">
        <w:rPr>
          <w:rFonts w:ascii="Times New Roman" w:hAnsi="Times New Roman"/>
          <w:color w:val="222222"/>
          <w:sz w:val="24"/>
          <w:szCs w:val="24"/>
          <w:shd w:val="clear" w:color="auto" w:fill="FFFFFF"/>
        </w:rPr>
        <w:t>ls of varying degrees of refinement. </w:t>
      </w:r>
      <w:r w:rsidRPr="00FE0D90">
        <w:rPr>
          <w:rFonts w:ascii="Times New Roman" w:hAnsi="Times New Roman"/>
          <w:i/>
          <w:iCs/>
          <w:color w:val="222222"/>
          <w:sz w:val="24"/>
          <w:szCs w:val="24"/>
          <w:shd w:val="clear" w:color="auto" w:fill="FFFFFF"/>
        </w:rPr>
        <w:t>Grain &amp; Oil Science and Technology</w:t>
      </w:r>
      <w:r w:rsidRPr="00FE0D90">
        <w:rPr>
          <w:rFonts w:ascii="Times New Roman" w:hAnsi="Times New Roman"/>
          <w:color w:val="222222"/>
          <w:sz w:val="24"/>
          <w:szCs w:val="24"/>
          <w:shd w:val="clear" w:color="auto" w:fill="FFFFFF"/>
        </w:rPr>
        <w:t>.</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r w:rsidRPr="00FE0D90">
        <w:rPr>
          <w:rFonts w:ascii="Times New Roman" w:hAnsi="Times New Roman"/>
          <w:color w:val="222222"/>
          <w:sz w:val="24"/>
          <w:szCs w:val="24"/>
          <w:shd w:val="clear" w:color="auto" w:fill="FFFFFF"/>
        </w:rPr>
        <w:t xml:space="preserve">Karim, N. A. A., Othman, N. H., &amp; </w:t>
      </w:r>
      <w:proofErr w:type="spellStart"/>
      <w:r w:rsidRPr="00FE0D90">
        <w:rPr>
          <w:rFonts w:ascii="Times New Roman" w:hAnsi="Times New Roman"/>
          <w:color w:val="222222"/>
          <w:sz w:val="24"/>
          <w:szCs w:val="24"/>
          <w:shd w:val="clear" w:color="auto" w:fill="FFFFFF"/>
        </w:rPr>
        <w:t>Yusoff</w:t>
      </w:r>
      <w:proofErr w:type="spellEnd"/>
      <w:r w:rsidRPr="00FE0D90">
        <w:rPr>
          <w:rFonts w:ascii="Times New Roman" w:hAnsi="Times New Roman"/>
          <w:color w:val="222222"/>
          <w:sz w:val="24"/>
          <w:szCs w:val="24"/>
          <w:shd w:val="clear" w:color="auto" w:fill="FFFFFF"/>
        </w:rPr>
        <w:t>, M. M. (2022). Vegetable oil refining. In </w:t>
      </w:r>
      <w:r w:rsidRPr="00FE0D90">
        <w:rPr>
          <w:rFonts w:ascii="Times New Roman" w:hAnsi="Times New Roman"/>
          <w:i/>
          <w:iCs/>
          <w:color w:val="222222"/>
          <w:sz w:val="24"/>
          <w:szCs w:val="24"/>
          <w:shd w:val="clear" w:color="auto" w:fill="FFFFFF"/>
        </w:rPr>
        <w:t>Recent advances in edible fats and oils technology: processing, health implications, economic and en</w:t>
      </w:r>
      <w:r w:rsidRPr="00FE0D90">
        <w:rPr>
          <w:rFonts w:ascii="Times New Roman" w:hAnsi="Times New Roman"/>
          <w:i/>
          <w:iCs/>
          <w:color w:val="222222"/>
          <w:sz w:val="24"/>
          <w:szCs w:val="24"/>
          <w:shd w:val="clear" w:color="auto" w:fill="FFFFFF"/>
        </w:rPr>
        <w:t>vironmental impact</w:t>
      </w:r>
      <w:r w:rsidRPr="00FE0D90">
        <w:rPr>
          <w:rFonts w:ascii="Times New Roman" w:hAnsi="Times New Roman"/>
          <w:color w:val="222222"/>
          <w:sz w:val="24"/>
          <w:szCs w:val="24"/>
          <w:shd w:val="clear" w:color="auto" w:fill="FFFFFF"/>
        </w:rPr>
        <w:t> (pp. 101-140). Singapore: Springer Singapore.</w:t>
      </w:r>
    </w:p>
    <w:p w:rsidR="00D543E5" w:rsidRPr="00FE0D90" w:rsidRDefault="00A95B9D" w:rsidP="00FE0D90">
      <w:pPr>
        <w:pStyle w:val="ListParagraph"/>
        <w:numPr>
          <w:ilvl w:val="0"/>
          <w:numId w:val="1"/>
        </w:numPr>
        <w:spacing w:after="100" w:afterAutospacing="1" w:line="240" w:lineRule="auto"/>
        <w:rPr>
          <w:rFonts w:ascii="Times New Roman" w:eastAsia="Segoe UI" w:hAnsi="Times New Roman"/>
          <w:color w:val="212121"/>
          <w:sz w:val="24"/>
          <w:szCs w:val="24"/>
          <w:shd w:val="clear" w:color="auto" w:fill="FFFFFF"/>
        </w:rPr>
      </w:pPr>
      <w:r w:rsidRPr="00FE0D90">
        <w:rPr>
          <w:rFonts w:ascii="Times New Roman" w:eastAsia="Segoe UI" w:hAnsi="Times New Roman"/>
          <w:color w:val="212121"/>
          <w:sz w:val="24"/>
          <w:szCs w:val="24"/>
          <w:shd w:val="clear" w:color="auto" w:fill="FFFFFF"/>
        </w:rPr>
        <w:t>Khan A, Nadeem M., Ullah R., Gulzar N., Al-</w:t>
      </w:r>
      <w:proofErr w:type="spellStart"/>
      <w:r w:rsidRPr="00FE0D90">
        <w:rPr>
          <w:rFonts w:ascii="Times New Roman" w:eastAsia="Segoe UI" w:hAnsi="Times New Roman"/>
          <w:color w:val="212121"/>
          <w:sz w:val="24"/>
          <w:szCs w:val="24"/>
          <w:shd w:val="clear" w:color="auto" w:fill="FFFFFF"/>
        </w:rPr>
        <w:t>Asmari</w:t>
      </w:r>
      <w:proofErr w:type="spellEnd"/>
      <w:r w:rsidRPr="00FE0D90">
        <w:rPr>
          <w:rFonts w:ascii="Times New Roman" w:eastAsia="Segoe UI" w:hAnsi="Times New Roman"/>
          <w:color w:val="212121"/>
          <w:sz w:val="24"/>
          <w:szCs w:val="24"/>
          <w:shd w:val="clear" w:color="auto" w:fill="FFFFFF"/>
        </w:rPr>
        <w:t xml:space="preserve"> F., Imran M., Rahim M.A., </w:t>
      </w:r>
      <w:proofErr w:type="spellStart"/>
      <w:r w:rsidRPr="00FE0D90">
        <w:rPr>
          <w:rFonts w:ascii="Times New Roman" w:eastAsia="Segoe UI" w:hAnsi="Times New Roman"/>
          <w:color w:val="212121"/>
          <w:sz w:val="24"/>
          <w:szCs w:val="24"/>
          <w:shd w:val="clear" w:color="auto" w:fill="FFFFFF"/>
        </w:rPr>
        <w:t>Zongo</w:t>
      </w:r>
      <w:proofErr w:type="spellEnd"/>
      <w:r w:rsidRPr="00FE0D90">
        <w:rPr>
          <w:rFonts w:ascii="Times New Roman" w:eastAsia="Segoe UI" w:hAnsi="Times New Roman"/>
          <w:color w:val="212121"/>
          <w:sz w:val="24"/>
          <w:szCs w:val="24"/>
          <w:shd w:val="clear" w:color="auto" w:fill="FFFFFF"/>
        </w:rPr>
        <w:t xml:space="preserve"> E., Hussain I., Tayyab M., and </w:t>
      </w:r>
      <w:proofErr w:type="spellStart"/>
      <w:r w:rsidRPr="00FE0D90">
        <w:rPr>
          <w:rFonts w:ascii="Times New Roman" w:eastAsia="Segoe UI" w:hAnsi="Times New Roman"/>
          <w:color w:val="212121"/>
          <w:sz w:val="24"/>
          <w:szCs w:val="24"/>
          <w:shd w:val="clear" w:color="auto" w:fill="FFFFFF"/>
        </w:rPr>
        <w:t>Almalki</w:t>
      </w:r>
      <w:proofErr w:type="spellEnd"/>
      <w:r w:rsidRPr="00FE0D90">
        <w:rPr>
          <w:rFonts w:ascii="Times New Roman" w:eastAsia="Segoe UI" w:hAnsi="Times New Roman"/>
          <w:color w:val="212121"/>
          <w:sz w:val="24"/>
          <w:szCs w:val="24"/>
          <w:shd w:val="clear" w:color="auto" w:fill="FFFFFF"/>
        </w:rPr>
        <w:t xml:space="preserve"> R.S. (2024). Fatty Acid Composition, Phenolic Compounds, Phytosterols, and Lipid Oxidation of Single- and Double-Fractionated Olein </w:t>
      </w:r>
      <w:r w:rsidRPr="00FE0D90">
        <w:rPr>
          <w:rFonts w:ascii="Times New Roman" w:eastAsia="Segoe UI" w:hAnsi="Times New Roman"/>
          <w:color w:val="212121"/>
          <w:sz w:val="24"/>
          <w:szCs w:val="24"/>
          <w:shd w:val="clear" w:color="auto" w:fill="FFFFFF"/>
        </w:rPr>
        <w:lastRenderedPageBreak/>
        <w:t xml:space="preserve">of </w:t>
      </w:r>
      <w:r w:rsidRPr="00FE0D90">
        <w:rPr>
          <w:rFonts w:ascii="Times New Roman" w:eastAsia="Segoe UI" w:hAnsi="Times New Roman"/>
          <w:color w:val="212121"/>
          <w:sz w:val="24"/>
          <w:szCs w:val="24"/>
          <w:shd w:val="clear" w:color="auto" w:fill="FFFFFF"/>
        </w:rPr>
        <w:t xml:space="preserve">Safflower Oil Produced by Low-Temperature Crystallization. </w:t>
      </w:r>
      <w:r w:rsidRPr="00FE0D90">
        <w:rPr>
          <w:rFonts w:ascii="Times New Roman" w:eastAsia="Segoe UI" w:hAnsi="Times New Roman"/>
          <w:i/>
          <w:color w:val="212121"/>
          <w:sz w:val="24"/>
          <w:szCs w:val="24"/>
          <w:shd w:val="clear" w:color="auto" w:fill="FFFFFF"/>
        </w:rPr>
        <w:t>ACS Omega</w:t>
      </w:r>
      <w:r w:rsidRPr="00FE0D90">
        <w:rPr>
          <w:rFonts w:ascii="Times New Roman" w:eastAsia="Segoe UI" w:hAnsi="Times New Roman"/>
          <w:color w:val="212121"/>
          <w:sz w:val="24"/>
          <w:szCs w:val="24"/>
          <w:shd w:val="clear" w:color="auto" w:fill="FFFFFF"/>
        </w:rPr>
        <w:t xml:space="preserve">, </w:t>
      </w:r>
      <w:r w:rsidRPr="00FE0D90">
        <w:rPr>
          <w:rFonts w:ascii="Times New Roman" w:eastAsia="Segoe UI" w:hAnsi="Times New Roman"/>
          <w:b/>
          <w:color w:val="212121"/>
          <w:sz w:val="24"/>
          <w:szCs w:val="24"/>
          <w:shd w:val="clear" w:color="auto" w:fill="FFFFFF"/>
        </w:rPr>
        <w:t>9</w:t>
      </w:r>
      <w:r w:rsidRPr="00FE0D90">
        <w:rPr>
          <w:rFonts w:ascii="Times New Roman" w:eastAsia="Segoe UI" w:hAnsi="Times New Roman"/>
          <w:color w:val="212121"/>
          <w:sz w:val="24"/>
          <w:szCs w:val="24"/>
          <w:shd w:val="clear" w:color="auto" w:fill="FFFFFF"/>
        </w:rPr>
        <w:t xml:space="preserve">(6), 6787-6796. </w:t>
      </w:r>
    </w:p>
    <w:p w:rsidR="00D543E5" w:rsidRDefault="00A95B9D" w:rsidP="00FE0D90">
      <w:pPr>
        <w:pStyle w:val="EndNoteBibliography"/>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K</w:t>
      </w:r>
      <w:r>
        <w:rPr>
          <w:rFonts w:ascii="Times New Roman" w:hAnsi="Times New Roman" w:cs="Times New Roman"/>
          <w:sz w:val="24"/>
          <w:szCs w:val="24"/>
        </w:rPr>
        <w:t>orede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Adeboyejo</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Fapojuwo</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Ogunwole</w:t>
      </w:r>
      <w:proofErr w:type="spellEnd"/>
      <w:r>
        <w:rPr>
          <w:rFonts w:ascii="Times New Roman" w:hAnsi="Times New Roman" w:cs="Times New Roman"/>
          <w:sz w:val="24"/>
          <w:szCs w:val="24"/>
        </w:rPr>
        <w:t xml:space="preserve">, O. (2024). Quality variation in shea butter and olein from </w:t>
      </w:r>
      <w:proofErr w:type="spellStart"/>
      <w:r>
        <w:rPr>
          <w:rFonts w:ascii="Times New Roman" w:hAnsi="Times New Roman" w:cs="Times New Roman"/>
          <w:sz w:val="24"/>
          <w:szCs w:val="24"/>
        </w:rPr>
        <w:t>Irepodun</w:t>
      </w:r>
      <w:proofErr w:type="spellEnd"/>
      <w:r>
        <w:rPr>
          <w:rFonts w:ascii="Times New Roman" w:hAnsi="Times New Roman" w:cs="Times New Roman"/>
          <w:sz w:val="24"/>
          <w:szCs w:val="24"/>
        </w:rPr>
        <w:t xml:space="preserve"> Local Government Area, Oyo State, Nigeria. </w:t>
      </w:r>
      <w:r>
        <w:rPr>
          <w:rFonts w:ascii="Times New Roman" w:hAnsi="Times New Roman" w:cs="Times New Roman"/>
          <w:i/>
          <w:sz w:val="24"/>
          <w:szCs w:val="24"/>
        </w:rPr>
        <w:t>Af</w:t>
      </w:r>
      <w:r>
        <w:rPr>
          <w:rFonts w:ascii="Times New Roman" w:hAnsi="Times New Roman" w:cs="Times New Roman"/>
          <w:i/>
          <w:sz w:val="24"/>
          <w:szCs w:val="24"/>
        </w:rPr>
        <w:t>rican Journal of Food Science,</w:t>
      </w:r>
      <w:r>
        <w:rPr>
          <w:rFonts w:ascii="Times New Roman" w:hAnsi="Times New Roman" w:cs="Times New Roman"/>
          <w:sz w:val="24"/>
          <w:szCs w:val="24"/>
        </w:rPr>
        <w:t xml:space="preserve"> 18(2), 28-36.</w:t>
      </w:r>
    </w:p>
    <w:p w:rsidR="00D543E5" w:rsidRDefault="00A95B9D" w:rsidP="00FE0D90">
      <w:pPr>
        <w:pStyle w:val="EndNoteBibliography"/>
        <w:numPr>
          <w:ilvl w:val="0"/>
          <w:numId w:val="1"/>
        </w:numPr>
        <w:spacing w:after="240"/>
        <w:rPr>
          <w:rFonts w:ascii="Times New Roman" w:hAnsi="Times New Roman" w:cs="Times New Roman"/>
          <w:sz w:val="24"/>
          <w:szCs w:val="24"/>
        </w:rPr>
      </w:pPr>
      <w:proofErr w:type="spellStart"/>
      <w:r>
        <w:rPr>
          <w:rFonts w:ascii="Times New Roman" w:hAnsi="Times New Roman" w:cs="Times New Roman"/>
          <w:sz w:val="24"/>
          <w:szCs w:val="24"/>
        </w:rPr>
        <w:t>Kūka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Čakste</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Kūka</w:t>
      </w:r>
      <w:proofErr w:type="spellEnd"/>
      <w:r>
        <w:rPr>
          <w:rFonts w:ascii="Times New Roman" w:hAnsi="Times New Roman" w:cs="Times New Roman"/>
          <w:sz w:val="24"/>
          <w:szCs w:val="24"/>
        </w:rPr>
        <w:t xml:space="preserve">, P. (2018). Inhibition of formation of conjugated dienes in linseed oil. </w:t>
      </w:r>
      <w:r>
        <w:rPr>
          <w:rFonts w:ascii="Times New Roman" w:hAnsi="Times New Roman" w:cs="Times New Roman"/>
          <w:i/>
          <w:sz w:val="24"/>
          <w:szCs w:val="24"/>
        </w:rPr>
        <w:t>Proceedings of the Latvian Academy of Sciences</w:t>
      </w:r>
      <w:r>
        <w:rPr>
          <w:rFonts w:ascii="Times New Roman" w:hAnsi="Times New Roman" w:cs="Times New Roman"/>
          <w:sz w:val="24"/>
          <w:szCs w:val="24"/>
        </w:rPr>
        <w:t xml:space="preserve"> (Vol. 72, p. 80): De Gruyter Poland.</w:t>
      </w:r>
    </w:p>
    <w:p w:rsidR="00D543E5" w:rsidRPr="00FE0D90" w:rsidRDefault="00A95B9D" w:rsidP="00FE0D90">
      <w:pPr>
        <w:pStyle w:val="ListParagraph"/>
        <w:numPr>
          <w:ilvl w:val="0"/>
          <w:numId w:val="1"/>
        </w:numPr>
        <w:jc w:val="both"/>
        <w:rPr>
          <w:rFonts w:ascii="Times New Roman" w:hAnsi="Times New Roman"/>
          <w:sz w:val="24"/>
          <w:szCs w:val="24"/>
        </w:rPr>
      </w:pPr>
      <w:r w:rsidRPr="00FE0D90">
        <w:rPr>
          <w:rFonts w:ascii="Times New Roman" w:hAnsi="Times New Roman"/>
          <w:sz w:val="24"/>
          <w:szCs w:val="24"/>
        </w:rPr>
        <w:t xml:space="preserve">Kumar, P. P. and A. G. Krishna (2015). "Effect of different deacidification methods on phytonutrients retention in deacidified fractionated palm oil." </w:t>
      </w:r>
      <w:r w:rsidRPr="00FE0D90">
        <w:rPr>
          <w:rFonts w:ascii="Times New Roman" w:hAnsi="Times New Roman"/>
          <w:i/>
          <w:sz w:val="24"/>
          <w:szCs w:val="24"/>
        </w:rPr>
        <w:t xml:space="preserve">Journal of the American Oil Chemists' Society, </w:t>
      </w:r>
      <w:r w:rsidRPr="00FE0D90">
        <w:rPr>
          <w:rFonts w:ascii="Times New Roman" w:hAnsi="Times New Roman"/>
          <w:b/>
          <w:bCs/>
          <w:sz w:val="24"/>
          <w:szCs w:val="24"/>
        </w:rPr>
        <w:t>92</w:t>
      </w:r>
      <w:r w:rsidRPr="00FE0D90">
        <w:rPr>
          <w:rFonts w:ascii="Times New Roman" w:hAnsi="Times New Roman"/>
          <w:sz w:val="24"/>
          <w:szCs w:val="24"/>
        </w:rPr>
        <w:t>, 645-658.</w:t>
      </w:r>
    </w:p>
    <w:p w:rsidR="00D543E5" w:rsidRPr="00FE0D90" w:rsidRDefault="00A95B9D" w:rsidP="00FE0D90">
      <w:pPr>
        <w:pStyle w:val="ListParagraph"/>
        <w:numPr>
          <w:ilvl w:val="0"/>
          <w:numId w:val="1"/>
        </w:numPr>
        <w:jc w:val="both"/>
        <w:rPr>
          <w:rFonts w:ascii="Times New Roman" w:hAnsi="Times New Roman"/>
          <w:sz w:val="24"/>
          <w:szCs w:val="24"/>
        </w:rPr>
      </w:pPr>
      <w:r w:rsidRPr="00FE0D90">
        <w:rPr>
          <w:rFonts w:ascii="Times New Roman" w:hAnsi="Times New Roman"/>
          <w:color w:val="222222"/>
          <w:sz w:val="24"/>
          <w:szCs w:val="24"/>
          <w:shd w:val="clear" w:color="auto" w:fill="FFFFFF"/>
        </w:rPr>
        <w:t xml:space="preserve">Ky-Dembele, C., </w:t>
      </w:r>
      <w:proofErr w:type="spellStart"/>
      <w:r w:rsidRPr="00FE0D90">
        <w:rPr>
          <w:rFonts w:ascii="Times New Roman" w:hAnsi="Times New Roman"/>
          <w:color w:val="222222"/>
          <w:sz w:val="24"/>
          <w:szCs w:val="24"/>
          <w:shd w:val="clear" w:color="auto" w:fill="FFFFFF"/>
        </w:rPr>
        <w:t>Bayala</w:t>
      </w:r>
      <w:proofErr w:type="spellEnd"/>
      <w:r w:rsidRPr="00FE0D90">
        <w:rPr>
          <w:rFonts w:ascii="Times New Roman" w:hAnsi="Times New Roman"/>
          <w:color w:val="222222"/>
          <w:sz w:val="24"/>
          <w:szCs w:val="24"/>
          <w:shd w:val="clear" w:color="auto" w:fill="FFFFFF"/>
        </w:rPr>
        <w:t xml:space="preserve">, J., </w:t>
      </w:r>
      <w:proofErr w:type="spellStart"/>
      <w:r w:rsidRPr="00FE0D90">
        <w:rPr>
          <w:rFonts w:ascii="Times New Roman" w:hAnsi="Times New Roman"/>
          <w:color w:val="222222"/>
          <w:sz w:val="24"/>
          <w:szCs w:val="24"/>
          <w:shd w:val="clear" w:color="auto" w:fill="FFFFFF"/>
        </w:rPr>
        <w:t>Boffa</w:t>
      </w:r>
      <w:proofErr w:type="spellEnd"/>
      <w:r w:rsidRPr="00FE0D90">
        <w:rPr>
          <w:rFonts w:ascii="Times New Roman" w:hAnsi="Times New Roman"/>
          <w:color w:val="222222"/>
          <w:sz w:val="24"/>
          <w:szCs w:val="24"/>
          <w:shd w:val="clear" w:color="auto" w:fill="FFFFFF"/>
        </w:rPr>
        <w:t xml:space="preserve">, J. M., </w:t>
      </w:r>
      <w:proofErr w:type="spellStart"/>
      <w:r w:rsidRPr="00FE0D90">
        <w:rPr>
          <w:rFonts w:ascii="Times New Roman" w:hAnsi="Times New Roman"/>
          <w:color w:val="222222"/>
          <w:sz w:val="24"/>
          <w:szCs w:val="24"/>
          <w:shd w:val="clear" w:color="auto" w:fill="FFFFFF"/>
        </w:rPr>
        <w:t>Kal</w:t>
      </w:r>
      <w:r w:rsidRPr="00FE0D90">
        <w:rPr>
          <w:rFonts w:ascii="Times New Roman" w:hAnsi="Times New Roman"/>
          <w:color w:val="222222"/>
          <w:sz w:val="24"/>
          <w:szCs w:val="24"/>
          <w:shd w:val="clear" w:color="auto" w:fill="FFFFFF"/>
        </w:rPr>
        <w:t>inganire</w:t>
      </w:r>
      <w:proofErr w:type="spellEnd"/>
      <w:r w:rsidRPr="00FE0D90">
        <w:rPr>
          <w:rFonts w:ascii="Times New Roman" w:hAnsi="Times New Roman"/>
          <w:color w:val="222222"/>
          <w:sz w:val="24"/>
          <w:szCs w:val="24"/>
          <w:shd w:val="clear" w:color="auto" w:fill="FFFFFF"/>
        </w:rPr>
        <w:t xml:space="preserve">, A., &amp; </w:t>
      </w:r>
      <w:proofErr w:type="spellStart"/>
      <w:r w:rsidRPr="00FE0D90">
        <w:rPr>
          <w:rFonts w:ascii="Times New Roman" w:hAnsi="Times New Roman"/>
          <w:color w:val="222222"/>
          <w:sz w:val="24"/>
          <w:szCs w:val="24"/>
          <w:shd w:val="clear" w:color="auto" w:fill="FFFFFF"/>
        </w:rPr>
        <w:t>Minang</w:t>
      </w:r>
      <w:proofErr w:type="spellEnd"/>
      <w:r w:rsidRPr="00FE0D90">
        <w:rPr>
          <w:rFonts w:ascii="Times New Roman" w:hAnsi="Times New Roman"/>
          <w:color w:val="222222"/>
          <w:sz w:val="24"/>
          <w:szCs w:val="24"/>
          <w:shd w:val="clear" w:color="auto" w:fill="FFFFFF"/>
        </w:rPr>
        <w:t>, P. A. (2021). Shea tree crop management in West Africa. </w:t>
      </w:r>
      <w:r w:rsidRPr="00FE0D90">
        <w:rPr>
          <w:rFonts w:ascii="Times New Roman" w:hAnsi="Times New Roman"/>
          <w:i/>
          <w:iCs/>
          <w:color w:val="222222"/>
          <w:sz w:val="24"/>
          <w:szCs w:val="24"/>
          <w:shd w:val="clear" w:color="auto" w:fill="FFFFFF"/>
        </w:rPr>
        <w:t>Tree Commodities and Resilient Green Economies in Africa. Nairobi, Kenya: World Agroforestry (ICRAF)</w:t>
      </w:r>
      <w:r w:rsidRPr="00FE0D90">
        <w:rPr>
          <w:rFonts w:ascii="Times New Roman" w:hAnsi="Times New Roman"/>
          <w:color w:val="222222"/>
          <w:sz w:val="24"/>
          <w:szCs w:val="24"/>
          <w:shd w:val="clear" w:color="auto" w:fill="FFFFFF"/>
        </w:rPr>
        <w:t>.</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proofErr w:type="spellStart"/>
      <w:r w:rsidRPr="00FE0D90">
        <w:rPr>
          <w:rFonts w:ascii="Times New Roman" w:hAnsi="Times New Roman"/>
          <w:color w:val="222222"/>
          <w:sz w:val="24"/>
          <w:szCs w:val="24"/>
          <w:shd w:val="clear" w:color="auto" w:fill="FFFFFF"/>
        </w:rPr>
        <w:t>Mavlanov</w:t>
      </w:r>
      <w:proofErr w:type="spellEnd"/>
      <w:r w:rsidRPr="00FE0D90">
        <w:rPr>
          <w:rFonts w:ascii="Times New Roman" w:hAnsi="Times New Roman"/>
          <w:color w:val="222222"/>
          <w:sz w:val="24"/>
          <w:szCs w:val="24"/>
          <w:shd w:val="clear" w:color="auto" w:fill="FFFFFF"/>
        </w:rPr>
        <w:t xml:space="preserve">, U., </w:t>
      </w:r>
      <w:proofErr w:type="spellStart"/>
      <w:r w:rsidRPr="00FE0D90">
        <w:rPr>
          <w:rFonts w:ascii="Times New Roman" w:hAnsi="Times New Roman"/>
          <w:color w:val="222222"/>
          <w:sz w:val="24"/>
          <w:szCs w:val="24"/>
          <w:shd w:val="clear" w:color="auto" w:fill="FFFFFF"/>
        </w:rPr>
        <w:t>Czaja</w:t>
      </w:r>
      <w:proofErr w:type="spellEnd"/>
      <w:r w:rsidRPr="00FE0D90">
        <w:rPr>
          <w:rFonts w:ascii="Times New Roman" w:hAnsi="Times New Roman"/>
          <w:color w:val="222222"/>
          <w:sz w:val="24"/>
          <w:szCs w:val="24"/>
          <w:shd w:val="clear" w:color="auto" w:fill="FFFFFF"/>
        </w:rPr>
        <w:t xml:space="preserve">, T. P., </w:t>
      </w:r>
      <w:proofErr w:type="spellStart"/>
      <w:r w:rsidRPr="00FE0D90">
        <w:rPr>
          <w:rFonts w:ascii="Times New Roman" w:hAnsi="Times New Roman"/>
          <w:color w:val="222222"/>
          <w:sz w:val="24"/>
          <w:szCs w:val="24"/>
          <w:shd w:val="clear" w:color="auto" w:fill="FFFFFF"/>
        </w:rPr>
        <w:t>Nuriddinov</w:t>
      </w:r>
      <w:proofErr w:type="spellEnd"/>
      <w:r w:rsidRPr="00FE0D90">
        <w:rPr>
          <w:rFonts w:ascii="Times New Roman" w:hAnsi="Times New Roman"/>
          <w:color w:val="222222"/>
          <w:sz w:val="24"/>
          <w:szCs w:val="24"/>
          <w:shd w:val="clear" w:color="auto" w:fill="FFFFFF"/>
        </w:rPr>
        <w:t xml:space="preserve">, S., </w:t>
      </w:r>
      <w:proofErr w:type="spellStart"/>
      <w:r w:rsidRPr="00FE0D90">
        <w:rPr>
          <w:rFonts w:ascii="Times New Roman" w:hAnsi="Times New Roman"/>
          <w:color w:val="222222"/>
          <w:sz w:val="24"/>
          <w:szCs w:val="24"/>
          <w:shd w:val="clear" w:color="auto" w:fill="FFFFFF"/>
        </w:rPr>
        <w:t>Dalimova</w:t>
      </w:r>
      <w:proofErr w:type="spellEnd"/>
      <w:r w:rsidRPr="00FE0D90">
        <w:rPr>
          <w:rFonts w:ascii="Times New Roman" w:hAnsi="Times New Roman"/>
          <w:color w:val="222222"/>
          <w:sz w:val="24"/>
          <w:szCs w:val="24"/>
          <w:shd w:val="clear" w:color="auto" w:fill="FFFFFF"/>
        </w:rPr>
        <w:t xml:space="preserve">, D., </w:t>
      </w:r>
      <w:proofErr w:type="spellStart"/>
      <w:r w:rsidRPr="00FE0D90">
        <w:rPr>
          <w:rFonts w:ascii="Times New Roman" w:hAnsi="Times New Roman"/>
          <w:color w:val="222222"/>
          <w:sz w:val="24"/>
          <w:szCs w:val="24"/>
          <w:shd w:val="clear" w:color="auto" w:fill="FFFFFF"/>
        </w:rPr>
        <w:t>Dragsted</w:t>
      </w:r>
      <w:proofErr w:type="spellEnd"/>
      <w:r w:rsidRPr="00FE0D90">
        <w:rPr>
          <w:rFonts w:ascii="Times New Roman" w:hAnsi="Times New Roman"/>
          <w:color w:val="222222"/>
          <w:sz w:val="24"/>
          <w:szCs w:val="24"/>
          <w:shd w:val="clear" w:color="auto" w:fill="FFFFFF"/>
        </w:rPr>
        <w:t>, L. O.,</w:t>
      </w:r>
      <w:r w:rsidRPr="00FE0D90">
        <w:rPr>
          <w:rFonts w:ascii="Times New Roman" w:hAnsi="Times New Roman"/>
          <w:color w:val="222222"/>
          <w:sz w:val="24"/>
          <w:szCs w:val="24"/>
          <w:shd w:val="clear" w:color="auto" w:fill="FFFFFF"/>
        </w:rPr>
        <w:t xml:space="preserve"> </w:t>
      </w:r>
      <w:proofErr w:type="spellStart"/>
      <w:r w:rsidRPr="00FE0D90">
        <w:rPr>
          <w:rFonts w:ascii="Times New Roman" w:hAnsi="Times New Roman"/>
          <w:color w:val="222222"/>
          <w:sz w:val="24"/>
          <w:szCs w:val="24"/>
          <w:shd w:val="clear" w:color="auto" w:fill="FFFFFF"/>
        </w:rPr>
        <w:t>Engelsen</w:t>
      </w:r>
      <w:proofErr w:type="spellEnd"/>
      <w:r w:rsidRPr="00FE0D90">
        <w:rPr>
          <w:rFonts w:ascii="Times New Roman" w:hAnsi="Times New Roman"/>
          <w:color w:val="222222"/>
          <w:sz w:val="24"/>
          <w:szCs w:val="24"/>
          <w:shd w:val="clear" w:color="auto" w:fill="FFFFFF"/>
        </w:rPr>
        <w:t xml:space="preserve">, S. B., &amp; </w:t>
      </w:r>
      <w:proofErr w:type="spellStart"/>
      <w:r w:rsidRPr="00FE0D90">
        <w:rPr>
          <w:rFonts w:ascii="Times New Roman" w:hAnsi="Times New Roman"/>
          <w:color w:val="222222"/>
          <w:sz w:val="24"/>
          <w:szCs w:val="24"/>
          <w:shd w:val="clear" w:color="auto" w:fill="FFFFFF"/>
        </w:rPr>
        <w:t>Khakimov</w:t>
      </w:r>
      <w:proofErr w:type="spellEnd"/>
      <w:r w:rsidRPr="00FE0D90">
        <w:rPr>
          <w:rFonts w:ascii="Times New Roman" w:hAnsi="Times New Roman"/>
          <w:color w:val="222222"/>
          <w:sz w:val="24"/>
          <w:szCs w:val="24"/>
          <w:shd w:val="clear" w:color="auto" w:fill="FFFFFF"/>
        </w:rPr>
        <w:t>, B. (2024). The effects of industrial processing and home cooking practices on trans-fatty acid profiles of vegetable oils. </w:t>
      </w:r>
      <w:r w:rsidRPr="00FE0D90">
        <w:rPr>
          <w:rFonts w:ascii="Times New Roman" w:hAnsi="Times New Roman"/>
          <w:i/>
          <w:iCs/>
          <w:color w:val="222222"/>
          <w:sz w:val="24"/>
          <w:szCs w:val="24"/>
          <w:shd w:val="clear" w:color="auto" w:fill="FFFFFF"/>
        </w:rPr>
        <w:t>Food Chemistry</w:t>
      </w:r>
      <w:r w:rsidRPr="00FE0D90">
        <w:rPr>
          <w:rFonts w:ascii="Times New Roman" w:hAnsi="Times New Roman"/>
          <w:color w:val="222222"/>
          <w:sz w:val="24"/>
          <w:szCs w:val="24"/>
          <w:shd w:val="clear" w:color="auto" w:fill="FFFFFF"/>
        </w:rPr>
        <w:t>, 142571.</w:t>
      </w:r>
    </w:p>
    <w:p w:rsidR="00D543E5" w:rsidRPr="00FE0D90" w:rsidRDefault="00A95B9D" w:rsidP="00FE0D90">
      <w:pPr>
        <w:pStyle w:val="ListParagraph"/>
        <w:numPr>
          <w:ilvl w:val="0"/>
          <w:numId w:val="1"/>
        </w:numPr>
        <w:jc w:val="both"/>
        <w:rPr>
          <w:rFonts w:ascii="Times New Roman" w:hAnsi="Times New Roman"/>
          <w:sz w:val="24"/>
          <w:szCs w:val="24"/>
        </w:rPr>
      </w:pPr>
      <w:r w:rsidRPr="00FE0D90">
        <w:rPr>
          <w:rFonts w:ascii="Times New Roman" w:hAnsi="Times New Roman"/>
          <w:sz w:val="24"/>
          <w:szCs w:val="24"/>
        </w:rPr>
        <w:t xml:space="preserve">Méndez, M. R., Lope, J.H., Pereda, J., &amp; </w:t>
      </w:r>
      <w:proofErr w:type="spellStart"/>
      <w:r w:rsidRPr="00FE0D90">
        <w:rPr>
          <w:rFonts w:ascii="Times New Roman" w:hAnsi="Times New Roman"/>
          <w:sz w:val="24"/>
          <w:szCs w:val="24"/>
        </w:rPr>
        <w:t>Dobaganes</w:t>
      </w:r>
      <w:proofErr w:type="spellEnd"/>
      <w:r w:rsidRPr="00FE0D90">
        <w:rPr>
          <w:rFonts w:ascii="Times New Roman" w:hAnsi="Times New Roman"/>
          <w:sz w:val="24"/>
          <w:szCs w:val="24"/>
        </w:rPr>
        <w:t xml:space="preserve"> M.C. (1991). "Assays for phy</w:t>
      </w:r>
      <w:r w:rsidRPr="00FE0D90">
        <w:rPr>
          <w:rFonts w:ascii="Times New Roman" w:hAnsi="Times New Roman"/>
          <w:sz w:val="24"/>
          <w:szCs w:val="24"/>
        </w:rPr>
        <w:t xml:space="preserve">sical refining of shea butter." </w:t>
      </w:r>
      <w:proofErr w:type="spellStart"/>
      <w:r w:rsidRPr="00FE0D90">
        <w:rPr>
          <w:rFonts w:ascii="Times New Roman" w:hAnsi="Times New Roman"/>
          <w:sz w:val="24"/>
          <w:szCs w:val="24"/>
          <w:u w:val="single"/>
        </w:rPr>
        <w:t>Grasas</w:t>
      </w:r>
      <w:proofErr w:type="spellEnd"/>
      <w:r w:rsidRPr="00FE0D90">
        <w:rPr>
          <w:rFonts w:ascii="Times New Roman" w:hAnsi="Times New Roman"/>
          <w:sz w:val="24"/>
          <w:szCs w:val="24"/>
          <w:u w:val="single"/>
        </w:rPr>
        <w:t xml:space="preserve"> y </w:t>
      </w:r>
      <w:proofErr w:type="spellStart"/>
      <w:r w:rsidRPr="00FE0D90">
        <w:rPr>
          <w:rFonts w:ascii="Times New Roman" w:hAnsi="Times New Roman"/>
          <w:sz w:val="24"/>
          <w:szCs w:val="24"/>
          <w:u w:val="single"/>
        </w:rPr>
        <w:t>Aceites</w:t>
      </w:r>
      <w:proofErr w:type="spellEnd"/>
      <w:r w:rsidRPr="00FE0D90">
        <w:rPr>
          <w:rFonts w:ascii="Times New Roman" w:hAnsi="Times New Roman"/>
          <w:sz w:val="24"/>
          <w:szCs w:val="24"/>
        </w:rPr>
        <w:t xml:space="preserve"> </w:t>
      </w:r>
      <w:r w:rsidRPr="00FE0D90">
        <w:rPr>
          <w:rFonts w:ascii="Times New Roman" w:hAnsi="Times New Roman"/>
          <w:b/>
          <w:bCs/>
          <w:sz w:val="24"/>
          <w:szCs w:val="24"/>
        </w:rPr>
        <w:t>42</w:t>
      </w:r>
      <w:r w:rsidRPr="00FE0D90">
        <w:rPr>
          <w:rFonts w:ascii="Times New Roman" w:hAnsi="Times New Roman"/>
          <w:sz w:val="24"/>
          <w:szCs w:val="24"/>
        </w:rPr>
        <w:t>(2), 121-126.</w:t>
      </w:r>
    </w:p>
    <w:p w:rsidR="00D543E5" w:rsidRDefault="00A95B9D" w:rsidP="00FE0D90">
      <w:pPr>
        <w:pStyle w:val="NormalWeb"/>
        <w:numPr>
          <w:ilvl w:val="0"/>
          <w:numId w:val="1"/>
        </w:numPr>
      </w:pPr>
      <w:r>
        <w:t>M</w:t>
      </w:r>
      <w:r>
        <w:t>ordor Intelligence (2025). Shea Butter Market Size, Share &amp; Trends Analysis Report</w:t>
      </w:r>
      <w:r>
        <w:t xml:space="preserve">. </w:t>
      </w:r>
      <w:r>
        <w:tab/>
      </w:r>
      <w:r>
        <w:tab/>
        <w:t>H</w:t>
      </w:r>
      <w:r>
        <w:t>ttps://www.mordorintelligence.com/industry-reports/shea-butter-market</w:t>
      </w:r>
      <w:r>
        <w:t>.</w:t>
      </w:r>
    </w:p>
    <w:p w:rsidR="00D543E5" w:rsidRPr="00FE0D90" w:rsidRDefault="00A95B9D" w:rsidP="00FE0D90">
      <w:pPr>
        <w:pStyle w:val="ListParagraph"/>
        <w:numPr>
          <w:ilvl w:val="0"/>
          <w:numId w:val="1"/>
        </w:numPr>
        <w:tabs>
          <w:tab w:val="left" w:pos="10710"/>
        </w:tabs>
        <w:spacing w:after="0" w:line="240" w:lineRule="auto"/>
        <w:jc w:val="both"/>
        <w:rPr>
          <w:rFonts w:ascii="Times New Roman" w:hAnsi="Times New Roman"/>
          <w:sz w:val="24"/>
          <w:szCs w:val="24"/>
        </w:rPr>
      </w:pPr>
      <w:r w:rsidRPr="00FE0D90">
        <w:rPr>
          <w:rFonts w:ascii="Times New Roman" w:hAnsi="Times New Roman"/>
          <w:sz w:val="24"/>
          <w:szCs w:val="24"/>
        </w:rPr>
        <w:t xml:space="preserve">Nagy, K., </w:t>
      </w:r>
      <w:proofErr w:type="spellStart"/>
      <w:r w:rsidRPr="00FE0D90">
        <w:rPr>
          <w:rFonts w:ascii="Times New Roman" w:hAnsi="Times New Roman"/>
          <w:sz w:val="24"/>
          <w:szCs w:val="24"/>
        </w:rPr>
        <w:t>Iacob</w:t>
      </w:r>
      <w:proofErr w:type="spellEnd"/>
      <w:r w:rsidRPr="00FE0D90">
        <w:rPr>
          <w:rFonts w:ascii="Times New Roman" w:hAnsi="Times New Roman"/>
          <w:sz w:val="24"/>
          <w:szCs w:val="24"/>
        </w:rPr>
        <w:t xml:space="preserve">, B.C., </w:t>
      </w:r>
      <w:proofErr w:type="spellStart"/>
      <w:r w:rsidRPr="00FE0D90">
        <w:rPr>
          <w:rFonts w:ascii="Times New Roman" w:hAnsi="Times New Roman"/>
          <w:sz w:val="24"/>
          <w:szCs w:val="24"/>
        </w:rPr>
        <w:t>Bodoki</w:t>
      </w:r>
      <w:proofErr w:type="spellEnd"/>
      <w:r w:rsidRPr="00FE0D90">
        <w:rPr>
          <w:rFonts w:ascii="Times New Roman" w:hAnsi="Times New Roman"/>
          <w:sz w:val="24"/>
          <w:szCs w:val="24"/>
        </w:rPr>
        <w:t>, E</w:t>
      </w:r>
      <w:r w:rsidRPr="00FE0D90">
        <w:rPr>
          <w:rFonts w:ascii="Times New Roman" w:hAnsi="Times New Roman"/>
          <w:sz w:val="24"/>
          <w:szCs w:val="24"/>
        </w:rPr>
        <w:t xml:space="preserve">., and </w:t>
      </w:r>
      <w:proofErr w:type="spellStart"/>
      <w:r w:rsidRPr="00FE0D90">
        <w:rPr>
          <w:rFonts w:ascii="Times New Roman" w:hAnsi="Times New Roman"/>
          <w:sz w:val="24"/>
          <w:szCs w:val="24"/>
        </w:rPr>
        <w:t>Oprean</w:t>
      </w:r>
      <w:proofErr w:type="spellEnd"/>
      <w:r w:rsidRPr="00FE0D90">
        <w:rPr>
          <w:rFonts w:ascii="Times New Roman" w:hAnsi="Times New Roman"/>
          <w:sz w:val="24"/>
          <w:szCs w:val="24"/>
        </w:rPr>
        <w:t xml:space="preserve">, R. (2024). Investigating the thermal stability of omega fatty acid-enriched vegetable oils. </w:t>
      </w:r>
      <w:r w:rsidRPr="00FE0D90">
        <w:rPr>
          <w:rFonts w:ascii="Times New Roman" w:hAnsi="Times New Roman"/>
          <w:i/>
          <w:sz w:val="24"/>
          <w:szCs w:val="24"/>
        </w:rPr>
        <w:t>Foods</w:t>
      </w:r>
      <w:r w:rsidRPr="00FE0D90">
        <w:rPr>
          <w:rFonts w:ascii="Times New Roman" w:hAnsi="Times New Roman"/>
          <w:sz w:val="24"/>
          <w:szCs w:val="24"/>
        </w:rPr>
        <w:t>, 13(18), 2961</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proofErr w:type="spellStart"/>
      <w:r w:rsidRPr="00FE0D90">
        <w:rPr>
          <w:rFonts w:ascii="Times New Roman" w:hAnsi="Times New Roman"/>
          <w:color w:val="222222"/>
          <w:sz w:val="24"/>
          <w:szCs w:val="24"/>
          <w:shd w:val="clear" w:color="auto" w:fill="FFFFFF"/>
        </w:rPr>
        <w:t>Oey</w:t>
      </w:r>
      <w:proofErr w:type="spellEnd"/>
      <w:r w:rsidRPr="00FE0D90">
        <w:rPr>
          <w:rFonts w:ascii="Times New Roman" w:hAnsi="Times New Roman"/>
          <w:color w:val="222222"/>
          <w:sz w:val="24"/>
          <w:szCs w:val="24"/>
          <w:shd w:val="clear" w:color="auto" w:fill="FFFFFF"/>
        </w:rPr>
        <w:t>, S. B., van der Fels-</w:t>
      </w:r>
      <w:proofErr w:type="spellStart"/>
      <w:r w:rsidRPr="00FE0D90">
        <w:rPr>
          <w:rFonts w:ascii="Times New Roman" w:hAnsi="Times New Roman"/>
          <w:color w:val="222222"/>
          <w:sz w:val="24"/>
          <w:szCs w:val="24"/>
          <w:shd w:val="clear" w:color="auto" w:fill="FFFFFF"/>
        </w:rPr>
        <w:t>Klerx</w:t>
      </w:r>
      <w:proofErr w:type="spellEnd"/>
      <w:r w:rsidRPr="00FE0D90">
        <w:rPr>
          <w:rFonts w:ascii="Times New Roman" w:hAnsi="Times New Roman"/>
          <w:color w:val="222222"/>
          <w:sz w:val="24"/>
          <w:szCs w:val="24"/>
          <w:shd w:val="clear" w:color="auto" w:fill="FFFFFF"/>
        </w:rPr>
        <w:t xml:space="preserve">, H. J., </w:t>
      </w:r>
      <w:proofErr w:type="spellStart"/>
      <w:r w:rsidRPr="00FE0D90">
        <w:rPr>
          <w:rFonts w:ascii="Times New Roman" w:hAnsi="Times New Roman"/>
          <w:color w:val="222222"/>
          <w:sz w:val="24"/>
          <w:szCs w:val="24"/>
          <w:shd w:val="clear" w:color="auto" w:fill="FFFFFF"/>
        </w:rPr>
        <w:t>Fogliano</w:t>
      </w:r>
      <w:proofErr w:type="spellEnd"/>
      <w:r w:rsidRPr="00FE0D90">
        <w:rPr>
          <w:rFonts w:ascii="Times New Roman" w:hAnsi="Times New Roman"/>
          <w:color w:val="222222"/>
          <w:sz w:val="24"/>
          <w:szCs w:val="24"/>
          <w:shd w:val="clear" w:color="auto" w:fill="FFFFFF"/>
        </w:rPr>
        <w:t xml:space="preserve">, V., &amp; van Leeuwen, S. P. (2022). Chemical refining methods effectively mitigate </w:t>
      </w:r>
      <w:r w:rsidRPr="00FE0D90">
        <w:rPr>
          <w:rFonts w:ascii="Times New Roman" w:hAnsi="Times New Roman"/>
          <w:color w:val="222222"/>
          <w:sz w:val="24"/>
          <w:szCs w:val="24"/>
          <w:shd w:val="clear" w:color="auto" w:fill="FFFFFF"/>
        </w:rPr>
        <w:t>2-MCPD esters, 3-MCPD esters, and glycidyl esters formation in refined vegetable oils. </w:t>
      </w:r>
      <w:r w:rsidRPr="00FE0D90">
        <w:rPr>
          <w:rFonts w:ascii="Times New Roman" w:hAnsi="Times New Roman"/>
          <w:i/>
          <w:iCs/>
          <w:color w:val="222222"/>
          <w:sz w:val="24"/>
          <w:szCs w:val="24"/>
          <w:shd w:val="clear" w:color="auto" w:fill="FFFFFF"/>
        </w:rPr>
        <w:t>Food Research International</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156</w:t>
      </w:r>
      <w:r w:rsidRPr="00FE0D90">
        <w:rPr>
          <w:rFonts w:ascii="Times New Roman" w:hAnsi="Times New Roman"/>
          <w:color w:val="222222"/>
          <w:sz w:val="24"/>
          <w:szCs w:val="24"/>
          <w:shd w:val="clear" w:color="auto" w:fill="FFFFFF"/>
        </w:rPr>
        <w:t>, 111137.</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proofErr w:type="spellStart"/>
      <w:r w:rsidRPr="00FE0D90">
        <w:rPr>
          <w:rFonts w:ascii="Times New Roman" w:hAnsi="Times New Roman"/>
          <w:color w:val="222222"/>
          <w:sz w:val="24"/>
          <w:szCs w:val="24"/>
          <w:shd w:val="clear" w:color="auto" w:fill="FFFFFF"/>
        </w:rPr>
        <w:t>Squeo</w:t>
      </w:r>
      <w:proofErr w:type="spellEnd"/>
      <w:r w:rsidRPr="00FE0D90">
        <w:rPr>
          <w:rFonts w:ascii="Times New Roman" w:hAnsi="Times New Roman"/>
          <w:color w:val="222222"/>
          <w:sz w:val="24"/>
          <w:szCs w:val="24"/>
          <w:shd w:val="clear" w:color="auto" w:fill="FFFFFF"/>
        </w:rPr>
        <w:t xml:space="preserve">, G., </w:t>
      </w:r>
      <w:proofErr w:type="spellStart"/>
      <w:r w:rsidRPr="00FE0D90">
        <w:rPr>
          <w:rFonts w:ascii="Times New Roman" w:hAnsi="Times New Roman"/>
          <w:color w:val="222222"/>
          <w:sz w:val="24"/>
          <w:szCs w:val="24"/>
          <w:shd w:val="clear" w:color="auto" w:fill="FFFFFF"/>
        </w:rPr>
        <w:t>Silletti</w:t>
      </w:r>
      <w:proofErr w:type="spellEnd"/>
      <w:r w:rsidRPr="00FE0D90">
        <w:rPr>
          <w:rFonts w:ascii="Times New Roman" w:hAnsi="Times New Roman"/>
          <w:color w:val="222222"/>
          <w:sz w:val="24"/>
          <w:szCs w:val="24"/>
          <w:shd w:val="clear" w:color="auto" w:fill="FFFFFF"/>
        </w:rPr>
        <w:t xml:space="preserve">, R., </w:t>
      </w:r>
      <w:proofErr w:type="spellStart"/>
      <w:r w:rsidRPr="00FE0D90">
        <w:rPr>
          <w:rFonts w:ascii="Times New Roman" w:hAnsi="Times New Roman"/>
          <w:color w:val="222222"/>
          <w:sz w:val="24"/>
          <w:szCs w:val="24"/>
          <w:shd w:val="clear" w:color="auto" w:fill="FFFFFF"/>
        </w:rPr>
        <w:t>Napoletano</w:t>
      </w:r>
      <w:proofErr w:type="spellEnd"/>
      <w:r w:rsidRPr="00FE0D90">
        <w:rPr>
          <w:rFonts w:ascii="Times New Roman" w:hAnsi="Times New Roman"/>
          <w:color w:val="222222"/>
          <w:sz w:val="24"/>
          <w:szCs w:val="24"/>
          <w:shd w:val="clear" w:color="auto" w:fill="FFFFFF"/>
        </w:rPr>
        <w:t xml:space="preserve">, G., Greco </w:t>
      </w:r>
      <w:proofErr w:type="spellStart"/>
      <w:r w:rsidRPr="00FE0D90">
        <w:rPr>
          <w:rFonts w:ascii="Times New Roman" w:hAnsi="Times New Roman"/>
          <w:color w:val="222222"/>
          <w:sz w:val="24"/>
          <w:szCs w:val="24"/>
          <w:shd w:val="clear" w:color="auto" w:fill="FFFFFF"/>
        </w:rPr>
        <w:t>Miani</w:t>
      </w:r>
      <w:proofErr w:type="spellEnd"/>
      <w:r w:rsidRPr="00FE0D90">
        <w:rPr>
          <w:rFonts w:ascii="Times New Roman" w:hAnsi="Times New Roman"/>
          <w:color w:val="222222"/>
          <w:sz w:val="24"/>
          <w:szCs w:val="24"/>
          <w:shd w:val="clear" w:color="auto" w:fill="FFFFFF"/>
        </w:rPr>
        <w:t xml:space="preserve">, M., </w:t>
      </w:r>
      <w:proofErr w:type="spellStart"/>
      <w:r w:rsidRPr="00FE0D90">
        <w:rPr>
          <w:rFonts w:ascii="Times New Roman" w:hAnsi="Times New Roman"/>
          <w:color w:val="222222"/>
          <w:sz w:val="24"/>
          <w:szCs w:val="24"/>
          <w:shd w:val="clear" w:color="auto" w:fill="FFFFFF"/>
        </w:rPr>
        <w:t>Difonzo</w:t>
      </w:r>
      <w:proofErr w:type="spellEnd"/>
      <w:r w:rsidRPr="00FE0D90">
        <w:rPr>
          <w:rFonts w:ascii="Times New Roman" w:hAnsi="Times New Roman"/>
          <w:color w:val="222222"/>
          <w:sz w:val="24"/>
          <w:szCs w:val="24"/>
          <w:shd w:val="clear" w:color="auto" w:fill="FFFFFF"/>
        </w:rPr>
        <w:t xml:space="preserve">, G., </w:t>
      </w:r>
      <w:proofErr w:type="spellStart"/>
      <w:r w:rsidRPr="00FE0D90">
        <w:rPr>
          <w:rFonts w:ascii="Times New Roman" w:hAnsi="Times New Roman"/>
          <w:color w:val="222222"/>
          <w:sz w:val="24"/>
          <w:szCs w:val="24"/>
          <w:shd w:val="clear" w:color="auto" w:fill="FFFFFF"/>
        </w:rPr>
        <w:t>Pasqualone</w:t>
      </w:r>
      <w:proofErr w:type="spellEnd"/>
      <w:r w:rsidRPr="00FE0D90">
        <w:rPr>
          <w:rFonts w:ascii="Times New Roman" w:hAnsi="Times New Roman"/>
          <w:color w:val="222222"/>
          <w:sz w:val="24"/>
          <w:szCs w:val="24"/>
          <w:shd w:val="clear" w:color="auto" w:fill="FFFFFF"/>
        </w:rPr>
        <w:t xml:space="preserve">, A., &amp; </w:t>
      </w:r>
      <w:proofErr w:type="spellStart"/>
      <w:r w:rsidRPr="00FE0D90">
        <w:rPr>
          <w:rFonts w:ascii="Times New Roman" w:hAnsi="Times New Roman"/>
          <w:color w:val="222222"/>
          <w:sz w:val="24"/>
          <w:szCs w:val="24"/>
          <w:shd w:val="clear" w:color="auto" w:fill="FFFFFF"/>
        </w:rPr>
        <w:t>Caponio</w:t>
      </w:r>
      <w:proofErr w:type="spellEnd"/>
      <w:r w:rsidRPr="00FE0D90">
        <w:rPr>
          <w:rFonts w:ascii="Times New Roman" w:hAnsi="Times New Roman"/>
          <w:color w:val="222222"/>
          <w:sz w:val="24"/>
          <w:szCs w:val="24"/>
          <w:shd w:val="clear" w:color="auto" w:fill="FFFFFF"/>
        </w:rPr>
        <w:t>, F. (2022). Characterization a</w:t>
      </w:r>
      <w:r w:rsidRPr="00FE0D90">
        <w:rPr>
          <w:rFonts w:ascii="Times New Roman" w:hAnsi="Times New Roman"/>
          <w:color w:val="222222"/>
          <w:sz w:val="24"/>
          <w:szCs w:val="24"/>
          <w:shd w:val="clear" w:color="auto" w:fill="FFFFFF"/>
        </w:rPr>
        <w:t>nd effect of refining on the oil extracted from durum wheat by-products. </w:t>
      </w:r>
      <w:r w:rsidRPr="00FE0D90">
        <w:rPr>
          <w:rFonts w:ascii="Times New Roman" w:hAnsi="Times New Roman"/>
          <w:i/>
          <w:iCs/>
          <w:color w:val="222222"/>
          <w:sz w:val="24"/>
          <w:szCs w:val="24"/>
          <w:shd w:val="clear" w:color="auto" w:fill="FFFFFF"/>
        </w:rPr>
        <w:t>Foods</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11</w:t>
      </w:r>
      <w:r w:rsidRPr="00FE0D90">
        <w:rPr>
          <w:rFonts w:ascii="Times New Roman" w:hAnsi="Times New Roman"/>
          <w:color w:val="222222"/>
          <w:sz w:val="24"/>
          <w:szCs w:val="24"/>
          <w:shd w:val="clear" w:color="auto" w:fill="FFFFFF"/>
        </w:rPr>
        <w:t>(5), 683.</w:t>
      </w:r>
    </w:p>
    <w:p w:rsidR="00D543E5" w:rsidRDefault="00A95B9D" w:rsidP="00FE0D90">
      <w:pPr>
        <w:pStyle w:val="EndNoteBibliography"/>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T</w:t>
      </w:r>
      <w:r>
        <w:rPr>
          <w:rFonts w:ascii="Times New Roman" w:hAnsi="Times New Roman" w:cs="Times New Roman"/>
          <w:sz w:val="24"/>
          <w:szCs w:val="24"/>
        </w:rPr>
        <w:t>avakoli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Sahari</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Barzegar</w:t>
      </w:r>
      <w:proofErr w:type="spellEnd"/>
      <w:r>
        <w:rPr>
          <w:rFonts w:ascii="Times New Roman" w:hAnsi="Times New Roman" w:cs="Times New Roman"/>
          <w:sz w:val="24"/>
          <w:szCs w:val="24"/>
        </w:rPr>
        <w:t xml:space="preserve">, M., Ahmadi </w:t>
      </w:r>
      <w:proofErr w:type="spellStart"/>
      <w:r>
        <w:rPr>
          <w:rFonts w:ascii="Times New Roman" w:hAnsi="Times New Roman" w:cs="Times New Roman"/>
          <w:sz w:val="24"/>
          <w:szCs w:val="24"/>
        </w:rPr>
        <w:t>Gavlighi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Marzocchi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Marziali</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Caboni</w:t>
      </w:r>
      <w:proofErr w:type="spellEnd"/>
      <w:r>
        <w:rPr>
          <w:rFonts w:ascii="Times New Roman" w:hAnsi="Times New Roman" w:cs="Times New Roman"/>
          <w:sz w:val="24"/>
          <w:szCs w:val="24"/>
        </w:rPr>
        <w:t>, M. F. (2022). The effect of refining process on the volatil</w:t>
      </w:r>
      <w:r>
        <w:rPr>
          <w:rFonts w:ascii="Times New Roman" w:hAnsi="Times New Roman" w:cs="Times New Roman"/>
          <w:sz w:val="24"/>
          <w:szCs w:val="24"/>
        </w:rPr>
        <w:t xml:space="preserve">e compounds, oxidation stability and fatty acids profile of soybean oil using an electrostatic field. </w:t>
      </w:r>
      <w:r>
        <w:rPr>
          <w:rFonts w:ascii="Times New Roman" w:hAnsi="Times New Roman" w:cs="Times New Roman"/>
          <w:i/>
          <w:sz w:val="24"/>
          <w:szCs w:val="24"/>
        </w:rPr>
        <w:t>Journal of Food Processing and Preservation, 46</w:t>
      </w:r>
      <w:r>
        <w:rPr>
          <w:rFonts w:ascii="Times New Roman" w:hAnsi="Times New Roman" w:cs="Times New Roman"/>
          <w:sz w:val="24"/>
          <w:szCs w:val="24"/>
        </w:rPr>
        <w:t xml:space="preserve">(1), e16160. </w:t>
      </w:r>
    </w:p>
    <w:p w:rsidR="00D543E5" w:rsidRDefault="00A95B9D" w:rsidP="00FE0D90">
      <w:pPr>
        <w:pStyle w:val="EndNoteBibliography"/>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Tavakoli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Sahari</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Barzegar</w:t>
      </w:r>
      <w:proofErr w:type="spellEnd"/>
      <w:r>
        <w:rPr>
          <w:rFonts w:ascii="Times New Roman" w:hAnsi="Times New Roman" w:cs="Times New Roman"/>
          <w:sz w:val="24"/>
          <w:szCs w:val="24"/>
        </w:rPr>
        <w:t xml:space="preserve">, M., Ahmadi </w:t>
      </w:r>
      <w:proofErr w:type="spellStart"/>
      <w:r>
        <w:rPr>
          <w:rFonts w:ascii="Times New Roman" w:hAnsi="Times New Roman" w:cs="Times New Roman"/>
          <w:sz w:val="24"/>
          <w:szCs w:val="24"/>
        </w:rPr>
        <w:t>Gavlighi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Marzocchi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Marziali</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Caboni</w:t>
      </w:r>
      <w:proofErr w:type="spellEnd"/>
      <w:r>
        <w:rPr>
          <w:rFonts w:ascii="Times New Roman" w:hAnsi="Times New Roman" w:cs="Times New Roman"/>
          <w:sz w:val="24"/>
          <w:szCs w:val="24"/>
        </w:rPr>
        <w:t>, M. F. (2022). The effect of refining process on the volatile compounds, oxidation stability and fatty acids profile of soybean oil using an electrostat</w:t>
      </w:r>
      <w:r>
        <w:rPr>
          <w:rFonts w:ascii="Times New Roman" w:hAnsi="Times New Roman" w:cs="Times New Roman"/>
          <w:sz w:val="24"/>
          <w:szCs w:val="24"/>
        </w:rPr>
        <w:t xml:space="preserve">ic field. </w:t>
      </w:r>
      <w:r>
        <w:rPr>
          <w:rFonts w:ascii="Times New Roman" w:hAnsi="Times New Roman" w:cs="Times New Roman"/>
          <w:i/>
          <w:sz w:val="24"/>
          <w:szCs w:val="24"/>
        </w:rPr>
        <w:t>Journal of Food Processing and Preservation, 46</w:t>
      </w:r>
      <w:r>
        <w:rPr>
          <w:rFonts w:ascii="Times New Roman" w:hAnsi="Times New Roman" w:cs="Times New Roman"/>
          <w:sz w:val="24"/>
          <w:szCs w:val="24"/>
        </w:rPr>
        <w:t xml:space="preserve">(1), e16160. </w:t>
      </w:r>
    </w:p>
    <w:p w:rsidR="00D543E5" w:rsidRPr="00FE0D90" w:rsidRDefault="00A95B9D" w:rsidP="00FE0D90">
      <w:pPr>
        <w:pStyle w:val="ListParagraph"/>
        <w:numPr>
          <w:ilvl w:val="0"/>
          <w:numId w:val="1"/>
        </w:numPr>
        <w:jc w:val="both"/>
        <w:rPr>
          <w:rFonts w:ascii="Times New Roman" w:hAnsi="Times New Roman"/>
          <w:sz w:val="24"/>
          <w:szCs w:val="24"/>
        </w:rPr>
      </w:pPr>
      <w:r w:rsidRPr="00FE0D90">
        <w:rPr>
          <w:rFonts w:ascii="Times New Roman" w:hAnsi="Times New Roman"/>
          <w:sz w:val="24"/>
          <w:szCs w:val="24"/>
        </w:rPr>
        <w:t>Wang, J., Wu, W., Wang, X., Wang, M., and Wu, F. (2015). An effective GC method for the determination of the fatty acid composition in silkworm pupae oil using a two-step methylation pr</w:t>
      </w:r>
      <w:r w:rsidRPr="00FE0D90">
        <w:rPr>
          <w:rFonts w:ascii="Times New Roman" w:hAnsi="Times New Roman"/>
          <w:sz w:val="24"/>
          <w:szCs w:val="24"/>
        </w:rPr>
        <w:t xml:space="preserve">ocess. </w:t>
      </w:r>
      <w:r w:rsidRPr="00FE0D90">
        <w:rPr>
          <w:rFonts w:ascii="Times New Roman" w:hAnsi="Times New Roman"/>
          <w:i/>
          <w:sz w:val="24"/>
          <w:szCs w:val="24"/>
        </w:rPr>
        <w:t>Journal of the Serbian Chemical Society, 80</w:t>
      </w:r>
      <w:r w:rsidRPr="00FE0D90">
        <w:rPr>
          <w:rFonts w:ascii="Times New Roman" w:hAnsi="Times New Roman"/>
          <w:sz w:val="24"/>
          <w:szCs w:val="24"/>
        </w:rPr>
        <w:t>(1), 9-20</w:t>
      </w:r>
    </w:p>
    <w:p w:rsidR="00D543E5" w:rsidRPr="00FE0D90" w:rsidRDefault="00A95B9D" w:rsidP="00FE0D90">
      <w:pPr>
        <w:pStyle w:val="ListParagraph"/>
        <w:numPr>
          <w:ilvl w:val="0"/>
          <w:numId w:val="1"/>
        </w:numPr>
        <w:jc w:val="both"/>
        <w:rPr>
          <w:rFonts w:ascii="Times New Roman" w:hAnsi="Times New Roman"/>
          <w:sz w:val="24"/>
          <w:szCs w:val="24"/>
        </w:rPr>
      </w:pPr>
      <w:r w:rsidRPr="00FE0D90">
        <w:rPr>
          <w:rFonts w:ascii="Times New Roman" w:hAnsi="Times New Roman"/>
          <w:color w:val="222222"/>
          <w:sz w:val="24"/>
          <w:szCs w:val="24"/>
          <w:shd w:val="clear" w:color="auto" w:fill="FFFFFF"/>
        </w:rPr>
        <w:lastRenderedPageBreak/>
        <w:t>Wen, C., Shen, M., Liu, G., Liu, X., Liang, L., Li, Y., Zhang, J. &amp; Xu, X. (2023). Edible vegetable oils from oil crops: Preparation, refining, authenticity identification and application. </w:t>
      </w:r>
      <w:r w:rsidRPr="00FE0D90">
        <w:rPr>
          <w:rFonts w:ascii="Times New Roman" w:hAnsi="Times New Roman"/>
          <w:i/>
          <w:iCs/>
          <w:color w:val="222222"/>
          <w:sz w:val="24"/>
          <w:szCs w:val="24"/>
          <w:shd w:val="clear" w:color="auto" w:fill="FFFFFF"/>
        </w:rPr>
        <w:t>Process</w:t>
      </w:r>
      <w:r w:rsidRPr="00FE0D90">
        <w:rPr>
          <w:rFonts w:ascii="Times New Roman" w:hAnsi="Times New Roman"/>
          <w:i/>
          <w:iCs/>
          <w:color w:val="222222"/>
          <w:sz w:val="24"/>
          <w:szCs w:val="24"/>
          <w:shd w:val="clear" w:color="auto" w:fill="FFFFFF"/>
        </w:rPr>
        <w:t xml:space="preserve"> Biochemistry</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124</w:t>
      </w:r>
      <w:r w:rsidRPr="00FE0D90">
        <w:rPr>
          <w:rFonts w:ascii="Times New Roman" w:hAnsi="Times New Roman"/>
          <w:color w:val="222222"/>
          <w:sz w:val="24"/>
          <w:szCs w:val="24"/>
          <w:shd w:val="clear" w:color="auto" w:fill="FFFFFF"/>
        </w:rPr>
        <w:t>, 168-179.</w:t>
      </w:r>
    </w:p>
    <w:p w:rsidR="00D543E5" w:rsidRDefault="00A95B9D" w:rsidP="00FE0D90">
      <w:pPr>
        <w:pStyle w:val="EndNoteBibliography"/>
        <w:numPr>
          <w:ilvl w:val="0"/>
          <w:numId w:val="1"/>
        </w:numPr>
        <w:spacing w:after="240"/>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 xml:space="preserve">eb, A., &amp; Ullah, F. (2016). A simple spectrophotometric method for the determination of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substances in fried fast foods. </w:t>
      </w:r>
      <w:r>
        <w:rPr>
          <w:rFonts w:ascii="Times New Roman" w:hAnsi="Times New Roman" w:cs="Times New Roman"/>
          <w:i/>
          <w:sz w:val="24"/>
          <w:szCs w:val="24"/>
        </w:rPr>
        <w:t>Journal of analytical methods in chemistry, 2016</w:t>
      </w:r>
      <w:r>
        <w:rPr>
          <w:rFonts w:ascii="Times New Roman" w:hAnsi="Times New Roman" w:cs="Times New Roman"/>
          <w:sz w:val="24"/>
          <w:szCs w:val="24"/>
        </w:rPr>
        <w:t xml:space="preserve">(1), 9412767. </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r w:rsidRPr="00FE0D90">
        <w:rPr>
          <w:rFonts w:ascii="Times New Roman" w:hAnsi="Times New Roman"/>
          <w:color w:val="222222"/>
          <w:sz w:val="24"/>
          <w:szCs w:val="24"/>
          <w:shd w:val="clear" w:color="auto" w:fill="FFFFFF"/>
        </w:rPr>
        <w:t>Zhang, Z., Ma,</w:t>
      </w:r>
      <w:r w:rsidRPr="00FE0D90">
        <w:rPr>
          <w:rFonts w:ascii="Times New Roman" w:hAnsi="Times New Roman"/>
          <w:color w:val="222222"/>
          <w:sz w:val="24"/>
          <w:szCs w:val="24"/>
          <w:shd w:val="clear" w:color="auto" w:fill="FFFFFF"/>
        </w:rPr>
        <w:t xml:space="preserve"> X., Huang, H., &amp; Wang, Y. (2017). Shea olein based specialty fats: Preparation, characterization and potential application. </w:t>
      </w:r>
      <w:r w:rsidRPr="00FE0D90">
        <w:rPr>
          <w:rFonts w:ascii="Times New Roman" w:hAnsi="Times New Roman"/>
          <w:i/>
          <w:iCs/>
          <w:color w:val="222222"/>
          <w:sz w:val="24"/>
          <w:szCs w:val="24"/>
          <w:shd w:val="clear" w:color="auto" w:fill="FFFFFF"/>
        </w:rPr>
        <w:t>LWT</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86</w:t>
      </w:r>
      <w:r w:rsidRPr="00FE0D90">
        <w:rPr>
          <w:rFonts w:ascii="Times New Roman" w:hAnsi="Times New Roman"/>
          <w:color w:val="222222"/>
          <w:sz w:val="24"/>
          <w:szCs w:val="24"/>
          <w:shd w:val="clear" w:color="auto" w:fill="FFFFFF"/>
        </w:rPr>
        <w:t>, 492-500.</w:t>
      </w:r>
    </w:p>
    <w:p w:rsidR="00D543E5" w:rsidRPr="00FE0D90" w:rsidRDefault="00A95B9D" w:rsidP="00FE0D90">
      <w:pPr>
        <w:pStyle w:val="ListParagraph"/>
        <w:numPr>
          <w:ilvl w:val="0"/>
          <w:numId w:val="1"/>
        </w:numPr>
        <w:jc w:val="both"/>
        <w:rPr>
          <w:rFonts w:ascii="Times New Roman" w:hAnsi="Times New Roman"/>
          <w:color w:val="222222"/>
          <w:sz w:val="24"/>
          <w:szCs w:val="24"/>
          <w:shd w:val="clear" w:color="auto" w:fill="FFFFFF"/>
        </w:rPr>
      </w:pPr>
      <w:proofErr w:type="spellStart"/>
      <w:r w:rsidRPr="00FE0D90">
        <w:rPr>
          <w:rFonts w:ascii="Times New Roman" w:hAnsi="Times New Roman"/>
          <w:color w:val="222222"/>
          <w:sz w:val="24"/>
          <w:szCs w:val="24"/>
          <w:shd w:val="clear" w:color="auto" w:fill="FFFFFF"/>
        </w:rPr>
        <w:t>Zufarov</w:t>
      </w:r>
      <w:proofErr w:type="spellEnd"/>
      <w:r w:rsidRPr="00FE0D90">
        <w:rPr>
          <w:rFonts w:ascii="Times New Roman" w:hAnsi="Times New Roman"/>
          <w:color w:val="222222"/>
          <w:sz w:val="24"/>
          <w:szCs w:val="24"/>
          <w:shd w:val="clear" w:color="auto" w:fill="FFFFFF"/>
        </w:rPr>
        <w:t xml:space="preserve">, O., </w:t>
      </w:r>
      <w:proofErr w:type="spellStart"/>
      <w:r w:rsidRPr="00FE0D90">
        <w:rPr>
          <w:rFonts w:ascii="Times New Roman" w:hAnsi="Times New Roman"/>
          <w:color w:val="222222"/>
          <w:sz w:val="24"/>
          <w:szCs w:val="24"/>
          <w:shd w:val="clear" w:color="auto" w:fill="FFFFFF"/>
        </w:rPr>
        <w:t>Serkayev</w:t>
      </w:r>
      <w:proofErr w:type="spellEnd"/>
      <w:r w:rsidRPr="00FE0D90">
        <w:rPr>
          <w:rFonts w:ascii="Times New Roman" w:hAnsi="Times New Roman"/>
          <w:color w:val="222222"/>
          <w:sz w:val="24"/>
          <w:szCs w:val="24"/>
          <w:shd w:val="clear" w:color="auto" w:fill="FFFFFF"/>
        </w:rPr>
        <w:t xml:space="preserve">, K., &amp; </w:t>
      </w:r>
      <w:proofErr w:type="spellStart"/>
      <w:r w:rsidRPr="00FE0D90">
        <w:rPr>
          <w:rFonts w:ascii="Times New Roman" w:hAnsi="Times New Roman"/>
          <w:color w:val="222222"/>
          <w:sz w:val="24"/>
          <w:szCs w:val="24"/>
          <w:shd w:val="clear" w:color="auto" w:fill="FFFFFF"/>
        </w:rPr>
        <w:t>Isroilova</w:t>
      </w:r>
      <w:proofErr w:type="spellEnd"/>
      <w:r w:rsidRPr="00FE0D90">
        <w:rPr>
          <w:rFonts w:ascii="Times New Roman" w:hAnsi="Times New Roman"/>
          <w:color w:val="222222"/>
          <w:sz w:val="24"/>
          <w:szCs w:val="24"/>
          <w:shd w:val="clear" w:color="auto" w:fill="FFFFFF"/>
        </w:rPr>
        <w:t>, S. (2024). Influence of Chemical and physical refining processes on phos</w:t>
      </w:r>
      <w:r w:rsidRPr="00FE0D90">
        <w:rPr>
          <w:rFonts w:ascii="Times New Roman" w:hAnsi="Times New Roman"/>
          <w:color w:val="222222"/>
          <w:sz w:val="24"/>
          <w:szCs w:val="24"/>
          <w:shd w:val="clear" w:color="auto" w:fill="FFFFFF"/>
        </w:rPr>
        <w:t>pholipid and total Tocopherol content in sunflower oil. </w:t>
      </w:r>
      <w:r w:rsidRPr="00FE0D90">
        <w:rPr>
          <w:rFonts w:ascii="Times New Roman" w:hAnsi="Times New Roman"/>
          <w:i/>
          <w:iCs/>
          <w:color w:val="222222"/>
          <w:sz w:val="24"/>
          <w:szCs w:val="24"/>
          <w:shd w:val="clear" w:color="auto" w:fill="FFFFFF"/>
        </w:rPr>
        <w:t xml:space="preserve">Am. J. </w:t>
      </w:r>
      <w:proofErr w:type="spellStart"/>
      <w:r w:rsidRPr="00FE0D90">
        <w:rPr>
          <w:rFonts w:ascii="Times New Roman" w:hAnsi="Times New Roman"/>
          <w:i/>
          <w:iCs/>
          <w:color w:val="222222"/>
          <w:sz w:val="24"/>
          <w:szCs w:val="24"/>
          <w:shd w:val="clear" w:color="auto" w:fill="FFFFFF"/>
        </w:rPr>
        <w:t>Polym</w:t>
      </w:r>
      <w:proofErr w:type="spellEnd"/>
      <w:r w:rsidRPr="00FE0D90">
        <w:rPr>
          <w:rFonts w:ascii="Times New Roman" w:hAnsi="Times New Roman"/>
          <w:i/>
          <w:iCs/>
          <w:color w:val="222222"/>
          <w:sz w:val="24"/>
          <w:szCs w:val="24"/>
          <w:shd w:val="clear" w:color="auto" w:fill="FFFFFF"/>
        </w:rPr>
        <w:t>. Sci</w:t>
      </w:r>
      <w:r w:rsidRPr="00FE0D90">
        <w:rPr>
          <w:rFonts w:ascii="Times New Roman" w:hAnsi="Times New Roman"/>
          <w:color w:val="222222"/>
          <w:sz w:val="24"/>
          <w:szCs w:val="24"/>
          <w:shd w:val="clear" w:color="auto" w:fill="FFFFFF"/>
        </w:rPr>
        <w:t>, </w:t>
      </w:r>
      <w:r w:rsidRPr="00FE0D90">
        <w:rPr>
          <w:rFonts w:ascii="Times New Roman" w:hAnsi="Times New Roman"/>
          <w:i/>
          <w:iCs/>
          <w:color w:val="222222"/>
          <w:sz w:val="24"/>
          <w:szCs w:val="24"/>
          <w:shd w:val="clear" w:color="auto" w:fill="FFFFFF"/>
        </w:rPr>
        <w:t>13</w:t>
      </w:r>
      <w:r w:rsidRPr="00FE0D90">
        <w:rPr>
          <w:rFonts w:ascii="Times New Roman" w:hAnsi="Times New Roman"/>
          <w:color w:val="222222"/>
          <w:sz w:val="24"/>
          <w:szCs w:val="24"/>
          <w:shd w:val="clear" w:color="auto" w:fill="FFFFFF"/>
        </w:rPr>
        <w:t>, 1-5.</w:t>
      </w:r>
    </w:p>
    <w:p w:rsidR="00D543E5" w:rsidRDefault="00D543E5">
      <w:pPr>
        <w:spacing w:line="240" w:lineRule="auto"/>
        <w:ind w:left="720"/>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spacing w:before="0" w:beforeAutospacing="0" w:after="0" w:line="240" w:lineRule="auto"/>
        <w:ind w:left="720"/>
        <w:jc w:val="both"/>
        <w:rPr>
          <w:rFonts w:ascii="Times New Roman" w:hAnsi="Times New Roman"/>
          <w:sz w:val="24"/>
          <w:szCs w:val="24"/>
        </w:rPr>
      </w:pPr>
      <w:r>
        <w:rPr>
          <w:noProof/>
        </w:rPr>
        <w:drawing>
          <wp:inline distT="0" distB="0" distL="114300" distR="114300">
            <wp:extent cx="4826000" cy="2743200"/>
            <wp:effectExtent l="4445" t="4445" r="8255" b="1460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A95B9D">
      <w:pPr>
        <w:tabs>
          <w:tab w:val="left" w:pos="720"/>
        </w:tabs>
        <w:spacing w:before="0" w:beforeAutospacing="0" w:after="0" w:line="240" w:lineRule="auto"/>
        <w:ind w:left="720"/>
        <w:jc w:val="both"/>
        <w:rPr>
          <w:rFonts w:ascii="Times New Roman" w:hAnsi="Times New Roman"/>
          <w:sz w:val="24"/>
          <w:szCs w:val="24"/>
        </w:rPr>
      </w:pPr>
      <w:r>
        <w:rPr>
          <w:rFonts w:ascii="Times New Roman" w:hAnsi="Times New Roman"/>
          <w:sz w:val="24"/>
          <w:szCs w:val="24"/>
        </w:rPr>
        <w:t>Figure 1: % loss exhibited during refining of shea olein</w:t>
      </w: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p w:rsidR="00D543E5" w:rsidRDefault="00D543E5">
      <w:pPr>
        <w:spacing w:before="0" w:beforeAutospacing="0" w:after="0" w:line="240" w:lineRule="auto"/>
        <w:ind w:left="720"/>
        <w:jc w:val="both"/>
        <w:rPr>
          <w:rFonts w:ascii="Times New Roman" w:hAnsi="Times New Roman"/>
          <w:sz w:val="24"/>
          <w:szCs w:val="24"/>
        </w:rPr>
      </w:pPr>
    </w:p>
    <w:tbl>
      <w:tblPr>
        <w:tblW w:w="11248" w:type="dxa"/>
        <w:jc w:val="center"/>
        <w:tblLook w:val="04A0" w:firstRow="1" w:lastRow="0" w:firstColumn="1" w:lastColumn="0" w:noHBand="0" w:noVBand="1"/>
      </w:tblPr>
      <w:tblGrid>
        <w:gridCol w:w="2017"/>
        <w:gridCol w:w="2303"/>
        <w:gridCol w:w="2160"/>
        <w:gridCol w:w="2151"/>
        <w:gridCol w:w="2617"/>
      </w:tblGrid>
      <w:tr w:rsidR="00D543E5">
        <w:trPr>
          <w:trHeight w:val="300"/>
          <w:jc w:val="center"/>
        </w:trPr>
        <w:tc>
          <w:tcPr>
            <w:tcW w:w="11248" w:type="dxa"/>
            <w:gridSpan w:val="5"/>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Table 1: Oxidative stability of shea olein </w:t>
            </w:r>
            <w:proofErr w:type="gramStart"/>
            <w:r>
              <w:rPr>
                <w:rFonts w:ascii="Times New Roman" w:hAnsi="Times New Roman"/>
                <w:color w:val="000000"/>
                <w:sz w:val="24"/>
                <w:szCs w:val="24"/>
              </w:rPr>
              <w:t>during  refining</w:t>
            </w:r>
            <w:proofErr w:type="gramEnd"/>
          </w:p>
        </w:tc>
      </w:tr>
      <w:tr w:rsidR="00D543E5">
        <w:trPr>
          <w:trHeight w:val="300"/>
          <w:jc w:val="center"/>
        </w:trPr>
        <w:tc>
          <w:tcPr>
            <w:tcW w:w="2017"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SAMPLES</w:t>
            </w:r>
          </w:p>
        </w:tc>
        <w:tc>
          <w:tcPr>
            <w:tcW w:w="2303"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PV (</w:t>
            </w:r>
            <w:proofErr w:type="spellStart"/>
            <w:r>
              <w:rPr>
                <w:rFonts w:ascii="Times New Roman" w:hAnsi="Times New Roman"/>
                <w:color w:val="000000"/>
                <w:sz w:val="24"/>
                <w:szCs w:val="24"/>
              </w:rPr>
              <w:t>meq</w:t>
            </w:r>
            <w:proofErr w:type="spellEnd"/>
            <w:r>
              <w:rPr>
                <w:rFonts w:ascii="Times New Roman" w:hAnsi="Times New Roman"/>
                <w:color w:val="000000"/>
                <w:sz w:val="24"/>
                <w:szCs w:val="24"/>
              </w:rPr>
              <w:t>/kg)</w:t>
            </w:r>
          </w:p>
        </w:tc>
        <w:tc>
          <w:tcPr>
            <w:tcW w:w="2160"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p-AV</w:t>
            </w:r>
          </w:p>
        </w:tc>
        <w:tc>
          <w:tcPr>
            <w:tcW w:w="2151"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CD (mmol/g)</w:t>
            </w:r>
          </w:p>
        </w:tc>
        <w:tc>
          <w:tcPr>
            <w:tcW w:w="2617"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TBARS (mmol/g)</w:t>
            </w:r>
          </w:p>
        </w:tc>
      </w:tr>
      <w:tr w:rsidR="00D543E5">
        <w:trPr>
          <w:trHeight w:val="300"/>
          <w:jc w:val="center"/>
        </w:trPr>
        <w:tc>
          <w:tcPr>
            <w:tcW w:w="2017"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CSB</w:t>
            </w:r>
          </w:p>
        </w:tc>
        <w:tc>
          <w:tcPr>
            <w:tcW w:w="2303"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1.59 ± 0.00</w:t>
            </w:r>
            <w:r>
              <w:rPr>
                <w:rFonts w:ascii="Times New Roman" w:hAnsi="Times New Roman"/>
                <w:color w:val="000000"/>
                <w:sz w:val="24"/>
                <w:szCs w:val="24"/>
                <w:vertAlign w:val="superscript"/>
              </w:rPr>
              <w:t>a</w:t>
            </w:r>
          </w:p>
        </w:tc>
        <w:tc>
          <w:tcPr>
            <w:tcW w:w="2160"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11.51±0.02</w:t>
            </w:r>
            <w:r>
              <w:rPr>
                <w:rFonts w:ascii="Times New Roman" w:hAnsi="Times New Roman"/>
                <w:color w:val="000000"/>
                <w:sz w:val="24"/>
                <w:szCs w:val="24"/>
                <w:vertAlign w:val="superscript"/>
              </w:rPr>
              <w:t>a</w:t>
            </w:r>
          </w:p>
        </w:tc>
        <w:tc>
          <w:tcPr>
            <w:tcW w:w="2151"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5.00 ± 0.25</w:t>
            </w:r>
            <w:r>
              <w:rPr>
                <w:rFonts w:ascii="Times New Roman" w:hAnsi="Times New Roman"/>
                <w:color w:val="000000"/>
                <w:sz w:val="24"/>
                <w:szCs w:val="24"/>
                <w:vertAlign w:val="superscript"/>
              </w:rPr>
              <w:t xml:space="preserve">a </w:t>
            </w:r>
          </w:p>
        </w:tc>
        <w:tc>
          <w:tcPr>
            <w:tcW w:w="2617"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0.14 ± 0.22</w:t>
            </w:r>
            <w:r>
              <w:rPr>
                <w:rFonts w:ascii="Times New Roman" w:hAnsi="Times New Roman"/>
                <w:color w:val="000000"/>
                <w:sz w:val="24"/>
                <w:szCs w:val="24"/>
                <w:vertAlign w:val="superscript"/>
              </w:rPr>
              <w:t>b</w:t>
            </w:r>
          </w:p>
        </w:tc>
      </w:tr>
      <w:tr w:rsidR="00D543E5">
        <w:trPr>
          <w:trHeight w:val="300"/>
          <w:jc w:val="center"/>
        </w:trPr>
        <w:tc>
          <w:tcPr>
            <w:tcW w:w="2017"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DSOB</w:t>
            </w:r>
          </w:p>
        </w:tc>
        <w:tc>
          <w:tcPr>
            <w:tcW w:w="2303"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0.32 ± 0.01</w:t>
            </w:r>
            <w:r>
              <w:rPr>
                <w:rFonts w:ascii="Times New Roman" w:hAnsi="Times New Roman"/>
                <w:color w:val="000000"/>
                <w:sz w:val="24"/>
                <w:szCs w:val="24"/>
                <w:vertAlign w:val="superscript"/>
              </w:rPr>
              <w:t>b</w:t>
            </w:r>
          </w:p>
        </w:tc>
        <w:tc>
          <w:tcPr>
            <w:tcW w:w="2160"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7.49 ±0.85</w:t>
            </w:r>
            <w:r>
              <w:rPr>
                <w:rFonts w:ascii="Times New Roman" w:hAnsi="Times New Roman"/>
                <w:color w:val="000000"/>
                <w:sz w:val="24"/>
                <w:szCs w:val="24"/>
                <w:vertAlign w:val="superscript"/>
              </w:rPr>
              <w:t>c</w:t>
            </w:r>
          </w:p>
        </w:tc>
        <w:tc>
          <w:tcPr>
            <w:tcW w:w="2151"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0.59 ± 0.00</w:t>
            </w:r>
            <w:r>
              <w:rPr>
                <w:rFonts w:ascii="Times New Roman" w:hAnsi="Times New Roman"/>
                <w:color w:val="000000"/>
                <w:sz w:val="24"/>
                <w:szCs w:val="24"/>
                <w:vertAlign w:val="superscript"/>
              </w:rPr>
              <w:t>b</w:t>
            </w:r>
          </w:p>
        </w:tc>
        <w:tc>
          <w:tcPr>
            <w:tcW w:w="2617"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0.10±0.03</w:t>
            </w:r>
            <w:r>
              <w:rPr>
                <w:rFonts w:ascii="Times New Roman" w:hAnsi="Times New Roman"/>
                <w:color w:val="000000"/>
                <w:sz w:val="24"/>
                <w:szCs w:val="24"/>
                <w:vertAlign w:val="superscript"/>
              </w:rPr>
              <w:t>b</w:t>
            </w:r>
          </w:p>
        </w:tc>
      </w:tr>
      <w:tr w:rsidR="00D543E5">
        <w:trPr>
          <w:trHeight w:val="300"/>
          <w:jc w:val="center"/>
        </w:trPr>
        <w:tc>
          <w:tcPr>
            <w:tcW w:w="2017"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NSO</w:t>
            </w:r>
          </w:p>
        </w:tc>
        <w:tc>
          <w:tcPr>
            <w:tcW w:w="2303"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0.26 ± 0.1</w:t>
            </w:r>
            <w:r>
              <w:rPr>
                <w:rFonts w:ascii="Times New Roman" w:hAnsi="Times New Roman"/>
                <w:color w:val="000000"/>
                <w:sz w:val="24"/>
                <w:szCs w:val="24"/>
                <w:vertAlign w:val="superscript"/>
              </w:rPr>
              <w:t>c</w:t>
            </w:r>
          </w:p>
        </w:tc>
        <w:tc>
          <w:tcPr>
            <w:tcW w:w="2160"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7.28 ± 0.05</w:t>
            </w:r>
            <w:r>
              <w:rPr>
                <w:rFonts w:ascii="Times New Roman" w:hAnsi="Times New Roman"/>
                <w:color w:val="000000"/>
                <w:sz w:val="24"/>
                <w:szCs w:val="24"/>
                <w:vertAlign w:val="superscript"/>
              </w:rPr>
              <w:t>c</w:t>
            </w:r>
          </w:p>
        </w:tc>
        <w:tc>
          <w:tcPr>
            <w:tcW w:w="2151"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0.47 ±0.30</w:t>
            </w:r>
            <w:r>
              <w:rPr>
                <w:rFonts w:ascii="Times New Roman" w:hAnsi="Times New Roman"/>
                <w:color w:val="000000"/>
                <w:sz w:val="24"/>
                <w:szCs w:val="24"/>
                <w:vertAlign w:val="superscript"/>
              </w:rPr>
              <w:t>c</w:t>
            </w:r>
          </w:p>
        </w:tc>
        <w:tc>
          <w:tcPr>
            <w:tcW w:w="2617" w:type="dxa"/>
            <w:tcBorders>
              <w:top w:val="nil"/>
              <w:left w:val="nil"/>
              <w:bottom w:val="nil"/>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0.16±0.07</w:t>
            </w:r>
            <w:r>
              <w:rPr>
                <w:rFonts w:ascii="Times New Roman" w:hAnsi="Times New Roman"/>
                <w:color w:val="000000"/>
                <w:sz w:val="24"/>
                <w:szCs w:val="24"/>
                <w:vertAlign w:val="superscript"/>
              </w:rPr>
              <w:t>b</w:t>
            </w:r>
          </w:p>
        </w:tc>
      </w:tr>
      <w:tr w:rsidR="00D543E5">
        <w:trPr>
          <w:trHeight w:val="300"/>
          <w:jc w:val="center"/>
        </w:trPr>
        <w:tc>
          <w:tcPr>
            <w:tcW w:w="2017"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BSO</w:t>
            </w:r>
          </w:p>
        </w:tc>
        <w:tc>
          <w:tcPr>
            <w:tcW w:w="2303"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0.24 ± 0.03</w:t>
            </w:r>
            <w:r>
              <w:rPr>
                <w:rFonts w:ascii="Times New Roman" w:hAnsi="Times New Roman"/>
                <w:color w:val="000000"/>
                <w:sz w:val="24"/>
                <w:szCs w:val="24"/>
                <w:vertAlign w:val="superscript"/>
              </w:rPr>
              <w:t>c</w:t>
            </w:r>
          </w:p>
        </w:tc>
        <w:tc>
          <w:tcPr>
            <w:tcW w:w="2160"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9.30 ± 0.01</w:t>
            </w:r>
            <w:r>
              <w:rPr>
                <w:rFonts w:ascii="Times New Roman" w:hAnsi="Times New Roman"/>
                <w:color w:val="000000"/>
                <w:sz w:val="24"/>
                <w:szCs w:val="24"/>
                <w:vertAlign w:val="superscript"/>
              </w:rPr>
              <w:t>b</w:t>
            </w:r>
          </w:p>
        </w:tc>
        <w:tc>
          <w:tcPr>
            <w:tcW w:w="2151"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0.62 ± </w:t>
            </w:r>
            <w:r>
              <w:rPr>
                <w:rFonts w:ascii="Times New Roman" w:hAnsi="Times New Roman"/>
                <w:color w:val="000000"/>
                <w:sz w:val="24"/>
                <w:szCs w:val="24"/>
              </w:rPr>
              <w:t>0.07</w:t>
            </w:r>
            <w:r>
              <w:rPr>
                <w:rFonts w:ascii="Times New Roman" w:hAnsi="Times New Roman"/>
                <w:color w:val="000000"/>
                <w:sz w:val="24"/>
                <w:szCs w:val="24"/>
                <w:vertAlign w:val="superscript"/>
              </w:rPr>
              <w:t>b</w:t>
            </w:r>
          </w:p>
        </w:tc>
        <w:tc>
          <w:tcPr>
            <w:tcW w:w="2617" w:type="dxa"/>
            <w:tcBorders>
              <w:top w:val="nil"/>
              <w:left w:val="nil"/>
              <w:bottom w:val="single" w:sz="4" w:space="0" w:color="auto"/>
              <w:right w:val="nil"/>
            </w:tcBorders>
            <w:noWrap/>
            <w:vAlign w:val="bottom"/>
          </w:tcPr>
          <w:p w:rsidR="00D543E5" w:rsidRDefault="00A95B9D">
            <w:pPr>
              <w:spacing w:after="0" w:line="240" w:lineRule="auto"/>
              <w:ind w:left="720"/>
              <w:rPr>
                <w:rFonts w:ascii="Times New Roman" w:hAnsi="Times New Roman"/>
                <w:color w:val="000000"/>
                <w:sz w:val="24"/>
                <w:szCs w:val="24"/>
              </w:rPr>
            </w:pPr>
            <w:r>
              <w:rPr>
                <w:rFonts w:ascii="Times New Roman" w:hAnsi="Times New Roman"/>
                <w:color w:val="000000"/>
                <w:sz w:val="24"/>
                <w:szCs w:val="24"/>
              </w:rPr>
              <w:t>0.26±0.05</w:t>
            </w:r>
            <w:r>
              <w:rPr>
                <w:rFonts w:ascii="Times New Roman" w:hAnsi="Times New Roman"/>
                <w:color w:val="000000"/>
                <w:sz w:val="24"/>
                <w:szCs w:val="24"/>
                <w:vertAlign w:val="superscript"/>
              </w:rPr>
              <w:t>a</w:t>
            </w:r>
          </w:p>
        </w:tc>
      </w:tr>
      <w:tr w:rsidR="00D543E5">
        <w:trPr>
          <w:trHeight w:val="300"/>
          <w:jc w:val="center"/>
        </w:trPr>
        <w:tc>
          <w:tcPr>
            <w:tcW w:w="2017" w:type="dxa"/>
            <w:tcBorders>
              <w:top w:val="nil"/>
              <w:left w:val="nil"/>
              <w:bottom w:val="nil"/>
              <w:right w:val="nil"/>
            </w:tcBorders>
            <w:noWrap/>
            <w:vAlign w:val="bottom"/>
          </w:tcPr>
          <w:p w:rsidR="00D543E5" w:rsidRDefault="00D543E5">
            <w:pPr>
              <w:spacing w:after="0" w:line="240" w:lineRule="auto"/>
              <w:ind w:left="720"/>
              <w:rPr>
                <w:rFonts w:ascii="Times New Roman" w:hAnsi="Times New Roman"/>
                <w:color w:val="000000"/>
                <w:sz w:val="24"/>
                <w:szCs w:val="24"/>
              </w:rPr>
            </w:pPr>
          </w:p>
        </w:tc>
        <w:tc>
          <w:tcPr>
            <w:tcW w:w="2303" w:type="dxa"/>
            <w:tcBorders>
              <w:top w:val="nil"/>
              <w:left w:val="nil"/>
              <w:bottom w:val="nil"/>
              <w:right w:val="nil"/>
            </w:tcBorders>
            <w:noWrap/>
            <w:vAlign w:val="bottom"/>
          </w:tcPr>
          <w:p w:rsidR="00D543E5" w:rsidRDefault="00D543E5">
            <w:pPr>
              <w:spacing w:after="0" w:line="240" w:lineRule="auto"/>
              <w:ind w:left="720"/>
              <w:rPr>
                <w:rFonts w:ascii="Times New Roman" w:hAnsi="Times New Roman"/>
                <w:color w:val="000000"/>
                <w:sz w:val="24"/>
                <w:szCs w:val="24"/>
              </w:rPr>
            </w:pPr>
          </w:p>
        </w:tc>
        <w:tc>
          <w:tcPr>
            <w:tcW w:w="2160" w:type="dxa"/>
            <w:tcBorders>
              <w:top w:val="nil"/>
              <w:left w:val="nil"/>
              <w:bottom w:val="nil"/>
              <w:right w:val="nil"/>
            </w:tcBorders>
            <w:noWrap/>
            <w:vAlign w:val="bottom"/>
          </w:tcPr>
          <w:p w:rsidR="00D543E5" w:rsidRDefault="00D543E5">
            <w:pPr>
              <w:spacing w:after="0" w:line="240" w:lineRule="auto"/>
              <w:ind w:left="720"/>
              <w:rPr>
                <w:rFonts w:ascii="Times New Roman" w:hAnsi="Times New Roman"/>
                <w:color w:val="000000"/>
                <w:sz w:val="24"/>
                <w:szCs w:val="24"/>
              </w:rPr>
            </w:pPr>
          </w:p>
        </w:tc>
        <w:tc>
          <w:tcPr>
            <w:tcW w:w="2151" w:type="dxa"/>
            <w:tcBorders>
              <w:top w:val="nil"/>
              <w:left w:val="nil"/>
              <w:bottom w:val="nil"/>
              <w:right w:val="nil"/>
            </w:tcBorders>
            <w:noWrap/>
            <w:vAlign w:val="bottom"/>
          </w:tcPr>
          <w:p w:rsidR="00D543E5" w:rsidRDefault="00D543E5">
            <w:pPr>
              <w:spacing w:after="0" w:line="240" w:lineRule="auto"/>
              <w:ind w:left="720"/>
              <w:rPr>
                <w:rFonts w:ascii="Times New Roman" w:hAnsi="Times New Roman"/>
                <w:color w:val="000000"/>
                <w:sz w:val="24"/>
                <w:szCs w:val="24"/>
              </w:rPr>
            </w:pPr>
          </w:p>
        </w:tc>
        <w:tc>
          <w:tcPr>
            <w:tcW w:w="2617" w:type="dxa"/>
            <w:tcBorders>
              <w:top w:val="nil"/>
              <w:left w:val="nil"/>
              <w:bottom w:val="nil"/>
              <w:right w:val="nil"/>
            </w:tcBorders>
            <w:noWrap/>
            <w:vAlign w:val="bottom"/>
          </w:tcPr>
          <w:p w:rsidR="00D543E5" w:rsidRDefault="00D543E5">
            <w:pPr>
              <w:spacing w:after="0" w:line="240" w:lineRule="auto"/>
              <w:ind w:left="720"/>
              <w:rPr>
                <w:rFonts w:ascii="Times New Roman" w:hAnsi="Times New Roman"/>
                <w:color w:val="000000"/>
                <w:sz w:val="24"/>
                <w:szCs w:val="24"/>
              </w:rPr>
            </w:pPr>
          </w:p>
        </w:tc>
      </w:tr>
    </w:tbl>
    <w:p w:rsidR="00D543E5" w:rsidRDefault="00A95B9D">
      <w:pPr>
        <w:spacing w:before="0" w:beforeAutospacing="0" w:after="0" w:line="240" w:lineRule="auto"/>
        <w:ind w:right="544"/>
        <w:jc w:val="both"/>
        <w:rPr>
          <w:rFonts w:ascii="Times New Roman" w:hAnsi="Times New Roman"/>
          <w:sz w:val="24"/>
          <w:szCs w:val="24"/>
        </w:rPr>
      </w:pPr>
      <w:r>
        <w:rPr>
          <w:rFonts w:ascii="Times New Roman" w:hAnsi="Times New Roman"/>
          <w:sz w:val="24"/>
          <w:szCs w:val="24"/>
        </w:rPr>
        <w:lastRenderedPageBreak/>
        <w:t>CSB-crude shea butter; DSOB-degummed shea olein @ -5 ℃; NSO-neutralized shea olein; BSO bleached shea olein. Results are mean values of two determinations ± standard deviation.  Values in each column bearing the same superscripts are not significantly diff</w:t>
      </w:r>
      <w:r>
        <w:rPr>
          <w:rFonts w:ascii="Times New Roman" w:hAnsi="Times New Roman"/>
          <w:sz w:val="24"/>
          <w:szCs w:val="24"/>
        </w:rPr>
        <w:t xml:space="preserve">erent (p &lt; 0.05). </w:t>
      </w:r>
    </w:p>
    <w:p w:rsidR="00D543E5" w:rsidRDefault="00D543E5">
      <w:pPr>
        <w:spacing w:before="0" w:beforeAutospacing="0" w:after="0" w:line="240" w:lineRule="auto"/>
        <w:jc w:val="both"/>
        <w:rPr>
          <w:rFonts w:ascii="Times New Roman" w:hAnsi="Times New Roman"/>
          <w:sz w:val="24"/>
          <w:szCs w:val="24"/>
        </w:rPr>
      </w:pPr>
    </w:p>
    <w:p w:rsidR="00D543E5" w:rsidRDefault="00D543E5">
      <w:pPr>
        <w:tabs>
          <w:tab w:val="left" w:pos="1530"/>
        </w:tabs>
        <w:spacing w:line="240" w:lineRule="auto"/>
        <w:ind w:left="720"/>
        <w:jc w:val="both"/>
        <w:rPr>
          <w:rFonts w:ascii="Times New Roman" w:hAnsi="Times New Roman"/>
          <w:sz w:val="24"/>
          <w:szCs w:val="24"/>
        </w:rPr>
      </w:pPr>
    </w:p>
    <w:p w:rsidR="00D543E5" w:rsidRDefault="00A95B9D">
      <w:pPr>
        <w:keepNext/>
        <w:spacing w:line="240" w:lineRule="auto"/>
        <w:ind w:left="720" w:right="544"/>
        <w:jc w:val="both"/>
        <w:rPr>
          <w:rFonts w:ascii="Times New Roman" w:hAnsi="Times New Roman"/>
          <w:sz w:val="24"/>
          <w:szCs w:val="24"/>
        </w:rPr>
      </w:pPr>
      <w:r>
        <w:rPr>
          <w:rFonts w:ascii="Times New Roman" w:hAnsi="Times New Roman"/>
          <w:noProof/>
          <w:sz w:val="24"/>
          <w:szCs w:val="24"/>
        </w:rPr>
        <w:drawing>
          <wp:inline distT="0" distB="0" distL="0" distR="0">
            <wp:extent cx="5975350" cy="373634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1"/>
                    <a:stretch>
                      <a:fillRect/>
                    </a:stretch>
                  </pic:blipFill>
                  <pic:spPr>
                    <a:xfrm>
                      <a:off x="0" y="0"/>
                      <a:ext cx="6000346" cy="3752361"/>
                    </a:xfrm>
                    <a:prstGeom prst="rect">
                      <a:avLst/>
                    </a:prstGeom>
                  </pic:spPr>
                </pic:pic>
              </a:graphicData>
            </a:graphic>
          </wp:inline>
        </w:drawing>
      </w:r>
    </w:p>
    <w:p w:rsidR="00D543E5" w:rsidRDefault="00A95B9D">
      <w:pPr>
        <w:spacing w:line="240" w:lineRule="auto"/>
        <w:ind w:left="720"/>
        <w:rPr>
          <w:rFonts w:ascii="Times New Roman" w:hAnsi="Times New Roman"/>
          <w:sz w:val="24"/>
          <w:szCs w:val="24"/>
        </w:rPr>
      </w:pPr>
      <w:r>
        <w:rPr>
          <w:rFonts w:ascii="Times New Roman" w:hAnsi="Times New Roman"/>
          <w:sz w:val="24"/>
          <w:szCs w:val="24"/>
        </w:rPr>
        <w:t xml:space="preserve">Figure </w:t>
      </w:r>
      <w:r>
        <w:rPr>
          <w:rStyle w:val="Heading4Char"/>
          <w:rFonts w:ascii="Times New Roman" w:hAnsi="Times New Roman"/>
          <w:i w:val="0"/>
          <w:color w:val="auto"/>
          <w:sz w:val="24"/>
          <w:szCs w:val="24"/>
        </w:rPr>
        <w:t xml:space="preserve">2: DSC isothermal measurement during refining of shea olein. </w:t>
      </w: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right="544"/>
        <w:jc w:val="both"/>
        <w:rPr>
          <w:rFonts w:ascii="Times New Roman" w:hAnsi="Times New Roman"/>
          <w:sz w:val="24"/>
          <w:szCs w:val="24"/>
        </w:rPr>
      </w:pPr>
    </w:p>
    <w:tbl>
      <w:tblPr>
        <w:tblpPr w:leftFromText="180" w:rightFromText="180" w:vertAnchor="text" w:horzAnchor="page" w:tblpX="3068" w:tblpY="427"/>
        <w:tblOverlap w:val="never"/>
        <w:tblW w:w="6267" w:type="dxa"/>
        <w:tblLook w:val="04A0" w:firstRow="1" w:lastRow="0" w:firstColumn="1" w:lastColumn="0" w:noHBand="0" w:noVBand="1"/>
      </w:tblPr>
      <w:tblGrid>
        <w:gridCol w:w="1031"/>
        <w:gridCol w:w="1781"/>
        <w:gridCol w:w="1672"/>
        <w:gridCol w:w="1783"/>
      </w:tblGrid>
      <w:tr w:rsidR="00D543E5">
        <w:trPr>
          <w:trHeight w:val="361"/>
        </w:trPr>
        <w:tc>
          <w:tcPr>
            <w:tcW w:w="6267" w:type="dxa"/>
            <w:gridSpan w:val="4"/>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jc w:val="center"/>
              <w:rPr>
                <w:rFonts w:ascii="Times New Roman" w:hAnsi="Times New Roman"/>
                <w:color w:val="000000"/>
                <w:sz w:val="24"/>
                <w:szCs w:val="24"/>
              </w:rPr>
            </w:pPr>
            <w:r>
              <w:rPr>
                <w:rFonts w:ascii="Times New Roman" w:hAnsi="Times New Roman"/>
                <w:color w:val="000000"/>
                <w:sz w:val="24"/>
                <w:szCs w:val="24"/>
              </w:rPr>
              <w:t>Table 2: Thermal properties of shea olein during refining</w:t>
            </w:r>
          </w:p>
        </w:tc>
      </w:tr>
      <w:tr w:rsidR="00D543E5">
        <w:trPr>
          <w:trHeight w:val="361"/>
        </w:trPr>
        <w:tc>
          <w:tcPr>
            <w:tcW w:w="1031"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lastRenderedPageBreak/>
              <w:t>Samples</w:t>
            </w:r>
          </w:p>
        </w:tc>
        <w:tc>
          <w:tcPr>
            <w:tcW w:w="1781"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Onset Temp (℃)</w:t>
            </w:r>
          </w:p>
        </w:tc>
        <w:tc>
          <w:tcPr>
            <w:tcW w:w="1672"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Peak Temp. (℃)</w:t>
            </w:r>
          </w:p>
        </w:tc>
        <w:tc>
          <w:tcPr>
            <w:tcW w:w="1783"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Enthalpy (J/g)</w:t>
            </w:r>
          </w:p>
        </w:tc>
      </w:tr>
      <w:tr w:rsidR="00D543E5">
        <w:trPr>
          <w:trHeight w:val="361"/>
        </w:trPr>
        <w:tc>
          <w:tcPr>
            <w:tcW w:w="1031"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CSB</w:t>
            </w:r>
          </w:p>
        </w:tc>
        <w:tc>
          <w:tcPr>
            <w:tcW w:w="1781"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130.135±10.35</w:t>
            </w:r>
            <w:r>
              <w:rPr>
                <w:rFonts w:ascii="Times New Roman" w:hAnsi="Times New Roman"/>
                <w:color w:val="000000"/>
                <w:sz w:val="24"/>
                <w:szCs w:val="24"/>
                <w:vertAlign w:val="superscript"/>
              </w:rPr>
              <w:t>a</w:t>
            </w:r>
          </w:p>
        </w:tc>
        <w:tc>
          <w:tcPr>
            <w:tcW w:w="1672"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139.345±0.16</w:t>
            </w:r>
            <w:r>
              <w:rPr>
                <w:rFonts w:ascii="Times New Roman" w:hAnsi="Times New Roman"/>
                <w:color w:val="000000"/>
                <w:sz w:val="24"/>
                <w:szCs w:val="24"/>
                <w:vertAlign w:val="superscript"/>
              </w:rPr>
              <w:t>b</w:t>
            </w:r>
          </w:p>
        </w:tc>
        <w:tc>
          <w:tcPr>
            <w:tcW w:w="1783"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1647.11±70.64</w:t>
            </w:r>
            <w:r>
              <w:rPr>
                <w:rFonts w:ascii="Times New Roman" w:hAnsi="Times New Roman"/>
                <w:color w:val="000000"/>
                <w:sz w:val="24"/>
                <w:szCs w:val="24"/>
                <w:vertAlign w:val="superscript"/>
              </w:rPr>
              <w:t>a</w:t>
            </w:r>
          </w:p>
        </w:tc>
      </w:tr>
      <w:tr w:rsidR="00D543E5">
        <w:trPr>
          <w:trHeight w:val="361"/>
        </w:trPr>
        <w:tc>
          <w:tcPr>
            <w:tcW w:w="1031"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DSOB</w:t>
            </w:r>
          </w:p>
        </w:tc>
        <w:tc>
          <w:tcPr>
            <w:tcW w:w="1781"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135.555±5.98</w:t>
            </w:r>
            <w:r>
              <w:rPr>
                <w:rFonts w:ascii="Times New Roman" w:hAnsi="Times New Roman"/>
                <w:color w:val="000000"/>
                <w:sz w:val="24"/>
                <w:szCs w:val="24"/>
                <w:vertAlign w:val="superscript"/>
              </w:rPr>
              <w:t>a</w:t>
            </w:r>
          </w:p>
        </w:tc>
        <w:tc>
          <w:tcPr>
            <w:tcW w:w="1672"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140.02±0.01</w:t>
            </w:r>
            <w:r>
              <w:rPr>
                <w:rFonts w:ascii="Times New Roman" w:hAnsi="Times New Roman"/>
                <w:color w:val="000000"/>
                <w:sz w:val="24"/>
                <w:szCs w:val="24"/>
                <w:vertAlign w:val="superscript"/>
              </w:rPr>
              <w:t>ab</w:t>
            </w:r>
          </w:p>
        </w:tc>
        <w:tc>
          <w:tcPr>
            <w:tcW w:w="1783"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1342.71±24.33</w:t>
            </w:r>
            <w:r>
              <w:rPr>
                <w:rFonts w:ascii="Times New Roman" w:hAnsi="Times New Roman"/>
                <w:color w:val="000000"/>
                <w:sz w:val="24"/>
                <w:szCs w:val="24"/>
                <w:vertAlign w:val="superscript"/>
              </w:rPr>
              <w:t>a</w:t>
            </w:r>
          </w:p>
        </w:tc>
      </w:tr>
      <w:tr w:rsidR="00D543E5">
        <w:trPr>
          <w:trHeight w:val="361"/>
        </w:trPr>
        <w:tc>
          <w:tcPr>
            <w:tcW w:w="1031"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NSO</w:t>
            </w:r>
          </w:p>
        </w:tc>
        <w:tc>
          <w:tcPr>
            <w:tcW w:w="1781"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138.175±2.34</w:t>
            </w:r>
            <w:r>
              <w:rPr>
                <w:rFonts w:ascii="Times New Roman" w:hAnsi="Times New Roman"/>
                <w:color w:val="000000"/>
                <w:sz w:val="24"/>
                <w:szCs w:val="24"/>
                <w:vertAlign w:val="superscript"/>
              </w:rPr>
              <w:t>a</w:t>
            </w:r>
          </w:p>
        </w:tc>
        <w:tc>
          <w:tcPr>
            <w:tcW w:w="1672"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140.06±0.32</w:t>
            </w:r>
            <w:r>
              <w:rPr>
                <w:rFonts w:ascii="Times New Roman" w:hAnsi="Times New Roman"/>
                <w:color w:val="000000"/>
                <w:sz w:val="24"/>
                <w:szCs w:val="24"/>
                <w:vertAlign w:val="superscript"/>
              </w:rPr>
              <w:t>ab</w:t>
            </w:r>
          </w:p>
        </w:tc>
        <w:tc>
          <w:tcPr>
            <w:tcW w:w="1783" w:type="dxa"/>
            <w:tcBorders>
              <w:top w:val="nil"/>
              <w:left w:val="nil"/>
              <w:bottom w:val="nil"/>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1700.13±7.16</w:t>
            </w:r>
            <w:r>
              <w:rPr>
                <w:rFonts w:ascii="Times New Roman" w:hAnsi="Times New Roman"/>
                <w:color w:val="000000"/>
                <w:sz w:val="24"/>
                <w:szCs w:val="24"/>
                <w:vertAlign w:val="superscript"/>
              </w:rPr>
              <w:t>a</w:t>
            </w:r>
          </w:p>
        </w:tc>
      </w:tr>
      <w:tr w:rsidR="00D543E5">
        <w:trPr>
          <w:trHeight w:val="361"/>
        </w:trPr>
        <w:tc>
          <w:tcPr>
            <w:tcW w:w="1031"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BSO</w:t>
            </w:r>
          </w:p>
        </w:tc>
        <w:tc>
          <w:tcPr>
            <w:tcW w:w="1781"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137.915±2.77</w:t>
            </w:r>
            <w:r>
              <w:rPr>
                <w:rFonts w:ascii="Times New Roman" w:hAnsi="Times New Roman"/>
                <w:color w:val="000000"/>
                <w:sz w:val="24"/>
                <w:szCs w:val="24"/>
                <w:vertAlign w:val="superscript"/>
              </w:rPr>
              <w:t>a</w:t>
            </w:r>
          </w:p>
        </w:tc>
        <w:tc>
          <w:tcPr>
            <w:tcW w:w="1672"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140.20±0.18</w:t>
            </w:r>
            <w:r>
              <w:rPr>
                <w:rFonts w:ascii="Times New Roman" w:hAnsi="Times New Roman"/>
                <w:color w:val="000000"/>
                <w:sz w:val="24"/>
                <w:szCs w:val="24"/>
                <w:vertAlign w:val="superscript"/>
              </w:rPr>
              <w:t>a</w:t>
            </w:r>
          </w:p>
        </w:tc>
        <w:tc>
          <w:tcPr>
            <w:tcW w:w="1783" w:type="dxa"/>
            <w:tcBorders>
              <w:top w:val="nil"/>
              <w:left w:val="nil"/>
              <w:bottom w:val="single" w:sz="4" w:space="0" w:color="000000"/>
              <w:right w:val="nil"/>
            </w:tcBorders>
            <w:shd w:val="clear" w:color="auto" w:fill="auto"/>
            <w:noWrap/>
            <w:vAlign w:val="bottom"/>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1507.59±72.63</w:t>
            </w:r>
            <w:r>
              <w:rPr>
                <w:rFonts w:ascii="Times New Roman" w:hAnsi="Times New Roman"/>
                <w:color w:val="000000"/>
                <w:sz w:val="24"/>
                <w:szCs w:val="24"/>
                <w:vertAlign w:val="superscript"/>
              </w:rPr>
              <w:t>a</w:t>
            </w:r>
          </w:p>
        </w:tc>
      </w:tr>
    </w:tbl>
    <w:p w:rsidR="00D543E5" w:rsidRDefault="00D543E5">
      <w:pPr>
        <w:spacing w:line="240" w:lineRule="auto"/>
        <w:ind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left="720" w:right="544"/>
        <w:jc w:val="both"/>
        <w:rPr>
          <w:rFonts w:ascii="Times New Roman" w:hAnsi="Times New Roman"/>
          <w:sz w:val="24"/>
          <w:szCs w:val="24"/>
        </w:rPr>
      </w:pPr>
    </w:p>
    <w:p w:rsidR="00D543E5" w:rsidRDefault="00D543E5">
      <w:pPr>
        <w:spacing w:line="240" w:lineRule="auto"/>
        <w:ind w:right="544"/>
        <w:jc w:val="both"/>
        <w:rPr>
          <w:rFonts w:ascii="Times New Roman" w:hAnsi="Times New Roman"/>
          <w:sz w:val="24"/>
          <w:szCs w:val="24"/>
        </w:rPr>
      </w:pPr>
    </w:p>
    <w:p w:rsidR="00D543E5" w:rsidRDefault="00D543E5">
      <w:pPr>
        <w:spacing w:line="240" w:lineRule="auto"/>
        <w:ind w:right="544"/>
        <w:jc w:val="both"/>
        <w:rPr>
          <w:rFonts w:ascii="Times New Roman" w:hAnsi="Times New Roman"/>
          <w:sz w:val="24"/>
          <w:szCs w:val="24"/>
        </w:rPr>
      </w:pPr>
    </w:p>
    <w:p w:rsidR="00D543E5" w:rsidRDefault="00A95B9D">
      <w:pPr>
        <w:spacing w:line="240" w:lineRule="auto"/>
        <w:ind w:right="544"/>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 xml:space="preserve">alues are reported as means ± SD of two replicate analyses (n = 2); </w:t>
      </w:r>
    </w:p>
    <w:p w:rsidR="00D543E5" w:rsidRDefault="00D543E5">
      <w:pPr>
        <w:spacing w:line="240" w:lineRule="auto"/>
        <w:ind w:right="544"/>
        <w:jc w:val="both"/>
        <w:rPr>
          <w:rFonts w:ascii="Times New Roman" w:hAnsi="Times New Roman"/>
          <w:sz w:val="24"/>
          <w:szCs w:val="24"/>
        </w:rPr>
      </w:pPr>
    </w:p>
    <w:tbl>
      <w:tblPr>
        <w:tblW w:w="9576" w:type="dxa"/>
        <w:tblLayout w:type="fixed"/>
        <w:tblLook w:val="04A0" w:firstRow="1" w:lastRow="0" w:firstColumn="1" w:lastColumn="0" w:noHBand="0" w:noVBand="1"/>
      </w:tblPr>
      <w:tblGrid>
        <w:gridCol w:w="3263"/>
        <w:gridCol w:w="1578"/>
        <w:gridCol w:w="1578"/>
        <w:gridCol w:w="1578"/>
        <w:gridCol w:w="1579"/>
      </w:tblGrid>
      <w:tr w:rsidR="00D543E5">
        <w:trPr>
          <w:trHeight w:val="330"/>
        </w:trPr>
        <w:tc>
          <w:tcPr>
            <w:tcW w:w="9576" w:type="dxa"/>
            <w:gridSpan w:val="5"/>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Table </w:t>
            </w:r>
            <w:r>
              <w:rPr>
                <w:rFonts w:ascii="Times New Roman" w:hAnsi="Times New Roman"/>
                <w:color w:val="000000"/>
                <w:sz w:val="24"/>
                <w:szCs w:val="24"/>
              </w:rPr>
              <w:t>3</w:t>
            </w:r>
            <w:r>
              <w:rPr>
                <w:rFonts w:ascii="Times New Roman" w:hAnsi="Times New Roman"/>
                <w:color w:val="000000"/>
                <w:sz w:val="24"/>
                <w:szCs w:val="24"/>
              </w:rPr>
              <w:t xml:space="preserve">: </w:t>
            </w:r>
            <w:proofErr w:type="gramStart"/>
            <w:r>
              <w:rPr>
                <w:rFonts w:ascii="Times New Roman" w:hAnsi="Times New Roman"/>
                <w:color w:val="000000"/>
                <w:sz w:val="24"/>
                <w:szCs w:val="24"/>
              </w:rPr>
              <w:t>%  Fatty</w:t>
            </w:r>
            <w:proofErr w:type="gramEnd"/>
            <w:r>
              <w:rPr>
                <w:rFonts w:ascii="Times New Roman" w:hAnsi="Times New Roman"/>
                <w:color w:val="000000"/>
                <w:sz w:val="24"/>
                <w:szCs w:val="24"/>
              </w:rPr>
              <w:t xml:space="preserve"> </w:t>
            </w:r>
            <w:r>
              <w:rPr>
                <w:rFonts w:ascii="Times New Roman" w:hAnsi="Times New Roman"/>
                <w:color w:val="000000"/>
                <w:sz w:val="24"/>
                <w:szCs w:val="24"/>
              </w:rPr>
              <w:t>acid composition during refining super shea olein</w:t>
            </w:r>
          </w:p>
        </w:tc>
      </w:tr>
      <w:tr w:rsidR="00D543E5">
        <w:trPr>
          <w:trHeight w:val="330"/>
        </w:trPr>
        <w:tc>
          <w:tcPr>
            <w:tcW w:w="3263"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Cs/>
                <w:color w:val="000000"/>
                <w:sz w:val="24"/>
                <w:szCs w:val="24"/>
              </w:rPr>
            </w:pPr>
            <w:r>
              <w:rPr>
                <w:rFonts w:ascii="Times New Roman" w:hAnsi="Times New Roman"/>
                <w:bCs/>
                <w:color w:val="000000"/>
                <w:sz w:val="24"/>
                <w:szCs w:val="24"/>
              </w:rPr>
              <w:t> </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CSB</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DSOB</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NSO</w:t>
            </w:r>
          </w:p>
        </w:tc>
        <w:tc>
          <w:tcPr>
            <w:tcW w:w="1579"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BSO</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Palmitic acid (C16:0)</w:t>
            </w:r>
          </w:p>
        </w:tc>
        <w:tc>
          <w:tcPr>
            <w:tcW w:w="1578"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3.23± 0.00</w:t>
            </w:r>
            <w:r>
              <w:rPr>
                <w:rFonts w:ascii="Times New Roman" w:hAnsi="Times New Roman"/>
                <w:color w:val="000000"/>
                <w:sz w:val="24"/>
                <w:szCs w:val="24"/>
                <w:vertAlign w:val="superscript"/>
              </w:rPr>
              <w:t>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3.29 ± 0.00</w:t>
            </w:r>
            <w:r>
              <w:rPr>
                <w:rFonts w:ascii="Times New Roman" w:hAnsi="Times New Roman"/>
                <w:color w:val="000000"/>
                <w:sz w:val="24"/>
                <w:szCs w:val="24"/>
                <w:vertAlign w:val="superscript"/>
              </w:rPr>
              <w:t>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3.25± 0.01</w:t>
            </w:r>
            <w:r>
              <w:rPr>
                <w:rFonts w:ascii="Times New Roman" w:hAnsi="Times New Roman"/>
                <w:color w:val="000000"/>
                <w:sz w:val="24"/>
                <w:szCs w:val="24"/>
                <w:vertAlign w:val="superscript"/>
              </w:rPr>
              <w:t>a</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3.42</w:t>
            </w:r>
            <w:r>
              <w:rPr>
                <w:rFonts w:ascii="Times New Roman" w:hAnsi="Times New Roman"/>
                <w:color w:val="000000"/>
                <w:sz w:val="24"/>
                <w:szCs w:val="24"/>
                <w:vertAlign w:val="superscript"/>
              </w:rPr>
              <w:t>±</w:t>
            </w:r>
            <w:r>
              <w:rPr>
                <w:rFonts w:ascii="Times New Roman" w:hAnsi="Times New Roman"/>
                <w:color w:val="000000"/>
                <w:sz w:val="24"/>
                <w:szCs w:val="24"/>
              </w:rPr>
              <w:t xml:space="preserve"> 0.01a</w:t>
            </w:r>
          </w:p>
        </w:tc>
      </w:tr>
      <w:tr w:rsidR="00D543E5">
        <w:trPr>
          <w:trHeight w:val="330"/>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Arachidic acid (C20:0)</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39.05± 0.00</w:t>
            </w:r>
            <w:r>
              <w:rPr>
                <w:rFonts w:ascii="Times New Roman" w:hAnsi="Times New Roman"/>
                <w:color w:val="000000"/>
                <w:sz w:val="24"/>
                <w:szCs w:val="24"/>
                <w:vertAlign w:val="superscript"/>
              </w:rPr>
              <w:t>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29.26± 0.01</w:t>
            </w:r>
            <w:r>
              <w:rPr>
                <w:rFonts w:ascii="Times New Roman" w:hAnsi="Times New Roman"/>
                <w:color w:val="000000"/>
                <w:sz w:val="24"/>
                <w:szCs w:val="24"/>
                <w:vertAlign w:val="superscript"/>
              </w:rPr>
              <w:t>c</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30.26± 0.12</w:t>
            </w:r>
            <w:r>
              <w:rPr>
                <w:rFonts w:ascii="Times New Roman" w:hAnsi="Times New Roman"/>
                <w:color w:val="000000"/>
                <w:sz w:val="24"/>
                <w:szCs w:val="24"/>
                <w:vertAlign w:val="superscript"/>
              </w:rPr>
              <w:t>b</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26.42± 0.01</w:t>
            </w:r>
            <w:r>
              <w:rPr>
                <w:rFonts w:ascii="Times New Roman" w:hAnsi="Times New Roman"/>
                <w:color w:val="000000"/>
                <w:sz w:val="24"/>
                <w:szCs w:val="24"/>
                <w:vertAlign w:val="superscript"/>
              </w:rPr>
              <w:t>d</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Behenic acid (C22:0)</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1.18 ± 0.02</w:t>
            </w:r>
            <w:r>
              <w:rPr>
                <w:rFonts w:ascii="Times New Roman" w:hAnsi="Times New Roman"/>
                <w:color w:val="000000"/>
                <w:sz w:val="24"/>
                <w:szCs w:val="24"/>
                <w:vertAlign w:val="superscript"/>
              </w:rPr>
              <w:t>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1.02 ± 0.01</w:t>
            </w:r>
            <w:r>
              <w:rPr>
                <w:rFonts w:ascii="Times New Roman" w:hAnsi="Times New Roman"/>
                <w:color w:val="000000"/>
                <w:sz w:val="24"/>
                <w:szCs w:val="24"/>
                <w:vertAlign w:val="superscript"/>
              </w:rPr>
              <w:t>b</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0.5</w:t>
            </w:r>
            <w:r>
              <w:rPr>
                <w:rFonts w:ascii="Times New Roman" w:hAnsi="Times New Roman"/>
                <w:color w:val="000000"/>
                <w:sz w:val="24"/>
                <w:szCs w:val="24"/>
              </w:rPr>
              <w:t>0</w:t>
            </w:r>
            <w:r>
              <w:rPr>
                <w:rFonts w:ascii="Times New Roman" w:hAnsi="Times New Roman"/>
                <w:color w:val="000000"/>
                <w:sz w:val="24"/>
                <w:szCs w:val="24"/>
              </w:rPr>
              <w:t xml:space="preserve"> ± 0.04</w:t>
            </w:r>
            <w:r>
              <w:rPr>
                <w:rFonts w:ascii="Times New Roman" w:hAnsi="Times New Roman"/>
                <w:color w:val="000000"/>
                <w:sz w:val="24"/>
                <w:szCs w:val="24"/>
                <w:vertAlign w:val="superscript"/>
              </w:rPr>
              <w:t>c</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0.52 ± 0.02</w:t>
            </w:r>
            <w:r>
              <w:rPr>
                <w:rFonts w:ascii="Times New Roman" w:hAnsi="Times New Roman"/>
                <w:color w:val="000000"/>
                <w:sz w:val="24"/>
                <w:szCs w:val="24"/>
                <w:vertAlign w:val="superscript"/>
              </w:rPr>
              <w:t>c</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proofErr w:type="spellStart"/>
            <w:r>
              <w:rPr>
                <w:rFonts w:ascii="Times New Roman" w:hAnsi="Times New Roman"/>
                <w:b/>
                <w:bCs/>
                <w:color w:val="000000"/>
                <w:sz w:val="24"/>
                <w:szCs w:val="24"/>
              </w:rPr>
              <w:t>Elaidic</w:t>
            </w:r>
            <w:proofErr w:type="spellEnd"/>
            <w:r>
              <w:rPr>
                <w:rFonts w:ascii="Times New Roman" w:hAnsi="Times New Roman"/>
                <w:b/>
                <w:bCs/>
                <w:color w:val="000000"/>
                <w:sz w:val="24"/>
                <w:szCs w:val="24"/>
              </w:rPr>
              <w:t xml:space="preserve"> acid (C18:1 n9t)</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6.87 ± 0.07</w:t>
            </w:r>
            <w:r>
              <w:rPr>
                <w:rFonts w:ascii="Times New Roman" w:hAnsi="Times New Roman"/>
                <w:color w:val="000000"/>
                <w:sz w:val="24"/>
                <w:szCs w:val="24"/>
                <w:vertAlign w:val="superscript"/>
              </w:rPr>
              <w:t>d</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9.02 ± 0.03</w:t>
            </w:r>
            <w:r>
              <w:rPr>
                <w:rFonts w:ascii="Times New Roman" w:hAnsi="Times New Roman"/>
                <w:color w:val="000000"/>
                <w:sz w:val="24"/>
                <w:szCs w:val="24"/>
                <w:vertAlign w:val="superscript"/>
              </w:rPr>
              <w:t>b</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8.64 ± 0.03</w:t>
            </w:r>
            <w:r>
              <w:rPr>
                <w:rFonts w:ascii="Times New Roman" w:hAnsi="Times New Roman"/>
                <w:color w:val="000000"/>
                <w:sz w:val="24"/>
                <w:szCs w:val="24"/>
                <w:vertAlign w:val="superscript"/>
              </w:rPr>
              <w:t>c</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9.52 ± 0.00</w:t>
            </w:r>
            <w:r>
              <w:rPr>
                <w:rFonts w:ascii="Times New Roman" w:hAnsi="Times New Roman"/>
                <w:color w:val="000000"/>
                <w:sz w:val="24"/>
                <w:szCs w:val="24"/>
                <w:vertAlign w:val="superscript"/>
              </w:rPr>
              <w:t>a</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Oleic acid (C18:1 n9c)</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47.65± 0.09</w:t>
            </w:r>
            <w:r>
              <w:rPr>
                <w:rFonts w:ascii="Times New Roman" w:hAnsi="Times New Roman"/>
                <w:color w:val="000000"/>
                <w:sz w:val="24"/>
                <w:szCs w:val="24"/>
                <w:vertAlign w:val="superscript"/>
              </w:rPr>
              <w:t>d</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56.23± 0.05</w:t>
            </w:r>
            <w:r>
              <w:rPr>
                <w:rFonts w:ascii="Times New Roman" w:hAnsi="Times New Roman"/>
                <w:color w:val="000000"/>
                <w:sz w:val="24"/>
                <w:szCs w:val="24"/>
                <w:vertAlign w:val="superscript"/>
              </w:rPr>
              <w:t>b</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55.27± 0.09</w:t>
            </w:r>
            <w:r>
              <w:rPr>
                <w:rFonts w:ascii="Times New Roman" w:hAnsi="Times New Roman"/>
                <w:color w:val="000000"/>
                <w:sz w:val="24"/>
                <w:szCs w:val="24"/>
                <w:vertAlign w:val="superscript"/>
              </w:rPr>
              <w:t>c</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58.13± 0.00</w:t>
            </w:r>
            <w:r>
              <w:rPr>
                <w:rFonts w:ascii="Times New Roman" w:hAnsi="Times New Roman"/>
                <w:color w:val="000000"/>
                <w:sz w:val="24"/>
                <w:szCs w:val="24"/>
                <w:vertAlign w:val="superscript"/>
              </w:rPr>
              <w:t>a</w:t>
            </w:r>
          </w:p>
        </w:tc>
      </w:tr>
      <w:tr w:rsidR="00D543E5">
        <w:trPr>
          <w:trHeight w:val="330"/>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Linoleic acid (C18:2 n9c)</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0.49 ± 0.01</w:t>
            </w:r>
            <w:r>
              <w:rPr>
                <w:rFonts w:ascii="Times New Roman" w:hAnsi="Times New Roman"/>
                <w:color w:val="000000"/>
                <w:sz w:val="24"/>
                <w:szCs w:val="24"/>
                <w:vertAlign w:val="superscript"/>
              </w:rPr>
              <w:t>c</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0.64 ± 0.00</w:t>
            </w:r>
            <w:r>
              <w:rPr>
                <w:rFonts w:ascii="Times New Roman" w:hAnsi="Times New Roman"/>
                <w:color w:val="000000"/>
                <w:sz w:val="24"/>
                <w:szCs w:val="24"/>
                <w:vertAlign w:val="superscript"/>
              </w:rPr>
              <w:t>b</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 xml:space="preserve">0.66 ± </w:t>
            </w:r>
            <w:r>
              <w:rPr>
                <w:rFonts w:ascii="Times New Roman" w:hAnsi="Times New Roman"/>
                <w:color w:val="000000"/>
                <w:sz w:val="24"/>
                <w:szCs w:val="24"/>
              </w:rPr>
              <w:t>0.01</w:t>
            </w:r>
            <w:r>
              <w:rPr>
                <w:rFonts w:ascii="Times New Roman" w:hAnsi="Times New Roman"/>
                <w:color w:val="000000"/>
                <w:sz w:val="24"/>
                <w:szCs w:val="24"/>
                <w:vertAlign w:val="superscript"/>
              </w:rPr>
              <w:t>b</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0.73 ± 0.00</w:t>
            </w:r>
            <w:r>
              <w:rPr>
                <w:rFonts w:ascii="Times New Roman" w:hAnsi="Times New Roman"/>
                <w:color w:val="000000"/>
                <w:sz w:val="24"/>
                <w:szCs w:val="24"/>
                <w:vertAlign w:val="superscript"/>
              </w:rPr>
              <w:t>a</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proofErr w:type="spellStart"/>
            <w:r>
              <w:rPr>
                <w:rFonts w:ascii="Times New Roman" w:hAnsi="Times New Roman"/>
                <w:b/>
                <w:bCs/>
                <w:color w:val="000000"/>
                <w:sz w:val="24"/>
                <w:szCs w:val="24"/>
              </w:rPr>
              <w:t>dihomo</w:t>
            </w:r>
            <w:proofErr w:type="spellEnd"/>
            <w:r>
              <w:rPr>
                <w:rFonts w:ascii="Times New Roman" w:hAnsi="Times New Roman"/>
                <w:b/>
                <w:bCs/>
                <w:color w:val="000000"/>
                <w:sz w:val="24"/>
                <w:szCs w:val="24"/>
              </w:rPr>
              <w:t xml:space="preserve">-gamma-linolenic acid </w:t>
            </w:r>
          </w:p>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(C20:3 n6)</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0.34 ± 0.00</w:t>
            </w:r>
            <w:r>
              <w:rPr>
                <w:rFonts w:ascii="Times New Roman" w:hAnsi="Times New Roman"/>
                <w:color w:val="000000"/>
                <w:sz w:val="24"/>
                <w:szCs w:val="24"/>
                <w:vertAlign w:val="superscript"/>
              </w:rPr>
              <w:t>c</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0.41 ± 0.01</w:t>
            </w:r>
            <w:r>
              <w:rPr>
                <w:rFonts w:ascii="Times New Roman" w:hAnsi="Times New Roman"/>
                <w:color w:val="000000"/>
                <w:sz w:val="24"/>
                <w:szCs w:val="24"/>
                <w:vertAlign w:val="superscript"/>
              </w:rPr>
              <w:t>b</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0.5 ± 0.04</w:t>
            </w:r>
            <w:r>
              <w:rPr>
                <w:rFonts w:ascii="Times New Roman" w:hAnsi="Times New Roman"/>
                <w:color w:val="000000"/>
                <w:sz w:val="24"/>
                <w:szCs w:val="24"/>
                <w:vertAlign w:val="superscript"/>
              </w:rPr>
              <w:t>a</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0.52 ± 0.02</w:t>
            </w:r>
            <w:r>
              <w:rPr>
                <w:rFonts w:ascii="Times New Roman" w:hAnsi="Times New Roman"/>
                <w:color w:val="000000"/>
                <w:sz w:val="24"/>
                <w:szCs w:val="24"/>
                <w:vertAlign w:val="superscript"/>
              </w:rPr>
              <w:t>a</w:t>
            </w:r>
          </w:p>
        </w:tc>
      </w:tr>
      <w:tr w:rsidR="00D543E5">
        <w:trPr>
          <w:trHeight w:val="330"/>
        </w:trPr>
        <w:tc>
          <w:tcPr>
            <w:tcW w:w="3263"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proofErr w:type="spellStart"/>
            <w:r>
              <w:rPr>
                <w:rFonts w:ascii="Times New Roman" w:hAnsi="Times New Roman"/>
                <w:b/>
                <w:bCs/>
                <w:color w:val="000000"/>
                <w:sz w:val="24"/>
                <w:szCs w:val="24"/>
              </w:rPr>
              <w:t>Eicosanoic</w:t>
            </w:r>
            <w:proofErr w:type="spellEnd"/>
            <w:r>
              <w:rPr>
                <w:rFonts w:ascii="Times New Roman" w:hAnsi="Times New Roman"/>
                <w:b/>
                <w:bCs/>
                <w:color w:val="000000"/>
                <w:sz w:val="24"/>
                <w:szCs w:val="24"/>
              </w:rPr>
              <w:t xml:space="preserve"> acid (C20:3 n3)</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1.19 ± 0.01</w:t>
            </w:r>
            <w:r>
              <w:rPr>
                <w:rFonts w:ascii="Times New Roman" w:hAnsi="Times New Roman"/>
                <w:color w:val="000000"/>
                <w:sz w:val="24"/>
                <w:szCs w:val="24"/>
                <w:vertAlign w:val="superscript"/>
              </w:rPr>
              <w:t>a</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ND</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ND</w:t>
            </w:r>
          </w:p>
        </w:tc>
        <w:tc>
          <w:tcPr>
            <w:tcW w:w="1579"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color w:val="000000"/>
                <w:sz w:val="24"/>
                <w:szCs w:val="24"/>
              </w:rPr>
            </w:pPr>
            <w:r>
              <w:rPr>
                <w:rFonts w:ascii="Times New Roman" w:hAnsi="Times New Roman"/>
                <w:color w:val="000000"/>
                <w:sz w:val="24"/>
                <w:szCs w:val="24"/>
              </w:rPr>
              <w:t>ND</w:t>
            </w:r>
          </w:p>
        </w:tc>
      </w:tr>
      <w:tr w:rsidR="00D543E5">
        <w:trPr>
          <w:trHeight w:val="330"/>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SFA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43.45± 0.02</w:t>
            </w:r>
            <w:r>
              <w:rPr>
                <w:rFonts w:ascii="Times New Roman" w:hAnsi="Times New Roman"/>
                <w:color w:val="000000"/>
                <w:sz w:val="24"/>
                <w:szCs w:val="24"/>
                <w:vertAlign w:val="superscript"/>
              </w:rPr>
              <w:t>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33.7 ± 0.01</w:t>
            </w:r>
            <w:r>
              <w:rPr>
                <w:rFonts w:ascii="Times New Roman" w:hAnsi="Times New Roman"/>
                <w:color w:val="000000"/>
                <w:sz w:val="24"/>
                <w:szCs w:val="24"/>
                <w:vertAlign w:val="superscript"/>
              </w:rPr>
              <w:t>c</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34.2 ± 0.16</w:t>
            </w:r>
            <w:r>
              <w:rPr>
                <w:rFonts w:ascii="Times New Roman" w:hAnsi="Times New Roman"/>
                <w:color w:val="000000"/>
                <w:sz w:val="24"/>
                <w:szCs w:val="24"/>
                <w:vertAlign w:val="superscript"/>
              </w:rPr>
              <w:t>b</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30.46± 0.03</w:t>
            </w:r>
            <w:r>
              <w:rPr>
                <w:rFonts w:ascii="Times New Roman" w:hAnsi="Times New Roman"/>
                <w:color w:val="000000"/>
                <w:sz w:val="24"/>
                <w:szCs w:val="24"/>
                <w:vertAlign w:val="superscript"/>
              </w:rPr>
              <w:t>d</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MUFA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54.53± 0.02</w:t>
            </w:r>
            <w:r>
              <w:rPr>
                <w:rFonts w:ascii="Times New Roman" w:hAnsi="Times New Roman"/>
                <w:color w:val="000000"/>
                <w:sz w:val="24"/>
                <w:szCs w:val="24"/>
                <w:vertAlign w:val="superscript"/>
              </w:rPr>
              <w:t>d</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65.25± 0.02</w:t>
            </w:r>
            <w:r>
              <w:rPr>
                <w:rFonts w:ascii="Times New Roman" w:hAnsi="Times New Roman"/>
                <w:color w:val="000000"/>
                <w:sz w:val="24"/>
                <w:szCs w:val="24"/>
                <w:vertAlign w:val="superscript"/>
              </w:rPr>
              <w:t>b</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63.9 ±</w:t>
            </w:r>
            <w:r>
              <w:rPr>
                <w:rFonts w:ascii="Times New Roman" w:hAnsi="Times New Roman"/>
                <w:color w:val="000000"/>
                <w:sz w:val="24"/>
                <w:szCs w:val="24"/>
              </w:rPr>
              <w:t xml:space="preserve"> 0.12</w:t>
            </w:r>
            <w:r>
              <w:rPr>
                <w:rFonts w:ascii="Times New Roman" w:hAnsi="Times New Roman"/>
                <w:color w:val="000000"/>
                <w:sz w:val="24"/>
                <w:szCs w:val="24"/>
                <w:vertAlign w:val="superscript"/>
              </w:rPr>
              <w:t>c</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67.66± 0.00</w:t>
            </w:r>
            <w:r>
              <w:rPr>
                <w:rFonts w:ascii="Times New Roman" w:hAnsi="Times New Roman"/>
                <w:color w:val="000000"/>
                <w:sz w:val="24"/>
                <w:szCs w:val="24"/>
                <w:vertAlign w:val="superscript"/>
              </w:rPr>
              <w:t>a</w:t>
            </w:r>
          </w:p>
        </w:tc>
      </w:tr>
      <w:tr w:rsidR="00D543E5">
        <w:trPr>
          <w:trHeight w:val="315"/>
        </w:trPr>
        <w:tc>
          <w:tcPr>
            <w:tcW w:w="3263" w:type="dxa"/>
            <w:tcBorders>
              <w:top w:val="nil"/>
              <w:left w:val="nil"/>
              <w:bottom w:val="nil"/>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PUFA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2.02 ± 0.01</w:t>
            </w:r>
            <w:r>
              <w:rPr>
                <w:rFonts w:ascii="Times New Roman" w:hAnsi="Times New Roman"/>
                <w:color w:val="000000"/>
                <w:sz w:val="24"/>
                <w:szCs w:val="24"/>
                <w:vertAlign w:val="superscript"/>
              </w:rPr>
              <w:t>a</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1.05 ± 0.01</w:t>
            </w:r>
            <w:r>
              <w:rPr>
                <w:rFonts w:ascii="Times New Roman" w:hAnsi="Times New Roman"/>
                <w:color w:val="000000"/>
                <w:sz w:val="24"/>
                <w:szCs w:val="24"/>
                <w:vertAlign w:val="superscript"/>
              </w:rPr>
              <w:t>d</w:t>
            </w:r>
          </w:p>
        </w:tc>
        <w:tc>
          <w:tcPr>
            <w:tcW w:w="1578"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1.16 ± 0.03</w:t>
            </w:r>
            <w:r>
              <w:rPr>
                <w:rFonts w:ascii="Times New Roman" w:hAnsi="Times New Roman"/>
                <w:color w:val="000000"/>
                <w:sz w:val="24"/>
                <w:szCs w:val="24"/>
                <w:vertAlign w:val="superscript"/>
              </w:rPr>
              <w:t>c</w:t>
            </w:r>
          </w:p>
        </w:tc>
        <w:tc>
          <w:tcPr>
            <w:tcW w:w="1579" w:type="dxa"/>
            <w:tcBorders>
              <w:top w:val="nil"/>
              <w:left w:val="nil"/>
              <w:bottom w:val="nil"/>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1.25 ± 0.02</w:t>
            </w:r>
            <w:r>
              <w:rPr>
                <w:rFonts w:ascii="Times New Roman" w:hAnsi="Times New Roman"/>
                <w:color w:val="000000"/>
                <w:sz w:val="24"/>
                <w:szCs w:val="24"/>
                <w:vertAlign w:val="superscript"/>
              </w:rPr>
              <w:t>b</w:t>
            </w:r>
          </w:p>
        </w:tc>
      </w:tr>
      <w:tr w:rsidR="00D543E5">
        <w:trPr>
          <w:trHeight w:val="330"/>
        </w:trPr>
        <w:tc>
          <w:tcPr>
            <w:tcW w:w="3263" w:type="dxa"/>
            <w:tcBorders>
              <w:top w:val="nil"/>
              <w:left w:val="nil"/>
              <w:bottom w:val="single" w:sz="8" w:space="0" w:color="auto"/>
              <w:right w:val="nil"/>
            </w:tcBorders>
            <w:noWrap/>
            <w:vAlign w:val="center"/>
          </w:tcPr>
          <w:p w:rsidR="00D543E5" w:rsidRDefault="00A95B9D">
            <w:pPr>
              <w:spacing w:before="0" w:beforeAutospacing="0" w:after="0" w:line="240" w:lineRule="auto"/>
              <w:ind w:left="720"/>
              <w:rPr>
                <w:rFonts w:ascii="Times New Roman" w:hAnsi="Times New Roman"/>
                <w:b/>
                <w:bCs/>
                <w:color w:val="000000"/>
                <w:sz w:val="24"/>
                <w:szCs w:val="24"/>
              </w:rPr>
            </w:pPr>
            <w:r>
              <w:rPr>
                <w:rFonts w:ascii="Times New Roman" w:hAnsi="Times New Roman"/>
                <w:b/>
                <w:bCs/>
                <w:color w:val="000000"/>
                <w:sz w:val="24"/>
                <w:szCs w:val="24"/>
              </w:rPr>
              <w:t>TUFA</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56.55± 0.02</w:t>
            </w:r>
            <w:r>
              <w:rPr>
                <w:rFonts w:ascii="Times New Roman" w:hAnsi="Times New Roman"/>
                <w:color w:val="000000"/>
                <w:sz w:val="24"/>
                <w:szCs w:val="24"/>
                <w:vertAlign w:val="superscript"/>
              </w:rPr>
              <w:t>d</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66.3 ± 0.01</w:t>
            </w:r>
            <w:r>
              <w:rPr>
                <w:rFonts w:ascii="Times New Roman" w:hAnsi="Times New Roman"/>
                <w:color w:val="000000"/>
                <w:sz w:val="24"/>
                <w:szCs w:val="24"/>
                <w:vertAlign w:val="superscript"/>
              </w:rPr>
              <w:t>b</w:t>
            </w:r>
          </w:p>
        </w:tc>
        <w:tc>
          <w:tcPr>
            <w:tcW w:w="1578" w:type="dxa"/>
            <w:tcBorders>
              <w:top w:val="nil"/>
              <w:left w:val="nil"/>
              <w:bottom w:val="single" w:sz="8" w:space="0" w:color="auto"/>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65.07 ± 0.1</w:t>
            </w:r>
            <w:r>
              <w:rPr>
                <w:rFonts w:ascii="Times New Roman" w:hAnsi="Times New Roman"/>
                <w:color w:val="000000"/>
                <w:sz w:val="24"/>
                <w:szCs w:val="24"/>
                <w:vertAlign w:val="superscript"/>
              </w:rPr>
              <w:t>c</w:t>
            </w:r>
          </w:p>
        </w:tc>
        <w:tc>
          <w:tcPr>
            <w:tcW w:w="1579" w:type="dxa"/>
            <w:tcBorders>
              <w:top w:val="nil"/>
              <w:left w:val="nil"/>
              <w:bottom w:val="single" w:sz="8" w:space="0" w:color="auto"/>
              <w:right w:val="nil"/>
            </w:tcBorders>
            <w:noWrap/>
            <w:vAlign w:val="center"/>
          </w:tcPr>
          <w:p w:rsidR="00D543E5" w:rsidRDefault="00A95B9D">
            <w:pPr>
              <w:spacing w:before="0" w:beforeAutospacing="0" w:after="0" w:line="240" w:lineRule="auto"/>
              <w:rPr>
                <w:rFonts w:ascii="Times New Roman" w:hAnsi="Times New Roman"/>
                <w:color w:val="000000"/>
                <w:sz w:val="24"/>
                <w:szCs w:val="24"/>
              </w:rPr>
            </w:pPr>
            <w:r>
              <w:rPr>
                <w:rFonts w:ascii="Times New Roman" w:hAnsi="Times New Roman"/>
                <w:color w:val="000000"/>
                <w:sz w:val="24"/>
                <w:szCs w:val="24"/>
              </w:rPr>
              <w:t>68.9 ± 0.02</w:t>
            </w:r>
            <w:r>
              <w:rPr>
                <w:rFonts w:ascii="Times New Roman" w:hAnsi="Times New Roman"/>
                <w:color w:val="000000"/>
                <w:sz w:val="24"/>
                <w:szCs w:val="24"/>
                <w:vertAlign w:val="superscript"/>
              </w:rPr>
              <w:t>a</w:t>
            </w:r>
          </w:p>
        </w:tc>
      </w:tr>
    </w:tbl>
    <w:p w:rsidR="00D543E5" w:rsidRDefault="00A95B9D">
      <w:pPr>
        <w:spacing w:before="0" w:beforeAutospacing="0" w:after="0" w:line="240" w:lineRule="auto"/>
        <w:ind w:right="544"/>
        <w:jc w:val="both"/>
        <w:rPr>
          <w:rFonts w:ascii="Times New Roman" w:hAnsi="Times New Roman"/>
          <w:sz w:val="18"/>
          <w:szCs w:val="18"/>
        </w:rPr>
      </w:pPr>
      <w:r>
        <w:rPr>
          <w:rFonts w:ascii="Times New Roman" w:hAnsi="Times New Roman"/>
          <w:sz w:val="24"/>
          <w:szCs w:val="24"/>
        </w:rPr>
        <w:t>Values are reported as means ± SD of two replicate analyses (n = 2); CSB: crude shea butter; DSOB: Degummed shea olein;</w:t>
      </w:r>
      <w:r>
        <w:rPr>
          <w:rFonts w:ascii="Times New Roman" w:hAnsi="Times New Roman"/>
          <w:sz w:val="24"/>
          <w:szCs w:val="24"/>
        </w:rPr>
        <w:t xml:space="preserve"> NSO: neutralized shea olein; BSO: Bleached shea olein TSFA: Total saturated fatty acids; TMUFA: total monounsaturated fatty acids; TPUFA: Total polyunsaturated fatty acids; TUFA: Total unsaturated fatty acids; ND: not detected</w:t>
      </w:r>
    </w:p>
    <w:p w:rsidR="00D543E5" w:rsidRDefault="00D543E5">
      <w:pPr>
        <w:spacing w:before="0" w:beforeAutospacing="0" w:after="0" w:line="240" w:lineRule="auto"/>
        <w:ind w:left="720" w:right="544"/>
        <w:jc w:val="both"/>
        <w:rPr>
          <w:rFonts w:ascii="Times New Roman" w:hAnsi="Times New Roman"/>
          <w:sz w:val="18"/>
          <w:szCs w:val="18"/>
        </w:rPr>
      </w:pPr>
    </w:p>
    <w:p w:rsidR="00D543E5" w:rsidRDefault="00D543E5">
      <w:pPr>
        <w:spacing w:before="0" w:beforeAutospacing="0" w:after="0" w:line="240" w:lineRule="auto"/>
        <w:ind w:left="720" w:right="544"/>
        <w:jc w:val="both"/>
        <w:rPr>
          <w:rFonts w:ascii="Times New Roman" w:hAnsi="Times New Roman"/>
          <w:sz w:val="18"/>
          <w:szCs w:val="18"/>
        </w:rPr>
      </w:pPr>
    </w:p>
    <w:p w:rsidR="00D543E5" w:rsidRDefault="00D543E5">
      <w:pPr>
        <w:spacing w:line="240" w:lineRule="auto"/>
        <w:ind w:left="720"/>
        <w:rPr>
          <w:rFonts w:ascii="Times New Roman" w:hAnsi="Times New Roman"/>
          <w:sz w:val="24"/>
          <w:szCs w:val="24"/>
        </w:rPr>
      </w:pPr>
    </w:p>
    <w:sectPr w:rsidR="00D543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B9D" w:rsidRDefault="00A95B9D">
      <w:pPr>
        <w:spacing w:line="240" w:lineRule="auto"/>
      </w:pPr>
      <w:r>
        <w:separator/>
      </w:r>
    </w:p>
  </w:endnote>
  <w:endnote w:type="continuationSeparator" w:id="0">
    <w:p w:rsidR="00A95B9D" w:rsidRDefault="00A95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5" w:rsidRDefault="00D54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5" w:rsidRDefault="00D54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5" w:rsidRDefault="00D5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B9D" w:rsidRDefault="00A95B9D">
      <w:pPr>
        <w:spacing w:before="0" w:after="0"/>
      </w:pPr>
      <w:r>
        <w:separator/>
      </w:r>
    </w:p>
  </w:footnote>
  <w:footnote w:type="continuationSeparator" w:id="0">
    <w:p w:rsidR="00A95B9D" w:rsidRDefault="00A95B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5" w:rsidRDefault="00A95B9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90782" o:spid="_x0000_s2051"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5" w:rsidRDefault="00A95B9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90783" o:sp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5" w:rsidRDefault="00A95B9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90781"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5663"/>
    <w:multiLevelType w:val="hybridMultilevel"/>
    <w:tmpl w:val="9A008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72"/>
    <w:rsid w:val="00012F98"/>
    <w:rsid w:val="00072267"/>
    <w:rsid w:val="000C722D"/>
    <w:rsid w:val="00106267"/>
    <w:rsid w:val="00115F23"/>
    <w:rsid w:val="0012504A"/>
    <w:rsid w:val="00127D08"/>
    <w:rsid w:val="00136A80"/>
    <w:rsid w:val="001558E7"/>
    <w:rsid w:val="001A21DF"/>
    <w:rsid w:val="001A33B1"/>
    <w:rsid w:val="001A7809"/>
    <w:rsid w:val="001D4B6C"/>
    <w:rsid w:val="002339AC"/>
    <w:rsid w:val="0024044D"/>
    <w:rsid w:val="00282D33"/>
    <w:rsid w:val="00284B06"/>
    <w:rsid w:val="002A5552"/>
    <w:rsid w:val="002D1585"/>
    <w:rsid w:val="003065E5"/>
    <w:rsid w:val="00356C5B"/>
    <w:rsid w:val="003C0EF7"/>
    <w:rsid w:val="003C5E1A"/>
    <w:rsid w:val="003D0978"/>
    <w:rsid w:val="003F2689"/>
    <w:rsid w:val="00407B47"/>
    <w:rsid w:val="004216CD"/>
    <w:rsid w:val="00432FE1"/>
    <w:rsid w:val="004420B3"/>
    <w:rsid w:val="0045131B"/>
    <w:rsid w:val="00483672"/>
    <w:rsid w:val="004A6C87"/>
    <w:rsid w:val="004B0354"/>
    <w:rsid w:val="004D55D6"/>
    <w:rsid w:val="00515EDB"/>
    <w:rsid w:val="00533B2F"/>
    <w:rsid w:val="00592672"/>
    <w:rsid w:val="00594F24"/>
    <w:rsid w:val="0061089B"/>
    <w:rsid w:val="006155AB"/>
    <w:rsid w:val="006350E3"/>
    <w:rsid w:val="006463B9"/>
    <w:rsid w:val="006948B8"/>
    <w:rsid w:val="006B0420"/>
    <w:rsid w:val="006D1EC3"/>
    <w:rsid w:val="006D7C98"/>
    <w:rsid w:val="006E2BE6"/>
    <w:rsid w:val="006F33C1"/>
    <w:rsid w:val="00705BA3"/>
    <w:rsid w:val="00721611"/>
    <w:rsid w:val="00746A4A"/>
    <w:rsid w:val="00753BF9"/>
    <w:rsid w:val="007A5EF3"/>
    <w:rsid w:val="007D06E1"/>
    <w:rsid w:val="00801AA8"/>
    <w:rsid w:val="008167B0"/>
    <w:rsid w:val="00820E3F"/>
    <w:rsid w:val="00834A74"/>
    <w:rsid w:val="008819CE"/>
    <w:rsid w:val="00895EE2"/>
    <w:rsid w:val="008D14E0"/>
    <w:rsid w:val="00940340"/>
    <w:rsid w:val="00943BBE"/>
    <w:rsid w:val="00946207"/>
    <w:rsid w:val="0097412E"/>
    <w:rsid w:val="00977AB8"/>
    <w:rsid w:val="009950CC"/>
    <w:rsid w:val="009A1514"/>
    <w:rsid w:val="009B4801"/>
    <w:rsid w:val="00A01059"/>
    <w:rsid w:val="00A11F01"/>
    <w:rsid w:val="00A15329"/>
    <w:rsid w:val="00A2708E"/>
    <w:rsid w:val="00A31C67"/>
    <w:rsid w:val="00A33835"/>
    <w:rsid w:val="00A5148D"/>
    <w:rsid w:val="00A95B9D"/>
    <w:rsid w:val="00AB025B"/>
    <w:rsid w:val="00AC2F7F"/>
    <w:rsid w:val="00AC33F6"/>
    <w:rsid w:val="00AD4BB4"/>
    <w:rsid w:val="00B2794D"/>
    <w:rsid w:val="00B57E26"/>
    <w:rsid w:val="00B6128B"/>
    <w:rsid w:val="00B84839"/>
    <w:rsid w:val="00B864FF"/>
    <w:rsid w:val="00BE0F93"/>
    <w:rsid w:val="00BE33E9"/>
    <w:rsid w:val="00C03FAB"/>
    <w:rsid w:val="00C168FD"/>
    <w:rsid w:val="00C22E91"/>
    <w:rsid w:val="00C27C83"/>
    <w:rsid w:val="00C47B03"/>
    <w:rsid w:val="00C643C2"/>
    <w:rsid w:val="00C92333"/>
    <w:rsid w:val="00CA086C"/>
    <w:rsid w:val="00CA0EA5"/>
    <w:rsid w:val="00CA34ED"/>
    <w:rsid w:val="00CA3AE6"/>
    <w:rsid w:val="00CB0EAD"/>
    <w:rsid w:val="00CB1414"/>
    <w:rsid w:val="00CB49B6"/>
    <w:rsid w:val="00CD56FE"/>
    <w:rsid w:val="00D074BD"/>
    <w:rsid w:val="00D278D0"/>
    <w:rsid w:val="00D449BF"/>
    <w:rsid w:val="00D543E5"/>
    <w:rsid w:val="00D6240D"/>
    <w:rsid w:val="00D641A1"/>
    <w:rsid w:val="00D966A3"/>
    <w:rsid w:val="00DB4843"/>
    <w:rsid w:val="00DB49CF"/>
    <w:rsid w:val="00DD3E00"/>
    <w:rsid w:val="00E34DD7"/>
    <w:rsid w:val="00E47A5A"/>
    <w:rsid w:val="00E60300"/>
    <w:rsid w:val="00E63220"/>
    <w:rsid w:val="00E8030F"/>
    <w:rsid w:val="00E8148F"/>
    <w:rsid w:val="00EB3253"/>
    <w:rsid w:val="00EC0392"/>
    <w:rsid w:val="00EF03D3"/>
    <w:rsid w:val="00F032E5"/>
    <w:rsid w:val="00F13523"/>
    <w:rsid w:val="00F46325"/>
    <w:rsid w:val="00F94B88"/>
    <w:rsid w:val="00FD3BA9"/>
    <w:rsid w:val="00FE0D90"/>
    <w:rsid w:val="09DF25C2"/>
    <w:rsid w:val="0AFF56CB"/>
    <w:rsid w:val="1CA23332"/>
    <w:rsid w:val="1D832014"/>
    <w:rsid w:val="22F12418"/>
    <w:rsid w:val="293E30BA"/>
    <w:rsid w:val="2EA66014"/>
    <w:rsid w:val="3D926692"/>
    <w:rsid w:val="41C526ED"/>
    <w:rsid w:val="439A1083"/>
    <w:rsid w:val="527311A4"/>
    <w:rsid w:val="52F069AD"/>
    <w:rsid w:val="53CD6CA7"/>
    <w:rsid w:val="61B111CE"/>
    <w:rsid w:val="62FF6E15"/>
    <w:rsid w:val="64370E33"/>
    <w:rsid w:val="79AF1979"/>
    <w:rsid w:val="7C01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61832"/>
  <w15:docId w15:val="{B2AD8089-9ECA-40E6-95A1-34BAD29C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4" w:lineRule="auto"/>
    </w:pPr>
    <w:rPr>
      <w:rFonts w:ascii="Calibri" w:eastAsia="Times New Roman" w:hAnsi="Calibri"/>
      <w:sz w:val="22"/>
      <w:szCs w:val="2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character" w:customStyle="1" w:styleId="EndNoteBibliographyChar">
    <w:name w:val="EndNote Bibliography Char"/>
    <w:basedOn w:val="DefaultParagraphFont"/>
    <w:link w:val="EndNoteBibliography"/>
    <w:qFormat/>
    <w:locked/>
    <w:rPr>
      <w:rFonts w:ascii="Calibri" w:eastAsia="Calibri" w:hAnsi="Calibri" w:cs="Calibri"/>
    </w:rPr>
  </w:style>
  <w:style w:type="paragraph" w:customStyle="1" w:styleId="EndNoteBibliography">
    <w:name w:val="EndNote Bibliography"/>
    <w:basedOn w:val="Normal"/>
    <w:link w:val="EndNoteBibliographyChar"/>
    <w:qFormat/>
    <w:pPr>
      <w:spacing w:before="0" w:beforeAutospacing="0" w:line="240" w:lineRule="auto"/>
    </w:pPr>
    <w:rPr>
      <w:rFonts w:eastAsia="Calibri" w:cs="Calibr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Calibri" w:eastAsia="Times New Roman" w:hAnsi="Calibri"/>
      <w:sz w:val="22"/>
      <w:szCs w:val="22"/>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rPr>
  </w:style>
  <w:style w:type="paragraph" w:customStyle="1" w:styleId="trt0xe">
    <w:name w:val="trt0xe"/>
    <w:basedOn w:val="Normal"/>
    <w:qFormat/>
    <w:pPr>
      <w:spacing w:after="100" w:afterAutospacing="1" w:line="240" w:lineRule="auto"/>
    </w:pPr>
    <w:rPr>
      <w:rFonts w:ascii="Times New Roman" w:hAnsi="Times New Roman"/>
      <w:sz w:val="24"/>
      <w:szCs w:val="24"/>
    </w:rPr>
  </w:style>
  <w:style w:type="paragraph" w:styleId="ListParagraph">
    <w:name w:val="List Paragraph"/>
    <w:basedOn w:val="Normal"/>
    <w:uiPriority w:val="99"/>
    <w:rsid w:val="00AC2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95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ropbox\DSC%20SHEA%20BUTTER%20FRAC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'[DSC SHEA BUTTER FRACTIONS.xlsx]Sheet4'!$F$51</c:f>
              <c:strCache>
                <c:ptCount val="1"/>
                <c:pt idx="0">
                  <c:v>% Refining  loss</c:v>
                </c:pt>
              </c:strCache>
            </c:strRef>
          </c:tx>
          <c:spPr>
            <a:solidFill>
              <a:schemeClr val="accent1"/>
            </a:solidFill>
            <a:ln>
              <a:noFill/>
            </a:ln>
            <a:effectLst/>
          </c:spPr>
          <c:invertIfNegative val="0"/>
          <c:cat>
            <c:strRef>
              <c:f>'[DSC SHEA BUTTER FRACTIONS.xlsx]Sheet4'!$E$52:$E$54</c:f>
              <c:strCache>
                <c:ptCount val="3"/>
                <c:pt idx="0">
                  <c:v>degumming</c:v>
                </c:pt>
                <c:pt idx="1">
                  <c:v>Neutralzation</c:v>
                </c:pt>
                <c:pt idx="2">
                  <c:v>Bleaching</c:v>
                </c:pt>
              </c:strCache>
            </c:strRef>
          </c:cat>
          <c:val>
            <c:numRef>
              <c:f>'[DSC SHEA BUTTER FRACTIONS.xlsx]Sheet4'!$F$52:$F$54</c:f>
              <c:numCache>
                <c:formatCode>General</c:formatCode>
                <c:ptCount val="3"/>
                <c:pt idx="0">
                  <c:v>8.8000000000000007</c:v>
                </c:pt>
                <c:pt idx="1">
                  <c:v>6.56</c:v>
                </c:pt>
                <c:pt idx="2">
                  <c:v>7.56</c:v>
                </c:pt>
              </c:numCache>
            </c:numRef>
          </c:val>
          <c:extLst>
            <c:ext xmlns:c16="http://schemas.microsoft.com/office/drawing/2014/chart" uri="{C3380CC4-5D6E-409C-BE32-E72D297353CC}">
              <c16:uniqueId val="{00000000-D0CD-4CA1-A196-461177CB8841}"/>
            </c:ext>
          </c:extLst>
        </c:ser>
        <c:dLbls>
          <c:showLegendKey val="0"/>
          <c:showVal val="0"/>
          <c:showCatName val="0"/>
          <c:showSerName val="0"/>
          <c:showPercent val="0"/>
          <c:showBubbleSize val="0"/>
        </c:dLbls>
        <c:gapWidth val="300"/>
        <c:axId val="262422821"/>
        <c:axId val="605510467"/>
      </c:barChart>
      <c:catAx>
        <c:axId val="262422821"/>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US" b="1"/>
                  <a:t>Refining processes</a:t>
                </a:r>
              </a:p>
            </c:rich>
          </c:tx>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05510467"/>
        <c:crosses val="autoZero"/>
        <c:auto val="1"/>
        <c:lblAlgn val="ctr"/>
        <c:lblOffset val="100"/>
        <c:noMultiLvlLbl val="0"/>
      </c:catAx>
      <c:valAx>
        <c:axId val="605510467"/>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US" b="1"/>
                  <a:t>% Refining loss</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62422821"/>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b1b1c80-840c-407f-86ba-99cc8f700d3c}"/>
      </c:ext>
    </c:extLst>
  </c:chart>
  <c:spPr>
    <a:solidFill>
      <a:schemeClr val="bg1"/>
    </a:solidFill>
    <a:ln w="9525" cap="flat" cmpd="sng" algn="ctr">
      <a:solidFill>
        <a:schemeClr val="tx1">
          <a:lumMod val="15000"/>
          <a:lumOff val="85000"/>
        </a:schemeClr>
      </a:solidFill>
      <a:round/>
    </a:ln>
    <a:effectLst/>
  </c:spPr>
  <c:txPr>
    <a:bodyPr/>
    <a:lstStyle/>
    <a:p>
      <a:pPr>
        <a:defRPr lang="en-US"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8673B-C1BB-4DB2-AB70-41A98D26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6061</Words>
  <Characters>34552</Characters>
  <Application>Microsoft Office Word</Application>
  <DocSecurity>0</DocSecurity>
  <Lines>287</Lines>
  <Paragraphs>81</Paragraphs>
  <ScaleCrop>false</ScaleCrop>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61</cp:revision>
  <dcterms:created xsi:type="dcterms:W3CDTF">2025-12-22T20:23:00Z</dcterms:created>
  <dcterms:modified xsi:type="dcterms:W3CDTF">2026-01-16T05:39:00Z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db4fdfc4-0c5a-4118-8c56-c8da8700cd01</vt:lpwstr>
  </property>
  <property fmtid="{D5CDD505-2E9C-101B-9397-08002B2CF9AE}" pid="3" name="KSOProductBuildVer">
    <vt:lpwstr>1033-12.2.0.23196</vt:lpwstr>
  </property>
  <property fmtid="{D5CDD505-2E9C-101B-9397-08002B2CF9AE}" pid="4" name="ICV">
    <vt:lpwstr>961B1545FD0F4DC2938C1B22D56E6AF4_12</vt:lpwstr>
  </property>
</Properties>
</file>