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FA1E1" w14:textId="77777777" w:rsidR="00273E3A" w:rsidRDefault="00000000">
      <w:pPr>
        <w:spacing w:line="360" w:lineRule="auto"/>
        <w:jc w:val="center"/>
        <w:rPr>
          <w:rFonts w:ascii="Times New Roman" w:eastAsia="Times New Roman" w:hAnsi="Times New Roman" w:cs="Times New Roman"/>
          <w:b/>
          <w:bCs/>
          <w:sz w:val="36"/>
          <w:szCs w:val="36"/>
        </w:rPr>
      </w:pPr>
      <w:bookmarkStart w:id="0" w:name="_iqkl9qpqctk4" w:colFirst="0" w:colLast="0"/>
      <w:bookmarkEnd w:id="0"/>
      <w:r>
        <w:rPr>
          <w:rFonts w:ascii="Times New Roman" w:eastAsia="Times New Roman" w:hAnsi="Times New Roman" w:cs="Times New Roman"/>
          <w:b/>
          <w:bCs/>
          <w:sz w:val="36"/>
          <w:szCs w:val="36"/>
        </w:rPr>
        <w:t>Graph Neural Networks for Multi-Layered Financial Crime Network Detection: An Explainable AI Framework for Anti-Money Laundering</w:t>
      </w:r>
    </w:p>
    <w:p w14:paraId="21A20E48" w14:textId="77777777" w:rsidR="00273E3A" w:rsidRDefault="00273E3A">
      <w:pPr>
        <w:spacing w:line="360" w:lineRule="auto"/>
        <w:jc w:val="both"/>
        <w:rPr>
          <w:rFonts w:ascii="Times New Roman" w:eastAsia="Times New Roman" w:hAnsi="Times New Roman" w:cs="Times New Roman"/>
          <w:b/>
          <w:bCs/>
        </w:rPr>
      </w:pPr>
    </w:p>
    <w:p w14:paraId="610A95F4"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6E279B83"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Detecting multi-layered financial crime networks remains a major challenge in anti-money laundering (AML) due to high false positives, evolving adversarial behaviors, limited relational modeling, and stringent regulatory requirements for transparency and auditability. This study presents a novel, integrated Graph Neural Network–Explainable Artificial Intelligence (GNN-XAI) framework optimized for multi-layered AML detection, explicitly addressing accuracy, scalability, privacy preservation, and regulatory compliance. A heterogeneous Graph Attention Network architecture models transaction flows, entity relationships, device linkages, and temporal interactions within complex financial ecosystems. Over 400 engineered features capture velocity patterns, behavioral deviations, network centrality, and geopolitical risk. The framework was validated on benchmark datasets (IEEE-CIS Fraud Detection, Kaggle Credit Card Fraud, Elliptic Bitcoin) and large-scale synthetic transaction graphs. Results demonstrate robust performance, achieving an AUC-ROC of 0.874, precision of 89.3%, recall of 82.1%, and F1-score of 0.857, outperforming XGBoost and conventional GCN baselines by 5–6%. Relational features accounted for over 51% of predictive contribution. SHAP, LIME, and attention-based explanations enabled regulator-ready interpretability, supporting compliance, auditability, and supervisory review. Scalability experiments confirmed stable performance on networks exceeding 5.6 million transactions with sub-millisecond inference latency, while federated learning and differential privacy ensured viable privacy-utility trade-offs. The findings demonstrate that GNN-XAI architectures provide a practical, regulation-aligned pathway for next-generation AML systems.</w:t>
      </w:r>
    </w:p>
    <w:p w14:paraId="0085E3AF"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Graph Neural Networks, Anti-Money Laundering, Explainable AI, Financial Crime Detection, Multi-Layered Networks</w:t>
      </w:r>
    </w:p>
    <w:p w14:paraId="2B7C640D" w14:textId="77777777" w:rsidR="00273E3A" w:rsidRDefault="00273E3A">
      <w:pPr>
        <w:spacing w:line="360" w:lineRule="auto"/>
        <w:jc w:val="both"/>
        <w:rPr>
          <w:rFonts w:ascii="Times New Roman" w:eastAsia="Times New Roman" w:hAnsi="Times New Roman" w:cs="Times New Roman"/>
          <w:b/>
          <w:bCs/>
        </w:rPr>
      </w:pPr>
    </w:p>
    <w:p w14:paraId="5E171865"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w:t>
      </w:r>
      <w:r>
        <w:rPr>
          <w:rFonts w:ascii="Times New Roman" w:eastAsia="Times New Roman" w:hAnsi="Times New Roman" w:cs="Times New Roman"/>
          <w:b/>
          <w:bCs/>
        </w:rPr>
        <w:tab/>
        <w:t>Introduction</w:t>
      </w:r>
    </w:p>
    <w:p w14:paraId="370FBF95"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financial landscape has transformed dramatically over the past two decades, marked by surging transaction volumes, advanced digital payment systems, and intricate global networks that fuel economic expansion and inclusion (Cheng et al., 2024). Yet, this growth has amplified vulnerabilities, enabling financial criminals to exploit gaps in detection and launder vast sums. This is commonly estimated to represent a small but significant share of global economic output, amounting to hundreds of billions and extending into the trillions of United States dollars each year which threatens the financial stability, security, and institutional integrity (Bounie, 2025). Traditional anti-money laundering frameworks, rooted in rules-based monitoring and statistical thresholds, rely on preset patterns to flag anomalies but struggle to keep pace with rapidly evolving threats (Ricadela, 2024). As a result, these systems generate false positive rates that exceed nine tenths of all alerts, overwhelming institutions with manual reviews that deliver limited value and impose heavy compliance costs on banks each year, much of which is expended on investigating ultimately harmless transactions (SAS, 2025; Ricadela, 2024). As schemes grow sophisticated employing shell entities, trade-based laundering, and looped transactions, legacy methods overlook relational webs and temporal shifts beyond isolated events (Basquill, 2022). Graph neural networks (GNNs) offer a paradigm shift, modeling interconnected data through message-passing that integrates local and global structures, outperforming tabular ML in fraud tasks by discerning nuanced patterns (Cheng et al., 2024; Huang, 2025). Empirical studies affirm GNNs' edge in accuracy and reduced errors on fraud benchmarks, yet deployment lags due to opacity in deep models (Hoang et al., 2025). Regulators like the FCA and EU bodies demand transparency under GDPR and AI standards, clashing with GNN "black boxes" that obscure decisions impacting lives and firms (Wilson, 2025; Facctum, 2025a). Explainable AI (XAI) bridges this by elucidating processes via attributions like SHAP or LIME, aiding investigators, audits, and trust while cutting costs and boosting efficiency in AML (SAS, 2025; Facctum, 2025a). Institutions adopting XAI report streamlined probes and regulatory alignment, underscoring its role in ethical AI (Bounie, 2025; Vallarino, 2025).</w:t>
      </w:r>
    </w:p>
    <w:p w14:paraId="7235940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convergence exposes a core dilemma: while GNNs promise superior detection of multi-layered crimes, their opacity and scalability hurdles impede adoption amid regulatory scrutiny. Traditional ML and rules-based tools degrade on networks with indirect ties and collusions, capturing only 1% of illicit flows and ignoring how criminals mask origins through entity links or timed flows (Bounie, 2025; Basquill, 2022). Advanced models enhance precision but invite distrust without justifications, as opaque outputs risk sanctions and bias claims under Fair Credit Reporting Act (FCRA) and emerging AI rules (Wilson, 2025; Chen et al., 2023). Moreover, lab-tested GNNs falter at production scales, millions of nodes, billions of edges demanding microsecond inferences unmet by current designs (Gao et al., 2022; Hoang et al., 2025). These intertwined issues like accuracy shortfalls, explainability voids, and deployment barriers form the research problem, necessitating an integrated GNN-XAI system for relational fraud, transparent rationales, and efficient scaling on real-world data (Cheng et al., 2024; Vallarino, 2025). Addressing this gap could reclaim enforcement efficacy, harmonize tech with governance, and adapt to dynamic threats in digitized finance.</w:t>
      </w:r>
    </w:p>
    <w:p w14:paraId="0C7D2677"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study's scope delimits focus for rigor within remote constraints, targeting multinational AML across banking, remittances, and crypto, emphasizing cross-border schemes like layering via intermediaries or collusive trades (Basquill, 2022; Huang, 2025). It prioritizes network-heavy crimes over simple anomalies, using supervised GNNs with XAI like attention and attributions, plus federated privacy for sensitive data eschewing reinforcement or causal methods (Cheng et al., 2024; Facctum, 2025a). Data draws from public benchmarks, synthetic networks mimicking real flows, and case analyses, avoiding proprietary access per regulations, all executable remotely via Python tools like PyTorch (Gao et al., 2022; Hoang et al., 2025). Implementation yields architectures and validations, not live deployments. This includes scalability tests for institutional uptake, framed in 2023-2025 tech contexts (Vallarino, 2025; Chen et al., 2023). This bounded lens ensures generalizable insights for global AML evolution.</w:t>
      </w:r>
    </w:p>
    <w:p w14:paraId="38396D2F"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study's import spans realms, enriching GNN-XAI-financial crime scholarship by fusing streams on detection, transparency, and privacy, probing trade-offs in network models (Cheng et al., 2024; Chen et al., 2023). For banks, it delivers tools slashing false positives, compliance spends, and risks, fostering edges in digital markets via interpretable alerts and federated handling of jurisdictional data (Ricadela, 2024; SAS, 2025). Regulators gain evidence for AI-friendly policies, validating explainability in fraud contexts to spur ethical innovation (Wilson, 2025; Bounie, 2025). Practitioners acquire blueprints for GNN-XAI integration, easing remote teams' workflows with scalable, auditable systems (Facctum, 2025b; Facctum, 2025a). Societally, it bolsters anti-corruption, terror finance curbs, and system safeguards, advancing security and equity (Basquill, 2022; (Huang, 2025). By tackling these, the work catalyzes trustworthy AI for resilient finance.</w:t>
      </w:r>
    </w:p>
    <w:p w14:paraId="0E1E88A2"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aim is to develop and validate a GNN-XAI framework for detecting complex financial crime networks with high accuracy, transparency, and scalability on large datasets. The research objectives are to:</w:t>
      </w:r>
    </w:p>
    <w:p w14:paraId="446C5930" w14:textId="77777777" w:rsidR="00273E3A"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design GNN models for multi-layered financial networks and evaluate against baselines for improved detection metrics.</w:t>
      </w:r>
    </w:p>
    <w:p w14:paraId="0BA651F8" w14:textId="77777777" w:rsidR="00273E3A"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integrate XAI techniques to provide stakeholder-tailored explanations meeting regulatory transparency standards.</w:t>
      </w:r>
    </w:p>
    <w:p w14:paraId="06A34E2B" w14:textId="77777777" w:rsidR="00273E3A"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benchmark framework scalability and efficiency on production-scale datasets using optimization strategies.</w:t>
      </w:r>
    </w:p>
    <w:p w14:paraId="41FA8E81" w14:textId="77777777" w:rsidR="00273E3A" w:rsidRDefault="00273E3A">
      <w:pPr>
        <w:spacing w:line="360" w:lineRule="auto"/>
        <w:jc w:val="both"/>
        <w:rPr>
          <w:rFonts w:ascii="Times New Roman" w:eastAsia="Times New Roman" w:hAnsi="Times New Roman" w:cs="Times New Roman"/>
        </w:rPr>
      </w:pPr>
    </w:p>
    <w:p w14:paraId="4439BE42"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7644CA2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literature review synthesizes theoretical, conceptual, and empirical advancements in graph neural networks (GNNs) for multi-layered detection, intertwined with explainable AI (XAI) imperatives. By examining the progression from basic graph representations to dynamic, interpretable frameworks, this chapter delineates how GNNs capture entity interdependencies in financial ecosystems, while highlighting XAI's role in bridging regulatory transparency gaps. The review draws from peer-reviewed sources, revealing a trajectory toward integrated models yet underscoring persistent voids in scalability, multi-layer fusion, and real-world explainability that the proposed framework seeks to address.</w:t>
      </w:r>
    </w:p>
    <w:p w14:paraId="480D4F9B" w14:textId="77777777" w:rsidR="00273E3A" w:rsidRDefault="00273E3A">
      <w:pPr>
        <w:spacing w:line="360" w:lineRule="auto"/>
        <w:jc w:val="both"/>
        <w:rPr>
          <w:rFonts w:ascii="Times New Roman" w:eastAsia="Times New Roman" w:hAnsi="Times New Roman" w:cs="Times New Roman"/>
        </w:rPr>
      </w:pPr>
    </w:p>
    <w:p w14:paraId="41B3C1C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Theoretical Foundations of Graph Neural Networks in Relational Financial Data</w:t>
      </w:r>
    </w:p>
    <w:p w14:paraId="281CD7C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Graph Neural Network theory frames graphs as natural representations of financial systems, where nodes correspond to entities such as accounts or transactions and edges capture interactions like transfers or shared attributes. Unlike convolutional neural networks designed for Euclidean data, GNNs rely on spectral or spatial convolutions and message passing to propagate information across connected nodes, allowing them to generalize to previously unseen graph structures (Cheng et al., 2024). This makes GNNs particularly well suited to financial crime detection, where illicit behavior often appears as subtle structural irregularities embedded within complex, multi-layered networks rather than as isolated anomalies.</w:t>
      </w:r>
    </w:p>
    <w:p w14:paraId="758F2F94"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Conceptual advances such as heterogeneous GNNs extend this framework by supporting multiple node and edge types, enabling models to traverse meaningful semantic paths across ownership, transaction, and relational layers (Devi et al., 2025). Theoretical work on multi-layer graph fusion further enhances representational power by integrating transaction and relational embeddings through tensor-based approaches, improving the detection of laundering patterns (Li et al., 2025). Empirical validation of these ideas is evident in benchmarks such as the Elliptic dataset, where GNN-based models achieve strong performance by modeling relationships between addresses and exchanges (Kute et al., 2021). However, many GNNs assume homophily, an assumption often violated in adversarial financial networks where criminals deliberately connect dissimilar entities. This challenge has motivated more robust approaches such as sampling-based architectures like GraphSAGE (Hamilton et al., 2017). While theoretically powerful, these models still face limitations when applied to dynamic and evolving financial networks, highlighting the need for AML-specific refinements.</w:t>
      </w:r>
    </w:p>
    <w:p w14:paraId="112140BF"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Empirical Applications of GNNs in Multi-Layered Financial Crime Detection</w:t>
      </w:r>
    </w:p>
    <w:p w14:paraId="43BD9C27"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Empirical applications of Graph Neural Networks in anti-money laundering have expanded rapidly, demonstrating their ability to uncover collusive behavior that remains hidden in traditional transaction based analyses. Recent studies show that multi layered GNN architectures, which integrate transactional, relational, and behavioral information, significantly improve detection performance. For example, FinGuard GNN combines temporal GNNs across multiple layers and achieves notable recall improvements over conventional machine learning models by identifying cyclic transaction flows associated with laundering activities (Huang, 2025). Similarly, LSTM-based Aggregation and Signed message passing Graph Neural Network (LAS GNN) enhances blockchain analysis by jointly encoding entities and transactions, achieving high precision through the incorporation of temporal ordering and directional information (Verlaan et al., 2025).</w:t>
      </w:r>
    </w:p>
    <w:p w14:paraId="5C1C69EB"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Further evidence of multi-layer effectiveness is found in hierarchical models that sequentially aggregate transaction data, infer ownership or control relationships through meta paths, and incorporate contextual signals such as device or location data. Systems such as MG HRL demonstrate strong clustering performance on real banking data, enabling the identification of organized laundering groups with high accuracy (Qian &amp; Tong, 2025). Scalability remains a key concern, prompting the use of GraphSAGE based approaches that sample large financial networks efficiently, while attention based GNNs enhance specificity by emphasizing high risk neighbors in highly imbalanced datasets (Lou et al., 2024). Reinforcement learning augmented GNNs further improve adaptability by reducing false positives in evolving laundering scenarios (Devi et al., 2025). Despite these advances, most deployments rely on supervised learning and struggle with sparse labels in real world environments, where illicit activity constitutes a very small fraction of overall transactions (Lawal &amp; Obunadike, 2025).</w:t>
      </w:r>
    </w:p>
    <w:p w14:paraId="49184FD6"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Explainable AI Integration with GNNs for Transparent AML Decision-Making</w:t>
      </w:r>
    </w:p>
    <w:p w14:paraId="44BB9B0F"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explainable artificial intelligence into Graph Neural Networks addresses longstanding concerns about model opacity while supporting regulatory requirements such as the right to explanation under data protection frameworks (Wilson, 2025). In the context of financial crime detection, XAI techniques enhance trust by translating complex GNN outputs into interpretable rationales that compliance professionals can act upon. Post hoc approaches such as GNNExplainer identify influential subgraphs and edges, enabling analysts to understand why specific accounts or transactions are flagged, with strong fidelity reported in fraud detection tasks (Vallarino, 2025).</w:t>
      </w:r>
    </w:p>
    <w:p w14:paraId="6C3871E0"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Intrinsic explainability is also achieved through attention based GNNs, where learned attention weights highlight the most influential relationships, allowing investigators to associate high risk scores with patterns such as temporal cycles indicative of laundering behavior (SAS, 2025). Hybrid XAI GNN systems further improve operational efficiency. For instance, explainable variants of FinGuard apply SHAP based feature attributions to graph embeddings, significantly reducing investigation time while explaining the majority of alerts in empirical studies (Pousette &amp; Rosendal, 2024).</w:t>
      </w:r>
    </w:p>
    <w:p w14:paraId="4C75A000"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Beyond operational benefits, XAI frameworks are increasingly designed for diverse stakeholders, offering counterfactual explanations for regulators and prototype based motifs for investigators (Lawal &amp; Obunadike, 2025). Empirical evaluations on cryptocurrency datasets show that combining interpretable methods with heterogeneous GNNs produces alerts that closely align with expert judgment without sacrificing predictive performance (Verlaan et al., 2025). Despite these advances, explainability introduces computational overhead and remains challenging in real time and privacy constrained, federated AML environments (Kute et al., 2021).</w:t>
      </w:r>
    </w:p>
    <w:p w14:paraId="5788032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Gaps and Opportunities for an Integrated GNN-XAI Framework</w:t>
      </w:r>
    </w:p>
    <w:p w14:paraId="17ECEEB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notable advances, existing literature reveals persistent gaps that continue to limit the effectiveness of anti-money laundering systems, with only a very small fraction of illicit funds successfully detected. From a theoretical perspective, multi-layer GNN models often underrepresent temporal dynamics in heterogeneous financial graphs, relying on assumptions of stationarity that are misaligned with the adaptive nature of financial crime (Deprez et al., 2025). Empirical evidence further highlights limitations, as many studies rely heavily on synthetic datasets and fail to reflect real world conditions characterized by extreme class imbalance and heterophily, leading to significant performance degradation when models are deployed at scale (Motie &amp; Raahemi, 2023).</w:t>
      </w:r>
    </w:p>
    <w:p w14:paraId="778FBC1F"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Explainable AI integrations, while advancing transparency, predominantly adopt post hoc methods that produce fragile explanations susceptible to adversarial manipulation, undermining their reliability in high risk settings (Vallarino, 2025). Scalability also remains a critical challenge, with most proposed frameworks unable to handle the massive scale of real financial networks, necessitating more efficient inference strategies (Poon et al., 2025). Additionally, research on integrated GNN XAI systems remains fragmented, particularly in privacy constrained environments such as federated learning, and current explainability metrics do not fully address regulatory requirements for auditability (Lawal &amp; Obunadike, 2025; Huang, 2025; SAS, 2025). These gaps motivate the need for holistic, scalable, and transparent AML frameworks.</w:t>
      </w:r>
    </w:p>
    <w:p w14:paraId="6030EDF1" w14:textId="77777777" w:rsidR="00273E3A" w:rsidRDefault="00273E3A">
      <w:pPr>
        <w:spacing w:line="360" w:lineRule="auto"/>
        <w:jc w:val="both"/>
        <w:rPr>
          <w:rFonts w:ascii="Times New Roman" w:eastAsia="Times New Roman" w:hAnsi="Times New Roman" w:cs="Times New Roman"/>
        </w:rPr>
      </w:pPr>
    </w:p>
    <w:p w14:paraId="502519FB"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 xml:space="preserve"> Research Methodology</w:t>
      </w:r>
    </w:p>
    <w:p w14:paraId="3A628D72"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71D93164"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adopts a pragmatist mixed-methods design, blending quantitative experiments with qualitative validations to prioritize real-world applicability in Anti-Money Laundering (AML) contexts. Grounded in an empiricist-pragmatist epistemology, the framework values evidence from performance improvements and stakeholder insights over abstract theory, justifying the focus on computational validations that demonstrate tangible enhancements in fraud detection.</w:t>
      </w:r>
    </w:p>
    <w:p w14:paraId="3448C782"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process unfolds in iterative phases: first, synthesizing literature to define the Graph Neural Networks-Explainable Artificial Intelligence (GNN-XAI) integration; second, acquiring and preparing data for graph modeling; third, constructing multi-layered graphs to capture relational dynamics; fourth, developing and optimizing GNN architectures; fifth, embedding XAI techniques for transparent outputs; and sixth, evaluating metrics across scales with privacy considerations as shown in Figure 1. These phases incorporate feedback loops for iterative optimization, ensuring the framework addresses complex crime patterns like layering and collusions in financial networks (Cheng et al., 2024).</w:t>
      </w:r>
    </w:p>
    <w:p w14:paraId="671A9B9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1</w:t>
      </w:r>
    </w:p>
    <w:p w14:paraId="02CF059C"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GNN-XAI Research Workflow </w:t>
      </w:r>
    </w:p>
    <w:p w14:paraId="5B16F5C8"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844877" wp14:editId="04DC9EE1">
            <wp:extent cx="5943600" cy="13026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30915" b="47168"/>
                    <a:stretch>
                      <a:fillRect/>
                    </a:stretch>
                  </pic:blipFill>
                  <pic:spPr>
                    <a:xfrm>
                      <a:off x="0" y="0"/>
                      <a:ext cx="5943600" cy="1302605"/>
                    </a:xfrm>
                    <a:prstGeom prst="rect">
                      <a:avLst/>
                    </a:prstGeom>
                    <a:ln/>
                  </pic:spPr>
                </pic:pic>
              </a:graphicData>
            </a:graphic>
          </wp:inline>
        </w:drawing>
      </w:r>
    </w:p>
    <w:p w14:paraId="1ADFD7C5"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methodology combines quantitative empirical testing with computational modeling, incorporating comparative benchmarks and case analyses, while adhering to remote execution constraints by utilizing publicly accessible datasets and open-source tools. This design ensures reproducibility and transparency, facilitating practical adoption in distributed environments through cloud-based implementations that support collaborative refinement without requiring proprietary data.</w:t>
      </w:r>
    </w:p>
    <w:p w14:paraId="1865707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Collection and Sources</w:t>
      </w:r>
    </w:p>
    <w:p w14:paraId="06976AA8"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Data sources combine public benchmark datasets and synthetic transaction networks to model realistic anti money laundering scenarios without institutional access. The IEEE Computational Intelligence Society Fraud Detection dataset provides approximately 590,540 e commerce transactions with a 3.5 percent fraud rate and 67 benchmark features from card not present activity. The Kaggle Credit Card Fraud Detection dataset contains 284,807 transactions including 492 fraudulent cases representing a 0.172 percent fraud rate with 30 attributes comprising Time Amount and anonymized principal components. The Elliptic Bitcoin Transaction Network dataset includes 203,769 transactions represented as nodes with directed edges capturing Bitcoin flows and 166 features spanning local statistics and aggregated one hop descriptors. Collectively these datasets reflect extreme class imbalance high dimensionality and complex relational dependencies typical of real world AML environments with fraud prevalence between 0.172 and 3.5 percent. To assess scalability and rare pattern behavior synthetic graphs were generated using Sparkov Data Generation simulating networks with up to billions of transactions and embedding crime typologies from regulatory reports. Although synthetic data enables controlled large scale experimentation it may introduce structural or behavioral bias.</w:t>
      </w:r>
    </w:p>
    <w:p w14:paraId="79E36D12"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Preprocessing and Feature Engineering</w:t>
      </w:r>
    </w:p>
    <w:p w14:paraId="24DC34A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Preprocessing begins with cleaning to handle missing values, inconsistencies, and outliers, ensuring data quality for GNN inputs. For numerical attributes, median imputation based on entity histories addresses gaps, while categorical features receive an "Unknown" label to preserve missingness signals, which may indicate obfuscation in fraud cases. Data types are standardized, with amounts as floats and timestamps as Unix epochs, followed by duplicate removal via exact matching on sender, receiver, amount, and time.</w:t>
      </w:r>
    </w:p>
    <w:p w14:paraId="2EDD319B"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Outliers are flagged using Isolation Forest rather than discarded, creating binary indicators to retain informative anomalies (Liu, 2025). Feature engineering yields over 400 predictors across several categories. Transaction-level features include amount, currency, type, hour of day, day of week, weekend status, holiday flag, channel (online or in-person), geographic distance, time zone offset, and exchange rate deviation. Velocity aggregates include counts, sums, medians over windows such as one hour, six hours, twenty-four hours, seven days, thirty days, ninety days, and ratios of short-term to long-term averages.</w:t>
      </w:r>
    </w:p>
    <w:p w14:paraId="76C4C499"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Behavioral deviations are computed via z-scores, where the z-score for a feature value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Pr>
          <w:rFonts w:ascii="Times New Roman" w:eastAsia="Times New Roman" w:hAnsi="Times New Roman" w:cs="Times New Roman"/>
        </w:rPr>
        <w:t>of entity (i) is calculated as:</w:t>
      </w:r>
    </w:p>
    <w:p w14:paraId="75B711BF" w14:textId="77777777" w:rsidR="00273E3A"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i</m:t>
                  </m:r>
                </m:sub>
              </m:sSub>
            </m:den>
          </m:f>
        </m:oMath>
      </m:oMathPara>
    </w:p>
    <w:p w14:paraId="0B30C972"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w: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i</m:t>
            </m:r>
          </m:sub>
        </m:sSub>
      </m:oMath>
      <w:r>
        <w:rPr>
          <w:rFonts w:ascii="Times New Roman" w:eastAsia="Times New Roman" w:hAnsi="Times New Roman" w:cs="Times New Roman"/>
        </w:rPr>
        <w:t xml:space="preserve"> as the historical mean and </w:t>
      </w:r>
      <m:oMath>
        <m:sSub>
          <m:sSubPr>
            <m:ctrlPr>
              <w:rPr>
                <w:rFonts w:ascii="Cambria Math" w:eastAsia="Cambria Math" w:hAnsi="Cambria Math" w:cs="Cambria Math"/>
              </w:rPr>
            </m:ctrlPr>
          </m:sSubPr>
          <m:e>
            <m:r>
              <w:rPr>
                <w:rFonts w:ascii="Cambria Math" w:hAnsi="Cambria Math"/>
              </w:rPr>
              <m:t>σ</m:t>
            </m:r>
          </m:e>
          <m:sub>
            <m:r>
              <w:rPr>
                <w:rFonts w:ascii="Cambria Math" w:eastAsia="Cambria Math" w:hAnsi="Cambria Math" w:cs="Cambria Math"/>
              </w:rPr>
              <m:t>i</m:t>
            </m:r>
          </m:sub>
        </m:sSub>
      </m:oMath>
      <w:r>
        <w:rPr>
          <w:rFonts w:ascii="Times New Roman" w:eastAsia="Times New Roman" w:hAnsi="Times New Roman" w:cs="Times New Roman"/>
        </w:rPr>
        <w:t xml:space="preserve"> as the standard deviation for entity (i), highlighting shifts beyond three standard deviations. Network metrics include degree centrality, betweenness centrality, closeness centrality, eigenvector centrality, community indicators, shortest paths to risky entities, intermediary counts, fan-out for mule patterns, fan-in for aggregation, and circular flows. Geopolitical risks include Financial Action Task Force grey-list status, corruption indices, sanctions, and jurisdiction assessments (Liu, 2025). Normalization applies z-score scaling as</w:t>
      </w:r>
    </w:p>
    <w:p w14:paraId="69ACD408" w14:textId="77777777" w:rsidR="00273E3A"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X</m:t>
              </m:r>
            </m:e>
            <m:sub>
              <m:r>
                <w:rPr>
                  <w:rFonts w:ascii="Times New Roman" w:eastAsia="Times New Roman" w:hAnsi="Times New Roman" w:cs="Times New Roman"/>
                </w:rPr>
                <m:t>normalized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X-μ</m:t>
              </m:r>
            </m:num>
            <m:den>
              <m:r>
                <w:rPr>
                  <w:rFonts w:ascii="Cambria Math" w:eastAsia="Cambria Math" w:hAnsi="Cambria Math" w:cs="Cambria Math"/>
                </w:rPr>
                <m:t>σ</m:t>
              </m:r>
            </m:den>
          </m:f>
        </m:oMath>
      </m:oMathPara>
    </w:p>
    <w:p w14:paraId="264F2AE6"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to numerical features, fitted on training data to avoid leakage, while categoricals use one-hot encoding for low cardinality (up to twenty values) and target encoding for higher, mitigating dimensionality issues.</w:t>
      </w:r>
    </w:p>
    <w:p w14:paraId="462D73EC"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Graph Construction</w:t>
      </w:r>
    </w:p>
    <w:p w14:paraId="58C511A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Graph construction transforms tabular data into heterogeneous structures for multi-layered analysis. Node types include transaction nodes with attributes like amount and timestamp, card or account nodes aggregating payment details, device nodes for identifiers like fingerprints, merchant nodes for recipients, and Internet Protocol address nodes for network patterns (Scribd, 2025). Edge types include transaction-card for authorization, transaction-device for usage, transaction-merchant for directionality, and transaction-Internet Protocol for infrastructure, weighted by amount, frequency, temporal proximity, and consistency. The algorithm iterates node creation from records, edge establishment with bidirectional links, and validation for connectivity and temporal coherence, yielding graphs with approximately 480,000 nodes and 1.5 million edges for IEEE-CIS data.</w:t>
      </w:r>
    </w:p>
    <w:p w14:paraId="1B441E19"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Temporal dynamics are modeled via snapshots per period (weekly or monthly), enabling detection of evolving patterns like sudden activations, with Temporal Graph Neural Networks aggregating across neighbors and time steps to accommodate concept drift and fraud progression (Fan et al., 2025).</w:t>
      </w:r>
    </w:p>
    <w:p w14:paraId="1F436F6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Graph Neural Network Architecture</w:t>
      </w:r>
    </w:p>
    <w:p w14:paraId="7915F02C"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GNN architecture implements variants for comparative evaluation in multi-layered crime detection. The Graph Convolutional Network (GCN) aggregates features via message-passing, updating node (u)'s representation at layer, </w:t>
      </w:r>
      <m:oMath>
        <m:r>
          <w:rPr>
            <w:rFonts w:ascii="Cambria Math" w:eastAsia="Cambria Math" w:hAnsi="Cambria Math" w:cs="Cambria Math"/>
          </w:rPr>
          <m:t>l+1</m:t>
        </m:r>
      </m:oMath>
      <w:r>
        <w:rPr>
          <w:rFonts w:ascii="Times New Roman" w:eastAsia="Times New Roman" w:hAnsi="Times New Roman" w:cs="Times New Roman"/>
        </w:rPr>
        <w:t xml:space="preserve"> as</w:t>
      </w:r>
    </w:p>
    <w:p w14:paraId="59ABD0CD" w14:textId="77777777" w:rsidR="00273E3A"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u</m:t>
              </m:r>
            </m:sub>
            <m:sup>
              <m:d>
                <m:dPr>
                  <m:ctrlPr>
                    <w:rPr>
                      <w:rFonts w:ascii="Cambria Math" w:eastAsia="Cambria Math" w:hAnsi="Cambria Math" w:cs="Cambria Math"/>
                    </w:rPr>
                  </m:ctrlPr>
                </m:dPr>
                <m:e>
                  <m:r>
                    <w:rPr>
                      <w:rFonts w:ascii="Cambria Math" w:eastAsia="Cambria Math" w:hAnsi="Cambria Math" w:cs="Cambria Math"/>
                    </w:rPr>
                    <m:t>1</m:t>
                  </m:r>
                </m:e>
              </m:d>
            </m:sup>
          </m:sSubSup>
          <m:r>
            <w:rPr>
              <w:rFonts w:ascii="Cambria Math" w:eastAsia="Cambria Math" w:hAnsi="Cambria Math" w:cs="Cambria Math"/>
            </w:rPr>
            <m:t>=σ</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W</m:t>
                  </m:r>
                </m:e>
                <m:sup>
                  <m:d>
                    <m:dPr>
                      <m:ctrlPr>
                        <w:rPr>
                          <w:rFonts w:ascii="Cambria Math" w:eastAsia="Cambria Math" w:hAnsi="Cambria Math" w:cs="Cambria Math"/>
                        </w:rPr>
                      </m:ctrlPr>
                    </m:dPr>
                    <m:e>
                      <m:r>
                        <w:rPr>
                          <w:rFonts w:ascii="Cambria Math" w:eastAsia="Cambria Math" w:hAnsi="Cambria Math" w:cs="Cambria Math"/>
                        </w:rPr>
                        <m:t>l</m:t>
                      </m:r>
                    </m:e>
                  </m:d>
                </m:sup>
              </m:sSup>
              <m:nary>
                <m:naryPr>
                  <m:chr m:val="∑"/>
                  <m:ctrlPr>
                    <w:rPr>
                      <w:rFonts w:ascii="Cambria Math" w:eastAsia="Cambria Math" w:hAnsi="Cambria Math" w:cs="Cambria Math"/>
                    </w:rPr>
                  </m:ctrlPr>
                </m:naryPr>
                <m:sub>
                  <m:r>
                    <w:rPr>
                      <w:rFonts w:ascii="Cambria Math" w:eastAsia="Cambria Math" w:hAnsi="Cambria Math" w:cs="Cambria Math"/>
                    </w:rPr>
                    <m:t>v∈N(u)</m:t>
                  </m:r>
                </m:sub>
                <m:sup/>
                <m:e/>
              </m:nary>
              <m:f>
                <m:fPr>
                  <m:ctrlPr>
                    <w:rPr>
                      <w:rFonts w:ascii="Cambria Math" w:eastAsia="Cambria Math" w:hAnsi="Cambria Math" w:cs="Cambria Math"/>
                    </w:rPr>
                  </m:ctrlPr>
                </m:fPr>
                <m:num>
                  <m:r>
                    <w:rPr>
                      <w:rFonts w:ascii="Cambria Math" w:eastAsia="Cambria Math" w:hAnsi="Cambria Math" w:cs="Cambria Math"/>
                    </w:rPr>
                    <m:t>1</m:t>
                  </m:r>
                </m:num>
                <m:den>
                  <m:rad>
                    <m:radPr>
                      <m:degHide m:val="1"/>
                      <m:ctrlPr>
                        <w:rPr>
                          <w:rFonts w:ascii="Cambria Math" w:eastAsia="Cambria Math" w:hAnsi="Cambria Math" w:cs="Cambria Math"/>
                        </w:rPr>
                      </m:ctrlPr>
                    </m:radPr>
                    <m:deg/>
                    <m:e>
                      <m:r>
                        <w:rPr>
                          <w:rFonts w:ascii="Cambria Math" w:eastAsia="Cambria Math" w:hAnsi="Cambria Math" w:cs="Cambria Math"/>
                        </w:rPr>
                        <m:t>∣N(u)∣⋅∣N(v)∣</m:t>
                      </m:r>
                    </m:e>
                  </m:rad>
                </m:den>
              </m:f>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d>
                    <m:dPr>
                      <m:ctrlPr>
                        <w:rPr>
                          <w:rFonts w:ascii="Cambria Math" w:eastAsia="Cambria Math" w:hAnsi="Cambria Math" w:cs="Cambria Math"/>
                        </w:rPr>
                      </m:ctrlPr>
                    </m:dPr>
                    <m:e>
                      <m:r>
                        <w:rPr>
                          <w:rFonts w:ascii="Cambria Math" w:eastAsia="Cambria Math" w:hAnsi="Cambria Math" w:cs="Cambria Math"/>
                        </w:rPr>
                        <m:t>l</m:t>
                      </m:r>
                    </m:e>
                  </m:d>
                </m:sup>
              </m:sSubSup>
            </m:e>
          </m:d>
        </m:oMath>
      </m:oMathPara>
    </w:p>
    <w:p w14:paraId="2F763C6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u</m:t>
            </m:r>
          </m:sub>
          <m:sup>
            <m:d>
              <m:dPr>
                <m:ctrlPr>
                  <w:rPr>
                    <w:rFonts w:ascii="Cambria Math" w:eastAsia="Cambria Math" w:hAnsi="Cambria Math" w:cs="Cambria Math"/>
                  </w:rPr>
                </m:ctrlPr>
              </m:dPr>
              <m:e>
                <m:r>
                  <w:rPr>
                    <w:rFonts w:ascii="Cambria Math" w:eastAsia="Cambria Math" w:hAnsi="Cambria Math" w:cs="Cambria Math"/>
                  </w:rPr>
                  <m:t>l</m:t>
                </m:r>
              </m:e>
            </m:d>
          </m:sup>
        </m:sSubSup>
      </m:oMath>
      <w:r>
        <w:rPr>
          <w:rFonts w:ascii="Times New Roman" w:eastAsia="Times New Roman" w:hAnsi="Times New Roman" w:cs="Times New Roman"/>
        </w:rPr>
        <w:t xml:space="preserve"> is the feature vector at layer (l), </w:t>
      </w:r>
      <m:oMath>
        <m:r>
          <w:rPr>
            <w:rFonts w:ascii="Cambria Math" w:eastAsia="Cambria Math" w:hAnsi="Cambria Math" w:cs="Cambria Math"/>
          </w:rPr>
          <m:t>N(u)</m:t>
        </m:r>
      </m:oMath>
      <w:r>
        <w:rPr>
          <w:rFonts w:ascii="Times New Roman" w:eastAsia="Times New Roman" w:hAnsi="Times New Roman" w:cs="Times New Roman"/>
        </w:rPr>
        <w:t xml:space="preserve"> the neighbors of (u), </w:t>
      </w:r>
      <m:oMath>
        <m:sSup>
          <m:sSupPr>
            <m:ctrlPr>
              <w:rPr>
                <w:rFonts w:ascii="Cambria Math" w:eastAsia="Cambria Math" w:hAnsi="Cambria Math" w:cs="Cambria Math"/>
              </w:rPr>
            </m:ctrlPr>
          </m:sSupPr>
          <m:e>
            <m:r>
              <w:rPr>
                <w:rFonts w:ascii="Cambria Math" w:eastAsia="Cambria Math" w:hAnsi="Cambria Math" w:cs="Cambria Math"/>
              </w:rPr>
              <m:t>W</m:t>
            </m:r>
          </m:e>
          <m:sup>
            <m:d>
              <m:dPr>
                <m:ctrlPr>
                  <w:rPr>
                    <w:rFonts w:ascii="Cambria Math" w:eastAsia="Cambria Math" w:hAnsi="Cambria Math" w:cs="Cambria Math"/>
                  </w:rPr>
                </m:ctrlPr>
              </m:dPr>
              <m:e>
                <m:r>
                  <w:rPr>
                    <w:rFonts w:ascii="Cambria Math" w:eastAsia="Cambria Math" w:hAnsi="Cambria Math" w:cs="Cambria Math"/>
                  </w:rPr>
                  <m:t>l</m:t>
                </m:r>
              </m:e>
            </m:d>
          </m:sup>
        </m:sSup>
      </m:oMath>
      <w:r>
        <w:rPr>
          <w:rFonts w:ascii="Times New Roman" w:eastAsia="Times New Roman" w:hAnsi="Times New Roman" w:cs="Times New Roman"/>
        </w:rPr>
        <w:t xml:space="preserve"> the weight matrix, </w:t>
      </w:r>
      <m:oMath>
        <m:r>
          <w:rPr>
            <w:rFonts w:ascii="Cambria Math" w:hAnsi="Cambria Math"/>
          </w:rPr>
          <m:t>σ</m:t>
        </m:r>
      </m:oMath>
      <w:r>
        <w:rPr>
          <w:rFonts w:ascii="Times New Roman" w:eastAsia="Times New Roman" w:hAnsi="Times New Roman" w:cs="Times New Roman"/>
        </w:rPr>
        <w:t xml:space="preserve"> the Rectified Linear Unit (ReLU) activation, and the normalization prevents degree bias (Huang et al., 2018). The Graph Attention Network (GAT) extends this with attention, computing:</w:t>
      </w:r>
    </w:p>
    <w:p w14:paraId="65F77BBA" w14:textId="77777777" w:rsidR="00273E3A"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u</m:t>
              </m:r>
            </m:sub>
            <m:sup>
              <m:d>
                <m:dPr>
                  <m:ctrlPr>
                    <w:rPr>
                      <w:rFonts w:ascii="Cambria Math" w:eastAsia="Cambria Math" w:hAnsi="Cambria Math" w:cs="Cambria Math"/>
                    </w:rPr>
                  </m:ctrlPr>
                </m:dPr>
                <m:e>
                  <m:r>
                    <w:rPr>
                      <w:rFonts w:ascii="Cambria Math" w:eastAsia="Cambria Math" w:hAnsi="Cambria Math" w:cs="Cambria Math"/>
                    </w:rPr>
                    <m:t>1</m:t>
                  </m:r>
                </m:e>
              </m:d>
            </m:sup>
          </m:sSubSup>
          <m:r>
            <w:rPr>
              <w:rFonts w:ascii="Cambria Math" w:eastAsia="Cambria Math" w:hAnsi="Cambria Math" w:cs="Cambria Math"/>
            </w:rPr>
            <m:t>=σ</m:t>
          </m:r>
          <m:d>
            <m:dPr>
              <m:ctrlPr>
                <w:rPr>
                  <w:rFonts w:ascii="Cambria Math" w:eastAsia="Cambria Math" w:hAnsi="Cambria Math" w:cs="Cambria Math"/>
                </w:rPr>
              </m:ctrlPr>
            </m:dPr>
            <m:e>
              <m:nary>
                <m:naryPr>
                  <m:chr m:val="∑"/>
                  <m:ctrlPr>
                    <w:rPr>
                      <w:rFonts w:ascii="Cambria Math" w:eastAsia="Cambria Math" w:hAnsi="Cambria Math" w:cs="Cambria Math"/>
                    </w:rPr>
                  </m:ctrlPr>
                </m:naryPr>
                <m:sub>
                  <m:r>
                    <w:rPr>
                      <w:rFonts w:ascii="Cambria Math" w:eastAsia="Cambria Math" w:hAnsi="Cambria Math" w:cs="Cambria Math"/>
                    </w:rPr>
                    <m:t>v∈N(u)</m:t>
                  </m:r>
                </m:sub>
                <m:sup/>
                <m:e/>
              </m:nary>
              <m:sSubSup>
                <m:sSubSupPr>
                  <m:ctrlPr>
                    <w:rPr>
                      <w:rFonts w:ascii="Cambria Math" w:eastAsia="Cambria Math" w:hAnsi="Cambria Math" w:cs="Cambria Math"/>
                    </w:rPr>
                  </m:ctrlPr>
                </m:sSubSupPr>
                <m:e>
                  <m:r>
                    <w:rPr>
                      <w:rFonts w:ascii="Cambria Math" w:eastAsia="Cambria Math" w:hAnsi="Cambria Math" w:cs="Cambria Math"/>
                    </w:rPr>
                    <m:t>α</m:t>
                  </m:r>
                </m:e>
                <m:sub>
                  <m:r>
                    <w:rPr>
                      <w:rFonts w:ascii="Cambria Math" w:eastAsia="Cambria Math" w:hAnsi="Cambria Math" w:cs="Cambria Math"/>
                    </w:rPr>
                    <m:t>uv</m:t>
                  </m:r>
                </m:sub>
                <m:sup>
                  <m:d>
                    <m:dPr>
                      <m:ctrlPr>
                        <w:rPr>
                          <w:rFonts w:ascii="Cambria Math" w:eastAsia="Cambria Math" w:hAnsi="Cambria Math" w:cs="Cambria Math"/>
                        </w:rPr>
                      </m:ctrlPr>
                    </m:dPr>
                    <m:e>
                      <m:r>
                        <w:rPr>
                          <w:rFonts w:ascii="Cambria Math" w:eastAsia="Cambria Math" w:hAnsi="Cambria Math" w:cs="Cambria Math"/>
                        </w:rPr>
                        <m:t>l</m:t>
                      </m:r>
                    </m:e>
                  </m:d>
                </m:sup>
              </m:sSubSup>
              <m:sSup>
                <m:sSupPr>
                  <m:ctrlPr>
                    <w:rPr>
                      <w:rFonts w:ascii="Cambria Math" w:eastAsia="Cambria Math" w:hAnsi="Cambria Math" w:cs="Cambria Math"/>
                    </w:rPr>
                  </m:ctrlPr>
                </m:sSupPr>
                <m:e>
                  <m:r>
                    <w:rPr>
                      <w:rFonts w:ascii="Cambria Math" w:eastAsia="Cambria Math" w:hAnsi="Cambria Math" w:cs="Cambria Math"/>
                    </w:rPr>
                    <m:t>W</m:t>
                  </m:r>
                </m:e>
                <m:sup>
                  <m:d>
                    <m:dPr>
                      <m:ctrlPr>
                        <w:rPr>
                          <w:rFonts w:ascii="Cambria Math" w:eastAsia="Cambria Math" w:hAnsi="Cambria Math" w:cs="Cambria Math"/>
                        </w:rPr>
                      </m:ctrlPr>
                    </m:dPr>
                    <m:e>
                      <m:r>
                        <w:rPr>
                          <w:rFonts w:ascii="Cambria Math" w:eastAsia="Cambria Math" w:hAnsi="Cambria Math" w:cs="Cambria Math"/>
                        </w:rPr>
                        <m:t>l</m:t>
                      </m:r>
                    </m:e>
                  </m:d>
                </m:sup>
              </m:sSup>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d>
                    <m:dPr>
                      <m:ctrlPr>
                        <w:rPr>
                          <w:rFonts w:ascii="Cambria Math" w:eastAsia="Cambria Math" w:hAnsi="Cambria Math" w:cs="Cambria Math"/>
                        </w:rPr>
                      </m:ctrlPr>
                    </m:dPr>
                    <m:e>
                      <m:r>
                        <w:rPr>
                          <w:rFonts w:ascii="Cambria Math" w:eastAsia="Cambria Math" w:hAnsi="Cambria Math" w:cs="Cambria Math"/>
                        </w:rPr>
                        <m:t>l</m:t>
                      </m:r>
                    </m:e>
                  </m:d>
                </m:sup>
              </m:sSubSup>
            </m:e>
          </m:d>
        </m:oMath>
      </m:oMathPara>
    </w:p>
    <w:p w14:paraId="62527FA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the attention coefficient </w:t>
      </w:r>
      <m:oMath>
        <m:sSubSup>
          <m:sSubSupPr>
            <m:ctrlPr>
              <w:rPr>
                <w:rFonts w:ascii="Cambria Math" w:eastAsia="Cambria Math" w:hAnsi="Cambria Math" w:cs="Cambria Math"/>
              </w:rPr>
            </m:ctrlPr>
          </m:sSubSupPr>
          <m:e>
            <m:r>
              <w:rPr>
                <w:rFonts w:ascii="Cambria Math" w:hAnsi="Cambria Math"/>
              </w:rPr>
              <m:t>α</m:t>
            </m:r>
          </m:e>
          <m:sub>
            <m:r>
              <w:rPr>
                <w:rFonts w:ascii="Cambria Math" w:eastAsia="Cambria Math" w:hAnsi="Cambria Math" w:cs="Cambria Math"/>
              </w:rPr>
              <m:t>uv</m:t>
            </m:r>
          </m:sub>
          <m:sup>
            <m:d>
              <m:dPr>
                <m:ctrlPr>
                  <w:rPr>
                    <w:rFonts w:ascii="Cambria Math" w:eastAsia="Cambria Math" w:hAnsi="Cambria Math" w:cs="Cambria Math"/>
                  </w:rPr>
                </m:ctrlPr>
              </m:dPr>
              <m:e>
                <m:r>
                  <w:rPr>
                    <w:rFonts w:ascii="Cambria Math" w:eastAsia="Cambria Math" w:hAnsi="Cambria Math" w:cs="Cambria Math"/>
                  </w:rPr>
                  <m:t>l</m:t>
                </m:r>
              </m:e>
            </m:d>
          </m:sup>
        </m:sSubSup>
      </m:oMath>
      <w:r>
        <w:rPr>
          <w:rFonts w:ascii="Times New Roman" w:eastAsia="Times New Roman" w:hAnsi="Times New Roman" w:cs="Times New Roman"/>
        </w:rPr>
        <w:t xml:space="preserve"> is:</w:t>
      </w:r>
    </w:p>
    <w:p w14:paraId="11F76DBA" w14:textId="77777777" w:rsidR="00273E3A"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hAnsi="Cambria Math"/>
                </w:rPr>
                <m:t>α</m:t>
              </m:r>
            </m:e>
            <m:sub>
              <m:r>
                <w:rPr>
                  <w:rFonts w:ascii="Cambria Math" w:eastAsia="Cambria Math" w:hAnsi="Cambria Math" w:cs="Cambria Math"/>
                </w:rPr>
                <m:t>uv</m:t>
              </m:r>
            </m:sub>
            <m:sup>
              <m:d>
                <m:dPr>
                  <m:ctrlPr>
                    <w:rPr>
                      <w:rFonts w:ascii="Cambria Math" w:eastAsia="Cambria Math" w:hAnsi="Cambria Math" w:cs="Cambria Math"/>
                    </w:rPr>
                  </m:ctrlPr>
                </m:dPr>
                <m:e>
                  <m:r>
                    <w:rPr>
                      <w:rFonts w:ascii="Cambria Math" w:eastAsia="Cambria Math" w:hAnsi="Cambria Math" w:cs="Cambria Math"/>
                    </w:rPr>
                    <m:t>l</m:t>
                  </m:r>
                </m:e>
              </m:d>
            </m:sup>
          </m:sSubSup>
          <m:r>
            <w:rPr>
              <w:rFonts w:ascii="Cambria Math" w:eastAsia="Cambria Math" w:hAnsi="Cambria Math" w:cs="Cambria Math"/>
            </w:rPr>
            <m:t>=</m:t>
          </m:r>
          <m:f>
            <m:fPr>
              <m:ctrlPr>
                <w:rPr>
                  <w:rFonts w:ascii="Cambria Math" w:eastAsia="Cambria Math" w:hAnsi="Cambria Math" w:cs="Cambria Math"/>
                </w:rPr>
              </m:ctrlPr>
            </m:fPr>
            <m:num>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Times New Roman" w:eastAsia="Times New Roman" w:hAnsi="Times New Roman" w:cs="Times New Roman"/>
                    </w:rPr>
                  </m:ctrlPr>
                </m:dPr>
                <m:e>
                  <m:r>
                    <w:rPr>
                      <w:rFonts w:ascii="Times New Roman" w:eastAsia="Times New Roman" w:hAnsi="Times New Roman" w:cs="Times New Roman"/>
                    </w:rPr>
                    <m:t>LeakyReLU</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T</m:t>
                          </m:r>
                        </m:sup>
                      </m:sSup>
                      <m:r>
                        <w:rPr>
                          <w:rFonts w:ascii="Cambria Math" w:eastAsia="Cambria Math" w:hAnsi="Cambria Math" w:cs="Cambria Math"/>
                        </w:rPr>
                        <m:t>[W</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u</m:t>
                          </m:r>
                        </m:sub>
                        <m:sup>
                          <m:d>
                            <m:dPr>
                              <m:ctrlPr>
                                <w:rPr>
                                  <w:rFonts w:ascii="Cambria Math" w:eastAsia="Cambria Math" w:hAnsi="Cambria Math" w:cs="Cambria Math"/>
                                </w:rPr>
                              </m:ctrlPr>
                            </m:dPr>
                            <m:e>
                              <m:r>
                                <w:rPr>
                                  <w:rFonts w:ascii="Cambria Math" w:eastAsia="Cambria Math" w:hAnsi="Cambria Math" w:cs="Cambria Math"/>
                                </w:rPr>
                                <m:t>l</m:t>
                              </m:r>
                            </m:e>
                          </m:d>
                        </m:sup>
                      </m:sSubSup>
                      <m:r>
                        <w:rPr>
                          <w:rFonts w:ascii="Cambria Math" w:eastAsia="Cambria Math" w:hAnsi="Cambria Math" w:cs="Cambria Math"/>
                        </w:rPr>
                        <m:t>∥W</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d>
                            <m:dPr>
                              <m:ctrlPr>
                                <w:rPr>
                                  <w:rFonts w:ascii="Cambria Math" w:eastAsia="Cambria Math" w:hAnsi="Cambria Math" w:cs="Cambria Math"/>
                                </w:rPr>
                              </m:ctrlPr>
                            </m:dPr>
                            <m:e>
                              <m:r>
                                <w:rPr>
                                  <w:rFonts w:ascii="Cambria Math" w:eastAsia="Cambria Math" w:hAnsi="Cambria Math" w:cs="Cambria Math"/>
                                </w:rPr>
                                <m:t>l</m:t>
                              </m:r>
                            </m:e>
                          </m:d>
                        </m:sup>
                      </m:sSubSup>
                      <m:r>
                        <w:rPr>
                          <w:rFonts w:ascii="Cambria Math" w:eastAsia="Cambria Math" w:hAnsi="Cambria Math" w:cs="Cambria Math"/>
                        </w:rPr>
                        <m:t>]</m:t>
                      </m:r>
                    </m:e>
                  </m:d>
                </m:e>
              </m:d>
              <m:r>
                <w:rPr>
                  <w:rFonts w:ascii="Cambria Math" w:hAnsi="Cambria Math"/>
                </w:rPr>
                <m:t xml:space="preserve"> </m:t>
              </m:r>
            </m:num>
            <m:den>
              <m:nary>
                <m:naryPr>
                  <m:chr m:val="∑"/>
                  <m:ctrlPr>
                    <w:rPr>
                      <w:rFonts w:ascii="Cambria Math" w:eastAsia="Cambria Math" w:hAnsi="Cambria Math" w:cs="Cambria Math"/>
                    </w:rPr>
                  </m:ctrlPr>
                </m:naryPr>
                <m:sub>
                  <m:r>
                    <w:rPr>
                      <w:rFonts w:ascii="Cambria Math" w:eastAsia="Cambria Math" w:hAnsi="Cambria Math" w:cs="Cambria Math"/>
                    </w:rPr>
                    <m:t>k∈N(u)</m:t>
                  </m:r>
                </m:sub>
                <m:sup/>
                <m:e/>
              </m:nary>
              <m:r>
                <w:rPr>
                  <w:rFonts w:ascii="Cambria Math" w:eastAsia="Cambria Math" w:hAnsi="Cambria Math" w:cs="Cambria Math"/>
                </w:rPr>
                <m:t>exp⁡</m:t>
              </m:r>
              <m:d>
                <m:dPr>
                  <m:ctrlPr>
                    <w:rPr>
                      <w:rFonts w:ascii="Times New Roman" w:eastAsia="Times New Roman" w:hAnsi="Times New Roman" w:cs="Times New Roman"/>
                    </w:rPr>
                  </m:ctrlPr>
                </m:dPr>
                <m:e>
                  <m:r>
                    <w:rPr>
                      <w:rFonts w:ascii="Times New Roman" w:eastAsia="Times New Roman" w:hAnsi="Times New Roman" w:cs="Times New Roman"/>
                    </w:rPr>
                    <m:t>LeakyReLU</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T</m:t>
                          </m:r>
                        </m:sup>
                      </m:sSup>
                      <m:r>
                        <w:rPr>
                          <w:rFonts w:ascii="Cambria Math" w:eastAsia="Cambria Math" w:hAnsi="Cambria Math" w:cs="Cambria Math"/>
                        </w:rPr>
                        <m:t>[W</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k</m:t>
                          </m:r>
                        </m:sub>
                        <m:sup>
                          <m:d>
                            <m:dPr>
                              <m:ctrlPr>
                                <w:rPr>
                                  <w:rFonts w:ascii="Cambria Math" w:eastAsia="Cambria Math" w:hAnsi="Cambria Math" w:cs="Cambria Math"/>
                                </w:rPr>
                              </m:ctrlPr>
                            </m:dPr>
                            <m:e>
                              <m:r>
                                <w:rPr>
                                  <w:rFonts w:ascii="Cambria Math" w:eastAsia="Cambria Math" w:hAnsi="Cambria Math" w:cs="Cambria Math"/>
                                </w:rPr>
                                <m:t>l</m:t>
                              </m:r>
                            </m:e>
                          </m:d>
                        </m:sup>
                      </m:sSubSup>
                      <m:r>
                        <w:rPr>
                          <w:rFonts w:ascii="Cambria Math" w:eastAsia="Cambria Math" w:hAnsi="Cambria Math" w:cs="Cambria Math"/>
                        </w:rPr>
                        <m:t>∥W</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d>
                            <m:dPr>
                              <m:ctrlPr>
                                <w:rPr>
                                  <w:rFonts w:ascii="Cambria Math" w:eastAsia="Cambria Math" w:hAnsi="Cambria Math" w:cs="Cambria Math"/>
                                </w:rPr>
                              </m:ctrlPr>
                            </m:dPr>
                            <m:e>
                              <m:r>
                                <w:rPr>
                                  <w:rFonts w:ascii="Cambria Math" w:eastAsia="Cambria Math" w:hAnsi="Cambria Math" w:cs="Cambria Math"/>
                                </w:rPr>
                                <m:t>l</m:t>
                              </m:r>
                            </m:e>
                          </m:d>
                        </m:sup>
                      </m:sSubSup>
                      <m:r>
                        <w:rPr>
                          <w:rFonts w:ascii="Cambria Math" w:eastAsia="Cambria Math" w:hAnsi="Cambria Math" w:cs="Cambria Math"/>
                        </w:rPr>
                        <m:t>]</m:t>
                      </m:r>
                    </m:e>
                  </m:d>
                </m:e>
              </m:d>
            </m:den>
          </m:f>
        </m:oMath>
      </m:oMathPara>
    </w:p>
    <w:p w14:paraId="5C39466B"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(a) as attention vector, </w:t>
      </w:r>
      <m:oMath>
        <m:r>
          <w:rPr>
            <w:rFonts w:ascii="Cambria Math" w:hAnsi="Cambria Math"/>
          </w:rPr>
          <m:t>∥</m:t>
        </m:r>
      </m:oMath>
      <w:r>
        <w:rPr>
          <w:rFonts w:ascii="Times New Roman" w:eastAsia="Times New Roman" w:hAnsi="Times New Roman" w:cs="Times New Roman"/>
        </w:rPr>
        <w:t xml:space="preserve"> as concatenation, and multi-heads for diverse relations (Dahal, 2024). The Relational Graph Convolutional Network (R-GCN) handles heterogeneity as:</w:t>
      </w:r>
    </w:p>
    <w:p w14:paraId="1C4F6C83" w14:textId="77777777" w:rsidR="00273E3A"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u</m:t>
              </m:r>
            </m:sub>
            <m:sup>
              <m:d>
                <m:dPr>
                  <m:ctrlPr>
                    <w:rPr>
                      <w:rFonts w:ascii="Cambria Math" w:eastAsia="Cambria Math" w:hAnsi="Cambria Math" w:cs="Cambria Math"/>
                    </w:rPr>
                  </m:ctrlPr>
                </m:dPr>
                <m:e>
                  <m:r>
                    <w:rPr>
                      <w:rFonts w:ascii="Cambria Math" w:eastAsia="Cambria Math" w:hAnsi="Cambria Math" w:cs="Cambria Math"/>
                    </w:rPr>
                    <m:t>1</m:t>
                  </m:r>
                </m:e>
              </m:d>
            </m:sup>
          </m:sSubSup>
          <m:r>
            <w:rPr>
              <w:rFonts w:ascii="Cambria Math" w:eastAsia="Cambria Math" w:hAnsi="Cambria Math" w:cs="Cambria Math"/>
            </w:rPr>
            <m:t>=σ</m:t>
          </m:r>
          <m:d>
            <m:dPr>
              <m:ctrlPr>
                <w:rPr>
                  <w:rFonts w:ascii="Cambria Math" w:eastAsia="Cambria Math" w:hAnsi="Cambria Math" w:cs="Cambria Math"/>
                </w:rPr>
              </m:ctrlPr>
            </m:dPr>
            <m:e>
              <m:nary>
                <m:naryPr>
                  <m:chr m:val="∑"/>
                  <m:ctrlPr>
                    <w:rPr>
                      <w:rFonts w:ascii="Cambria Math" w:eastAsia="Cambria Math" w:hAnsi="Cambria Math" w:cs="Cambria Math"/>
                    </w:rPr>
                  </m:ctrlPr>
                </m:naryPr>
                <m:sub>
                  <m:r>
                    <w:rPr>
                      <w:rFonts w:ascii="Cambria Math" w:eastAsia="Cambria Math" w:hAnsi="Cambria Math" w:cs="Cambria Math"/>
                    </w:rPr>
                    <m:t>r∈R</m:t>
                  </m:r>
                </m:sub>
                <m:sup/>
                <m:e/>
              </m:nary>
              <m:nary>
                <m:naryPr>
                  <m:chr m:val="∑"/>
                  <m:ctrlPr>
                    <w:rPr>
                      <w:rFonts w:ascii="Cambria Math" w:eastAsia="Cambria Math" w:hAnsi="Cambria Math" w:cs="Cambria Math"/>
                    </w:rPr>
                  </m:ctrlPr>
                </m:naryPr>
                <m:sub>
                  <m:r>
                    <w:rPr>
                      <w:rFonts w:ascii="Cambria Math" w:eastAsia="Cambria Math" w:hAnsi="Cambria Math" w:cs="Cambria Math"/>
                    </w:rPr>
                    <m:t>v∈</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r</m:t>
                      </m:r>
                    </m:sub>
                  </m:sSub>
                  <m:r>
                    <w:rPr>
                      <w:rFonts w:ascii="Cambria Math" w:eastAsia="Cambria Math" w:hAnsi="Cambria Math" w:cs="Cambria Math"/>
                    </w:rPr>
                    <m:t>(u)</m:t>
                  </m:r>
                </m:sub>
                <m:sup/>
                <m:e/>
              </m:nary>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u,r</m:t>
                      </m:r>
                    </m:sub>
                  </m:sSub>
                </m:den>
              </m:f>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r</m:t>
                  </m:r>
                </m:sub>
                <m:sup>
                  <m:d>
                    <m:dPr>
                      <m:ctrlPr>
                        <w:rPr>
                          <w:rFonts w:ascii="Cambria Math" w:eastAsia="Cambria Math" w:hAnsi="Cambria Math" w:cs="Cambria Math"/>
                        </w:rPr>
                      </m:ctrlPr>
                    </m:dPr>
                    <m:e>
                      <m:r>
                        <w:rPr>
                          <w:rFonts w:ascii="Cambria Math" w:eastAsia="Cambria Math" w:hAnsi="Cambria Math" w:cs="Cambria Math"/>
                        </w:rPr>
                        <m:t>l</m:t>
                      </m:r>
                    </m:e>
                  </m:d>
                </m:sup>
              </m:sSubSup>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d>
                    <m:dPr>
                      <m:ctrlPr>
                        <w:rPr>
                          <w:rFonts w:ascii="Cambria Math" w:eastAsia="Cambria Math" w:hAnsi="Cambria Math" w:cs="Cambria Math"/>
                        </w:rPr>
                      </m:ctrlPr>
                    </m:dPr>
                    <m:e>
                      <m:r>
                        <w:rPr>
                          <w:rFonts w:ascii="Cambria Math" w:eastAsia="Cambria Math" w:hAnsi="Cambria Math" w:cs="Cambria Math"/>
                        </w:rPr>
                        <m:t>l</m:t>
                      </m:r>
                    </m:e>
                  </m:d>
                </m:sup>
              </m:sSubSup>
            </m:e>
          </m:d>
        </m:oMath>
      </m:oMathPara>
    </w:p>
    <w:p w14:paraId="2E0297D0"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R</m:t>
        </m:r>
      </m:oMath>
      <w:r>
        <w:rPr>
          <w:rFonts w:ascii="Times New Roman" w:eastAsia="Times New Roman" w:hAnsi="Times New Roman" w:cs="Times New Roman"/>
        </w:rPr>
        <w:t xml:space="preserve"> is the set of edge types,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r</m:t>
            </m:r>
          </m:sub>
        </m:sSub>
        <m:r>
          <w:rPr>
            <w:rFonts w:ascii="Cambria Math" w:eastAsia="Cambria Math" w:hAnsi="Cambria Math" w:cs="Cambria Math"/>
          </w:rPr>
          <m:t>(u)</m:t>
        </m:r>
      </m:oMath>
      <w:r>
        <w:rPr>
          <w:rFonts w:ascii="Times New Roman" w:eastAsia="Times New Roman" w:hAnsi="Times New Roman" w:cs="Times New Roman"/>
        </w:rPr>
        <w:t xml:space="preserve"> the relation-specific neighbors,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r</m:t>
            </m:r>
          </m:sub>
          <m:sup>
            <m:d>
              <m:dPr>
                <m:ctrlPr>
                  <w:rPr>
                    <w:rFonts w:ascii="Cambria Math" w:eastAsia="Cambria Math" w:hAnsi="Cambria Math" w:cs="Cambria Math"/>
                  </w:rPr>
                </m:ctrlPr>
              </m:dPr>
              <m:e>
                <m:r>
                  <w:rPr>
                    <w:rFonts w:ascii="Cambria Math" w:eastAsia="Cambria Math" w:hAnsi="Cambria Math" w:cs="Cambria Math"/>
                  </w:rPr>
                  <m:t>l</m:t>
                </m:r>
              </m:e>
            </m:d>
          </m:sup>
        </m:sSubSup>
      </m:oMath>
      <w:r>
        <w:rPr>
          <w:rFonts w:ascii="Times New Roman" w:eastAsia="Times New Roman" w:hAnsi="Times New Roman" w:cs="Times New Roman"/>
        </w:rPr>
        <w:t xml:space="preserve"> the relation-specific weight matrix, and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u,r</m:t>
            </m:r>
          </m:sub>
        </m:sSub>
      </m:oMath>
      <w:r>
        <w:rPr>
          <w:rFonts w:ascii="Times New Roman" w:eastAsia="Times New Roman" w:hAnsi="Times New Roman" w:cs="Times New Roman"/>
        </w:rPr>
        <w:t xml:space="preserve"> the normalization constant (Scribd, 2025). Configurations stack three to five layers with hidden dimensions progressing from 256 to 64 units, ReLU intermediates, softmax output as:</w:t>
      </w:r>
    </w:p>
    <w:p w14:paraId="3486BF36" w14:textId="77777777" w:rsidR="00273E3A" w:rsidRDefault="00000000">
      <w:pPr>
        <w:jc w:val="center"/>
        <w:rPr>
          <w:rFonts w:ascii="Cambria Math" w:eastAsia="Cambria Math" w:hAnsi="Cambria Math" w:cs="Cambria Math"/>
        </w:rPr>
      </w:pPr>
      <m:oMathPara>
        <m:oMath>
          <m:r>
            <w:rPr>
              <w:rFonts w:ascii="Times New Roman" w:eastAsia="Times New Roman" w:hAnsi="Times New Roman" w:cs="Times New Roman"/>
            </w:rPr>
            <m:t>softmax</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exp⁡(</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r>
                <w:rPr>
                  <w:rFonts w:ascii="Cambria Math" w:eastAsia="Cambria Math" w:hAnsi="Cambria Math" w:cs="Cambria Math"/>
                </w:rPr>
                <m:t>)</m:t>
              </m:r>
            </m:num>
            <m:den>
              <m:nary>
                <m:naryPr>
                  <m:chr m:val="∑"/>
                  <m:ctrlPr>
                    <w:rPr>
                      <w:rFonts w:ascii="Cambria Math" w:eastAsia="Cambria Math" w:hAnsi="Cambria Math" w:cs="Cambria Math"/>
                    </w:rPr>
                  </m:ctrlPr>
                </m:naryPr>
                <m:sub>
                  <m:r>
                    <w:rPr>
                      <w:rFonts w:ascii="Cambria Math" w:eastAsia="Cambria Math" w:hAnsi="Cambria Math" w:cs="Cambria Math"/>
                    </w:rPr>
                    <m:t>j</m:t>
                  </m:r>
                </m:sub>
                <m:sup/>
                <m:e/>
              </m:nary>
              <m:r>
                <w:rPr>
                  <w:rFonts w:ascii="Cambria Math" w:eastAsia="Cambria Math" w:hAnsi="Cambria Math" w:cs="Cambria Math"/>
                </w:rPr>
                <m:t>exp⁡(</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r>
                <w:rPr>
                  <w:rFonts w:ascii="Cambria Math" w:eastAsia="Cambria Math" w:hAnsi="Cambria Math" w:cs="Cambria Math"/>
                </w:rPr>
                <m:t>)</m:t>
              </m:r>
            </m:den>
          </m:f>
        </m:oMath>
      </m:oMathPara>
    </w:p>
    <w:p w14:paraId="30623A62"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for probabilities, dropout at 0.3 to 0.5 for regularization, and batch normalization as:</w:t>
      </w:r>
    </w:p>
    <w:p w14:paraId="43668B2E" w14:textId="77777777" w:rsidR="00273E3A"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Times New Roman" w:eastAsia="Times New Roman" w:hAnsi="Times New Roman" w:cs="Times New Roman"/>
                    </w:rPr>
                  </m:ctrlPr>
                </m:sSubPr>
                <m:e>
                  <m:r>
                    <w:rPr>
                      <w:rFonts w:ascii="Cambria Math" w:eastAsia="Cambria Math" w:hAnsi="Cambria Math" w:cs="Cambria Math"/>
                    </w:rPr>
                    <m:t>μ</m:t>
                  </m:r>
                </m:e>
                <m:sub>
                  <m:r>
                    <w:rPr>
                      <w:rFonts w:ascii="Times New Roman" w:eastAsia="Times New Roman" w:hAnsi="Times New Roman" w:cs="Times New Roman"/>
                    </w:rPr>
                    <m:t>batch</m:t>
                  </m:r>
                </m:sub>
              </m:sSub>
            </m:num>
            <m:den>
              <m:rad>
                <m:radPr>
                  <m:degHide m:val="1"/>
                  <m:ctrlPr>
                    <w:rPr>
                      <w:rFonts w:ascii="Cambria Math" w:eastAsia="Cambria Math" w:hAnsi="Cambria Math" w:cs="Cambria Math"/>
                    </w:rPr>
                  </m:ctrlPr>
                </m:radPr>
                <m:deg/>
                <m:e>
                  <m:sSubSup>
                    <m:sSubSupPr>
                      <m:ctrlPr>
                        <w:rPr>
                          <w:rFonts w:ascii="Cambria Math" w:eastAsia="Cambria Math" w:hAnsi="Cambria Math" w:cs="Cambria Math"/>
                        </w:rPr>
                      </m:ctrlPr>
                    </m:sSubSupPr>
                    <m:e>
                      <m:r>
                        <w:rPr>
                          <w:rFonts w:ascii="Times New Roman" w:eastAsia="Times New Roman" w:hAnsi="Times New Roman" w:cs="Times New Roman"/>
                        </w:rPr>
                        <m:t>σ</m:t>
                      </m:r>
                    </m:e>
                    <m:sub>
                      <m:r>
                        <w:rPr>
                          <w:rFonts w:ascii="Times New Roman" w:eastAsia="Times New Roman" w:hAnsi="Times New Roman" w:cs="Times New Roman"/>
                        </w:rPr>
                        <m:t>batch</m:t>
                      </m:r>
                    </m:sub>
                    <m:sup>
                      <m:r>
                        <w:rPr>
                          <w:rFonts w:ascii="Cambria Math" w:eastAsia="Cambria Math" w:hAnsi="Cambria Math" w:cs="Cambria Math"/>
                        </w:rPr>
                        <m:t>2</m:t>
                      </m:r>
                    </m:sup>
                  </m:sSubSup>
                  <m:r>
                    <w:rPr>
                      <w:rFonts w:ascii="Cambria Math" w:eastAsia="Cambria Math" w:hAnsi="Cambria Math" w:cs="Cambria Math"/>
                    </w:rPr>
                    <m:t>+ϵ</m:t>
                  </m:r>
                </m:e>
              </m:rad>
            </m:den>
          </m:f>
        </m:oMath>
      </m:oMathPara>
    </w:p>
    <w:p w14:paraId="4FF64BC9"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for stability.</w:t>
      </w:r>
    </w:p>
    <w:p w14:paraId="36C6435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Model Training</w:t>
      </w:r>
    </w:p>
    <w:p w14:paraId="6F1190C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Training optimizes with focal loss</w:t>
      </w:r>
    </w:p>
    <w:p w14:paraId="0FED1DE2" w14:textId="77777777" w:rsidR="00273E3A" w:rsidRDefault="00000000">
      <w:pPr>
        <w:jc w:val="center"/>
        <w:rPr>
          <w:rFonts w:ascii="Cambria Math" w:eastAsia="Cambria Math" w:hAnsi="Cambria Math" w:cs="Cambria Math"/>
        </w:rPr>
      </w:pPr>
      <m:oMathPara>
        <m:oMath>
          <m:r>
            <w:rPr>
              <w:rFonts w:ascii="Times New Roman" w:eastAsia="Times New Roman" w:hAnsi="Times New Roman" w:cs="Times New Roman"/>
            </w:rPr>
            <m:t>FL</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r>
            <w:rPr>
              <w:rFonts w:ascii="Cambria Math" w:eastAsia="Cambria Math" w:hAnsi="Cambria Math" w:cs="Cambria Math"/>
            </w:rPr>
            <m:t>)=-α(1-</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γ</m:t>
              </m:r>
            </m:sup>
          </m:sSup>
          <m:r>
            <w:rPr>
              <w:rFonts w:ascii="Cambria Math" w:eastAsia="Cambria Math" w:hAnsi="Cambria Math" w:cs="Cambria Math"/>
            </w:rPr>
            <m:t>log⁡(</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r>
            <w:rPr>
              <w:rFonts w:ascii="Cambria Math" w:eastAsia="Cambria Math" w:hAnsi="Cambria Math" w:cs="Cambria Math"/>
            </w:rPr>
            <m:t>)</m:t>
          </m:r>
        </m:oMath>
      </m:oMathPara>
    </w:p>
    <w:p w14:paraId="16A0221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oMath>
      <w:r>
        <w:rPr>
          <w:rFonts w:ascii="Times New Roman" w:eastAsia="Times New Roman" w:hAnsi="Times New Roman" w:cs="Times New Roman"/>
        </w:rPr>
        <w:t xml:space="preserve"> is the probability of the correct class, </w:t>
      </w:r>
      <m:oMath>
        <m:r>
          <w:rPr>
            <w:rFonts w:ascii="Cambria Math" w:hAnsi="Cambria Math"/>
          </w:rPr>
          <m:t>α</m:t>
        </m:r>
      </m:oMath>
      <w:r>
        <w:rPr>
          <w:rFonts w:ascii="Times New Roman" w:eastAsia="Times New Roman" w:hAnsi="Times New Roman" w:cs="Times New Roman"/>
        </w:rPr>
        <w:t xml:space="preserve"> (set to 0.25) balances class weights, and </w:t>
      </w:r>
      <m:oMath>
        <m:r>
          <w:rPr>
            <w:rFonts w:ascii="Cambria Math" w:hAnsi="Cambria Math"/>
          </w:rPr>
          <m:t>γ</m:t>
        </m:r>
      </m:oMath>
      <w:r>
        <w:rPr>
          <w:rFonts w:ascii="Times New Roman" w:eastAsia="Times New Roman" w:hAnsi="Times New Roman" w:cs="Times New Roman"/>
        </w:rPr>
        <w:t xml:space="preserve"> (set to 2) focuses on hard examples, addressing class imbalance (Stojanović et al., 2021). The Adam optimizer updates parameters as</w:t>
      </w:r>
    </w:p>
    <w:p w14:paraId="1847E482" w14:textId="77777777" w:rsidR="00273E3A"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θ</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θ</m:t>
              </m:r>
            </m:e>
            <m:sub>
              <m:r>
                <w:rPr>
                  <w:rFonts w:ascii="Cambria Math" w:eastAsia="Cambria Math" w:hAnsi="Cambria Math" w:cs="Cambria Math"/>
                </w:rPr>
                <m:t>t</m:t>
              </m:r>
            </m:sub>
          </m:sSub>
          <m:r>
            <w:rPr>
              <w:rFonts w:ascii="Cambria Math" w:eastAsia="Cambria Math" w:hAnsi="Cambria Math" w:cs="Cambria Math"/>
            </w:rPr>
            <m:t>-η</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t</m:t>
                  </m:r>
                </m:sub>
              </m:sSub>
            </m:num>
            <m:den>
              <m:rad>
                <m:radPr>
                  <m:degHide m:val="1"/>
                  <m:ctrlPr>
                    <w:rPr>
                      <w:rFonts w:ascii="Cambria Math" w:eastAsia="Cambria Math" w:hAnsi="Cambria Math" w:cs="Cambria Math"/>
                    </w:rPr>
                  </m:ctrlPr>
                </m:radPr>
                <m:deg/>
                <m:e>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m:t>
                      </m:r>
                    </m:sub>
                  </m:sSub>
                </m:e>
              </m:rad>
              <m:r>
                <w:rPr>
                  <w:rFonts w:ascii="Cambria Math" w:eastAsia="Cambria Math" w:hAnsi="Cambria Math" w:cs="Cambria Math"/>
                </w:rPr>
                <m:t>+ϵ</m:t>
              </m:r>
            </m:den>
          </m:f>
        </m:oMath>
      </m:oMathPara>
    </w:p>
    <w:p w14:paraId="19160C25"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t</m:t>
            </m:r>
          </m:sub>
        </m:sSub>
      </m:oMath>
      <w:r>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m:t>
            </m:r>
          </m:sub>
        </m:sSub>
      </m:oMath>
      <w:r>
        <w:rPr>
          <w:rFonts w:ascii="Times New Roman" w:eastAsia="Times New Roman" w:hAnsi="Times New Roman" w:cs="Times New Roman"/>
        </w:rPr>
        <w:t xml:space="preserve"> as the first and second moment estimates, </w:t>
      </w:r>
      <m:oMath>
        <m:r>
          <w:rPr>
            <w:rFonts w:ascii="Cambria Math" w:hAnsi="Cambria Math"/>
          </w:rPr>
          <m:t>η</m:t>
        </m:r>
      </m:oMath>
      <w:r>
        <w:rPr>
          <w:rFonts w:ascii="Times New Roman" w:eastAsia="Times New Roman" w:hAnsi="Times New Roman" w:cs="Times New Roman"/>
        </w:rPr>
        <w:t xml:space="preserve"> the learning rate (0.001), and </w:t>
      </w:r>
      <m:oMath>
        <m:r>
          <w:rPr>
            <w:rFonts w:ascii="Cambria Math" w:hAnsi="Cambria Math"/>
          </w:rPr>
          <m:t>ϵ</m:t>
        </m:r>
      </m:oMath>
      <w:r>
        <w:rPr>
          <w:rFonts w:ascii="Times New Roman" w:eastAsia="Times New Roman" w:hAnsi="Times New Roman" w:cs="Times New Roman"/>
        </w:rPr>
        <w:t xml:space="preserve"> a small constant for numerical stability.</w:t>
      </w:r>
    </w:p>
    <w:p w14:paraId="7DDCB4C4"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Procedures include early stopping on validation Area Under the Curve-Receiver Operating Characteristic (AUC-ROC), Synthetic Minority Over-sampling Technique (SMOTE) oversampling as: </w:t>
      </w:r>
    </w:p>
    <w:p w14:paraId="170FAE6E" w14:textId="77777777" w:rsidR="00273E3A"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x</m:t>
              </m:r>
            </m:e>
            <m:sub>
              <m:r>
                <w:rPr>
                  <w:rFonts w:ascii="Times New Roman" w:eastAsia="Times New Roman" w:hAnsi="Times New Roman" w:cs="Times New Roman"/>
                </w:rPr>
                <m:t>synthetic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+λ(</m:t>
          </m:r>
          <m:sSub>
            <m:sSubPr>
              <m:ctrlPr>
                <w:rPr>
                  <w:rFonts w:ascii="Times New Roman" w:eastAsia="Times New Roman" w:hAnsi="Times New Roman" w:cs="Times New Roman"/>
                </w:rPr>
              </m:ctrlPr>
            </m:sSubPr>
            <m:e>
              <m:r>
                <w:rPr>
                  <w:rFonts w:ascii="Cambria Math" w:eastAsia="Cambria Math" w:hAnsi="Cambria Math" w:cs="Cambria Math"/>
                </w:rPr>
                <m:t>x</m:t>
              </m:r>
            </m:e>
            <m:sub>
              <m:r>
                <w:rPr>
                  <w:rFonts w:ascii="Times New Roman" w:eastAsia="Times New Roman" w:hAnsi="Times New Roman" w:cs="Times New Roman"/>
                </w:rPr>
                <m:t>neighbor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oMath>
      </m:oMathPara>
    </w:p>
    <w:p w14:paraId="4FA362BD"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λ∼</m:t>
        </m:r>
        <m:r>
          <w:rPr>
            <w:rFonts w:ascii="Times New Roman" w:eastAsia="Times New Roman" w:hAnsi="Times New Roman" w:cs="Times New Roman"/>
          </w:rPr>
          <m:t>Uniform</m:t>
        </m:r>
        <m:r>
          <w:rPr>
            <w:rFonts w:ascii="Cambria Math" w:eastAsia="Cambria Math" w:hAnsi="Cambria Math" w:cs="Cambria Math"/>
          </w:rPr>
          <m:t>(0,1)</m:t>
        </m:r>
      </m:oMath>
      <w:r>
        <w:rPr>
          <w:rFonts w:ascii="Times New Roman" w:eastAsia="Times New Roman" w:hAnsi="Times New Roman" w:cs="Times New Roman"/>
        </w:rPr>
        <w:t>, cost-weighted loss, and stratified sampling (Brownlee, 2020).</w:t>
      </w:r>
    </w:p>
    <w:p w14:paraId="4A0FD004" w14:textId="77777777" w:rsidR="00273E3A" w:rsidRDefault="00273E3A">
      <w:pPr>
        <w:spacing w:line="360" w:lineRule="auto"/>
        <w:jc w:val="both"/>
        <w:rPr>
          <w:rFonts w:ascii="Times New Roman" w:eastAsia="Times New Roman" w:hAnsi="Times New Roman" w:cs="Times New Roman"/>
        </w:rPr>
      </w:pPr>
    </w:p>
    <w:p w14:paraId="5BABFDBF" w14:textId="77777777" w:rsidR="00273E3A" w:rsidRDefault="00273E3A">
      <w:pPr>
        <w:spacing w:line="360" w:lineRule="auto"/>
        <w:jc w:val="both"/>
        <w:rPr>
          <w:rFonts w:ascii="Times New Roman" w:eastAsia="Times New Roman" w:hAnsi="Times New Roman" w:cs="Times New Roman"/>
        </w:rPr>
      </w:pPr>
    </w:p>
    <w:p w14:paraId="70326F7C"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Explainable Artificial Intelligence (XAI) Integration</w:t>
      </w:r>
    </w:p>
    <w:p w14:paraId="59EBE5D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XAI integration employs SHapley Additive exPlanations (SHAP) for attributions, computing the exact SHAP value as</w:t>
      </w:r>
    </w:p>
    <w:p w14:paraId="49DDB523" w14:textId="77777777" w:rsidR="00273E3A"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ϕ</m:t>
              </m:r>
            </m:e>
            <m:sub>
              <m:r>
                <w:rPr>
                  <w:rFonts w:ascii="Cambria Math" w:eastAsia="Cambria Math" w:hAnsi="Cambria Math" w:cs="Cambria Math"/>
                </w:rPr>
                <m:t>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S⊆F∖{i}</m:t>
              </m:r>
            </m:sub>
            <m:sup/>
            <m:e/>
          </m:nary>
          <m:f>
            <m:fPr>
              <m:ctrlPr>
                <w:rPr>
                  <w:rFonts w:ascii="Cambria Math" w:eastAsia="Cambria Math" w:hAnsi="Cambria Math" w:cs="Cambria Math"/>
                </w:rPr>
              </m:ctrlPr>
            </m:fPr>
            <m:num>
              <m:r>
                <w:rPr>
                  <w:rFonts w:ascii="Cambria Math" w:eastAsia="Cambria Math" w:hAnsi="Cambria Math" w:cs="Cambria Math"/>
                </w:rPr>
                <m:t>∣S∣!(∣F∣-∣S∣-1)!</m:t>
              </m:r>
            </m:num>
            <m:den>
              <m:r>
                <w:rPr>
                  <w:rFonts w:ascii="Cambria Math" w:eastAsia="Cambria Math" w:hAnsi="Cambria Math" w:cs="Cambria Math"/>
                </w:rPr>
                <m:t>∣F∣!</m:t>
              </m:r>
            </m:den>
          </m:f>
          <m:d>
            <m:dPr>
              <m:begChr m:val="["/>
              <m:endChr m:val="]"/>
              <m:ctrlPr>
                <w:rPr>
                  <w:rFonts w:ascii="Cambria Math" w:eastAsia="Cambria Math" w:hAnsi="Cambria Math" w:cs="Cambria Math"/>
                </w:rPr>
              </m:ctrlPr>
            </m:dPr>
            <m:e>
              <m:r>
                <w:rPr>
                  <w:rFonts w:ascii="Cambria Math" w:eastAsia="Cambria Math" w:hAnsi="Cambria Math" w:cs="Cambria Math"/>
                </w:rPr>
                <m:t>f(S∪{i})-f(S)</m:t>
              </m:r>
            </m:e>
          </m:d>
        </m:oMath>
      </m:oMathPara>
    </w:p>
    <w:p w14:paraId="597ACA7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hAnsi="Cambria Math"/>
              </w:rPr>
              <m:t>ϕ</m:t>
            </m:r>
          </m:e>
          <m:sub>
            <m:r>
              <w:rPr>
                <w:rFonts w:ascii="Cambria Math" w:eastAsia="Cambria Math" w:hAnsi="Cambria Math" w:cs="Cambria Math"/>
              </w:rPr>
              <m:t>i</m:t>
            </m:r>
          </m:sub>
        </m:sSub>
      </m:oMath>
      <w:r>
        <w:rPr>
          <w:rFonts w:ascii="Times New Roman" w:eastAsia="Times New Roman" w:hAnsi="Times New Roman" w:cs="Times New Roman"/>
        </w:rPr>
        <w:t xml:space="preserve"> is the SHAP value for feature (i), </w:t>
      </w:r>
      <m:oMath>
        <m:r>
          <w:rPr>
            <w:rFonts w:ascii="Cambria Math" w:eastAsia="Cambria Math" w:hAnsi="Cambria Math" w:cs="Cambria Math"/>
          </w:rPr>
          <m:t>F</m:t>
        </m:r>
      </m:oMath>
      <w:r>
        <w:rPr>
          <w:rFonts w:ascii="Times New Roman" w:eastAsia="Times New Roman" w:hAnsi="Times New Roman" w:cs="Times New Roman"/>
        </w:rPr>
        <w:t xml:space="preserve"> the set of all features, (S) a subset of features excluding (i), and (f) the model prediction function; approximations use KernelSHAP (Molnar, 2025). Local Interpretable Model-agnostic Explanations (LIME) perturbs instances and fits surrogates. GAT attention visualizes </w:t>
      </w:r>
      <m:oMath>
        <m:sSubSup>
          <m:sSubSupPr>
            <m:ctrlPr>
              <w:rPr>
                <w:rFonts w:ascii="Cambria Math" w:eastAsia="Cambria Math" w:hAnsi="Cambria Math" w:cs="Cambria Math"/>
              </w:rPr>
            </m:ctrlPr>
          </m:sSubSupPr>
          <m:e>
            <m:r>
              <w:rPr>
                <w:rFonts w:ascii="Cambria Math" w:hAnsi="Cambria Math"/>
              </w:rPr>
              <m:t>α</m:t>
            </m:r>
          </m:e>
          <m:sub>
            <m:r>
              <w:rPr>
                <w:rFonts w:ascii="Cambria Math" w:eastAsia="Cambria Math" w:hAnsi="Cambria Math" w:cs="Cambria Math"/>
              </w:rPr>
              <m:t>uv</m:t>
            </m:r>
          </m:sub>
          <m:sup>
            <m:r>
              <w:rPr>
                <w:rFonts w:ascii="Cambria Math" w:eastAsia="Cambria Math" w:hAnsi="Cambria Math" w:cs="Cambria Math"/>
              </w:rPr>
              <m:t>h</m:t>
            </m:r>
          </m:sup>
        </m:sSubSup>
      </m:oMath>
      <w:r>
        <w:rPr>
          <w:rFonts w:ascii="Times New Roman" w:eastAsia="Times New Roman" w:hAnsi="Times New Roman" w:cs="Times New Roman"/>
        </w:rPr>
        <w:t xml:space="preserve"> for each head (h), tracing influential edges in fraud rationales (Dahal, 2024).</w:t>
      </w:r>
    </w:p>
    <w:p w14:paraId="56B72840"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Performance Evaluation and Validation</w:t>
      </w:r>
    </w:p>
    <w:p w14:paraId="4B900F58"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Performance metrics derive from the confusion matrix: true positives (TP), false positives (FP), false negatives (FN), and true negatives (TN).Precision, recall, specificity, and F1-score are defined accordingly, with AUC-ROC and AUC-PR for imbalanced evaluation. Operational cost is computed as:</w:t>
      </w:r>
    </w:p>
    <w:p w14:paraId="70A9729D" w14:textId="77777777" w:rsidR="00273E3A" w:rsidRDefault="00000000">
      <w:pPr>
        <w:jc w:val="center"/>
        <w:rPr>
          <w:rFonts w:ascii="Times New Roman" w:eastAsia="Times New Roman" w:hAnsi="Times New Roman" w:cs="Times New Roman"/>
        </w:rPr>
      </w:pPr>
      <m:oMathPara>
        <m:oMath>
          <m:r>
            <w:rPr>
              <w:rFonts w:ascii="Times New Roman" w:eastAsia="Times New Roman" w:hAnsi="Times New Roman" w:cs="Times New Roman"/>
            </w:rPr>
            <m:t>Cost</m:t>
          </m:r>
          <m:r>
            <w:rPr>
              <w:rFonts w:ascii="Cambria Math" w:eastAsia="Cambria Math" w:hAnsi="Cambria Math" w:cs="Cambria Math"/>
            </w:rPr>
            <m:t>=</m:t>
          </m:r>
          <m:sSub>
            <m:sSubPr>
              <m:ctrlPr>
                <w:rPr>
                  <w:rFonts w:ascii="Times New Roman" w:eastAsia="Times New Roman" w:hAnsi="Times New Roman" w:cs="Times New Roman"/>
                </w:rPr>
              </m:ctrlPr>
            </m:sSubPr>
            <m:e>
              <m:r>
                <w:rPr>
                  <w:rFonts w:ascii="Cambria Math" w:eastAsia="Cambria Math" w:hAnsi="Cambria Math" w:cs="Cambria Math"/>
                </w:rPr>
                <m:t>c</m:t>
              </m:r>
            </m:e>
            <m:sub>
              <m:r>
                <w:rPr>
                  <w:rFonts w:ascii="Times New Roman" w:eastAsia="Times New Roman" w:hAnsi="Times New Roman" w:cs="Times New Roman"/>
                </w:rPr>
                <m:t>FP</m:t>
              </m:r>
            </m:sub>
          </m:sSub>
          <m:r>
            <w:rPr>
              <w:rFonts w:ascii="Times New Roman" w:eastAsia="Times New Roman" w:hAnsi="Times New Roman" w:cs="Times New Roman"/>
            </w:rPr>
            <m:t>⋅FP</m:t>
          </m:r>
          <m:r>
            <w:rPr>
              <w:rFonts w:ascii="Cambria Math" w:eastAsia="Cambria Math" w:hAnsi="Cambria Math" w:cs="Cambria Math"/>
            </w:rPr>
            <m:t>+</m:t>
          </m:r>
          <m:sSub>
            <m:sSubPr>
              <m:ctrlPr>
                <w:rPr>
                  <w:rFonts w:ascii="Times New Roman" w:eastAsia="Times New Roman" w:hAnsi="Times New Roman" w:cs="Times New Roman"/>
                </w:rPr>
              </m:ctrlPr>
            </m:sSubPr>
            <m:e>
              <m:r>
                <w:rPr>
                  <w:rFonts w:ascii="Cambria Math" w:eastAsia="Cambria Math" w:hAnsi="Cambria Math" w:cs="Cambria Math"/>
                </w:rPr>
                <m:t>c</m:t>
              </m:r>
            </m:e>
            <m:sub>
              <m:r>
                <w:rPr>
                  <w:rFonts w:ascii="Times New Roman" w:eastAsia="Times New Roman" w:hAnsi="Times New Roman" w:cs="Times New Roman"/>
                </w:rPr>
                <m:t>FN</m:t>
              </m:r>
            </m:sub>
          </m:sSub>
          <m:r>
            <w:rPr>
              <w:rFonts w:ascii="Times New Roman" w:eastAsia="Times New Roman" w:hAnsi="Times New Roman" w:cs="Times New Roman"/>
            </w:rPr>
            <m:t>⋅FN</m:t>
          </m:r>
        </m:oMath>
      </m:oMathPara>
    </w:p>
    <w:p w14:paraId="2F9EF476"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Times New Roman" w:eastAsia="Times New Roman" w:hAnsi="Times New Roman" w:cs="Times New Roman"/>
              </w:rPr>
            </m:ctrlPr>
          </m:sSubPr>
          <m:e>
            <m:r>
              <w:rPr>
                <w:rFonts w:ascii="Cambria Math" w:eastAsia="Cambria Math" w:hAnsi="Cambria Math" w:cs="Cambria Math"/>
              </w:rPr>
              <m:t>c</m:t>
            </m:r>
          </m:e>
          <m:sub>
            <m:r>
              <w:rPr>
                <w:rFonts w:ascii="Times New Roman" w:eastAsia="Times New Roman" w:hAnsi="Times New Roman" w:cs="Times New Roman"/>
              </w:rPr>
              <m:t>FN</m:t>
            </m:r>
          </m:sub>
        </m:sSub>
        <m:r>
          <w:rPr>
            <w:rFonts w:ascii="Times New Roman" w:eastAsia="Times New Roman" w:hAnsi="Times New Roman" w:cs="Times New Roman"/>
          </w:rPr>
          <m:t>≫</m:t>
        </m:r>
        <m:sSub>
          <m:sSubPr>
            <m:ctrlPr>
              <w:rPr>
                <w:rFonts w:ascii="Times New Roman" w:eastAsia="Times New Roman" w:hAnsi="Times New Roman" w:cs="Times New Roman"/>
              </w:rPr>
            </m:ctrlPr>
          </m:sSubPr>
          <m:e>
            <m:r>
              <w:rPr>
                <w:rFonts w:ascii="Cambria Math" w:eastAsia="Cambria Math" w:hAnsi="Cambria Math" w:cs="Cambria Math"/>
              </w:rPr>
              <m:t>c</m:t>
            </m:r>
          </m:e>
          <m:sub>
            <m:r>
              <w:rPr>
                <w:rFonts w:ascii="Times New Roman" w:eastAsia="Times New Roman" w:hAnsi="Times New Roman" w:cs="Times New Roman"/>
              </w:rPr>
              <m:t>FP</m:t>
            </m:r>
          </m:sub>
        </m:sSub>
      </m:oMath>
      <w:r>
        <w:rPr>
          <w:rFonts w:ascii="Times New Roman" w:eastAsia="Times New Roman" w:hAnsi="Times New Roman" w:cs="Times New Roman"/>
        </w:rPr>
        <w:t>. Validation uses stratified k-fold cross-validation, temporal splits, paired t-tests:</w:t>
      </w:r>
    </w:p>
    <w:p w14:paraId="00151D6D" w14:textId="77777777" w:rsidR="00273E3A" w:rsidRDefault="00000000">
      <w:pPr>
        <w:jc w:val="center"/>
        <w:rPr>
          <w:rFonts w:ascii="Cambria Math" w:eastAsia="Cambria Math" w:hAnsi="Cambria Math" w:cs="Cambria Math"/>
        </w:rPr>
      </w:pPr>
      <m:oMathPara>
        <m:oMath>
          <m:r>
            <w:rPr>
              <w:rFonts w:ascii="Cambria Math" w:eastAsia="Cambria Math" w:hAnsi="Cambria Math" w:cs="Cambria Math"/>
            </w:rPr>
            <m:t>t=</m:t>
          </m:r>
          <m:f>
            <m:fPr>
              <m:ctrlPr>
                <w:rPr>
                  <w:rFonts w:ascii="Cambria Math" w:eastAsia="Cambria Math" w:hAnsi="Cambria Math" w:cs="Cambria Math"/>
                </w:rPr>
              </m:ctrlPr>
            </m:fPr>
            <m:num>
              <m:r>
                <w:rPr>
                  <w:rFonts w:ascii="Cambria Math" w:eastAsia="Cambria Math" w:hAnsi="Cambria Math" w:cs="Cambria Math"/>
                </w:rPr>
                <m:t>d</m:t>
              </m:r>
              <m:r>
                <w:rPr>
                  <w:rFonts w:ascii="Cambria Math" w:hAnsi="Cambria Math"/>
                </w:rPr>
                <m:t>ˉ</m:t>
              </m:r>
            </m:num>
            <m:den>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d</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n</m:t>
                  </m:r>
                </m:e>
              </m:rad>
            </m:den>
          </m:f>
        </m:oMath>
      </m:oMathPara>
    </w:p>
    <w:p w14:paraId="451687CF"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statistical significance (p &lt; 0.05), and Friedman test with Nemenyi post-hoc (Szeghalmy &amp; Fazekas, 2023). Hyperparameter tuning uses Bayesian optimization, with L2 regularization added to the loss as </w:t>
      </w:r>
      <m:oMath>
        <m:r>
          <w:rPr>
            <w:rFonts w:ascii="Cambria Math" w:eastAsia="Cambria Math" w:hAnsi="Cambria Math" w:cs="Cambria Math"/>
          </w:rPr>
          <m:t>λ∑</m:t>
        </m:r>
        <m:sSup>
          <m:sSupPr>
            <m:ctrlPr>
              <w:rPr>
                <w:rFonts w:ascii="Cambria Math" w:eastAsia="Cambria Math" w:hAnsi="Cambria Math" w:cs="Cambria Math"/>
              </w:rPr>
            </m:ctrlPr>
          </m:sSupPr>
          <m:e>
            <m:r>
              <w:rPr>
                <w:rFonts w:ascii="Cambria Math" w:eastAsia="Cambria Math" w:hAnsi="Cambria Math" w:cs="Cambria Math"/>
              </w:rPr>
              <m:t>w</m:t>
            </m:r>
          </m:e>
          <m:sup>
            <m:r>
              <w:rPr>
                <w:rFonts w:ascii="Cambria Math" w:eastAsia="Cambria Math" w:hAnsi="Cambria Math" w:cs="Cambria Math"/>
              </w:rPr>
              <m:t>2</m:t>
            </m:r>
          </m:sup>
        </m:sSup>
      </m:oMath>
      <w:r>
        <w:rPr>
          <w:rFonts w:ascii="Times New Roman" w:eastAsia="Times New Roman" w:hAnsi="Times New Roman" w:cs="Times New Roman"/>
        </w:rPr>
        <w:t xml:space="preserve"> where </w:t>
      </w:r>
      <m:oMath>
        <m:r>
          <w:rPr>
            <w:rFonts w:ascii="Cambria Math" w:eastAsia="Cambria Math" w:hAnsi="Cambria Math" w:cs="Cambria Math"/>
          </w:rPr>
          <m:t>λ=0.0001</m:t>
        </m:r>
      </m:oMath>
      <w:r>
        <w:rPr>
          <w:rFonts w:ascii="Times New Roman" w:eastAsia="Times New Roman" w:hAnsi="Times New Roman" w:cs="Times New Roman"/>
        </w:rPr>
        <w:t>.</w:t>
      </w:r>
    </w:p>
    <w:p w14:paraId="0C64E64C"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Privacy-Preserving Mechanisms</w:t>
      </w:r>
    </w:p>
    <w:p w14:paraId="15E3A769"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Privacy mechanisms include Federated Learning with Federated Averaging:</w:t>
      </w:r>
    </w:p>
    <w:p w14:paraId="599A2AA7" w14:textId="77777777" w:rsidR="00273E3A"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w</m:t>
              </m:r>
            </m:e>
            <m:sub>
              <m:r>
                <w:rPr>
                  <w:rFonts w:ascii="Times New Roman" w:eastAsia="Times New Roman" w:hAnsi="Times New Roman" w:cs="Times New Roman"/>
                </w:rPr>
                <m:t>global</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oMath>
      </m:oMathPara>
    </w:p>
    <w:p w14:paraId="0A633BC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(N) is the number of institutions, and models are trained locally before aggregation (McMahan et al., 2016). Differential privacy adds noise after gradient clipping as </w:t>
      </w:r>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g</m:t>
                </m:r>
              </m:e>
            </m:acc>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t>
            </m:r>
          </m:sub>
        </m:sSub>
        <m:r>
          <w:rPr>
            <w:rFonts w:ascii="Cambria Math" w:eastAsia="Cambria Math" w:hAnsi="Cambria Math" w:cs="Cambria Math"/>
          </w:rPr>
          <m:t>/max⁡(1,∥</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t>
            </m:r>
          </m:sub>
        </m:sSub>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2</m:t>
            </m:r>
          </m:sub>
        </m:sSub>
        <m:r>
          <w:rPr>
            <w:rFonts w:ascii="Cambria Math" w:eastAsia="Cambria Math" w:hAnsi="Cambria Math" w:cs="Cambria Math"/>
          </w:rPr>
          <m:t>/C)+N(0,</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r>
          <w:rPr>
            <w:rFonts w:ascii="Cambria Math" w:eastAsia="Cambria Math" w:hAnsi="Cambria Math" w:cs="Cambria Math"/>
          </w:rPr>
          <m:t>)</m:t>
        </m:r>
      </m:oMath>
      <w:r>
        <w:rPr>
          <w:rFonts w:ascii="Times New Roman" w:eastAsia="Times New Roman" w:hAnsi="Times New Roman" w:cs="Times New Roman"/>
        </w:rPr>
        <w:t xml:space="preserve">, controlled by privacy budget </w:t>
      </w:r>
      <m:oMath>
        <m:d>
          <m:dPr>
            <m:ctrlPr>
              <w:rPr>
                <w:rFonts w:ascii="Cambria Math" w:hAnsi="Cambria Math"/>
              </w:rPr>
            </m:ctrlPr>
          </m:dPr>
          <m:e>
            <m:r>
              <w:rPr>
                <w:rFonts w:ascii="Cambria Math" w:hAnsi="Cambria Math"/>
              </w:rPr>
              <m:t>δ</m:t>
            </m:r>
          </m:e>
        </m:d>
      </m:oMath>
    </w:p>
    <w:p w14:paraId="1BF85B51"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Implementation and Ethical Considerations</w:t>
      </w:r>
    </w:p>
    <w:p w14:paraId="21D4041A"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Implementation leverages Deep Graph Library for GNNs, PyTorch for differentiation, SHAP and LIME for explainability, Pandas and Scikit-learn for data processing, and TensorFlow Federated or Opacus for privacy preservation (Huang et al., 2018). Ethical considerations emphasize fairness, data minimization, anonymization, and transparency through XAI. Practically, the framework enables regulators and financial institutions to deploy auditable, privacy-compliant AML systems with reduced false positives and defensible supervisory decision-making.</w:t>
      </w:r>
    </w:p>
    <w:p w14:paraId="5DAE0C78" w14:textId="77777777" w:rsidR="00273E3A" w:rsidRDefault="00273E3A">
      <w:pPr>
        <w:spacing w:line="360" w:lineRule="auto"/>
        <w:jc w:val="both"/>
        <w:rPr>
          <w:rFonts w:ascii="Times New Roman" w:eastAsia="Times New Roman" w:hAnsi="Times New Roman" w:cs="Times New Roman"/>
        </w:rPr>
      </w:pPr>
    </w:p>
    <w:p w14:paraId="79214C2E"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t>Results and Discussion</w:t>
      </w:r>
    </w:p>
    <w:p w14:paraId="0D7472D5"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article presents the results of applying a Graph Neural Network model combined with Explainable Artificial Intelligence to standard financial transaction datasets. Following the earlier methodology, the study covers data preparation, graph building, the use of models such as Graph Attention Networks and Relational Graph Convolutional Networks, and evaluation using measures like AUC ROC and F1 score. The results show how using relationships between entities improves detection accuracy, how explanation methods make model decisions clearer, and how well the system performs when handling large datasets. Overall, the findings demonstrate improved accuracy, better transparency, and practical usability supported by clear performance results and visual outputs.</w:t>
      </w:r>
    </w:p>
    <w:p w14:paraId="4765FB1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Presentation of Results</w:t>
      </w:r>
    </w:p>
    <w:p w14:paraId="2E5DA307"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implementation commenced with training the heterogeneous Graph Attention Network on the Institute of Electrical and Electronics Engineers-Consumer Intelligence Series Fraud Detection dataset, merging 561,013 transactions with identity records to form 590,540 pairs exhibiting a 3.5 percent fraud rate, alongside validations on the Kaggle Credit Card Fraud Detection dataset with 284,807 transactions at 0.17 percent fraud prevalence and the Elliptic Bitcoin Transaction Network comprising 203,769 nodes with 2 percent illicit activities, ensuring comprehensive coverage of card-based and cryptocurrency scenarios as per the data acquisition strategy. Training dynamics revealed stable convergence, with loss reductions from initial values around 0.65 to 0.18 over 50 epochs, incorporating early stopping at epoch 45 when validation Area Under the Curve-Receiver Operating Characteristic plateaued at 0.874, as detailed in Table 1 which captures epoch-wise metrics including training and validation losses, Area Under the Curve-Receiver Operating Characteristic scores, F1-scores, and adaptive learning rates starting at 0.001 and halving at epochs 30 and 45 to mitigate overfitting as displayed in Figure 2 as well.</w:t>
      </w:r>
    </w:p>
    <w:p w14:paraId="594413F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w:t>
      </w:r>
    </w:p>
    <w:p w14:paraId="23BDDA92"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Training Dynamics of Heterogeneous Graph Attention Network Model</w:t>
      </w:r>
    </w:p>
    <w:tbl>
      <w:tblPr>
        <w:tblStyle w:val="a"/>
        <w:tblW w:w="9472" w:type="dxa"/>
        <w:tblInd w:w="0" w:type="dxa"/>
        <w:tblLayout w:type="fixed"/>
        <w:tblLook w:val="0400" w:firstRow="0" w:lastRow="0" w:firstColumn="0" w:lastColumn="0" w:noHBand="0" w:noVBand="1"/>
      </w:tblPr>
      <w:tblGrid>
        <w:gridCol w:w="791"/>
        <w:gridCol w:w="1255"/>
        <w:gridCol w:w="1333"/>
        <w:gridCol w:w="1164"/>
        <w:gridCol w:w="1333"/>
        <w:gridCol w:w="1164"/>
        <w:gridCol w:w="1333"/>
        <w:gridCol w:w="1099"/>
      </w:tblGrid>
      <w:tr w:rsidR="00273E3A" w14:paraId="223A4A77" w14:textId="77777777">
        <w:trPr>
          <w:trHeight w:val="799"/>
          <w:tblHeader/>
        </w:trPr>
        <w:tc>
          <w:tcPr>
            <w:tcW w:w="791" w:type="dxa"/>
            <w:tcBorders>
              <w:top w:val="single" w:sz="4" w:space="0" w:color="000000"/>
              <w:bottom w:val="single" w:sz="4" w:space="0" w:color="000000"/>
            </w:tcBorders>
            <w:tcMar>
              <w:top w:w="15" w:type="dxa"/>
              <w:left w:w="0" w:type="dxa"/>
              <w:bottom w:w="137" w:type="dxa"/>
              <w:right w:w="137" w:type="dxa"/>
            </w:tcMar>
            <w:vAlign w:val="bottom"/>
          </w:tcPr>
          <w:p w14:paraId="4576DA98" w14:textId="77777777" w:rsidR="00273E3A" w:rsidRDefault="00000000">
            <w:pPr>
              <w:spacing w:line="240" w:lineRule="auto"/>
              <w:ind w:right="-68"/>
              <w:jc w:val="center"/>
              <w:rPr>
                <w:rFonts w:ascii="Times New Roman" w:eastAsia="Times New Roman" w:hAnsi="Times New Roman" w:cs="Times New Roman"/>
                <w:b/>
                <w:bCs/>
              </w:rPr>
            </w:pPr>
            <w:r>
              <w:rPr>
                <w:rFonts w:ascii="Times New Roman" w:eastAsia="Times New Roman" w:hAnsi="Times New Roman" w:cs="Times New Roman"/>
                <w:b/>
                <w:bCs/>
              </w:rPr>
              <w:t>Epoch</w:t>
            </w:r>
          </w:p>
        </w:tc>
        <w:tc>
          <w:tcPr>
            <w:tcW w:w="1255" w:type="dxa"/>
            <w:tcBorders>
              <w:top w:val="single" w:sz="4" w:space="0" w:color="000000"/>
              <w:bottom w:val="single" w:sz="4" w:space="0" w:color="000000"/>
            </w:tcBorders>
            <w:tcMar>
              <w:top w:w="15" w:type="dxa"/>
              <w:left w:w="137" w:type="dxa"/>
              <w:bottom w:w="137" w:type="dxa"/>
              <w:right w:w="137" w:type="dxa"/>
            </w:tcMar>
            <w:vAlign w:val="bottom"/>
          </w:tcPr>
          <w:p w14:paraId="7BACE4F6" w14:textId="77777777" w:rsidR="00273E3A" w:rsidRDefault="00000000">
            <w:pPr>
              <w:tabs>
                <w:tab w:val="left" w:pos="876"/>
              </w:tab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Training Loss</w:t>
            </w:r>
          </w:p>
        </w:tc>
        <w:tc>
          <w:tcPr>
            <w:tcW w:w="1333" w:type="dxa"/>
            <w:tcBorders>
              <w:top w:val="single" w:sz="4" w:space="0" w:color="000000"/>
              <w:bottom w:val="single" w:sz="4" w:space="0" w:color="000000"/>
            </w:tcBorders>
            <w:tcMar>
              <w:top w:w="15" w:type="dxa"/>
              <w:left w:w="137" w:type="dxa"/>
              <w:bottom w:w="137" w:type="dxa"/>
              <w:right w:w="137" w:type="dxa"/>
            </w:tcMar>
            <w:vAlign w:val="bottom"/>
          </w:tcPr>
          <w:p w14:paraId="32D8B937"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Validation Loss</w:t>
            </w:r>
          </w:p>
        </w:tc>
        <w:tc>
          <w:tcPr>
            <w:tcW w:w="1164" w:type="dxa"/>
            <w:tcBorders>
              <w:top w:val="single" w:sz="4" w:space="0" w:color="000000"/>
              <w:bottom w:val="single" w:sz="4" w:space="0" w:color="000000"/>
            </w:tcBorders>
            <w:tcMar>
              <w:top w:w="15" w:type="dxa"/>
              <w:left w:w="137" w:type="dxa"/>
              <w:bottom w:w="137" w:type="dxa"/>
              <w:right w:w="137" w:type="dxa"/>
            </w:tcMar>
            <w:vAlign w:val="bottom"/>
          </w:tcPr>
          <w:p w14:paraId="3F463298"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Training AUC-ROC</w:t>
            </w:r>
          </w:p>
        </w:tc>
        <w:tc>
          <w:tcPr>
            <w:tcW w:w="1333" w:type="dxa"/>
            <w:tcBorders>
              <w:top w:val="single" w:sz="4" w:space="0" w:color="000000"/>
              <w:bottom w:val="single" w:sz="4" w:space="0" w:color="000000"/>
            </w:tcBorders>
            <w:tcMar>
              <w:top w:w="15" w:type="dxa"/>
              <w:left w:w="137" w:type="dxa"/>
              <w:bottom w:w="137" w:type="dxa"/>
              <w:right w:w="137" w:type="dxa"/>
            </w:tcMar>
            <w:vAlign w:val="bottom"/>
          </w:tcPr>
          <w:p w14:paraId="030FD33B"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Validation AUC-ROC</w:t>
            </w:r>
          </w:p>
        </w:tc>
        <w:tc>
          <w:tcPr>
            <w:tcW w:w="1164" w:type="dxa"/>
            <w:tcBorders>
              <w:top w:val="single" w:sz="4" w:space="0" w:color="000000"/>
              <w:bottom w:val="single" w:sz="4" w:space="0" w:color="000000"/>
            </w:tcBorders>
            <w:tcMar>
              <w:top w:w="15" w:type="dxa"/>
              <w:left w:w="137" w:type="dxa"/>
              <w:bottom w:w="137" w:type="dxa"/>
              <w:right w:w="137" w:type="dxa"/>
            </w:tcMar>
            <w:vAlign w:val="bottom"/>
          </w:tcPr>
          <w:p w14:paraId="11272207"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Training F1-Score</w:t>
            </w:r>
          </w:p>
        </w:tc>
        <w:tc>
          <w:tcPr>
            <w:tcW w:w="1333" w:type="dxa"/>
            <w:tcBorders>
              <w:top w:val="single" w:sz="4" w:space="0" w:color="000000"/>
              <w:bottom w:val="single" w:sz="4" w:space="0" w:color="000000"/>
            </w:tcBorders>
            <w:tcMar>
              <w:top w:w="15" w:type="dxa"/>
              <w:left w:w="137" w:type="dxa"/>
              <w:bottom w:w="137" w:type="dxa"/>
              <w:right w:w="137" w:type="dxa"/>
            </w:tcMar>
            <w:vAlign w:val="bottom"/>
          </w:tcPr>
          <w:p w14:paraId="255124BD"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Validation F1-Score</w:t>
            </w:r>
          </w:p>
        </w:tc>
        <w:tc>
          <w:tcPr>
            <w:tcW w:w="1099" w:type="dxa"/>
            <w:tcBorders>
              <w:top w:val="single" w:sz="4" w:space="0" w:color="000000"/>
              <w:bottom w:val="single" w:sz="4" w:space="0" w:color="000000"/>
            </w:tcBorders>
            <w:tcMar>
              <w:top w:w="15" w:type="dxa"/>
              <w:left w:w="137" w:type="dxa"/>
              <w:bottom w:w="137" w:type="dxa"/>
              <w:right w:w="15" w:type="dxa"/>
            </w:tcMar>
            <w:vAlign w:val="bottom"/>
          </w:tcPr>
          <w:p w14:paraId="34FB2800" w14:textId="77777777" w:rsidR="00273E3A"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Learning Rate</w:t>
            </w:r>
          </w:p>
        </w:tc>
      </w:tr>
      <w:tr w:rsidR="00273E3A" w14:paraId="4F538E54" w14:textId="77777777">
        <w:tc>
          <w:tcPr>
            <w:tcW w:w="791" w:type="dxa"/>
            <w:tcBorders>
              <w:top w:val="single" w:sz="4" w:space="0" w:color="000000"/>
            </w:tcBorders>
            <w:tcMar>
              <w:top w:w="137" w:type="dxa"/>
              <w:left w:w="0" w:type="dxa"/>
              <w:bottom w:w="137" w:type="dxa"/>
              <w:right w:w="137" w:type="dxa"/>
            </w:tcMar>
            <w:vAlign w:val="bottom"/>
          </w:tcPr>
          <w:p w14:paraId="31476F21"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255" w:type="dxa"/>
            <w:tcBorders>
              <w:top w:val="single" w:sz="4" w:space="0" w:color="000000"/>
            </w:tcBorders>
            <w:tcMar>
              <w:top w:w="137" w:type="dxa"/>
              <w:left w:w="137" w:type="dxa"/>
              <w:bottom w:w="137" w:type="dxa"/>
              <w:right w:w="137" w:type="dxa"/>
            </w:tcMar>
            <w:vAlign w:val="bottom"/>
          </w:tcPr>
          <w:p w14:paraId="1C7F0BCC"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0.652</w:t>
            </w:r>
          </w:p>
        </w:tc>
        <w:tc>
          <w:tcPr>
            <w:tcW w:w="1333" w:type="dxa"/>
            <w:tcBorders>
              <w:top w:val="single" w:sz="4" w:space="0" w:color="000000"/>
            </w:tcBorders>
            <w:tcMar>
              <w:top w:w="137" w:type="dxa"/>
              <w:left w:w="137" w:type="dxa"/>
              <w:bottom w:w="137" w:type="dxa"/>
              <w:right w:w="137" w:type="dxa"/>
            </w:tcMar>
            <w:vAlign w:val="bottom"/>
          </w:tcPr>
          <w:p w14:paraId="50F45D89"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0.642</w:t>
            </w:r>
          </w:p>
        </w:tc>
        <w:tc>
          <w:tcPr>
            <w:tcW w:w="1164" w:type="dxa"/>
            <w:tcBorders>
              <w:top w:val="single" w:sz="4" w:space="0" w:color="000000"/>
            </w:tcBorders>
            <w:tcMar>
              <w:top w:w="137" w:type="dxa"/>
              <w:left w:w="137" w:type="dxa"/>
              <w:bottom w:w="137" w:type="dxa"/>
              <w:right w:w="137" w:type="dxa"/>
            </w:tcMar>
            <w:vAlign w:val="bottom"/>
          </w:tcPr>
          <w:p w14:paraId="49B53519"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0.582</w:t>
            </w:r>
          </w:p>
        </w:tc>
        <w:tc>
          <w:tcPr>
            <w:tcW w:w="1333" w:type="dxa"/>
            <w:tcBorders>
              <w:top w:val="single" w:sz="4" w:space="0" w:color="000000"/>
            </w:tcBorders>
            <w:tcMar>
              <w:top w:w="137" w:type="dxa"/>
              <w:left w:w="137" w:type="dxa"/>
              <w:bottom w:w="137" w:type="dxa"/>
              <w:right w:w="137" w:type="dxa"/>
            </w:tcMar>
            <w:vAlign w:val="bottom"/>
          </w:tcPr>
          <w:p w14:paraId="47C2E23D"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0.579</w:t>
            </w:r>
          </w:p>
        </w:tc>
        <w:tc>
          <w:tcPr>
            <w:tcW w:w="1164" w:type="dxa"/>
            <w:tcBorders>
              <w:top w:val="single" w:sz="4" w:space="0" w:color="000000"/>
            </w:tcBorders>
            <w:tcMar>
              <w:top w:w="137" w:type="dxa"/>
              <w:left w:w="137" w:type="dxa"/>
              <w:bottom w:w="137" w:type="dxa"/>
              <w:right w:w="137" w:type="dxa"/>
            </w:tcMar>
            <w:vAlign w:val="bottom"/>
          </w:tcPr>
          <w:p w14:paraId="1A6E160E"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0.314</w:t>
            </w:r>
          </w:p>
        </w:tc>
        <w:tc>
          <w:tcPr>
            <w:tcW w:w="1333" w:type="dxa"/>
            <w:tcBorders>
              <w:top w:val="single" w:sz="4" w:space="0" w:color="000000"/>
            </w:tcBorders>
            <w:tcMar>
              <w:top w:w="137" w:type="dxa"/>
              <w:left w:w="137" w:type="dxa"/>
              <w:bottom w:w="137" w:type="dxa"/>
              <w:right w:w="137" w:type="dxa"/>
            </w:tcMar>
            <w:vAlign w:val="bottom"/>
          </w:tcPr>
          <w:p w14:paraId="0C50CD0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0.309</w:t>
            </w:r>
          </w:p>
        </w:tc>
        <w:tc>
          <w:tcPr>
            <w:tcW w:w="1099" w:type="dxa"/>
            <w:tcBorders>
              <w:top w:val="single" w:sz="4" w:space="0" w:color="000000"/>
            </w:tcBorders>
            <w:tcMar>
              <w:top w:w="137" w:type="dxa"/>
              <w:left w:w="137" w:type="dxa"/>
              <w:bottom w:w="137" w:type="dxa"/>
              <w:right w:w="0" w:type="dxa"/>
            </w:tcMar>
            <w:vAlign w:val="bottom"/>
          </w:tcPr>
          <w:p w14:paraId="12D6A3B8"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0.001</w:t>
            </w:r>
          </w:p>
        </w:tc>
      </w:tr>
      <w:tr w:rsidR="00273E3A" w14:paraId="6A3785C8" w14:textId="77777777">
        <w:tc>
          <w:tcPr>
            <w:tcW w:w="791" w:type="dxa"/>
            <w:tcMar>
              <w:top w:w="137" w:type="dxa"/>
              <w:left w:w="0" w:type="dxa"/>
              <w:bottom w:w="137" w:type="dxa"/>
              <w:right w:w="137" w:type="dxa"/>
            </w:tcMar>
            <w:vAlign w:val="bottom"/>
          </w:tcPr>
          <w:p w14:paraId="5388071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255" w:type="dxa"/>
            <w:tcMar>
              <w:top w:w="137" w:type="dxa"/>
              <w:left w:w="137" w:type="dxa"/>
              <w:bottom w:w="137" w:type="dxa"/>
              <w:right w:w="137" w:type="dxa"/>
            </w:tcMar>
            <w:vAlign w:val="bottom"/>
          </w:tcPr>
          <w:p w14:paraId="24856170"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0.413</w:t>
            </w:r>
          </w:p>
        </w:tc>
        <w:tc>
          <w:tcPr>
            <w:tcW w:w="1333" w:type="dxa"/>
            <w:tcMar>
              <w:top w:w="137" w:type="dxa"/>
              <w:left w:w="137" w:type="dxa"/>
              <w:bottom w:w="137" w:type="dxa"/>
              <w:right w:w="137" w:type="dxa"/>
            </w:tcMar>
            <w:vAlign w:val="bottom"/>
          </w:tcPr>
          <w:p w14:paraId="2BF7DC3B"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0.429</w:t>
            </w:r>
          </w:p>
        </w:tc>
        <w:tc>
          <w:tcPr>
            <w:tcW w:w="1164" w:type="dxa"/>
            <w:tcMar>
              <w:top w:w="137" w:type="dxa"/>
              <w:left w:w="137" w:type="dxa"/>
              <w:bottom w:w="137" w:type="dxa"/>
              <w:right w:w="137" w:type="dxa"/>
            </w:tcMar>
            <w:vAlign w:val="bottom"/>
          </w:tcPr>
          <w:p w14:paraId="5EC89567"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0.713</w:t>
            </w:r>
          </w:p>
        </w:tc>
        <w:tc>
          <w:tcPr>
            <w:tcW w:w="1333" w:type="dxa"/>
            <w:tcMar>
              <w:top w:w="137" w:type="dxa"/>
              <w:left w:w="137" w:type="dxa"/>
              <w:bottom w:w="137" w:type="dxa"/>
              <w:right w:w="137" w:type="dxa"/>
            </w:tcMar>
            <w:vAlign w:val="bottom"/>
          </w:tcPr>
          <w:p w14:paraId="501885AE"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0.702</w:t>
            </w:r>
          </w:p>
        </w:tc>
        <w:tc>
          <w:tcPr>
            <w:tcW w:w="1164" w:type="dxa"/>
            <w:tcMar>
              <w:top w:w="137" w:type="dxa"/>
              <w:left w:w="137" w:type="dxa"/>
              <w:bottom w:w="137" w:type="dxa"/>
              <w:right w:w="137" w:type="dxa"/>
            </w:tcMar>
            <w:vAlign w:val="bottom"/>
          </w:tcPr>
          <w:p w14:paraId="57CD4850"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0.523</w:t>
            </w:r>
          </w:p>
        </w:tc>
        <w:tc>
          <w:tcPr>
            <w:tcW w:w="1333" w:type="dxa"/>
            <w:tcMar>
              <w:top w:w="137" w:type="dxa"/>
              <w:left w:w="137" w:type="dxa"/>
              <w:bottom w:w="137" w:type="dxa"/>
              <w:right w:w="137" w:type="dxa"/>
            </w:tcMar>
            <w:vAlign w:val="bottom"/>
          </w:tcPr>
          <w:p w14:paraId="795C18AC"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0.509</w:t>
            </w:r>
          </w:p>
        </w:tc>
        <w:tc>
          <w:tcPr>
            <w:tcW w:w="1099" w:type="dxa"/>
            <w:tcMar>
              <w:top w:w="137" w:type="dxa"/>
              <w:left w:w="137" w:type="dxa"/>
              <w:bottom w:w="137" w:type="dxa"/>
              <w:right w:w="0" w:type="dxa"/>
            </w:tcMar>
            <w:vAlign w:val="bottom"/>
          </w:tcPr>
          <w:p w14:paraId="5D2B891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0.001</w:t>
            </w:r>
          </w:p>
        </w:tc>
      </w:tr>
      <w:tr w:rsidR="00273E3A" w14:paraId="41A9545F" w14:textId="77777777">
        <w:tc>
          <w:tcPr>
            <w:tcW w:w="791" w:type="dxa"/>
            <w:tcMar>
              <w:top w:w="137" w:type="dxa"/>
              <w:left w:w="0" w:type="dxa"/>
              <w:bottom w:w="137" w:type="dxa"/>
              <w:right w:w="137" w:type="dxa"/>
            </w:tcMar>
            <w:vAlign w:val="bottom"/>
          </w:tcPr>
          <w:p w14:paraId="6F14339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255" w:type="dxa"/>
            <w:tcMar>
              <w:top w:w="137" w:type="dxa"/>
              <w:left w:w="137" w:type="dxa"/>
              <w:bottom w:w="137" w:type="dxa"/>
              <w:right w:w="137" w:type="dxa"/>
            </w:tcMar>
            <w:vAlign w:val="bottom"/>
          </w:tcPr>
          <w:p w14:paraId="750C9500"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0.316</w:t>
            </w:r>
          </w:p>
        </w:tc>
        <w:tc>
          <w:tcPr>
            <w:tcW w:w="1333" w:type="dxa"/>
            <w:tcMar>
              <w:top w:w="137" w:type="dxa"/>
              <w:left w:w="137" w:type="dxa"/>
              <w:bottom w:w="137" w:type="dxa"/>
              <w:right w:w="137" w:type="dxa"/>
            </w:tcMar>
            <w:vAlign w:val="bottom"/>
          </w:tcPr>
          <w:p w14:paraId="7EBD1D27"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0.342</w:t>
            </w:r>
          </w:p>
        </w:tc>
        <w:tc>
          <w:tcPr>
            <w:tcW w:w="1164" w:type="dxa"/>
            <w:tcMar>
              <w:top w:w="137" w:type="dxa"/>
              <w:left w:w="137" w:type="dxa"/>
              <w:bottom w:w="137" w:type="dxa"/>
              <w:right w:w="137" w:type="dxa"/>
            </w:tcMar>
            <w:vAlign w:val="bottom"/>
          </w:tcPr>
          <w:p w14:paraId="3814609F"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0.795</w:t>
            </w:r>
          </w:p>
        </w:tc>
        <w:tc>
          <w:tcPr>
            <w:tcW w:w="1333" w:type="dxa"/>
            <w:tcMar>
              <w:top w:w="137" w:type="dxa"/>
              <w:left w:w="137" w:type="dxa"/>
              <w:bottom w:w="137" w:type="dxa"/>
              <w:right w:w="137" w:type="dxa"/>
            </w:tcMar>
            <w:vAlign w:val="bottom"/>
          </w:tcPr>
          <w:p w14:paraId="00CB8C8E"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0.786</w:t>
            </w:r>
          </w:p>
        </w:tc>
        <w:tc>
          <w:tcPr>
            <w:tcW w:w="1164" w:type="dxa"/>
            <w:tcMar>
              <w:top w:w="137" w:type="dxa"/>
              <w:left w:w="137" w:type="dxa"/>
              <w:bottom w:w="137" w:type="dxa"/>
              <w:right w:w="137" w:type="dxa"/>
            </w:tcMar>
            <w:vAlign w:val="bottom"/>
          </w:tcPr>
          <w:p w14:paraId="1BDBE06E"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0.612</w:t>
            </w:r>
          </w:p>
        </w:tc>
        <w:tc>
          <w:tcPr>
            <w:tcW w:w="1333" w:type="dxa"/>
            <w:tcMar>
              <w:top w:w="137" w:type="dxa"/>
              <w:left w:w="137" w:type="dxa"/>
              <w:bottom w:w="137" w:type="dxa"/>
              <w:right w:w="137" w:type="dxa"/>
            </w:tcMar>
            <w:vAlign w:val="bottom"/>
          </w:tcPr>
          <w:p w14:paraId="5D3DA251"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0.600</w:t>
            </w:r>
          </w:p>
        </w:tc>
        <w:tc>
          <w:tcPr>
            <w:tcW w:w="1099" w:type="dxa"/>
            <w:tcMar>
              <w:top w:w="137" w:type="dxa"/>
              <w:left w:w="137" w:type="dxa"/>
              <w:bottom w:w="137" w:type="dxa"/>
              <w:right w:w="0" w:type="dxa"/>
            </w:tcMar>
            <w:vAlign w:val="bottom"/>
          </w:tcPr>
          <w:p w14:paraId="2088F846"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0.001</w:t>
            </w:r>
          </w:p>
        </w:tc>
      </w:tr>
      <w:tr w:rsidR="00273E3A" w14:paraId="2768C2A4" w14:textId="77777777">
        <w:tc>
          <w:tcPr>
            <w:tcW w:w="791" w:type="dxa"/>
            <w:tcMar>
              <w:top w:w="137" w:type="dxa"/>
              <w:left w:w="0" w:type="dxa"/>
              <w:bottom w:w="137" w:type="dxa"/>
              <w:right w:w="137" w:type="dxa"/>
            </w:tcMar>
            <w:vAlign w:val="bottom"/>
          </w:tcPr>
          <w:p w14:paraId="18168A2B"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255" w:type="dxa"/>
            <w:tcMar>
              <w:top w:w="137" w:type="dxa"/>
              <w:left w:w="137" w:type="dxa"/>
              <w:bottom w:w="137" w:type="dxa"/>
              <w:right w:w="137" w:type="dxa"/>
            </w:tcMar>
            <w:vAlign w:val="bottom"/>
          </w:tcPr>
          <w:p w14:paraId="33BF5C4D"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0.263</w:t>
            </w:r>
          </w:p>
        </w:tc>
        <w:tc>
          <w:tcPr>
            <w:tcW w:w="1333" w:type="dxa"/>
            <w:tcMar>
              <w:top w:w="137" w:type="dxa"/>
              <w:left w:w="137" w:type="dxa"/>
              <w:bottom w:w="137" w:type="dxa"/>
              <w:right w:w="137" w:type="dxa"/>
            </w:tcMar>
            <w:vAlign w:val="bottom"/>
          </w:tcPr>
          <w:p w14:paraId="4F44D727"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0.285</w:t>
            </w:r>
          </w:p>
        </w:tc>
        <w:tc>
          <w:tcPr>
            <w:tcW w:w="1164" w:type="dxa"/>
            <w:tcMar>
              <w:top w:w="137" w:type="dxa"/>
              <w:left w:w="137" w:type="dxa"/>
              <w:bottom w:w="137" w:type="dxa"/>
              <w:right w:w="137" w:type="dxa"/>
            </w:tcMar>
            <w:vAlign w:val="bottom"/>
          </w:tcPr>
          <w:p w14:paraId="1EFEE390"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0.831</w:t>
            </w:r>
          </w:p>
        </w:tc>
        <w:tc>
          <w:tcPr>
            <w:tcW w:w="1333" w:type="dxa"/>
            <w:tcMar>
              <w:top w:w="137" w:type="dxa"/>
              <w:left w:w="137" w:type="dxa"/>
              <w:bottom w:w="137" w:type="dxa"/>
              <w:right w:w="137" w:type="dxa"/>
            </w:tcMar>
            <w:vAlign w:val="bottom"/>
          </w:tcPr>
          <w:p w14:paraId="336CD079"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0.821</w:t>
            </w:r>
          </w:p>
        </w:tc>
        <w:tc>
          <w:tcPr>
            <w:tcW w:w="1164" w:type="dxa"/>
            <w:tcMar>
              <w:top w:w="137" w:type="dxa"/>
              <w:left w:w="137" w:type="dxa"/>
              <w:bottom w:w="137" w:type="dxa"/>
              <w:right w:w="137" w:type="dxa"/>
            </w:tcMar>
            <w:vAlign w:val="bottom"/>
          </w:tcPr>
          <w:p w14:paraId="70867E88"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0.674</w:t>
            </w:r>
          </w:p>
        </w:tc>
        <w:tc>
          <w:tcPr>
            <w:tcW w:w="1333" w:type="dxa"/>
            <w:tcMar>
              <w:top w:w="137" w:type="dxa"/>
              <w:left w:w="137" w:type="dxa"/>
              <w:bottom w:w="137" w:type="dxa"/>
              <w:right w:w="137" w:type="dxa"/>
            </w:tcMar>
            <w:vAlign w:val="bottom"/>
          </w:tcPr>
          <w:p w14:paraId="72B119AB"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0.662</w:t>
            </w:r>
          </w:p>
        </w:tc>
        <w:tc>
          <w:tcPr>
            <w:tcW w:w="1099" w:type="dxa"/>
            <w:tcMar>
              <w:top w:w="137" w:type="dxa"/>
              <w:left w:w="137" w:type="dxa"/>
              <w:bottom w:w="137" w:type="dxa"/>
              <w:right w:w="0" w:type="dxa"/>
            </w:tcMar>
            <w:vAlign w:val="bottom"/>
          </w:tcPr>
          <w:p w14:paraId="0F32B57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0.0005</w:t>
            </w:r>
          </w:p>
        </w:tc>
      </w:tr>
      <w:tr w:rsidR="00273E3A" w14:paraId="262CB186" w14:textId="77777777">
        <w:tc>
          <w:tcPr>
            <w:tcW w:w="791" w:type="dxa"/>
            <w:tcMar>
              <w:top w:w="137" w:type="dxa"/>
              <w:left w:w="0" w:type="dxa"/>
              <w:bottom w:w="137" w:type="dxa"/>
              <w:right w:w="137" w:type="dxa"/>
            </w:tcMar>
            <w:vAlign w:val="bottom"/>
          </w:tcPr>
          <w:p w14:paraId="78FFE5B1"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255" w:type="dxa"/>
            <w:tcMar>
              <w:top w:w="137" w:type="dxa"/>
              <w:left w:w="137" w:type="dxa"/>
              <w:bottom w:w="137" w:type="dxa"/>
              <w:right w:w="137" w:type="dxa"/>
            </w:tcMar>
            <w:vAlign w:val="bottom"/>
          </w:tcPr>
          <w:p w14:paraId="0C1BA885"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0.215</w:t>
            </w:r>
          </w:p>
        </w:tc>
        <w:tc>
          <w:tcPr>
            <w:tcW w:w="1333" w:type="dxa"/>
            <w:tcMar>
              <w:top w:w="137" w:type="dxa"/>
              <w:left w:w="137" w:type="dxa"/>
              <w:bottom w:w="137" w:type="dxa"/>
              <w:right w:w="137" w:type="dxa"/>
            </w:tcMar>
            <w:vAlign w:val="bottom"/>
          </w:tcPr>
          <w:p w14:paraId="1C1CBB7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0.238</w:t>
            </w:r>
          </w:p>
        </w:tc>
        <w:tc>
          <w:tcPr>
            <w:tcW w:w="1164" w:type="dxa"/>
            <w:tcMar>
              <w:top w:w="137" w:type="dxa"/>
              <w:left w:w="137" w:type="dxa"/>
              <w:bottom w:w="137" w:type="dxa"/>
              <w:right w:w="137" w:type="dxa"/>
            </w:tcMar>
            <w:vAlign w:val="bottom"/>
          </w:tcPr>
          <w:p w14:paraId="155103E6"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0.865</w:t>
            </w:r>
          </w:p>
        </w:tc>
        <w:tc>
          <w:tcPr>
            <w:tcW w:w="1333" w:type="dxa"/>
            <w:tcMar>
              <w:top w:w="137" w:type="dxa"/>
              <w:left w:w="137" w:type="dxa"/>
              <w:bottom w:w="137" w:type="dxa"/>
              <w:right w:w="137" w:type="dxa"/>
            </w:tcMar>
            <w:vAlign w:val="bottom"/>
          </w:tcPr>
          <w:p w14:paraId="600F5A75"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0.852</w:t>
            </w:r>
          </w:p>
        </w:tc>
        <w:tc>
          <w:tcPr>
            <w:tcW w:w="1164" w:type="dxa"/>
            <w:tcMar>
              <w:top w:w="137" w:type="dxa"/>
              <w:left w:w="137" w:type="dxa"/>
              <w:bottom w:w="137" w:type="dxa"/>
              <w:right w:w="137" w:type="dxa"/>
            </w:tcMar>
            <w:vAlign w:val="bottom"/>
          </w:tcPr>
          <w:p w14:paraId="480E146B"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0.712</w:t>
            </w:r>
          </w:p>
        </w:tc>
        <w:tc>
          <w:tcPr>
            <w:tcW w:w="1333" w:type="dxa"/>
            <w:tcMar>
              <w:top w:w="137" w:type="dxa"/>
              <w:left w:w="137" w:type="dxa"/>
              <w:bottom w:w="137" w:type="dxa"/>
              <w:right w:w="137" w:type="dxa"/>
            </w:tcMar>
            <w:vAlign w:val="bottom"/>
          </w:tcPr>
          <w:p w14:paraId="5F322582"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0.699</w:t>
            </w:r>
          </w:p>
        </w:tc>
        <w:tc>
          <w:tcPr>
            <w:tcW w:w="1099" w:type="dxa"/>
            <w:tcMar>
              <w:top w:w="137" w:type="dxa"/>
              <w:left w:w="137" w:type="dxa"/>
              <w:bottom w:w="137" w:type="dxa"/>
              <w:right w:w="0" w:type="dxa"/>
            </w:tcMar>
            <w:vAlign w:val="bottom"/>
          </w:tcPr>
          <w:p w14:paraId="21D5E7DC"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0.0005</w:t>
            </w:r>
          </w:p>
        </w:tc>
      </w:tr>
      <w:tr w:rsidR="00273E3A" w14:paraId="6727E29E" w14:textId="77777777">
        <w:tc>
          <w:tcPr>
            <w:tcW w:w="791" w:type="dxa"/>
            <w:tcMar>
              <w:top w:w="137" w:type="dxa"/>
              <w:left w:w="0" w:type="dxa"/>
              <w:bottom w:w="137" w:type="dxa"/>
              <w:right w:w="137" w:type="dxa"/>
            </w:tcMar>
            <w:vAlign w:val="bottom"/>
          </w:tcPr>
          <w:p w14:paraId="1BA329E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255" w:type="dxa"/>
            <w:tcMar>
              <w:top w:w="137" w:type="dxa"/>
              <w:left w:w="137" w:type="dxa"/>
              <w:bottom w:w="137" w:type="dxa"/>
              <w:right w:w="137" w:type="dxa"/>
            </w:tcMar>
            <w:vAlign w:val="bottom"/>
          </w:tcPr>
          <w:p w14:paraId="5D8BAD61"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0.199</w:t>
            </w:r>
          </w:p>
        </w:tc>
        <w:tc>
          <w:tcPr>
            <w:tcW w:w="1333" w:type="dxa"/>
            <w:tcMar>
              <w:top w:w="137" w:type="dxa"/>
              <w:left w:w="137" w:type="dxa"/>
              <w:bottom w:w="137" w:type="dxa"/>
              <w:right w:w="137" w:type="dxa"/>
            </w:tcMar>
            <w:vAlign w:val="bottom"/>
          </w:tcPr>
          <w:p w14:paraId="528744FE"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0.223</w:t>
            </w:r>
          </w:p>
        </w:tc>
        <w:tc>
          <w:tcPr>
            <w:tcW w:w="1164" w:type="dxa"/>
            <w:tcMar>
              <w:top w:w="137" w:type="dxa"/>
              <w:left w:w="137" w:type="dxa"/>
              <w:bottom w:w="137" w:type="dxa"/>
              <w:right w:w="137" w:type="dxa"/>
            </w:tcMar>
            <w:vAlign w:val="bottom"/>
          </w:tcPr>
          <w:p w14:paraId="2A6EAD8D"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0.879</w:t>
            </w:r>
          </w:p>
        </w:tc>
        <w:tc>
          <w:tcPr>
            <w:tcW w:w="1333" w:type="dxa"/>
            <w:tcMar>
              <w:top w:w="137" w:type="dxa"/>
              <w:left w:w="137" w:type="dxa"/>
              <w:bottom w:w="137" w:type="dxa"/>
              <w:right w:w="137" w:type="dxa"/>
            </w:tcMar>
            <w:vAlign w:val="bottom"/>
          </w:tcPr>
          <w:p w14:paraId="7304B590"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0.863</w:t>
            </w:r>
          </w:p>
        </w:tc>
        <w:tc>
          <w:tcPr>
            <w:tcW w:w="1164" w:type="dxa"/>
            <w:tcMar>
              <w:top w:w="137" w:type="dxa"/>
              <w:left w:w="137" w:type="dxa"/>
              <w:bottom w:w="137" w:type="dxa"/>
              <w:right w:w="137" w:type="dxa"/>
            </w:tcMar>
            <w:vAlign w:val="bottom"/>
          </w:tcPr>
          <w:p w14:paraId="16B6501F"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0.734</w:t>
            </w:r>
          </w:p>
        </w:tc>
        <w:tc>
          <w:tcPr>
            <w:tcW w:w="1333" w:type="dxa"/>
            <w:tcMar>
              <w:top w:w="137" w:type="dxa"/>
              <w:left w:w="137" w:type="dxa"/>
              <w:bottom w:w="137" w:type="dxa"/>
              <w:right w:w="137" w:type="dxa"/>
            </w:tcMar>
            <w:vAlign w:val="bottom"/>
          </w:tcPr>
          <w:p w14:paraId="6B2C8402"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0.716</w:t>
            </w:r>
          </w:p>
        </w:tc>
        <w:tc>
          <w:tcPr>
            <w:tcW w:w="1099" w:type="dxa"/>
            <w:tcMar>
              <w:top w:w="137" w:type="dxa"/>
              <w:left w:w="137" w:type="dxa"/>
              <w:bottom w:w="137" w:type="dxa"/>
              <w:right w:w="0" w:type="dxa"/>
            </w:tcMar>
            <w:vAlign w:val="bottom"/>
          </w:tcPr>
          <w:p w14:paraId="25D13D42"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0.00025</w:t>
            </w:r>
          </w:p>
        </w:tc>
      </w:tr>
      <w:tr w:rsidR="00273E3A" w14:paraId="42FE9424" w14:textId="77777777">
        <w:tc>
          <w:tcPr>
            <w:tcW w:w="791" w:type="dxa"/>
            <w:tcBorders>
              <w:bottom w:val="single" w:sz="4" w:space="0" w:color="000000"/>
            </w:tcBorders>
            <w:tcMar>
              <w:top w:w="137" w:type="dxa"/>
              <w:left w:w="0" w:type="dxa"/>
              <w:bottom w:w="137" w:type="dxa"/>
              <w:right w:w="137" w:type="dxa"/>
            </w:tcMar>
            <w:vAlign w:val="bottom"/>
          </w:tcPr>
          <w:p w14:paraId="002DB8D8"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255" w:type="dxa"/>
            <w:tcBorders>
              <w:bottom w:val="single" w:sz="4" w:space="0" w:color="000000"/>
            </w:tcBorders>
            <w:tcMar>
              <w:top w:w="137" w:type="dxa"/>
              <w:left w:w="137" w:type="dxa"/>
              <w:bottom w:w="137" w:type="dxa"/>
              <w:right w:w="137" w:type="dxa"/>
            </w:tcMar>
            <w:vAlign w:val="bottom"/>
          </w:tcPr>
          <w:p w14:paraId="7518EA17"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0.184</w:t>
            </w:r>
          </w:p>
        </w:tc>
        <w:tc>
          <w:tcPr>
            <w:tcW w:w="1333" w:type="dxa"/>
            <w:tcBorders>
              <w:bottom w:val="single" w:sz="4" w:space="0" w:color="000000"/>
            </w:tcBorders>
            <w:tcMar>
              <w:top w:w="137" w:type="dxa"/>
              <w:left w:w="137" w:type="dxa"/>
              <w:bottom w:w="137" w:type="dxa"/>
              <w:right w:w="137" w:type="dxa"/>
            </w:tcMar>
            <w:vAlign w:val="bottom"/>
          </w:tcPr>
          <w:p w14:paraId="57D97A54"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0.216</w:t>
            </w:r>
          </w:p>
        </w:tc>
        <w:tc>
          <w:tcPr>
            <w:tcW w:w="1164" w:type="dxa"/>
            <w:tcBorders>
              <w:bottom w:val="single" w:sz="4" w:space="0" w:color="000000"/>
            </w:tcBorders>
            <w:tcMar>
              <w:top w:w="137" w:type="dxa"/>
              <w:left w:w="137" w:type="dxa"/>
              <w:bottom w:w="137" w:type="dxa"/>
              <w:right w:w="137" w:type="dxa"/>
            </w:tcMar>
            <w:vAlign w:val="bottom"/>
          </w:tcPr>
          <w:p w14:paraId="4D36C80C"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0.892</w:t>
            </w:r>
          </w:p>
        </w:tc>
        <w:tc>
          <w:tcPr>
            <w:tcW w:w="1333" w:type="dxa"/>
            <w:tcBorders>
              <w:bottom w:val="single" w:sz="4" w:space="0" w:color="000000"/>
            </w:tcBorders>
            <w:tcMar>
              <w:top w:w="137" w:type="dxa"/>
              <w:left w:w="137" w:type="dxa"/>
              <w:bottom w:w="137" w:type="dxa"/>
              <w:right w:w="137" w:type="dxa"/>
            </w:tcMar>
            <w:vAlign w:val="bottom"/>
          </w:tcPr>
          <w:p w14:paraId="49A564E7"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0.874</w:t>
            </w:r>
          </w:p>
        </w:tc>
        <w:tc>
          <w:tcPr>
            <w:tcW w:w="1164" w:type="dxa"/>
            <w:tcBorders>
              <w:bottom w:val="single" w:sz="4" w:space="0" w:color="000000"/>
            </w:tcBorders>
            <w:tcMar>
              <w:top w:w="137" w:type="dxa"/>
              <w:left w:w="137" w:type="dxa"/>
              <w:bottom w:w="137" w:type="dxa"/>
              <w:right w:w="137" w:type="dxa"/>
            </w:tcMar>
            <w:vAlign w:val="bottom"/>
          </w:tcPr>
          <w:p w14:paraId="691CC503"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0.757</w:t>
            </w:r>
          </w:p>
        </w:tc>
        <w:tc>
          <w:tcPr>
            <w:tcW w:w="1333" w:type="dxa"/>
            <w:tcBorders>
              <w:bottom w:val="single" w:sz="4" w:space="0" w:color="000000"/>
            </w:tcBorders>
            <w:tcMar>
              <w:top w:w="137" w:type="dxa"/>
              <w:left w:w="137" w:type="dxa"/>
              <w:bottom w:w="137" w:type="dxa"/>
              <w:right w:w="137" w:type="dxa"/>
            </w:tcMar>
            <w:vAlign w:val="bottom"/>
          </w:tcPr>
          <w:p w14:paraId="0FBEEECA"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0.734</w:t>
            </w:r>
          </w:p>
        </w:tc>
        <w:tc>
          <w:tcPr>
            <w:tcW w:w="1099" w:type="dxa"/>
            <w:tcBorders>
              <w:bottom w:val="single" w:sz="4" w:space="0" w:color="000000"/>
            </w:tcBorders>
            <w:tcMar>
              <w:top w:w="137" w:type="dxa"/>
              <w:left w:w="137" w:type="dxa"/>
              <w:bottom w:w="137" w:type="dxa"/>
              <w:right w:w="0" w:type="dxa"/>
            </w:tcMar>
            <w:vAlign w:val="bottom"/>
          </w:tcPr>
          <w:p w14:paraId="2ADB8809" w14:textId="77777777" w:rsidR="00273E3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0.00025</w:t>
            </w:r>
          </w:p>
        </w:tc>
      </w:tr>
    </w:tbl>
    <w:p w14:paraId="3B85FEDF" w14:textId="77777777" w:rsidR="00273E3A" w:rsidRDefault="00273E3A">
      <w:pPr>
        <w:spacing w:before="240" w:line="360" w:lineRule="auto"/>
        <w:jc w:val="both"/>
        <w:rPr>
          <w:rFonts w:ascii="Times New Roman" w:eastAsia="Times New Roman" w:hAnsi="Times New Roman" w:cs="Times New Roman"/>
          <w:b/>
          <w:bCs/>
        </w:rPr>
      </w:pPr>
    </w:p>
    <w:p w14:paraId="1E8F8A07" w14:textId="77777777" w:rsidR="00273E3A" w:rsidRDefault="00273E3A">
      <w:pPr>
        <w:spacing w:before="240" w:line="360" w:lineRule="auto"/>
        <w:jc w:val="both"/>
        <w:rPr>
          <w:rFonts w:ascii="Times New Roman" w:eastAsia="Times New Roman" w:hAnsi="Times New Roman" w:cs="Times New Roman"/>
          <w:b/>
          <w:bCs/>
        </w:rPr>
      </w:pPr>
    </w:p>
    <w:p w14:paraId="03AF004B" w14:textId="77777777" w:rsidR="00273E3A"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2</w:t>
      </w:r>
    </w:p>
    <w:p w14:paraId="6BAAF73D" w14:textId="77777777" w:rsidR="00273E3A"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Training Loss Across 50 Epochs</w:t>
      </w:r>
    </w:p>
    <w:p w14:paraId="18DBCFA1" w14:textId="77777777" w:rsidR="00273E3A" w:rsidRDefault="00000000">
      <w:pPr>
        <w:spacing w:before="240" w:line="360" w:lineRule="auto"/>
        <w:jc w:val="both"/>
        <w:rPr>
          <w:rFonts w:ascii="Times New Roman" w:eastAsia="Times New Roman" w:hAnsi="Times New Roman" w:cs="Times New Roman"/>
        </w:rPr>
      </w:pPr>
      <w:r>
        <w:rPr>
          <w:noProof/>
        </w:rPr>
        <w:drawing>
          <wp:inline distT="0" distB="0" distL="0" distR="0" wp14:anchorId="1EC7C035" wp14:editId="70257A02">
            <wp:extent cx="5488819" cy="334346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8629"/>
                    <a:stretch>
                      <a:fillRect/>
                    </a:stretch>
                  </pic:blipFill>
                  <pic:spPr>
                    <a:xfrm>
                      <a:off x="0" y="0"/>
                      <a:ext cx="5488819" cy="3343468"/>
                    </a:xfrm>
                    <a:prstGeom prst="rect">
                      <a:avLst/>
                    </a:prstGeom>
                    <a:ln/>
                  </pic:spPr>
                </pic:pic>
              </a:graphicData>
            </a:graphic>
          </wp:inline>
        </w:drawing>
      </w:r>
      <w:r>
        <w:rPr>
          <w:rFonts w:ascii="Times New Roman" w:eastAsia="Times New Roman" w:hAnsi="Times New Roman" w:cs="Times New Roman"/>
        </w:rPr>
        <w:t>Classification efficacy on the validation subset of 59,054 transactions from the Institute of Electrical and Electronics Engineers-Consumer Intelligence Series dataset yielded an Area Under the Curve-Receiver Operating Characteristic of 0.874, precision of 0.893, recall of 0.821, and F1-score of 0.857, surpassing baselines like Extreme Gradient Boosting at 0.820 Area Under the Curve-Receiver Operating Characteristic and Random Forest at 0.790, as quantified in Table 2 and Figure 3 which delineates metric categories, values, benchmark comparisons, percentage improvements, and interpretations, highlighting a 53 percent reduction in false positive rate critical for operational efficiency.</w:t>
      </w:r>
    </w:p>
    <w:p w14:paraId="43B91FB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2</w:t>
      </w:r>
    </w:p>
    <w:p w14:paraId="300198BA"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Comprehensive Performance Metrics for Heterogeneous Graph Attention Network Model.</w:t>
      </w:r>
    </w:p>
    <w:tbl>
      <w:tblPr>
        <w:tblStyle w:val="a0"/>
        <w:tblW w:w="9360" w:type="dxa"/>
        <w:tblInd w:w="0" w:type="dxa"/>
        <w:tblLayout w:type="fixed"/>
        <w:tblLook w:val="0400" w:firstRow="0" w:lastRow="0" w:firstColumn="0" w:lastColumn="0" w:noHBand="0" w:noVBand="1"/>
      </w:tblPr>
      <w:tblGrid>
        <w:gridCol w:w="1629"/>
        <w:gridCol w:w="1604"/>
        <w:gridCol w:w="852"/>
        <w:gridCol w:w="1696"/>
        <w:gridCol w:w="1670"/>
        <w:gridCol w:w="1909"/>
      </w:tblGrid>
      <w:tr w:rsidR="00273E3A" w14:paraId="5FE7C70C" w14:textId="77777777">
        <w:trPr>
          <w:tblHeader/>
        </w:trPr>
        <w:tc>
          <w:tcPr>
            <w:tcW w:w="1629" w:type="dxa"/>
            <w:tcBorders>
              <w:top w:val="single" w:sz="4" w:space="0" w:color="000000"/>
              <w:bottom w:val="single" w:sz="4" w:space="0" w:color="000000"/>
            </w:tcBorders>
            <w:tcMar>
              <w:top w:w="15" w:type="dxa"/>
              <w:left w:w="0" w:type="dxa"/>
              <w:bottom w:w="137" w:type="dxa"/>
              <w:right w:w="137" w:type="dxa"/>
            </w:tcMar>
            <w:vAlign w:val="bottom"/>
          </w:tcPr>
          <w:p w14:paraId="484CDFBA"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Metric Category</w:t>
            </w:r>
          </w:p>
        </w:tc>
        <w:tc>
          <w:tcPr>
            <w:tcW w:w="1604" w:type="dxa"/>
            <w:tcBorders>
              <w:top w:val="single" w:sz="4" w:space="0" w:color="000000"/>
              <w:bottom w:val="single" w:sz="4" w:space="0" w:color="000000"/>
            </w:tcBorders>
            <w:tcMar>
              <w:top w:w="15" w:type="dxa"/>
              <w:left w:w="137" w:type="dxa"/>
              <w:bottom w:w="137" w:type="dxa"/>
              <w:right w:w="137" w:type="dxa"/>
            </w:tcMar>
            <w:vAlign w:val="bottom"/>
          </w:tcPr>
          <w:p w14:paraId="482FB956"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Metric</w:t>
            </w:r>
          </w:p>
        </w:tc>
        <w:tc>
          <w:tcPr>
            <w:tcW w:w="852" w:type="dxa"/>
            <w:tcBorders>
              <w:top w:val="single" w:sz="4" w:space="0" w:color="000000"/>
              <w:bottom w:val="single" w:sz="4" w:space="0" w:color="000000"/>
            </w:tcBorders>
            <w:tcMar>
              <w:top w:w="15" w:type="dxa"/>
              <w:left w:w="137" w:type="dxa"/>
              <w:bottom w:w="137" w:type="dxa"/>
              <w:right w:w="137" w:type="dxa"/>
            </w:tcMar>
            <w:vAlign w:val="bottom"/>
          </w:tcPr>
          <w:p w14:paraId="69E5FF1E"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Value</w:t>
            </w:r>
          </w:p>
        </w:tc>
        <w:tc>
          <w:tcPr>
            <w:tcW w:w="1696" w:type="dxa"/>
            <w:tcBorders>
              <w:top w:val="single" w:sz="4" w:space="0" w:color="000000"/>
              <w:bottom w:val="single" w:sz="4" w:space="0" w:color="000000"/>
            </w:tcBorders>
            <w:tcMar>
              <w:top w:w="15" w:type="dxa"/>
              <w:left w:w="137" w:type="dxa"/>
              <w:bottom w:w="137" w:type="dxa"/>
              <w:right w:w="137" w:type="dxa"/>
            </w:tcMar>
            <w:vAlign w:val="bottom"/>
          </w:tcPr>
          <w:p w14:paraId="37790ACD"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Benchmark (Source)</w:t>
            </w:r>
          </w:p>
        </w:tc>
        <w:tc>
          <w:tcPr>
            <w:tcW w:w="1670" w:type="dxa"/>
            <w:tcBorders>
              <w:top w:val="single" w:sz="4" w:space="0" w:color="000000"/>
              <w:bottom w:val="single" w:sz="4" w:space="0" w:color="000000"/>
            </w:tcBorders>
            <w:tcMar>
              <w:top w:w="15" w:type="dxa"/>
              <w:left w:w="137" w:type="dxa"/>
              <w:bottom w:w="137" w:type="dxa"/>
              <w:right w:w="137" w:type="dxa"/>
            </w:tcMar>
            <w:vAlign w:val="bottom"/>
          </w:tcPr>
          <w:p w14:paraId="39A01957"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Improvement</w:t>
            </w:r>
          </w:p>
        </w:tc>
        <w:tc>
          <w:tcPr>
            <w:tcW w:w="1909" w:type="dxa"/>
            <w:tcBorders>
              <w:top w:val="single" w:sz="4" w:space="0" w:color="000000"/>
              <w:bottom w:val="single" w:sz="4" w:space="0" w:color="000000"/>
            </w:tcBorders>
            <w:tcMar>
              <w:top w:w="15" w:type="dxa"/>
              <w:left w:w="137" w:type="dxa"/>
              <w:bottom w:w="137" w:type="dxa"/>
              <w:right w:w="15" w:type="dxa"/>
            </w:tcMar>
            <w:vAlign w:val="bottom"/>
          </w:tcPr>
          <w:p w14:paraId="4DF8E14B"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273E3A" w14:paraId="1361F1CC" w14:textId="77777777">
        <w:tc>
          <w:tcPr>
            <w:tcW w:w="1629" w:type="dxa"/>
            <w:tcBorders>
              <w:top w:val="single" w:sz="4" w:space="0" w:color="000000"/>
            </w:tcBorders>
            <w:tcMar>
              <w:top w:w="137" w:type="dxa"/>
              <w:left w:w="0" w:type="dxa"/>
              <w:bottom w:w="137" w:type="dxa"/>
              <w:right w:w="137" w:type="dxa"/>
            </w:tcMar>
            <w:vAlign w:val="bottom"/>
          </w:tcPr>
          <w:p w14:paraId="59CBF82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Discrimination</w:t>
            </w:r>
          </w:p>
        </w:tc>
        <w:tc>
          <w:tcPr>
            <w:tcW w:w="1604" w:type="dxa"/>
            <w:tcBorders>
              <w:top w:val="single" w:sz="4" w:space="0" w:color="000000"/>
            </w:tcBorders>
            <w:tcMar>
              <w:top w:w="137" w:type="dxa"/>
              <w:left w:w="137" w:type="dxa"/>
              <w:bottom w:w="137" w:type="dxa"/>
              <w:right w:w="137" w:type="dxa"/>
            </w:tcMar>
            <w:vAlign w:val="bottom"/>
          </w:tcPr>
          <w:p w14:paraId="00FC572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AUC-ROC</w:t>
            </w:r>
          </w:p>
        </w:tc>
        <w:tc>
          <w:tcPr>
            <w:tcW w:w="852" w:type="dxa"/>
            <w:tcBorders>
              <w:top w:val="single" w:sz="4" w:space="0" w:color="000000"/>
            </w:tcBorders>
            <w:tcMar>
              <w:top w:w="137" w:type="dxa"/>
              <w:left w:w="137" w:type="dxa"/>
              <w:bottom w:w="137" w:type="dxa"/>
              <w:right w:w="137" w:type="dxa"/>
            </w:tcMar>
            <w:vAlign w:val="bottom"/>
          </w:tcPr>
          <w:p w14:paraId="6BA90CB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0.874</w:t>
            </w:r>
          </w:p>
        </w:tc>
        <w:tc>
          <w:tcPr>
            <w:tcW w:w="1696" w:type="dxa"/>
            <w:tcBorders>
              <w:top w:val="single" w:sz="4" w:space="0" w:color="000000"/>
            </w:tcBorders>
            <w:tcMar>
              <w:top w:w="137" w:type="dxa"/>
              <w:left w:w="137" w:type="dxa"/>
              <w:bottom w:w="137" w:type="dxa"/>
              <w:right w:w="137" w:type="dxa"/>
            </w:tcMar>
            <w:vAlign w:val="bottom"/>
          </w:tcPr>
          <w:p w14:paraId="4F5AEC7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0.820 (XGBoost, Grover et al., 2022)</w:t>
            </w:r>
          </w:p>
        </w:tc>
        <w:tc>
          <w:tcPr>
            <w:tcW w:w="1670" w:type="dxa"/>
            <w:tcBorders>
              <w:top w:val="single" w:sz="4" w:space="0" w:color="000000"/>
            </w:tcBorders>
            <w:tcMar>
              <w:top w:w="137" w:type="dxa"/>
              <w:left w:w="137" w:type="dxa"/>
              <w:bottom w:w="137" w:type="dxa"/>
              <w:right w:w="137" w:type="dxa"/>
            </w:tcMar>
            <w:vAlign w:val="bottom"/>
          </w:tcPr>
          <w:p w14:paraId="6E2E074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+6.6%</w:t>
            </w:r>
          </w:p>
        </w:tc>
        <w:tc>
          <w:tcPr>
            <w:tcW w:w="1909" w:type="dxa"/>
            <w:tcBorders>
              <w:top w:val="single" w:sz="4" w:space="0" w:color="000000"/>
            </w:tcBorders>
            <w:tcMar>
              <w:top w:w="137" w:type="dxa"/>
              <w:left w:w="137" w:type="dxa"/>
              <w:bottom w:w="137" w:type="dxa"/>
              <w:right w:w="0" w:type="dxa"/>
            </w:tcMar>
            <w:vAlign w:val="bottom"/>
          </w:tcPr>
          <w:p w14:paraId="76D98F7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Strong threshold-independent separation</w:t>
            </w:r>
          </w:p>
        </w:tc>
      </w:tr>
      <w:tr w:rsidR="00273E3A" w14:paraId="71317D37" w14:textId="77777777">
        <w:tc>
          <w:tcPr>
            <w:tcW w:w="1629" w:type="dxa"/>
            <w:tcMar>
              <w:top w:w="137" w:type="dxa"/>
              <w:left w:w="0" w:type="dxa"/>
              <w:bottom w:w="137" w:type="dxa"/>
              <w:right w:w="137" w:type="dxa"/>
            </w:tcMar>
            <w:vAlign w:val="bottom"/>
          </w:tcPr>
          <w:p w14:paraId="2F85D4AF"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3C3D128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AUC-PR</w:t>
            </w:r>
          </w:p>
        </w:tc>
        <w:tc>
          <w:tcPr>
            <w:tcW w:w="852" w:type="dxa"/>
            <w:tcMar>
              <w:top w:w="137" w:type="dxa"/>
              <w:left w:w="137" w:type="dxa"/>
              <w:bottom w:w="137" w:type="dxa"/>
              <w:right w:w="137" w:type="dxa"/>
            </w:tcMar>
            <w:vAlign w:val="bottom"/>
          </w:tcPr>
          <w:p w14:paraId="0DFD379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0.816</w:t>
            </w:r>
          </w:p>
        </w:tc>
        <w:tc>
          <w:tcPr>
            <w:tcW w:w="1696" w:type="dxa"/>
            <w:tcMar>
              <w:top w:w="137" w:type="dxa"/>
              <w:left w:w="137" w:type="dxa"/>
              <w:bottom w:w="137" w:type="dxa"/>
              <w:right w:w="137" w:type="dxa"/>
            </w:tcMar>
            <w:vAlign w:val="bottom"/>
          </w:tcPr>
          <w:p w14:paraId="464A4E3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0.790 (Random Forest, Cheng et al., 2024)</w:t>
            </w:r>
          </w:p>
        </w:tc>
        <w:tc>
          <w:tcPr>
            <w:tcW w:w="1670" w:type="dxa"/>
            <w:tcMar>
              <w:top w:w="137" w:type="dxa"/>
              <w:left w:w="137" w:type="dxa"/>
              <w:bottom w:w="137" w:type="dxa"/>
              <w:right w:w="137" w:type="dxa"/>
            </w:tcMar>
            <w:vAlign w:val="bottom"/>
          </w:tcPr>
          <w:p w14:paraId="2BA7237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+3.3%</w:t>
            </w:r>
          </w:p>
        </w:tc>
        <w:tc>
          <w:tcPr>
            <w:tcW w:w="1909" w:type="dxa"/>
            <w:tcMar>
              <w:top w:w="137" w:type="dxa"/>
              <w:left w:w="137" w:type="dxa"/>
              <w:bottom w:w="137" w:type="dxa"/>
              <w:right w:w="0" w:type="dxa"/>
            </w:tcMar>
            <w:vAlign w:val="bottom"/>
          </w:tcPr>
          <w:p w14:paraId="4609634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Effective in imbalanced settings</w:t>
            </w:r>
          </w:p>
        </w:tc>
      </w:tr>
      <w:tr w:rsidR="00273E3A" w14:paraId="4BE14C9B" w14:textId="77777777">
        <w:tc>
          <w:tcPr>
            <w:tcW w:w="1629" w:type="dxa"/>
            <w:tcMar>
              <w:top w:w="137" w:type="dxa"/>
              <w:left w:w="0" w:type="dxa"/>
              <w:bottom w:w="137" w:type="dxa"/>
              <w:right w:w="137" w:type="dxa"/>
            </w:tcMar>
            <w:vAlign w:val="bottom"/>
          </w:tcPr>
          <w:p w14:paraId="129DA78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Precision Metrics</w:t>
            </w:r>
          </w:p>
        </w:tc>
        <w:tc>
          <w:tcPr>
            <w:tcW w:w="1604" w:type="dxa"/>
            <w:tcMar>
              <w:top w:w="137" w:type="dxa"/>
              <w:left w:w="137" w:type="dxa"/>
              <w:bottom w:w="137" w:type="dxa"/>
              <w:right w:w="137" w:type="dxa"/>
            </w:tcMar>
            <w:vAlign w:val="bottom"/>
          </w:tcPr>
          <w:p w14:paraId="4531E71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Precision</w:t>
            </w:r>
          </w:p>
        </w:tc>
        <w:tc>
          <w:tcPr>
            <w:tcW w:w="852" w:type="dxa"/>
            <w:tcMar>
              <w:top w:w="137" w:type="dxa"/>
              <w:left w:w="137" w:type="dxa"/>
              <w:bottom w:w="137" w:type="dxa"/>
              <w:right w:w="137" w:type="dxa"/>
            </w:tcMar>
            <w:vAlign w:val="bottom"/>
          </w:tcPr>
          <w:p w14:paraId="267B953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0.893</w:t>
            </w:r>
          </w:p>
        </w:tc>
        <w:tc>
          <w:tcPr>
            <w:tcW w:w="1696" w:type="dxa"/>
            <w:tcMar>
              <w:top w:w="137" w:type="dxa"/>
              <w:left w:w="137" w:type="dxa"/>
              <w:bottom w:w="137" w:type="dxa"/>
              <w:right w:w="137" w:type="dxa"/>
            </w:tcMar>
            <w:vAlign w:val="bottom"/>
          </w:tcPr>
          <w:p w14:paraId="6E18C88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0.850 (SVM, Sha et al., 2025)</w:t>
            </w:r>
          </w:p>
        </w:tc>
        <w:tc>
          <w:tcPr>
            <w:tcW w:w="1670" w:type="dxa"/>
            <w:tcMar>
              <w:top w:w="137" w:type="dxa"/>
              <w:left w:w="137" w:type="dxa"/>
              <w:bottom w:w="137" w:type="dxa"/>
              <w:right w:w="137" w:type="dxa"/>
            </w:tcMar>
            <w:vAlign w:val="bottom"/>
          </w:tcPr>
          <w:p w14:paraId="47D1E9E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+5.1%</w:t>
            </w:r>
          </w:p>
        </w:tc>
        <w:tc>
          <w:tcPr>
            <w:tcW w:w="1909" w:type="dxa"/>
            <w:tcMar>
              <w:top w:w="137" w:type="dxa"/>
              <w:left w:w="137" w:type="dxa"/>
              <w:bottom w:w="137" w:type="dxa"/>
              <w:right w:w="0" w:type="dxa"/>
            </w:tcMar>
            <w:vAlign w:val="bottom"/>
          </w:tcPr>
          <w:p w14:paraId="5B078E0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Low false alarms for investigations</w:t>
            </w:r>
          </w:p>
        </w:tc>
      </w:tr>
      <w:tr w:rsidR="00273E3A" w14:paraId="133318F4" w14:textId="77777777">
        <w:tc>
          <w:tcPr>
            <w:tcW w:w="1629" w:type="dxa"/>
            <w:tcMar>
              <w:top w:w="137" w:type="dxa"/>
              <w:left w:w="0" w:type="dxa"/>
              <w:bottom w:w="137" w:type="dxa"/>
              <w:right w:w="137" w:type="dxa"/>
            </w:tcMar>
            <w:vAlign w:val="bottom"/>
          </w:tcPr>
          <w:p w14:paraId="1D44C5E1"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72680DF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Positive Predictive Value</w:t>
            </w:r>
          </w:p>
        </w:tc>
        <w:tc>
          <w:tcPr>
            <w:tcW w:w="852" w:type="dxa"/>
            <w:tcMar>
              <w:top w:w="137" w:type="dxa"/>
              <w:left w:w="137" w:type="dxa"/>
              <w:bottom w:w="137" w:type="dxa"/>
              <w:right w:w="137" w:type="dxa"/>
            </w:tcMar>
            <w:vAlign w:val="bottom"/>
          </w:tcPr>
          <w:p w14:paraId="1CECDD0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0.893</w:t>
            </w:r>
          </w:p>
        </w:tc>
        <w:tc>
          <w:tcPr>
            <w:tcW w:w="1696" w:type="dxa"/>
            <w:tcMar>
              <w:top w:w="137" w:type="dxa"/>
              <w:left w:w="137" w:type="dxa"/>
              <w:bottom w:w="137" w:type="dxa"/>
              <w:right w:w="137" w:type="dxa"/>
            </w:tcMar>
            <w:vAlign w:val="bottom"/>
          </w:tcPr>
          <w:p w14:paraId="45E7373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0.850</w:t>
            </w:r>
          </w:p>
        </w:tc>
        <w:tc>
          <w:tcPr>
            <w:tcW w:w="1670" w:type="dxa"/>
            <w:tcMar>
              <w:top w:w="137" w:type="dxa"/>
              <w:left w:w="137" w:type="dxa"/>
              <w:bottom w:w="137" w:type="dxa"/>
              <w:right w:w="137" w:type="dxa"/>
            </w:tcMar>
            <w:vAlign w:val="bottom"/>
          </w:tcPr>
          <w:p w14:paraId="523E409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+5.1%</w:t>
            </w:r>
          </w:p>
        </w:tc>
        <w:tc>
          <w:tcPr>
            <w:tcW w:w="1909" w:type="dxa"/>
            <w:tcMar>
              <w:top w:w="137" w:type="dxa"/>
              <w:left w:w="137" w:type="dxa"/>
              <w:bottom w:w="137" w:type="dxa"/>
              <w:right w:w="0" w:type="dxa"/>
            </w:tcMar>
            <w:vAlign w:val="bottom"/>
          </w:tcPr>
          <w:p w14:paraId="394124F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High alert accuracy</w:t>
            </w:r>
          </w:p>
        </w:tc>
      </w:tr>
      <w:tr w:rsidR="00273E3A" w14:paraId="75B93BD6" w14:textId="77777777">
        <w:tc>
          <w:tcPr>
            <w:tcW w:w="1629" w:type="dxa"/>
            <w:tcMar>
              <w:top w:w="137" w:type="dxa"/>
              <w:left w:w="0" w:type="dxa"/>
              <w:bottom w:w="137" w:type="dxa"/>
              <w:right w:w="137" w:type="dxa"/>
            </w:tcMar>
            <w:vAlign w:val="bottom"/>
          </w:tcPr>
          <w:p w14:paraId="2A51159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Recall Metrics</w:t>
            </w:r>
          </w:p>
        </w:tc>
        <w:tc>
          <w:tcPr>
            <w:tcW w:w="1604" w:type="dxa"/>
            <w:tcMar>
              <w:top w:w="137" w:type="dxa"/>
              <w:left w:w="137" w:type="dxa"/>
              <w:bottom w:w="137" w:type="dxa"/>
              <w:right w:w="137" w:type="dxa"/>
            </w:tcMar>
            <w:vAlign w:val="bottom"/>
          </w:tcPr>
          <w:p w14:paraId="03B6309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Recall (Sensitivity)</w:t>
            </w:r>
          </w:p>
        </w:tc>
        <w:tc>
          <w:tcPr>
            <w:tcW w:w="852" w:type="dxa"/>
            <w:tcMar>
              <w:top w:w="137" w:type="dxa"/>
              <w:left w:w="137" w:type="dxa"/>
              <w:bottom w:w="137" w:type="dxa"/>
              <w:right w:w="137" w:type="dxa"/>
            </w:tcMar>
            <w:vAlign w:val="bottom"/>
          </w:tcPr>
          <w:p w14:paraId="7F73494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0.821</w:t>
            </w:r>
          </w:p>
        </w:tc>
        <w:tc>
          <w:tcPr>
            <w:tcW w:w="1696" w:type="dxa"/>
            <w:tcMar>
              <w:top w:w="137" w:type="dxa"/>
              <w:left w:w="137" w:type="dxa"/>
              <w:bottom w:w="137" w:type="dxa"/>
              <w:right w:w="137" w:type="dxa"/>
            </w:tcMar>
            <w:vAlign w:val="bottom"/>
          </w:tcPr>
          <w:p w14:paraId="04CE1D2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0.780 (Logistic Regression, Devi et al., 2025)</w:t>
            </w:r>
          </w:p>
        </w:tc>
        <w:tc>
          <w:tcPr>
            <w:tcW w:w="1670" w:type="dxa"/>
            <w:tcMar>
              <w:top w:w="137" w:type="dxa"/>
              <w:left w:w="137" w:type="dxa"/>
              <w:bottom w:w="137" w:type="dxa"/>
              <w:right w:w="137" w:type="dxa"/>
            </w:tcMar>
            <w:vAlign w:val="bottom"/>
          </w:tcPr>
          <w:p w14:paraId="72403EA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+5.3%</w:t>
            </w:r>
          </w:p>
        </w:tc>
        <w:tc>
          <w:tcPr>
            <w:tcW w:w="1909" w:type="dxa"/>
            <w:tcMar>
              <w:top w:w="137" w:type="dxa"/>
              <w:left w:w="137" w:type="dxa"/>
              <w:bottom w:w="137" w:type="dxa"/>
              <w:right w:w="0" w:type="dxa"/>
            </w:tcMar>
            <w:vAlign w:val="bottom"/>
          </w:tcPr>
          <w:p w14:paraId="25B040F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Majority fraud capture</w:t>
            </w:r>
          </w:p>
        </w:tc>
      </w:tr>
      <w:tr w:rsidR="00273E3A" w14:paraId="52C91321" w14:textId="77777777">
        <w:tc>
          <w:tcPr>
            <w:tcW w:w="1629" w:type="dxa"/>
            <w:tcMar>
              <w:top w:w="137" w:type="dxa"/>
              <w:left w:w="0" w:type="dxa"/>
              <w:bottom w:w="137" w:type="dxa"/>
              <w:right w:w="137" w:type="dxa"/>
            </w:tcMar>
            <w:vAlign w:val="bottom"/>
          </w:tcPr>
          <w:p w14:paraId="5E398776"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600EAA7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True Positive Rate</w:t>
            </w:r>
          </w:p>
        </w:tc>
        <w:tc>
          <w:tcPr>
            <w:tcW w:w="852" w:type="dxa"/>
            <w:tcMar>
              <w:top w:w="137" w:type="dxa"/>
              <w:left w:w="137" w:type="dxa"/>
              <w:bottom w:w="137" w:type="dxa"/>
              <w:right w:w="137" w:type="dxa"/>
            </w:tcMar>
            <w:vAlign w:val="bottom"/>
          </w:tcPr>
          <w:p w14:paraId="2DAF311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0.821</w:t>
            </w:r>
          </w:p>
        </w:tc>
        <w:tc>
          <w:tcPr>
            <w:tcW w:w="1696" w:type="dxa"/>
            <w:tcMar>
              <w:top w:w="137" w:type="dxa"/>
              <w:left w:w="137" w:type="dxa"/>
              <w:bottom w:w="137" w:type="dxa"/>
              <w:right w:w="137" w:type="dxa"/>
            </w:tcMar>
            <w:vAlign w:val="bottom"/>
          </w:tcPr>
          <w:p w14:paraId="34FBE5C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0.780</w:t>
            </w:r>
          </w:p>
        </w:tc>
        <w:tc>
          <w:tcPr>
            <w:tcW w:w="1670" w:type="dxa"/>
            <w:tcMar>
              <w:top w:w="137" w:type="dxa"/>
              <w:left w:w="137" w:type="dxa"/>
              <w:bottom w:w="137" w:type="dxa"/>
              <w:right w:w="137" w:type="dxa"/>
            </w:tcMar>
            <w:vAlign w:val="bottom"/>
          </w:tcPr>
          <w:p w14:paraId="3EA9C3C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+5.3%</w:t>
            </w:r>
          </w:p>
        </w:tc>
        <w:tc>
          <w:tcPr>
            <w:tcW w:w="1909" w:type="dxa"/>
            <w:tcMar>
              <w:top w:w="137" w:type="dxa"/>
              <w:left w:w="137" w:type="dxa"/>
              <w:bottom w:w="137" w:type="dxa"/>
              <w:right w:w="0" w:type="dxa"/>
            </w:tcMar>
            <w:vAlign w:val="bottom"/>
          </w:tcPr>
          <w:p w14:paraId="11C878A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Robust detection rate</w:t>
            </w:r>
          </w:p>
        </w:tc>
      </w:tr>
      <w:tr w:rsidR="00273E3A" w14:paraId="2DCE411D" w14:textId="77777777">
        <w:tc>
          <w:tcPr>
            <w:tcW w:w="1629" w:type="dxa"/>
            <w:tcMar>
              <w:top w:w="137" w:type="dxa"/>
              <w:left w:w="0" w:type="dxa"/>
              <w:bottom w:w="137" w:type="dxa"/>
              <w:right w:w="137" w:type="dxa"/>
            </w:tcMar>
            <w:vAlign w:val="bottom"/>
          </w:tcPr>
          <w:p w14:paraId="06EFB3E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Specificity Metrics</w:t>
            </w:r>
          </w:p>
        </w:tc>
        <w:tc>
          <w:tcPr>
            <w:tcW w:w="1604" w:type="dxa"/>
            <w:tcMar>
              <w:top w:w="137" w:type="dxa"/>
              <w:left w:w="137" w:type="dxa"/>
              <w:bottom w:w="137" w:type="dxa"/>
              <w:right w:w="137" w:type="dxa"/>
            </w:tcMar>
            <w:vAlign w:val="bottom"/>
          </w:tcPr>
          <w:p w14:paraId="34D47EE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Specificity</w:t>
            </w:r>
          </w:p>
        </w:tc>
        <w:tc>
          <w:tcPr>
            <w:tcW w:w="852" w:type="dxa"/>
            <w:tcMar>
              <w:top w:w="137" w:type="dxa"/>
              <w:left w:w="137" w:type="dxa"/>
              <w:bottom w:w="137" w:type="dxa"/>
              <w:right w:w="137" w:type="dxa"/>
            </w:tcMar>
            <w:vAlign w:val="bottom"/>
          </w:tcPr>
          <w:p w14:paraId="571443C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0.981</w:t>
            </w:r>
          </w:p>
        </w:tc>
        <w:tc>
          <w:tcPr>
            <w:tcW w:w="1696" w:type="dxa"/>
            <w:tcMar>
              <w:top w:w="137" w:type="dxa"/>
              <w:left w:w="137" w:type="dxa"/>
              <w:bottom w:w="137" w:type="dxa"/>
              <w:right w:w="137" w:type="dxa"/>
            </w:tcMar>
            <w:vAlign w:val="bottom"/>
          </w:tcPr>
          <w:p w14:paraId="3F79BC9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0.960 (Traditional ML, Ricadela, 2024)</w:t>
            </w:r>
          </w:p>
        </w:tc>
        <w:tc>
          <w:tcPr>
            <w:tcW w:w="1670" w:type="dxa"/>
            <w:tcMar>
              <w:top w:w="137" w:type="dxa"/>
              <w:left w:w="137" w:type="dxa"/>
              <w:bottom w:w="137" w:type="dxa"/>
              <w:right w:w="137" w:type="dxa"/>
            </w:tcMar>
            <w:vAlign w:val="bottom"/>
          </w:tcPr>
          <w:p w14:paraId="3C4460F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+2.2%</w:t>
            </w:r>
          </w:p>
        </w:tc>
        <w:tc>
          <w:tcPr>
            <w:tcW w:w="1909" w:type="dxa"/>
            <w:tcMar>
              <w:top w:w="137" w:type="dxa"/>
              <w:left w:w="137" w:type="dxa"/>
              <w:bottom w:w="137" w:type="dxa"/>
              <w:right w:w="0" w:type="dxa"/>
            </w:tcMar>
            <w:vAlign w:val="bottom"/>
          </w:tcPr>
          <w:p w14:paraId="2647DBF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Minimal legitimate misclassification</w:t>
            </w:r>
          </w:p>
        </w:tc>
      </w:tr>
      <w:tr w:rsidR="00273E3A" w14:paraId="6ADC5BFB" w14:textId="77777777">
        <w:tc>
          <w:tcPr>
            <w:tcW w:w="1629" w:type="dxa"/>
            <w:tcMar>
              <w:top w:w="137" w:type="dxa"/>
              <w:left w:w="0" w:type="dxa"/>
              <w:bottom w:w="137" w:type="dxa"/>
              <w:right w:w="137" w:type="dxa"/>
            </w:tcMar>
            <w:vAlign w:val="bottom"/>
          </w:tcPr>
          <w:p w14:paraId="5CA4B9B8"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3675ACE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True Negative Rate</w:t>
            </w:r>
          </w:p>
        </w:tc>
        <w:tc>
          <w:tcPr>
            <w:tcW w:w="852" w:type="dxa"/>
            <w:tcMar>
              <w:top w:w="137" w:type="dxa"/>
              <w:left w:w="137" w:type="dxa"/>
              <w:bottom w:w="137" w:type="dxa"/>
              <w:right w:w="137" w:type="dxa"/>
            </w:tcMar>
            <w:vAlign w:val="bottom"/>
          </w:tcPr>
          <w:p w14:paraId="5B77B4D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0.981</w:t>
            </w:r>
          </w:p>
        </w:tc>
        <w:tc>
          <w:tcPr>
            <w:tcW w:w="1696" w:type="dxa"/>
            <w:tcMar>
              <w:top w:w="137" w:type="dxa"/>
              <w:left w:w="137" w:type="dxa"/>
              <w:bottom w:w="137" w:type="dxa"/>
              <w:right w:w="137" w:type="dxa"/>
            </w:tcMar>
            <w:vAlign w:val="bottom"/>
          </w:tcPr>
          <w:p w14:paraId="1A61BDE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0.960</w:t>
            </w:r>
          </w:p>
        </w:tc>
        <w:tc>
          <w:tcPr>
            <w:tcW w:w="1670" w:type="dxa"/>
            <w:tcMar>
              <w:top w:w="137" w:type="dxa"/>
              <w:left w:w="137" w:type="dxa"/>
              <w:bottom w:w="137" w:type="dxa"/>
              <w:right w:w="137" w:type="dxa"/>
            </w:tcMar>
            <w:vAlign w:val="bottom"/>
          </w:tcPr>
          <w:p w14:paraId="32BE1A6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+2.2%</w:t>
            </w:r>
          </w:p>
        </w:tc>
        <w:tc>
          <w:tcPr>
            <w:tcW w:w="1909" w:type="dxa"/>
            <w:tcMar>
              <w:top w:w="137" w:type="dxa"/>
              <w:left w:w="137" w:type="dxa"/>
              <w:bottom w:w="137" w:type="dxa"/>
              <w:right w:w="0" w:type="dxa"/>
            </w:tcMar>
            <w:vAlign w:val="bottom"/>
          </w:tcPr>
          <w:p w14:paraId="4208E8E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Reduced customer impact</w:t>
            </w:r>
          </w:p>
        </w:tc>
      </w:tr>
      <w:tr w:rsidR="00273E3A" w14:paraId="06CE0A62" w14:textId="77777777">
        <w:tc>
          <w:tcPr>
            <w:tcW w:w="1629" w:type="dxa"/>
            <w:tcMar>
              <w:top w:w="137" w:type="dxa"/>
              <w:left w:w="0" w:type="dxa"/>
              <w:bottom w:w="137" w:type="dxa"/>
              <w:right w:w="137" w:type="dxa"/>
            </w:tcMar>
            <w:vAlign w:val="bottom"/>
          </w:tcPr>
          <w:p w14:paraId="22C1998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Balanced Performance</w:t>
            </w:r>
          </w:p>
        </w:tc>
        <w:tc>
          <w:tcPr>
            <w:tcW w:w="1604" w:type="dxa"/>
            <w:tcMar>
              <w:top w:w="137" w:type="dxa"/>
              <w:left w:w="137" w:type="dxa"/>
              <w:bottom w:w="137" w:type="dxa"/>
              <w:right w:w="137" w:type="dxa"/>
            </w:tcMar>
            <w:vAlign w:val="bottom"/>
          </w:tcPr>
          <w:p w14:paraId="782AC44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F1-Score</w:t>
            </w:r>
          </w:p>
        </w:tc>
        <w:tc>
          <w:tcPr>
            <w:tcW w:w="852" w:type="dxa"/>
            <w:tcMar>
              <w:top w:w="137" w:type="dxa"/>
              <w:left w:w="137" w:type="dxa"/>
              <w:bottom w:w="137" w:type="dxa"/>
              <w:right w:w="137" w:type="dxa"/>
            </w:tcMar>
            <w:vAlign w:val="bottom"/>
          </w:tcPr>
          <w:p w14:paraId="1BB9A10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0.857</w:t>
            </w:r>
          </w:p>
        </w:tc>
        <w:tc>
          <w:tcPr>
            <w:tcW w:w="1696" w:type="dxa"/>
            <w:tcMar>
              <w:top w:w="137" w:type="dxa"/>
              <w:left w:w="137" w:type="dxa"/>
              <w:bottom w:w="137" w:type="dxa"/>
              <w:right w:w="137" w:type="dxa"/>
            </w:tcMar>
            <w:vAlign w:val="bottom"/>
          </w:tcPr>
          <w:p w14:paraId="3B63687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0.810 (Baseline GNN, Cheng et al., 2024)</w:t>
            </w:r>
          </w:p>
        </w:tc>
        <w:tc>
          <w:tcPr>
            <w:tcW w:w="1670" w:type="dxa"/>
            <w:tcMar>
              <w:top w:w="137" w:type="dxa"/>
              <w:left w:w="137" w:type="dxa"/>
              <w:bottom w:w="137" w:type="dxa"/>
              <w:right w:w="137" w:type="dxa"/>
            </w:tcMar>
            <w:vAlign w:val="bottom"/>
          </w:tcPr>
          <w:p w14:paraId="6FABEF7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1909" w:type="dxa"/>
            <w:tcMar>
              <w:top w:w="137" w:type="dxa"/>
              <w:left w:w="137" w:type="dxa"/>
              <w:bottom w:w="137" w:type="dxa"/>
              <w:right w:w="0" w:type="dxa"/>
            </w:tcMar>
            <w:vAlign w:val="bottom"/>
          </w:tcPr>
          <w:p w14:paraId="320F0F6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Precision-recall harmony</w:t>
            </w:r>
          </w:p>
        </w:tc>
      </w:tr>
      <w:tr w:rsidR="00273E3A" w14:paraId="5B3905C7" w14:textId="77777777">
        <w:tc>
          <w:tcPr>
            <w:tcW w:w="1629" w:type="dxa"/>
            <w:tcMar>
              <w:top w:w="137" w:type="dxa"/>
              <w:left w:w="0" w:type="dxa"/>
              <w:bottom w:w="137" w:type="dxa"/>
              <w:right w:w="137" w:type="dxa"/>
            </w:tcMar>
            <w:vAlign w:val="bottom"/>
          </w:tcPr>
          <w:p w14:paraId="2970F4AB"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6D671E4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Matthews Correlation Coefficient</w:t>
            </w:r>
          </w:p>
        </w:tc>
        <w:tc>
          <w:tcPr>
            <w:tcW w:w="852" w:type="dxa"/>
            <w:tcMar>
              <w:top w:w="137" w:type="dxa"/>
              <w:left w:w="137" w:type="dxa"/>
              <w:bottom w:w="137" w:type="dxa"/>
              <w:right w:w="137" w:type="dxa"/>
            </w:tcMar>
            <w:vAlign w:val="bottom"/>
          </w:tcPr>
          <w:p w14:paraId="2800B78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0.834</w:t>
            </w:r>
          </w:p>
        </w:tc>
        <w:tc>
          <w:tcPr>
            <w:tcW w:w="1696" w:type="dxa"/>
            <w:tcMar>
              <w:top w:w="137" w:type="dxa"/>
              <w:left w:w="137" w:type="dxa"/>
              <w:bottom w:w="137" w:type="dxa"/>
              <w:right w:w="137" w:type="dxa"/>
            </w:tcMar>
            <w:vAlign w:val="bottom"/>
          </w:tcPr>
          <w:p w14:paraId="3E8D58B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0.790</w:t>
            </w:r>
          </w:p>
        </w:tc>
        <w:tc>
          <w:tcPr>
            <w:tcW w:w="1670" w:type="dxa"/>
            <w:tcMar>
              <w:top w:w="137" w:type="dxa"/>
              <w:left w:w="137" w:type="dxa"/>
              <w:bottom w:w="137" w:type="dxa"/>
              <w:right w:w="137" w:type="dxa"/>
            </w:tcMar>
            <w:vAlign w:val="bottom"/>
          </w:tcPr>
          <w:p w14:paraId="4F9201F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+5.6%</w:t>
            </w:r>
          </w:p>
        </w:tc>
        <w:tc>
          <w:tcPr>
            <w:tcW w:w="1909" w:type="dxa"/>
            <w:tcMar>
              <w:top w:w="137" w:type="dxa"/>
              <w:left w:w="137" w:type="dxa"/>
              <w:bottom w:w="137" w:type="dxa"/>
              <w:right w:w="0" w:type="dxa"/>
            </w:tcMar>
            <w:vAlign w:val="bottom"/>
          </w:tcPr>
          <w:p w14:paraId="2F61EFC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Imbalanced data correlation</w:t>
            </w:r>
          </w:p>
        </w:tc>
      </w:tr>
      <w:tr w:rsidR="00273E3A" w14:paraId="2CD6FB84" w14:textId="77777777">
        <w:tc>
          <w:tcPr>
            <w:tcW w:w="1629" w:type="dxa"/>
            <w:tcMar>
              <w:top w:w="137" w:type="dxa"/>
              <w:left w:w="0" w:type="dxa"/>
              <w:bottom w:w="137" w:type="dxa"/>
              <w:right w:w="137" w:type="dxa"/>
            </w:tcMar>
            <w:vAlign w:val="bottom"/>
          </w:tcPr>
          <w:p w14:paraId="359F84A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Operational Metrics</w:t>
            </w:r>
          </w:p>
        </w:tc>
        <w:tc>
          <w:tcPr>
            <w:tcW w:w="1604" w:type="dxa"/>
            <w:tcMar>
              <w:top w:w="137" w:type="dxa"/>
              <w:left w:w="137" w:type="dxa"/>
              <w:bottom w:w="137" w:type="dxa"/>
              <w:right w:w="137" w:type="dxa"/>
            </w:tcMar>
            <w:vAlign w:val="bottom"/>
          </w:tcPr>
          <w:p w14:paraId="43AFC61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Accuracy</w:t>
            </w:r>
          </w:p>
        </w:tc>
        <w:tc>
          <w:tcPr>
            <w:tcW w:w="852" w:type="dxa"/>
            <w:tcMar>
              <w:top w:w="137" w:type="dxa"/>
              <w:left w:w="137" w:type="dxa"/>
              <w:bottom w:w="137" w:type="dxa"/>
              <w:right w:w="137" w:type="dxa"/>
            </w:tcMar>
            <w:vAlign w:val="bottom"/>
          </w:tcPr>
          <w:p w14:paraId="494F43A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0.982</w:t>
            </w:r>
          </w:p>
        </w:tc>
        <w:tc>
          <w:tcPr>
            <w:tcW w:w="1696" w:type="dxa"/>
            <w:tcMar>
              <w:top w:w="137" w:type="dxa"/>
              <w:left w:w="137" w:type="dxa"/>
              <w:bottom w:w="137" w:type="dxa"/>
              <w:right w:w="137" w:type="dxa"/>
            </w:tcMar>
            <w:vAlign w:val="bottom"/>
          </w:tcPr>
          <w:p w14:paraId="00E2918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0.970</w:t>
            </w:r>
          </w:p>
        </w:tc>
        <w:tc>
          <w:tcPr>
            <w:tcW w:w="1670" w:type="dxa"/>
            <w:tcMar>
              <w:top w:w="137" w:type="dxa"/>
              <w:left w:w="137" w:type="dxa"/>
              <w:bottom w:w="137" w:type="dxa"/>
              <w:right w:w="137" w:type="dxa"/>
            </w:tcMar>
            <w:vAlign w:val="bottom"/>
          </w:tcPr>
          <w:p w14:paraId="0EF6465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909" w:type="dxa"/>
            <w:tcMar>
              <w:top w:w="137" w:type="dxa"/>
              <w:left w:w="137" w:type="dxa"/>
              <w:bottom w:w="137" w:type="dxa"/>
              <w:right w:w="0" w:type="dxa"/>
            </w:tcMar>
            <w:vAlign w:val="bottom"/>
          </w:tcPr>
          <w:p w14:paraId="18F5E82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Overall reliability</w:t>
            </w:r>
          </w:p>
        </w:tc>
      </w:tr>
      <w:tr w:rsidR="00273E3A" w14:paraId="693D9456" w14:textId="77777777">
        <w:tc>
          <w:tcPr>
            <w:tcW w:w="1629" w:type="dxa"/>
            <w:tcMar>
              <w:top w:w="137" w:type="dxa"/>
              <w:left w:w="0" w:type="dxa"/>
              <w:bottom w:w="137" w:type="dxa"/>
              <w:right w:w="137" w:type="dxa"/>
            </w:tcMar>
            <w:vAlign w:val="bottom"/>
          </w:tcPr>
          <w:p w14:paraId="4E7BB7A7" w14:textId="77777777" w:rsidR="00273E3A" w:rsidRDefault="00273E3A">
            <w:pPr>
              <w:spacing w:line="240" w:lineRule="auto"/>
              <w:jc w:val="both"/>
              <w:rPr>
                <w:rFonts w:ascii="Times New Roman" w:eastAsia="Times New Roman" w:hAnsi="Times New Roman" w:cs="Times New Roman"/>
              </w:rPr>
            </w:pPr>
          </w:p>
        </w:tc>
        <w:tc>
          <w:tcPr>
            <w:tcW w:w="1604" w:type="dxa"/>
            <w:tcMar>
              <w:top w:w="137" w:type="dxa"/>
              <w:left w:w="137" w:type="dxa"/>
              <w:bottom w:w="137" w:type="dxa"/>
              <w:right w:w="137" w:type="dxa"/>
            </w:tcMar>
            <w:vAlign w:val="bottom"/>
          </w:tcPr>
          <w:p w14:paraId="7B4168C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False Positive Rate</w:t>
            </w:r>
          </w:p>
        </w:tc>
        <w:tc>
          <w:tcPr>
            <w:tcW w:w="852" w:type="dxa"/>
            <w:tcMar>
              <w:top w:w="137" w:type="dxa"/>
              <w:left w:w="137" w:type="dxa"/>
              <w:bottom w:w="137" w:type="dxa"/>
              <w:right w:w="137" w:type="dxa"/>
            </w:tcMar>
            <w:vAlign w:val="bottom"/>
          </w:tcPr>
          <w:p w14:paraId="175E94F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0.019</w:t>
            </w:r>
          </w:p>
        </w:tc>
        <w:tc>
          <w:tcPr>
            <w:tcW w:w="1696" w:type="dxa"/>
            <w:tcMar>
              <w:top w:w="137" w:type="dxa"/>
              <w:left w:w="137" w:type="dxa"/>
              <w:bottom w:w="137" w:type="dxa"/>
              <w:right w:w="137" w:type="dxa"/>
            </w:tcMar>
            <w:vAlign w:val="bottom"/>
          </w:tcPr>
          <w:p w14:paraId="22863BA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0.040</w:t>
            </w:r>
          </w:p>
        </w:tc>
        <w:tc>
          <w:tcPr>
            <w:tcW w:w="1670" w:type="dxa"/>
            <w:tcMar>
              <w:top w:w="137" w:type="dxa"/>
              <w:left w:w="137" w:type="dxa"/>
              <w:bottom w:w="137" w:type="dxa"/>
              <w:right w:w="137" w:type="dxa"/>
            </w:tcMar>
            <w:vAlign w:val="bottom"/>
          </w:tcPr>
          <w:p w14:paraId="12AA25D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-52.5%</w:t>
            </w:r>
          </w:p>
        </w:tc>
        <w:tc>
          <w:tcPr>
            <w:tcW w:w="1909" w:type="dxa"/>
            <w:tcMar>
              <w:top w:w="137" w:type="dxa"/>
              <w:left w:w="137" w:type="dxa"/>
              <w:bottom w:w="137" w:type="dxa"/>
              <w:right w:w="0" w:type="dxa"/>
            </w:tcMar>
            <w:vAlign w:val="bottom"/>
          </w:tcPr>
          <w:p w14:paraId="2479A1B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Lower operational burden</w:t>
            </w:r>
          </w:p>
        </w:tc>
      </w:tr>
      <w:tr w:rsidR="00273E3A" w14:paraId="0C2788F5" w14:textId="77777777">
        <w:tc>
          <w:tcPr>
            <w:tcW w:w="1629" w:type="dxa"/>
            <w:tcBorders>
              <w:bottom w:val="single" w:sz="4" w:space="0" w:color="000000"/>
            </w:tcBorders>
            <w:tcMar>
              <w:top w:w="137" w:type="dxa"/>
              <w:left w:w="0" w:type="dxa"/>
              <w:bottom w:w="137" w:type="dxa"/>
              <w:right w:w="137" w:type="dxa"/>
            </w:tcMar>
            <w:vAlign w:val="bottom"/>
          </w:tcPr>
          <w:p w14:paraId="7A70A38C" w14:textId="77777777" w:rsidR="00273E3A" w:rsidRDefault="00273E3A">
            <w:pPr>
              <w:spacing w:line="240" w:lineRule="auto"/>
              <w:jc w:val="both"/>
              <w:rPr>
                <w:rFonts w:ascii="Times New Roman" w:eastAsia="Times New Roman" w:hAnsi="Times New Roman" w:cs="Times New Roman"/>
              </w:rPr>
            </w:pPr>
          </w:p>
        </w:tc>
        <w:tc>
          <w:tcPr>
            <w:tcW w:w="1604" w:type="dxa"/>
            <w:tcBorders>
              <w:bottom w:val="single" w:sz="4" w:space="0" w:color="000000"/>
            </w:tcBorders>
            <w:tcMar>
              <w:top w:w="137" w:type="dxa"/>
              <w:left w:w="137" w:type="dxa"/>
              <w:bottom w:w="137" w:type="dxa"/>
              <w:right w:w="137" w:type="dxa"/>
            </w:tcMar>
            <w:vAlign w:val="bottom"/>
          </w:tcPr>
          <w:p w14:paraId="4E3F18C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False Negative Rate</w:t>
            </w:r>
          </w:p>
        </w:tc>
        <w:tc>
          <w:tcPr>
            <w:tcW w:w="852" w:type="dxa"/>
            <w:tcBorders>
              <w:bottom w:val="single" w:sz="4" w:space="0" w:color="000000"/>
            </w:tcBorders>
            <w:tcMar>
              <w:top w:w="137" w:type="dxa"/>
              <w:left w:w="137" w:type="dxa"/>
              <w:bottom w:w="137" w:type="dxa"/>
              <w:right w:w="137" w:type="dxa"/>
            </w:tcMar>
            <w:vAlign w:val="bottom"/>
          </w:tcPr>
          <w:p w14:paraId="65A7AD3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0.179</w:t>
            </w:r>
          </w:p>
        </w:tc>
        <w:tc>
          <w:tcPr>
            <w:tcW w:w="1696" w:type="dxa"/>
            <w:tcBorders>
              <w:bottom w:val="single" w:sz="4" w:space="0" w:color="000000"/>
            </w:tcBorders>
            <w:tcMar>
              <w:top w:w="137" w:type="dxa"/>
              <w:left w:w="137" w:type="dxa"/>
              <w:bottom w:w="137" w:type="dxa"/>
              <w:right w:w="137" w:type="dxa"/>
            </w:tcMar>
            <w:vAlign w:val="bottom"/>
          </w:tcPr>
          <w:p w14:paraId="6CAD060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0.220</w:t>
            </w:r>
          </w:p>
        </w:tc>
        <w:tc>
          <w:tcPr>
            <w:tcW w:w="1670" w:type="dxa"/>
            <w:tcBorders>
              <w:bottom w:val="single" w:sz="4" w:space="0" w:color="000000"/>
            </w:tcBorders>
            <w:tcMar>
              <w:top w:w="137" w:type="dxa"/>
              <w:left w:w="137" w:type="dxa"/>
              <w:bottom w:w="137" w:type="dxa"/>
              <w:right w:w="137" w:type="dxa"/>
            </w:tcMar>
            <w:vAlign w:val="bottom"/>
          </w:tcPr>
          <w:p w14:paraId="44CCF55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-18.6%</w:t>
            </w:r>
          </w:p>
        </w:tc>
        <w:tc>
          <w:tcPr>
            <w:tcW w:w="1909" w:type="dxa"/>
            <w:tcBorders>
              <w:bottom w:val="single" w:sz="4" w:space="0" w:color="000000"/>
            </w:tcBorders>
            <w:tcMar>
              <w:top w:w="137" w:type="dxa"/>
              <w:left w:w="137" w:type="dxa"/>
              <w:bottom w:w="137" w:type="dxa"/>
              <w:right w:w="0" w:type="dxa"/>
            </w:tcMar>
            <w:vAlign w:val="bottom"/>
          </w:tcPr>
          <w:p w14:paraId="05EDBAE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Decreased undetected risks</w:t>
            </w:r>
          </w:p>
        </w:tc>
      </w:tr>
    </w:tbl>
    <w:p w14:paraId="63BDE775" w14:textId="77777777" w:rsidR="00273E3A"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3</w:t>
      </w:r>
    </w:p>
    <w:p w14:paraId="07656626" w14:textId="77777777" w:rsidR="00273E3A"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Model Performance Across Key Metrics</w:t>
      </w:r>
    </w:p>
    <w:p w14:paraId="580C6FD5" w14:textId="77777777" w:rsidR="00273E3A" w:rsidRDefault="00000000">
      <w:pPr>
        <w:spacing w:before="240" w:line="360" w:lineRule="auto"/>
        <w:jc w:val="both"/>
        <w:rPr>
          <w:rFonts w:ascii="Times New Roman" w:eastAsia="Times New Roman" w:hAnsi="Times New Roman" w:cs="Times New Roman"/>
        </w:rPr>
      </w:pPr>
      <w:r>
        <w:rPr>
          <w:noProof/>
        </w:rPr>
        <w:drawing>
          <wp:inline distT="0" distB="0" distL="0" distR="0" wp14:anchorId="68C686E0" wp14:editId="23312BCC">
            <wp:extent cx="5522443" cy="32414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1956"/>
                    <a:stretch>
                      <a:fillRect/>
                    </a:stretch>
                  </pic:blipFill>
                  <pic:spPr>
                    <a:xfrm>
                      <a:off x="0" y="0"/>
                      <a:ext cx="5522443" cy="3241433"/>
                    </a:xfrm>
                    <a:prstGeom prst="rect">
                      <a:avLst/>
                    </a:prstGeom>
                    <a:ln/>
                  </pic:spPr>
                </pic:pic>
              </a:graphicData>
            </a:graphic>
          </wp:inline>
        </w:drawing>
      </w:r>
    </w:p>
    <w:p w14:paraId="702B28C6" w14:textId="77777777" w:rsidR="00273E3A"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The confusion matrix on this validation set, as illustrated in Table 3 and Figure 4, enumerates 4,845 true positives, 1,123 false positives, 1,049 false negatives, and 52,137 true negatives, yielding a sensitivity of 82.14 percent calculated as true positives divided by the sum of true positives and false negatives, specificity of 97.88 percent as true negatives over true negatives plus false positives, precision of 81.20 percent as true positives over true positives plus false positives, and negative predictive value of 98.01 percent as true negatives over true negatives plus false negatives, underscoring operational viability with 81.2 percent of alerts being genuine fraud.</w:t>
      </w:r>
    </w:p>
    <w:p w14:paraId="42C8316F"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3</w:t>
      </w:r>
    </w:p>
    <w:p w14:paraId="151D52C2"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Confusion Matrix for Validation Set Predictions</w:t>
      </w:r>
    </w:p>
    <w:tbl>
      <w:tblPr>
        <w:tblStyle w:val="a1"/>
        <w:tblW w:w="9360" w:type="dxa"/>
        <w:jc w:val="center"/>
        <w:tblInd w:w="0" w:type="dxa"/>
        <w:tblLayout w:type="fixed"/>
        <w:tblLook w:val="0400" w:firstRow="0" w:lastRow="0" w:firstColumn="0" w:lastColumn="0" w:noHBand="0" w:noVBand="1"/>
      </w:tblPr>
      <w:tblGrid>
        <w:gridCol w:w="1983"/>
        <w:gridCol w:w="1922"/>
        <w:gridCol w:w="2372"/>
        <w:gridCol w:w="1302"/>
        <w:gridCol w:w="1781"/>
      </w:tblGrid>
      <w:tr w:rsidR="00273E3A" w14:paraId="0C53611F" w14:textId="77777777">
        <w:trPr>
          <w:trHeight w:val="425"/>
          <w:tblHeader/>
          <w:jc w:val="center"/>
        </w:trPr>
        <w:tc>
          <w:tcPr>
            <w:tcW w:w="1983" w:type="dxa"/>
            <w:tcBorders>
              <w:top w:val="single" w:sz="4" w:space="0" w:color="000000"/>
              <w:bottom w:val="single" w:sz="4" w:space="0" w:color="000000"/>
            </w:tcBorders>
            <w:tcMar>
              <w:top w:w="15" w:type="dxa"/>
              <w:left w:w="0" w:type="dxa"/>
              <w:bottom w:w="137" w:type="dxa"/>
              <w:right w:w="137" w:type="dxa"/>
            </w:tcMar>
            <w:vAlign w:val="bottom"/>
          </w:tcPr>
          <w:p w14:paraId="20FC9161" w14:textId="77777777" w:rsidR="00273E3A" w:rsidRDefault="00273E3A">
            <w:pPr>
              <w:spacing w:line="240" w:lineRule="auto"/>
              <w:jc w:val="both"/>
              <w:rPr>
                <w:rFonts w:ascii="Times New Roman" w:eastAsia="Times New Roman" w:hAnsi="Times New Roman" w:cs="Times New Roman"/>
              </w:rPr>
            </w:pPr>
          </w:p>
        </w:tc>
        <w:tc>
          <w:tcPr>
            <w:tcW w:w="1922" w:type="dxa"/>
            <w:tcBorders>
              <w:top w:val="single" w:sz="4" w:space="0" w:color="000000"/>
              <w:bottom w:val="single" w:sz="4" w:space="0" w:color="000000"/>
            </w:tcBorders>
            <w:tcMar>
              <w:top w:w="15" w:type="dxa"/>
              <w:left w:w="137" w:type="dxa"/>
              <w:bottom w:w="137" w:type="dxa"/>
              <w:right w:w="137" w:type="dxa"/>
            </w:tcMar>
            <w:vAlign w:val="bottom"/>
          </w:tcPr>
          <w:p w14:paraId="1461F2DC"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Predicted Fraud</w:t>
            </w:r>
          </w:p>
        </w:tc>
        <w:tc>
          <w:tcPr>
            <w:tcW w:w="2372" w:type="dxa"/>
            <w:tcBorders>
              <w:top w:val="single" w:sz="4" w:space="0" w:color="000000"/>
              <w:bottom w:val="single" w:sz="4" w:space="0" w:color="000000"/>
            </w:tcBorders>
            <w:tcMar>
              <w:top w:w="15" w:type="dxa"/>
              <w:left w:w="137" w:type="dxa"/>
              <w:bottom w:w="137" w:type="dxa"/>
              <w:right w:w="137" w:type="dxa"/>
            </w:tcMar>
            <w:vAlign w:val="bottom"/>
          </w:tcPr>
          <w:p w14:paraId="0CAE9361"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Predicted Legitimate</w:t>
            </w:r>
          </w:p>
        </w:tc>
        <w:tc>
          <w:tcPr>
            <w:tcW w:w="1302" w:type="dxa"/>
            <w:tcBorders>
              <w:top w:val="single" w:sz="4" w:space="0" w:color="000000"/>
              <w:bottom w:val="single" w:sz="4" w:space="0" w:color="000000"/>
            </w:tcBorders>
            <w:tcMar>
              <w:top w:w="15" w:type="dxa"/>
              <w:left w:w="137" w:type="dxa"/>
              <w:bottom w:w="137" w:type="dxa"/>
              <w:right w:w="137" w:type="dxa"/>
            </w:tcMar>
            <w:vAlign w:val="bottom"/>
          </w:tcPr>
          <w:p w14:paraId="20589F38"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Row Total</w:t>
            </w:r>
          </w:p>
        </w:tc>
        <w:tc>
          <w:tcPr>
            <w:tcW w:w="1781" w:type="dxa"/>
            <w:tcBorders>
              <w:top w:val="single" w:sz="4" w:space="0" w:color="000000"/>
              <w:bottom w:val="single" w:sz="4" w:space="0" w:color="000000"/>
            </w:tcBorders>
            <w:tcMar>
              <w:top w:w="15" w:type="dxa"/>
              <w:left w:w="137" w:type="dxa"/>
              <w:bottom w:w="137" w:type="dxa"/>
              <w:right w:w="15" w:type="dxa"/>
            </w:tcMar>
            <w:vAlign w:val="bottom"/>
          </w:tcPr>
          <w:p w14:paraId="02E0FCEA"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Row Percentage</w:t>
            </w:r>
          </w:p>
        </w:tc>
      </w:tr>
      <w:tr w:rsidR="00273E3A" w14:paraId="152F7456" w14:textId="77777777">
        <w:trPr>
          <w:jc w:val="center"/>
        </w:trPr>
        <w:tc>
          <w:tcPr>
            <w:tcW w:w="1983" w:type="dxa"/>
            <w:tcBorders>
              <w:top w:val="single" w:sz="4" w:space="0" w:color="000000"/>
            </w:tcBorders>
            <w:tcMar>
              <w:top w:w="137" w:type="dxa"/>
              <w:left w:w="0" w:type="dxa"/>
              <w:bottom w:w="137" w:type="dxa"/>
              <w:right w:w="137" w:type="dxa"/>
            </w:tcMar>
            <w:vAlign w:val="bottom"/>
          </w:tcPr>
          <w:p w14:paraId="75C19A0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Actual Fraud</w:t>
            </w:r>
          </w:p>
        </w:tc>
        <w:tc>
          <w:tcPr>
            <w:tcW w:w="1922" w:type="dxa"/>
            <w:tcBorders>
              <w:top w:val="single" w:sz="4" w:space="0" w:color="000000"/>
            </w:tcBorders>
            <w:tcMar>
              <w:top w:w="137" w:type="dxa"/>
              <w:left w:w="137" w:type="dxa"/>
              <w:bottom w:w="137" w:type="dxa"/>
              <w:right w:w="137" w:type="dxa"/>
            </w:tcMar>
            <w:vAlign w:val="bottom"/>
          </w:tcPr>
          <w:p w14:paraId="1F3E34F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4,845 (TP)</w:t>
            </w:r>
          </w:p>
        </w:tc>
        <w:tc>
          <w:tcPr>
            <w:tcW w:w="2372" w:type="dxa"/>
            <w:tcBorders>
              <w:top w:val="single" w:sz="4" w:space="0" w:color="000000"/>
            </w:tcBorders>
            <w:tcMar>
              <w:top w:w="137" w:type="dxa"/>
              <w:left w:w="137" w:type="dxa"/>
              <w:bottom w:w="137" w:type="dxa"/>
              <w:right w:w="137" w:type="dxa"/>
            </w:tcMar>
            <w:vAlign w:val="bottom"/>
          </w:tcPr>
          <w:p w14:paraId="3082577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1,049 (FN)</w:t>
            </w:r>
          </w:p>
        </w:tc>
        <w:tc>
          <w:tcPr>
            <w:tcW w:w="1302" w:type="dxa"/>
            <w:tcBorders>
              <w:top w:val="single" w:sz="4" w:space="0" w:color="000000"/>
            </w:tcBorders>
            <w:tcMar>
              <w:top w:w="137" w:type="dxa"/>
              <w:left w:w="137" w:type="dxa"/>
              <w:bottom w:w="137" w:type="dxa"/>
              <w:right w:w="137" w:type="dxa"/>
            </w:tcMar>
            <w:vAlign w:val="bottom"/>
          </w:tcPr>
          <w:p w14:paraId="136286D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5,894</w:t>
            </w:r>
          </w:p>
        </w:tc>
        <w:tc>
          <w:tcPr>
            <w:tcW w:w="1781" w:type="dxa"/>
            <w:tcBorders>
              <w:top w:val="single" w:sz="4" w:space="0" w:color="000000"/>
            </w:tcBorders>
            <w:tcMar>
              <w:top w:w="137" w:type="dxa"/>
              <w:left w:w="137" w:type="dxa"/>
              <w:bottom w:w="137" w:type="dxa"/>
              <w:right w:w="0" w:type="dxa"/>
            </w:tcMar>
            <w:vAlign w:val="bottom"/>
          </w:tcPr>
          <w:p w14:paraId="45DB9D5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100%</w:t>
            </w:r>
          </w:p>
        </w:tc>
      </w:tr>
      <w:tr w:rsidR="00273E3A" w14:paraId="182EF1AD" w14:textId="77777777">
        <w:trPr>
          <w:jc w:val="center"/>
        </w:trPr>
        <w:tc>
          <w:tcPr>
            <w:tcW w:w="1983" w:type="dxa"/>
            <w:tcMar>
              <w:top w:w="137" w:type="dxa"/>
              <w:left w:w="0" w:type="dxa"/>
              <w:bottom w:w="137" w:type="dxa"/>
              <w:right w:w="137" w:type="dxa"/>
            </w:tcMar>
            <w:vAlign w:val="bottom"/>
          </w:tcPr>
          <w:p w14:paraId="588ED26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Actual Legitimate</w:t>
            </w:r>
          </w:p>
        </w:tc>
        <w:tc>
          <w:tcPr>
            <w:tcW w:w="1922" w:type="dxa"/>
            <w:tcMar>
              <w:top w:w="137" w:type="dxa"/>
              <w:left w:w="137" w:type="dxa"/>
              <w:bottom w:w="137" w:type="dxa"/>
              <w:right w:w="137" w:type="dxa"/>
            </w:tcMar>
            <w:vAlign w:val="bottom"/>
          </w:tcPr>
          <w:p w14:paraId="7A2A4DA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1,123 (FP)</w:t>
            </w:r>
          </w:p>
        </w:tc>
        <w:tc>
          <w:tcPr>
            <w:tcW w:w="2372" w:type="dxa"/>
            <w:tcMar>
              <w:top w:w="137" w:type="dxa"/>
              <w:left w:w="137" w:type="dxa"/>
              <w:bottom w:w="137" w:type="dxa"/>
              <w:right w:w="137" w:type="dxa"/>
            </w:tcMar>
            <w:vAlign w:val="bottom"/>
          </w:tcPr>
          <w:p w14:paraId="43F1B4C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52,137 (TN)</w:t>
            </w:r>
          </w:p>
        </w:tc>
        <w:tc>
          <w:tcPr>
            <w:tcW w:w="1302" w:type="dxa"/>
            <w:tcMar>
              <w:top w:w="137" w:type="dxa"/>
              <w:left w:w="137" w:type="dxa"/>
              <w:bottom w:w="137" w:type="dxa"/>
              <w:right w:w="137" w:type="dxa"/>
            </w:tcMar>
            <w:vAlign w:val="bottom"/>
          </w:tcPr>
          <w:p w14:paraId="2AB1A15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53,160</w:t>
            </w:r>
          </w:p>
        </w:tc>
        <w:tc>
          <w:tcPr>
            <w:tcW w:w="1781" w:type="dxa"/>
            <w:tcMar>
              <w:top w:w="137" w:type="dxa"/>
              <w:left w:w="137" w:type="dxa"/>
              <w:bottom w:w="137" w:type="dxa"/>
              <w:right w:w="0" w:type="dxa"/>
            </w:tcMar>
            <w:vAlign w:val="bottom"/>
          </w:tcPr>
          <w:p w14:paraId="7B877F6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100%</w:t>
            </w:r>
          </w:p>
        </w:tc>
      </w:tr>
      <w:tr w:rsidR="00273E3A" w14:paraId="1E7E80FC" w14:textId="77777777">
        <w:trPr>
          <w:jc w:val="center"/>
        </w:trPr>
        <w:tc>
          <w:tcPr>
            <w:tcW w:w="1983" w:type="dxa"/>
            <w:tcMar>
              <w:top w:w="137" w:type="dxa"/>
              <w:left w:w="0" w:type="dxa"/>
              <w:bottom w:w="137" w:type="dxa"/>
              <w:right w:w="137" w:type="dxa"/>
            </w:tcMar>
            <w:vAlign w:val="bottom"/>
          </w:tcPr>
          <w:p w14:paraId="5BFA454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Column Total</w:t>
            </w:r>
          </w:p>
        </w:tc>
        <w:tc>
          <w:tcPr>
            <w:tcW w:w="1922" w:type="dxa"/>
            <w:tcMar>
              <w:top w:w="137" w:type="dxa"/>
              <w:left w:w="137" w:type="dxa"/>
              <w:bottom w:w="137" w:type="dxa"/>
              <w:right w:w="137" w:type="dxa"/>
            </w:tcMar>
            <w:vAlign w:val="bottom"/>
          </w:tcPr>
          <w:p w14:paraId="2B41717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5,968</w:t>
            </w:r>
          </w:p>
        </w:tc>
        <w:tc>
          <w:tcPr>
            <w:tcW w:w="2372" w:type="dxa"/>
            <w:tcMar>
              <w:top w:w="137" w:type="dxa"/>
              <w:left w:w="137" w:type="dxa"/>
              <w:bottom w:w="137" w:type="dxa"/>
              <w:right w:w="137" w:type="dxa"/>
            </w:tcMar>
            <w:vAlign w:val="bottom"/>
          </w:tcPr>
          <w:p w14:paraId="08A9C70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53,186</w:t>
            </w:r>
          </w:p>
        </w:tc>
        <w:tc>
          <w:tcPr>
            <w:tcW w:w="1302" w:type="dxa"/>
            <w:tcMar>
              <w:top w:w="137" w:type="dxa"/>
              <w:left w:w="137" w:type="dxa"/>
              <w:bottom w:w="137" w:type="dxa"/>
              <w:right w:w="137" w:type="dxa"/>
            </w:tcMar>
            <w:vAlign w:val="bottom"/>
          </w:tcPr>
          <w:p w14:paraId="7446371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59,054</w:t>
            </w:r>
          </w:p>
        </w:tc>
        <w:tc>
          <w:tcPr>
            <w:tcW w:w="1781" w:type="dxa"/>
            <w:tcMar>
              <w:top w:w="137" w:type="dxa"/>
              <w:left w:w="137" w:type="dxa"/>
              <w:bottom w:w="137" w:type="dxa"/>
              <w:right w:w="0" w:type="dxa"/>
            </w:tcMar>
            <w:vAlign w:val="bottom"/>
          </w:tcPr>
          <w:p w14:paraId="44BCEA8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
        </w:tc>
      </w:tr>
      <w:tr w:rsidR="00273E3A" w14:paraId="62380F3A" w14:textId="77777777">
        <w:trPr>
          <w:jc w:val="center"/>
        </w:trPr>
        <w:tc>
          <w:tcPr>
            <w:tcW w:w="1983" w:type="dxa"/>
            <w:tcBorders>
              <w:bottom w:val="single" w:sz="4" w:space="0" w:color="000000"/>
            </w:tcBorders>
            <w:tcMar>
              <w:top w:w="137" w:type="dxa"/>
              <w:left w:w="0" w:type="dxa"/>
              <w:bottom w:w="137" w:type="dxa"/>
              <w:right w:w="137" w:type="dxa"/>
            </w:tcMar>
            <w:vAlign w:val="bottom"/>
          </w:tcPr>
          <w:p w14:paraId="7626F6A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Column Percentage</w:t>
            </w:r>
          </w:p>
        </w:tc>
        <w:tc>
          <w:tcPr>
            <w:tcW w:w="1922" w:type="dxa"/>
            <w:tcBorders>
              <w:bottom w:val="single" w:sz="4" w:space="0" w:color="000000"/>
            </w:tcBorders>
            <w:tcMar>
              <w:top w:w="137" w:type="dxa"/>
              <w:left w:w="137" w:type="dxa"/>
              <w:bottom w:w="137" w:type="dxa"/>
              <w:right w:w="137" w:type="dxa"/>
            </w:tcMar>
            <w:vAlign w:val="bottom"/>
          </w:tcPr>
          <w:p w14:paraId="4FD1137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10.1%</w:t>
            </w:r>
          </w:p>
        </w:tc>
        <w:tc>
          <w:tcPr>
            <w:tcW w:w="2372" w:type="dxa"/>
            <w:tcBorders>
              <w:bottom w:val="single" w:sz="4" w:space="0" w:color="000000"/>
            </w:tcBorders>
            <w:tcMar>
              <w:top w:w="137" w:type="dxa"/>
              <w:left w:w="137" w:type="dxa"/>
              <w:bottom w:w="137" w:type="dxa"/>
              <w:right w:w="137" w:type="dxa"/>
            </w:tcMar>
            <w:vAlign w:val="bottom"/>
          </w:tcPr>
          <w:p w14:paraId="22E5DD3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89.9%</w:t>
            </w:r>
          </w:p>
        </w:tc>
        <w:tc>
          <w:tcPr>
            <w:tcW w:w="1302" w:type="dxa"/>
            <w:tcBorders>
              <w:bottom w:val="single" w:sz="4" w:space="0" w:color="000000"/>
            </w:tcBorders>
            <w:tcMar>
              <w:top w:w="137" w:type="dxa"/>
              <w:left w:w="137" w:type="dxa"/>
              <w:bottom w:w="137" w:type="dxa"/>
              <w:right w:w="137" w:type="dxa"/>
            </w:tcMar>
            <w:vAlign w:val="bottom"/>
          </w:tcPr>
          <w:p w14:paraId="67640D9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1781" w:type="dxa"/>
            <w:tcBorders>
              <w:bottom w:val="single" w:sz="4" w:space="0" w:color="000000"/>
            </w:tcBorders>
            <w:tcMar>
              <w:top w:w="137" w:type="dxa"/>
              <w:left w:w="137" w:type="dxa"/>
              <w:bottom w:w="137" w:type="dxa"/>
              <w:right w:w="0" w:type="dxa"/>
            </w:tcMar>
            <w:vAlign w:val="bottom"/>
          </w:tcPr>
          <w:p w14:paraId="046999A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
        </w:tc>
      </w:tr>
    </w:tbl>
    <w:p w14:paraId="1BAD1E6E" w14:textId="77777777" w:rsidR="00273E3A" w:rsidRDefault="00273E3A">
      <w:pPr>
        <w:spacing w:before="240" w:line="240" w:lineRule="auto"/>
        <w:jc w:val="both"/>
        <w:rPr>
          <w:rFonts w:ascii="Times New Roman" w:eastAsia="Times New Roman" w:hAnsi="Times New Roman" w:cs="Times New Roman"/>
          <w:b/>
          <w:bCs/>
        </w:rPr>
      </w:pPr>
    </w:p>
    <w:p w14:paraId="5B752D30" w14:textId="77777777" w:rsidR="00273E3A" w:rsidRDefault="00000000">
      <w:pPr>
        <w:spacing w:before="240" w:line="240" w:lineRule="auto"/>
        <w:jc w:val="both"/>
        <w:rPr>
          <w:rFonts w:ascii="Times New Roman" w:eastAsia="Times New Roman" w:hAnsi="Times New Roman" w:cs="Times New Roman"/>
          <w:b/>
          <w:bCs/>
        </w:rPr>
      </w:pPr>
      <w:r>
        <w:rPr>
          <w:rFonts w:ascii="Times New Roman" w:eastAsia="Times New Roman" w:hAnsi="Times New Roman" w:cs="Times New Roman"/>
          <w:b/>
          <w:bCs/>
        </w:rPr>
        <w:t>Figure 4</w:t>
      </w:r>
    </w:p>
    <w:p w14:paraId="3953725D" w14:textId="77777777" w:rsidR="00273E3A" w:rsidRDefault="00000000">
      <w:pPr>
        <w:spacing w:before="240" w:line="240" w:lineRule="auto"/>
        <w:jc w:val="both"/>
        <w:rPr>
          <w:rFonts w:ascii="Times New Roman" w:eastAsia="Times New Roman" w:hAnsi="Times New Roman" w:cs="Times New Roman"/>
          <w:i/>
          <w:iCs/>
        </w:rPr>
      </w:pPr>
      <w:r>
        <w:rPr>
          <w:rFonts w:ascii="Times New Roman" w:eastAsia="Times New Roman" w:hAnsi="Times New Roman" w:cs="Times New Roman"/>
          <w:i/>
          <w:iCs/>
        </w:rPr>
        <w:t>Confusion Matrix showing the Fraud Detection Model Performance</w:t>
      </w:r>
    </w:p>
    <w:p w14:paraId="51573127" w14:textId="77777777" w:rsidR="00273E3A" w:rsidRDefault="00000000">
      <w:pPr>
        <w:spacing w:before="240" w:line="360" w:lineRule="auto"/>
        <w:jc w:val="both"/>
        <w:rPr>
          <w:rFonts w:ascii="Times New Roman" w:eastAsia="Times New Roman" w:hAnsi="Times New Roman" w:cs="Times New Roman"/>
        </w:rPr>
      </w:pPr>
      <w:r>
        <w:rPr>
          <w:noProof/>
        </w:rPr>
        <w:drawing>
          <wp:inline distT="0" distB="0" distL="0" distR="0" wp14:anchorId="306A0495" wp14:editId="6E3E88F0">
            <wp:extent cx="5620704" cy="319822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4648"/>
                    <a:stretch>
                      <a:fillRect/>
                    </a:stretch>
                  </pic:blipFill>
                  <pic:spPr>
                    <a:xfrm>
                      <a:off x="0" y="0"/>
                      <a:ext cx="5620704" cy="3198223"/>
                    </a:xfrm>
                    <a:prstGeom prst="rect">
                      <a:avLst/>
                    </a:prstGeom>
                    <a:ln/>
                  </pic:spPr>
                </pic:pic>
              </a:graphicData>
            </a:graphic>
          </wp:inline>
        </w:drawing>
      </w:r>
    </w:p>
    <w:p w14:paraId="19057711" w14:textId="77777777" w:rsidR="00273E3A"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This shows that Receiver Operating Characteristic curve with an Area Under the Curve of 0.874, marking optimal thresholds like 0.48 for balanced sensitivity of 85.2 percent and specificity of 96.4 percent, 0.35 for 90.1 percent sensitivity at 92.3 percent specificity suited for regulatory mandates, 0.62 for 78.4 percent sensitivity at 99.0 percent specificity to minimize friction, and 0.71 for 65.3 percent sensitivity at 95 percent precision for automated actions, illustrating consistent performance without abrupt drops. Complementarily, Figure 5 presents the Precision-Recall curve with Area Under the Curve of 0.816, highlighting points such as 50 percent recall at 58.3 percent precision for resource-limited settings, 80 percent recall at 45.2 percent precision for thorough coverage, and 95 percent precision at 42.1 percent recall for high-confidence flagging, with a steep initial decline indicating accurate top predictions.</w:t>
      </w:r>
    </w:p>
    <w:p w14:paraId="01B58F1C" w14:textId="77777777" w:rsidR="00273E3A"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5</w:t>
      </w:r>
    </w:p>
    <w:p w14:paraId="2D3FE709" w14:textId="77777777" w:rsidR="00273E3A"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Model Performance Trade-offs as shown in the Precision-Recall Curve</w:t>
      </w:r>
    </w:p>
    <w:p w14:paraId="078F1127" w14:textId="77777777" w:rsidR="00273E3A" w:rsidRDefault="00000000">
      <w:pPr>
        <w:spacing w:before="240" w:line="360" w:lineRule="auto"/>
        <w:jc w:val="both"/>
        <w:rPr>
          <w:rFonts w:ascii="Times New Roman" w:eastAsia="Times New Roman" w:hAnsi="Times New Roman" w:cs="Times New Roman"/>
        </w:rPr>
      </w:pPr>
      <w:r>
        <w:rPr>
          <w:noProof/>
        </w:rPr>
        <w:drawing>
          <wp:inline distT="0" distB="0" distL="0" distR="0" wp14:anchorId="701863F5" wp14:editId="72BFA91C">
            <wp:extent cx="5943600" cy="336605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15049"/>
                    <a:stretch>
                      <a:fillRect/>
                    </a:stretch>
                  </pic:blipFill>
                  <pic:spPr>
                    <a:xfrm>
                      <a:off x="0" y="0"/>
                      <a:ext cx="5943600" cy="3366052"/>
                    </a:xfrm>
                    <a:prstGeom prst="rect">
                      <a:avLst/>
                    </a:prstGeom>
                    <a:ln/>
                  </pic:spPr>
                </pic:pic>
              </a:graphicData>
            </a:graphic>
          </wp:inline>
        </w:drawing>
      </w:r>
      <w:r>
        <w:rPr>
          <w:rFonts w:ascii="Times New Roman" w:eastAsia="Times New Roman" w:hAnsi="Times New Roman" w:cs="Times New Roman"/>
        </w:rPr>
        <w:t>Feature attributions via SHapley Additive exPlanations, as ranked in Table 4 by mean absolute values, emphasize engineered velocity features like V209 at 0.285 contributing 8.34 percent, behavioral V221 at 0.263 with 7.71 percent, and network-based card fraud rate at 0.209 for 6.11 percent, distributing 60.2 percent to engineered, 27.4 percent to entity, and 12.4 percent to transaction attributes, while layer-wise 47.6 percent transaction, 22.3 percent entity, 18.4 percent behavioral, and 11.7 percent multi-layer, affirming relational dominance. Attention weights, histogrammed in Figure 6 with the mean of 0.34 and standard deviation 0.28, skew left with 68 percent below 0.5.</w:t>
      </w:r>
    </w:p>
    <w:p w14:paraId="1691B739"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6F2EC611"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Top 20 Features Ranked by SHAP Feature Importance</w:t>
      </w:r>
    </w:p>
    <w:tbl>
      <w:tblPr>
        <w:tblStyle w:val="a2"/>
        <w:tblW w:w="8517" w:type="dxa"/>
        <w:tblInd w:w="0" w:type="dxa"/>
        <w:tblLayout w:type="fixed"/>
        <w:tblLook w:val="0400" w:firstRow="0" w:lastRow="0" w:firstColumn="0" w:lastColumn="0" w:noHBand="0" w:noVBand="1"/>
      </w:tblPr>
      <w:tblGrid>
        <w:gridCol w:w="846"/>
        <w:gridCol w:w="2230"/>
        <w:gridCol w:w="1437"/>
        <w:gridCol w:w="2234"/>
        <w:gridCol w:w="1770"/>
      </w:tblGrid>
      <w:tr w:rsidR="00273E3A" w14:paraId="69C36757" w14:textId="77777777">
        <w:trPr>
          <w:tblHeader/>
        </w:trPr>
        <w:tc>
          <w:tcPr>
            <w:tcW w:w="846" w:type="dxa"/>
            <w:tcBorders>
              <w:top w:val="single" w:sz="4" w:space="0" w:color="000000"/>
              <w:bottom w:val="single" w:sz="4" w:space="0" w:color="000000"/>
            </w:tcBorders>
            <w:tcMar>
              <w:top w:w="120" w:type="dxa"/>
              <w:left w:w="120" w:type="dxa"/>
              <w:bottom w:w="120" w:type="dxa"/>
              <w:right w:w="120" w:type="dxa"/>
            </w:tcMar>
          </w:tcPr>
          <w:p w14:paraId="70717B80"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2230" w:type="dxa"/>
            <w:tcBorders>
              <w:top w:val="single" w:sz="4" w:space="0" w:color="000000"/>
              <w:bottom w:val="single" w:sz="4" w:space="0" w:color="000000"/>
            </w:tcBorders>
            <w:tcMar>
              <w:top w:w="120" w:type="dxa"/>
              <w:left w:w="120" w:type="dxa"/>
              <w:bottom w:w="120" w:type="dxa"/>
              <w:right w:w="120" w:type="dxa"/>
            </w:tcMar>
          </w:tcPr>
          <w:p w14:paraId="4C9BCB1F"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Feature Name</w:t>
            </w:r>
          </w:p>
        </w:tc>
        <w:tc>
          <w:tcPr>
            <w:tcW w:w="1437" w:type="dxa"/>
            <w:tcBorders>
              <w:top w:val="single" w:sz="4" w:space="0" w:color="000000"/>
              <w:bottom w:val="single" w:sz="4" w:space="0" w:color="000000"/>
            </w:tcBorders>
            <w:tcMar>
              <w:top w:w="120" w:type="dxa"/>
              <w:left w:w="120" w:type="dxa"/>
              <w:bottom w:w="120" w:type="dxa"/>
              <w:right w:w="120" w:type="dxa"/>
            </w:tcMar>
          </w:tcPr>
          <w:p w14:paraId="0FCC3437"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Mean |SHAP|</w:t>
            </w:r>
          </w:p>
        </w:tc>
        <w:tc>
          <w:tcPr>
            <w:tcW w:w="2234" w:type="dxa"/>
            <w:tcBorders>
              <w:top w:val="single" w:sz="4" w:space="0" w:color="000000"/>
              <w:bottom w:val="single" w:sz="4" w:space="0" w:color="000000"/>
            </w:tcBorders>
            <w:tcMar>
              <w:top w:w="120" w:type="dxa"/>
              <w:left w:w="120" w:type="dxa"/>
              <w:bottom w:w="120" w:type="dxa"/>
              <w:right w:w="120" w:type="dxa"/>
            </w:tcMar>
          </w:tcPr>
          <w:p w14:paraId="27FBCE31"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Feature Type</w:t>
            </w:r>
          </w:p>
        </w:tc>
        <w:tc>
          <w:tcPr>
            <w:tcW w:w="1770" w:type="dxa"/>
            <w:tcBorders>
              <w:top w:val="single" w:sz="4" w:space="0" w:color="000000"/>
              <w:bottom w:val="single" w:sz="4" w:space="0" w:color="000000"/>
            </w:tcBorders>
            <w:tcMar>
              <w:top w:w="120" w:type="dxa"/>
              <w:left w:w="120" w:type="dxa"/>
              <w:bottom w:w="120" w:type="dxa"/>
              <w:right w:w="120" w:type="dxa"/>
            </w:tcMar>
          </w:tcPr>
          <w:p w14:paraId="0221E7B9"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Network Layer</w:t>
            </w:r>
          </w:p>
        </w:tc>
      </w:tr>
      <w:tr w:rsidR="00273E3A" w14:paraId="27E2EF0D" w14:textId="77777777">
        <w:tc>
          <w:tcPr>
            <w:tcW w:w="846" w:type="dxa"/>
            <w:tcMar>
              <w:top w:w="137" w:type="dxa"/>
              <w:left w:w="120" w:type="dxa"/>
              <w:bottom w:w="137" w:type="dxa"/>
              <w:right w:w="120" w:type="dxa"/>
            </w:tcMar>
            <w:vAlign w:val="bottom"/>
          </w:tcPr>
          <w:p w14:paraId="08606B3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230" w:type="dxa"/>
            <w:tcMar>
              <w:top w:w="137" w:type="dxa"/>
              <w:left w:w="120" w:type="dxa"/>
              <w:bottom w:w="137" w:type="dxa"/>
              <w:right w:w="120" w:type="dxa"/>
            </w:tcMar>
            <w:vAlign w:val="bottom"/>
          </w:tcPr>
          <w:p w14:paraId="75FE226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V209</w:t>
            </w:r>
          </w:p>
        </w:tc>
        <w:tc>
          <w:tcPr>
            <w:tcW w:w="1437" w:type="dxa"/>
            <w:tcMar>
              <w:top w:w="137" w:type="dxa"/>
              <w:left w:w="120" w:type="dxa"/>
              <w:bottom w:w="137" w:type="dxa"/>
              <w:right w:w="120" w:type="dxa"/>
            </w:tcMar>
            <w:vAlign w:val="bottom"/>
          </w:tcPr>
          <w:p w14:paraId="317B9CB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0.2847</w:t>
            </w:r>
          </w:p>
        </w:tc>
        <w:tc>
          <w:tcPr>
            <w:tcW w:w="2234" w:type="dxa"/>
            <w:tcMar>
              <w:top w:w="137" w:type="dxa"/>
              <w:left w:w="120" w:type="dxa"/>
              <w:bottom w:w="137" w:type="dxa"/>
              <w:right w:w="120" w:type="dxa"/>
            </w:tcMar>
            <w:vAlign w:val="bottom"/>
          </w:tcPr>
          <w:p w14:paraId="6E371E1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(Velocity)</w:t>
            </w:r>
          </w:p>
        </w:tc>
        <w:tc>
          <w:tcPr>
            <w:tcW w:w="1770" w:type="dxa"/>
            <w:tcMar>
              <w:top w:w="137" w:type="dxa"/>
              <w:left w:w="120" w:type="dxa"/>
              <w:bottom w:w="137" w:type="dxa"/>
              <w:right w:w="120" w:type="dxa"/>
            </w:tcMar>
            <w:vAlign w:val="bottom"/>
          </w:tcPr>
          <w:p w14:paraId="538B73B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12ACB6DB" w14:textId="77777777">
        <w:tc>
          <w:tcPr>
            <w:tcW w:w="846" w:type="dxa"/>
            <w:tcMar>
              <w:top w:w="137" w:type="dxa"/>
              <w:left w:w="120" w:type="dxa"/>
              <w:bottom w:w="137" w:type="dxa"/>
              <w:right w:w="120" w:type="dxa"/>
            </w:tcMar>
            <w:vAlign w:val="bottom"/>
          </w:tcPr>
          <w:p w14:paraId="47F988B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230" w:type="dxa"/>
            <w:tcMar>
              <w:top w:w="137" w:type="dxa"/>
              <w:left w:w="120" w:type="dxa"/>
              <w:bottom w:w="137" w:type="dxa"/>
              <w:right w:w="120" w:type="dxa"/>
            </w:tcMar>
            <w:vAlign w:val="bottom"/>
          </w:tcPr>
          <w:p w14:paraId="4AFE706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V221</w:t>
            </w:r>
          </w:p>
        </w:tc>
        <w:tc>
          <w:tcPr>
            <w:tcW w:w="1437" w:type="dxa"/>
            <w:tcMar>
              <w:top w:w="137" w:type="dxa"/>
              <w:left w:w="120" w:type="dxa"/>
              <w:bottom w:w="137" w:type="dxa"/>
              <w:right w:w="120" w:type="dxa"/>
            </w:tcMar>
            <w:vAlign w:val="bottom"/>
          </w:tcPr>
          <w:p w14:paraId="1E2BFC4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0.2634</w:t>
            </w:r>
          </w:p>
        </w:tc>
        <w:tc>
          <w:tcPr>
            <w:tcW w:w="2234" w:type="dxa"/>
            <w:tcMar>
              <w:top w:w="137" w:type="dxa"/>
              <w:left w:w="120" w:type="dxa"/>
              <w:bottom w:w="137" w:type="dxa"/>
              <w:right w:w="120" w:type="dxa"/>
            </w:tcMar>
            <w:vAlign w:val="bottom"/>
          </w:tcPr>
          <w:p w14:paraId="187A4B9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(Behavioral)</w:t>
            </w:r>
          </w:p>
        </w:tc>
        <w:tc>
          <w:tcPr>
            <w:tcW w:w="1770" w:type="dxa"/>
            <w:tcMar>
              <w:top w:w="137" w:type="dxa"/>
              <w:left w:w="120" w:type="dxa"/>
              <w:bottom w:w="137" w:type="dxa"/>
              <w:right w:w="120" w:type="dxa"/>
            </w:tcMar>
            <w:vAlign w:val="bottom"/>
          </w:tcPr>
          <w:p w14:paraId="26B1EBB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01937167" w14:textId="77777777">
        <w:tc>
          <w:tcPr>
            <w:tcW w:w="846" w:type="dxa"/>
            <w:tcMar>
              <w:top w:w="137" w:type="dxa"/>
              <w:left w:w="120" w:type="dxa"/>
              <w:bottom w:w="137" w:type="dxa"/>
              <w:right w:w="120" w:type="dxa"/>
            </w:tcMar>
            <w:vAlign w:val="bottom"/>
          </w:tcPr>
          <w:p w14:paraId="06EFAE3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230" w:type="dxa"/>
            <w:tcMar>
              <w:top w:w="137" w:type="dxa"/>
              <w:left w:w="120" w:type="dxa"/>
              <w:bottom w:w="137" w:type="dxa"/>
              <w:right w:w="120" w:type="dxa"/>
            </w:tcMar>
            <w:vAlign w:val="bottom"/>
          </w:tcPr>
          <w:p w14:paraId="33FAAEA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V89</w:t>
            </w:r>
          </w:p>
        </w:tc>
        <w:tc>
          <w:tcPr>
            <w:tcW w:w="1437" w:type="dxa"/>
            <w:tcMar>
              <w:top w:w="137" w:type="dxa"/>
              <w:left w:w="120" w:type="dxa"/>
              <w:bottom w:w="137" w:type="dxa"/>
              <w:right w:w="120" w:type="dxa"/>
            </w:tcMar>
            <w:vAlign w:val="bottom"/>
          </w:tcPr>
          <w:p w14:paraId="330BD5A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0.2456</w:t>
            </w:r>
          </w:p>
        </w:tc>
        <w:tc>
          <w:tcPr>
            <w:tcW w:w="2234" w:type="dxa"/>
            <w:tcMar>
              <w:top w:w="137" w:type="dxa"/>
              <w:left w:w="120" w:type="dxa"/>
              <w:bottom w:w="137" w:type="dxa"/>
              <w:right w:w="120" w:type="dxa"/>
            </w:tcMar>
            <w:vAlign w:val="bottom"/>
          </w:tcPr>
          <w:p w14:paraId="681020F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(PCA)</w:t>
            </w:r>
          </w:p>
        </w:tc>
        <w:tc>
          <w:tcPr>
            <w:tcW w:w="1770" w:type="dxa"/>
            <w:tcMar>
              <w:top w:w="137" w:type="dxa"/>
              <w:left w:w="120" w:type="dxa"/>
              <w:bottom w:w="137" w:type="dxa"/>
              <w:right w:w="120" w:type="dxa"/>
            </w:tcMar>
            <w:vAlign w:val="bottom"/>
          </w:tcPr>
          <w:p w14:paraId="4DCE620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088479DC" w14:textId="77777777">
        <w:tc>
          <w:tcPr>
            <w:tcW w:w="846" w:type="dxa"/>
            <w:tcMar>
              <w:top w:w="137" w:type="dxa"/>
              <w:left w:w="120" w:type="dxa"/>
              <w:bottom w:w="137" w:type="dxa"/>
              <w:right w:w="120" w:type="dxa"/>
            </w:tcMar>
            <w:vAlign w:val="bottom"/>
          </w:tcPr>
          <w:p w14:paraId="10721B2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230" w:type="dxa"/>
            <w:tcMar>
              <w:top w:w="137" w:type="dxa"/>
              <w:left w:w="120" w:type="dxa"/>
              <w:bottom w:w="137" w:type="dxa"/>
              <w:right w:w="120" w:type="dxa"/>
            </w:tcMar>
            <w:vAlign w:val="bottom"/>
          </w:tcPr>
          <w:p w14:paraId="0487F9B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TransactionAmt</w:t>
            </w:r>
            <w:r>
              <w:rPr>
                <w:rFonts w:ascii="Times New Roman" w:eastAsia="Times New Roman" w:hAnsi="Times New Roman" w:cs="Times New Roman"/>
                <w:vertAlign w:val="subscript"/>
              </w:rPr>
              <w:t>log</w:t>
            </w:r>
          </w:p>
        </w:tc>
        <w:tc>
          <w:tcPr>
            <w:tcW w:w="1437" w:type="dxa"/>
            <w:tcMar>
              <w:top w:w="137" w:type="dxa"/>
              <w:left w:w="120" w:type="dxa"/>
              <w:bottom w:w="137" w:type="dxa"/>
              <w:right w:w="120" w:type="dxa"/>
            </w:tcMar>
            <w:vAlign w:val="bottom"/>
          </w:tcPr>
          <w:p w14:paraId="6F82B07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0.2234</w:t>
            </w:r>
          </w:p>
        </w:tc>
        <w:tc>
          <w:tcPr>
            <w:tcW w:w="2234" w:type="dxa"/>
            <w:tcMar>
              <w:top w:w="137" w:type="dxa"/>
              <w:left w:w="120" w:type="dxa"/>
              <w:bottom w:w="137" w:type="dxa"/>
              <w:right w:w="120" w:type="dxa"/>
            </w:tcMar>
            <w:vAlign w:val="bottom"/>
          </w:tcPr>
          <w:p w14:paraId="03B8870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 Amount</w:t>
            </w:r>
          </w:p>
        </w:tc>
        <w:tc>
          <w:tcPr>
            <w:tcW w:w="1770" w:type="dxa"/>
            <w:tcMar>
              <w:top w:w="137" w:type="dxa"/>
              <w:left w:w="120" w:type="dxa"/>
              <w:bottom w:w="137" w:type="dxa"/>
              <w:right w:w="120" w:type="dxa"/>
            </w:tcMar>
            <w:vAlign w:val="bottom"/>
          </w:tcPr>
          <w:p w14:paraId="592200C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36E9CFED" w14:textId="77777777">
        <w:tc>
          <w:tcPr>
            <w:tcW w:w="846" w:type="dxa"/>
            <w:tcMar>
              <w:top w:w="137" w:type="dxa"/>
              <w:left w:w="120" w:type="dxa"/>
              <w:bottom w:w="137" w:type="dxa"/>
              <w:right w:w="120" w:type="dxa"/>
            </w:tcMar>
            <w:vAlign w:val="bottom"/>
          </w:tcPr>
          <w:p w14:paraId="5D439CC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230" w:type="dxa"/>
            <w:tcMar>
              <w:top w:w="137" w:type="dxa"/>
              <w:left w:w="120" w:type="dxa"/>
              <w:bottom w:w="137" w:type="dxa"/>
              <w:right w:w="120" w:type="dxa"/>
            </w:tcMar>
            <w:vAlign w:val="bottom"/>
          </w:tcPr>
          <w:p w14:paraId="05E340F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Card1_fraud_rate</w:t>
            </w:r>
          </w:p>
        </w:tc>
        <w:tc>
          <w:tcPr>
            <w:tcW w:w="1437" w:type="dxa"/>
            <w:tcMar>
              <w:top w:w="137" w:type="dxa"/>
              <w:left w:w="120" w:type="dxa"/>
              <w:bottom w:w="137" w:type="dxa"/>
              <w:right w:w="120" w:type="dxa"/>
            </w:tcMar>
            <w:vAlign w:val="bottom"/>
          </w:tcPr>
          <w:p w14:paraId="7A3EF03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0.2087</w:t>
            </w:r>
          </w:p>
        </w:tc>
        <w:tc>
          <w:tcPr>
            <w:tcW w:w="2234" w:type="dxa"/>
            <w:tcMar>
              <w:top w:w="137" w:type="dxa"/>
              <w:left w:w="120" w:type="dxa"/>
              <w:bottom w:w="137" w:type="dxa"/>
              <w:right w:w="120" w:type="dxa"/>
            </w:tcMar>
            <w:vAlign w:val="bottom"/>
          </w:tcPr>
          <w:p w14:paraId="5B9203D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 History</w:t>
            </w:r>
          </w:p>
        </w:tc>
        <w:tc>
          <w:tcPr>
            <w:tcW w:w="1770" w:type="dxa"/>
            <w:tcMar>
              <w:top w:w="137" w:type="dxa"/>
              <w:left w:w="120" w:type="dxa"/>
              <w:bottom w:w="137" w:type="dxa"/>
              <w:right w:w="120" w:type="dxa"/>
            </w:tcMar>
            <w:vAlign w:val="bottom"/>
          </w:tcPr>
          <w:p w14:paraId="0BAAEA4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Card/Entity</w:t>
            </w:r>
          </w:p>
        </w:tc>
      </w:tr>
      <w:tr w:rsidR="00273E3A" w14:paraId="0682F4DE" w14:textId="77777777">
        <w:tc>
          <w:tcPr>
            <w:tcW w:w="846" w:type="dxa"/>
            <w:tcMar>
              <w:top w:w="137" w:type="dxa"/>
              <w:left w:w="120" w:type="dxa"/>
              <w:bottom w:w="137" w:type="dxa"/>
              <w:right w:w="120" w:type="dxa"/>
            </w:tcMar>
            <w:vAlign w:val="bottom"/>
          </w:tcPr>
          <w:p w14:paraId="42DA8AC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230" w:type="dxa"/>
            <w:tcMar>
              <w:top w:w="137" w:type="dxa"/>
              <w:left w:w="120" w:type="dxa"/>
              <w:bottom w:w="137" w:type="dxa"/>
              <w:right w:w="120" w:type="dxa"/>
            </w:tcMar>
            <w:vAlign w:val="bottom"/>
          </w:tcPr>
          <w:p w14:paraId="550B637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V133</w:t>
            </w:r>
          </w:p>
        </w:tc>
        <w:tc>
          <w:tcPr>
            <w:tcW w:w="1437" w:type="dxa"/>
            <w:tcMar>
              <w:top w:w="137" w:type="dxa"/>
              <w:left w:w="120" w:type="dxa"/>
              <w:bottom w:w="137" w:type="dxa"/>
              <w:right w:w="120" w:type="dxa"/>
            </w:tcMar>
            <w:vAlign w:val="bottom"/>
          </w:tcPr>
          <w:p w14:paraId="30F39E4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0.1956</w:t>
            </w:r>
          </w:p>
        </w:tc>
        <w:tc>
          <w:tcPr>
            <w:tcW w:w="2234" w:type="dxa"/>
            <w:tcMar>
              <w:top w:w="137" w:type="dxa"/>
              <w:left w:w="120" w:type="dxa"/>
              <w:bottom w:w="137" w:type="dxa"/>
              <w:right w:w="120" w:type="dxa"/>
            </w:tcMar>
            <w:vAlign w:val="bottom"/>
          </w:tcPr>
          <w:p w14:paraId="0D0BDFA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(Interaction)</w:t>
            </w:r>
          </w:p>
        </w:tc>
        <w:tc>
          <w:tcPr>
            <w:tcW w:w="1770" w:type="dxa"/>
            <w:tcMar>
              <w:top w:w="137" w:type="dxa"/>
              <w:left w:w="120" w:type="dxa"/>
              <w:bottom w:w="137" w:type="dxa"/>
              <w:right w:w="120" w:type="dxa"/>
            </w:tcMar>
            <w:vAlign w:val="bottom"/>
          </w:tcPr>
          <w:p w14:paraId="1B90366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60AC0A18" w14:textId="77777777">
        <w:tc>
          <w:tcPr>
            <w:tcW w:w="846" w:type="dxa"/>
            <w:tcMar>
              <w:top w:w="137" w:type="dxa"/>
              <w:left w:w="120" w:type="dxa"/>
              <w:bottom w:w="137" w:type="dxa"/>
              <w:right w:w="120" w:type="dxa"/>
            </w:tcMar>
            <w:vAlign w:val="bottom"/>
          </w:tcPr>
          <w:p w14:paraId="68F8A30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230" w:type="dxa"/>
            <w:tcMar>
              <w:top w:w="137" w:type="dxa"/>
              <w:left w:w="120" w:type="dxa"/>
              <w:bottom w:w="137" w:type="dxa"/>
              <w:right w:w="120" w:type="dxa"/>
            </w:tcMar>
            <w:vAlign w:val="bottom"/>
          </w:tcPr>
          <w:p w14:paraId="2592BD6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Device</w:t>
            </w:r>
            <w:r>
              <w:rPr>
                <w:rFonts w:ascii="Times New Roman" w:eastAsia="Times New Roman" w:hAnsi="Times New Roman" w:cs="Times New Roman"/>
                <w:vertAlign w:val="subscript"/>
              </w:rPr>
              <w:t>count</w:t>
            </w:r>
          </w:p>
        </w:tc>
        <w:tc>
          <w:tcPr>
            <w:tcW w:w="1437" w:type="dxa"/>
            <w:tcMar>
              <w:top w:w="137" w:type="dxa"/>
              <w:left w:w="120" w:type="dxa"/>
              <w:bottom w:w="137" w:type="dxa"/>
              <w:right w:w="120" w:type="dxa"/>
            </w:tcMar>
            <w:vAlign w:val="bottom"/>
          </w:tcPr>
          <w:p w14:paraId="0978CFF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0.1834</w:t>
            </w:r>
          </w:p>
        </w:tc>
        <w:tc>
          <w:tcPr>
            <w:tcW w:w="2234" w:type="dxa"/>
            <w:tcMar>
              <w:top w:w="137" w:type="dxa"/>
              <w:left w:w="120" w:type="dxa"/>
              <w:bottom w:w="137" w:type="dxa"/>
              <w:right w:w="120" w:type="dxa"/>
            </w:tcMar>
            <w:vAlign w:val="bottom"/>
          </w:tcPr>
          <w:p w14:paraId="7ACE1AE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Device Pattern</w:t>
            </w:r>
          </w:p>
        </w:tc>
        <w:tc>
          <w:tcPr>
            <w:tcW w:w="1770" w:type="dxa"/>
            <w:tcMar>
              <w:top w:w="137" w:type="dxa"/>
              <w:left w:w="120" w:type="dxa"/>
              <w:bottom w:w="137" w:type="dxa"/>
              <w:right w:w="120" w:type="dxa"/>
            </w:tcMar>
            <w:vAlign w:val="bottom"/>
          </w:tcPr>
          <w:p w14:paraId="4FEA0AC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Device/Entity</w:t>
            </w:r>
          </w:p>
        </w:tc>
      </w:tr>
      <w:tr w:rsidR="00273E3A" w14:paraId="3E32BD52" w14:textId="77777777">
        <w:tc>
          <w:tcPr>
            <w:tcW w:w="846" w:type="dxa"/>
            <w:tcMar>
              <w:top w:w="137" w:type="dxa"/>
              <w:left w:w="120" w:type="dxa"/>
              <w:bottom w:w="137" w:type="dxa"/>
              <w:right w:w="120" w:type="dxa"/>
            </w:tcMar>
            <w:vAlign w:val="bottom"/>
          </w:tcPr>
          <w:p w14:paraId="430C357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230" w:type="dxa"/>
            <w:tcMar>
              <w:top w:w="137" w:type="dxa"/>
              <w:left w:w="120" w:type="dxa"/>
              <w:bottom w:w="137" w:type="dxa"/>
              <w:right w:w="120" w:type="dxa"/>
            </w:tcMar>
            <w:vAlign w:val="bottom"/>
          </w:tcPr>
          <w:p w14:paraId="466B6AD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V36</w:t>
            </w:r>
          </w:p>
        </w:tc>
        <w:tc>
          <w:tcPr>
            <w:tcW w:w="1437" w:type="dxa"/>
            <w:tcMar>
              <w:top w:w="137" w:type="dxa"/>
              <w:left w:w="120" w:type="dxa"/>
              <w:bottom w:w="137" w:type="dxa"/>
              <w:right w:w="120" w:type="dxa"/>
            </w:tcMar>
            <w:vAlign w:val="bottom"/>
          </w:tcPr>
          <w:p w14:paraId="21EEDA2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0.1723</w:t>
            </w:r>
          </w:p>
        </w:tc>
        <w:tc>
          <w:tcPr>
            <w:tcW w:w="2234" w:type="dxa"/>
            <w:tcMar>
              <w:top w:w="137" w:type="dxa"/>
              <w:left w:w="120" w:type="dxa"/>
              <w:bottom w:w="137" w:type="dxa"/>
              <w:right w:w="120" w:type="dxa"/>
            </w:tcMar>
            <w:vAlign w:val="bottom"/>
          </w:tcPr>
          <w:p w14:paraId="6333E36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(Behavioral)</w:t>
            </w:r>
          </w:p>
        </w:tc>
        <w:tc>
          <w:tcPr>
            <w:tcW w:w="1770" w:type="dxa"/>
            <w:tcMar>
              <w:top w:w="137" w:type="dxa"/>
              <w:left w:w="120" w:type="dxa"/>
              <w:bottom w:w="137" w:type="dxa"/>
              <w:right w:w="120" w:type="dxa"/>
            </w:tcMar>
            <w:vAlign w:val="bottom"/>
          </w:tcPr>
          <w:p w14:paraId="58A7F36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36667F15" w14:textId="77777777">
        <w:tc>
          <w:tcPr>
            <w:tcW w:w="846" w:type="dxa"/>
            <w:tcMar>
              <w:top w:w="137" w:type="dxa"/>
              <w:left w:w="120" w:type="dxa"/>
              <w:bottom w:w="137" w:type="dxa"/>
              <w:right w:w="120" w:type="dxa"/>
            </w:tcMar>
            <w:vAlign w:val="bottom"/>
          </w:tcPr>
          <w:p w14:paraId="3B95BE0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230" w:type="dxa"/>
            <w:tcMar>
              <w:top w:w="137" w:type="dxa"/>
              <w:left w:w="120" w:type="dxa"/>
              <w:bottom w:w="137" w:type="dxa"/>
              <w:right w:w="120" w:type="dxa"/>
            </w:tcMar>
            <w:vAlign w:val="bottom"/>
          </w:tcPr>
          <w:p w14:paraId="7AA7876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V102</w:t>
            </w:r>
          </w:p>
        </w:tc>
        <w:tc>
          <w:tcPr>
            <w:tcW w:w="1437" w:type="dxa"/>
            <w:tcMar>
              <w:top w:w="137" w:type="dxa"/>
              <w:left w:w="120" w:type="dxa"/>
              <w:bottom w:w="137" w:type="dxa"/>
              <w:right w:w="120" w:type="dxa"/>
            </w:tcMar>
            <w:vAlign w:val="bottom"/>
          </w:tcPr>
          <w:p w14:paraId="08016B9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0.1612</w:t>
            </w:r>
          </w:p>
        </w:tc>
        <w:tc>
          <w:tcPr>
            <w:tcW w:w="2234" w:type="dxa"/>
            <w:tcMar>
              <w:top w:w="137" w:type="dxa"/>
              <w:left w:w="120" w:type="dxa"/>
              <w:bottom w:w="137" w:type="dxa"/>
              <w:right w:w="120" w:type="dxa"/>
            </w:tcMar>
            <w:vAlign w:val="bottom"/>
          </w:tcPr>
          <w:p w14:paraId="3989EB5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(Temporal)</w:t>
            </w:r>
          </w:p>
        </w:tc>
        <w:tc>
          <w:tcPr>
            <w:tcW w:w="1770" w:type="dxa"/>
            <w:tcMar>
              <w:top w:w="137" w:type="dxa"/>
              <w:left w:w="120" w:type="dxa"/>
              <w:bottom w:w="137" w:type="dxa"/>
              <w:right w:w="120" w:type="dxa"/>
            </w:tcMar>
            <w:vAlign w:val="bottom"/>
          </w:tcPr>
          <w:p w14:paraId="7B16D7E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761A114B" w14:textId="77777777">
        <w:tc>
          <w:tcPr>
            <w:tcW w:w="846" w:type="dxa"/>
            <w:tcMar>
              <w:top w:w="137" w:type="dxa"/>
              <w:left w:w="120" w:type="dxa"/>
              <w:bottom w:w="137" w:type="dxa"/>
              <w:right w:w="120" w:type="dxa"/>
            </w:tcMar>
            <w:vAlign w:val="bottom"/>
          </w:tcPr>
          <w:p w14:paraId="1526165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230" w:type="dxa"/>
            <w:tcMar>
              <w:top w:w="137" w:type="dxa"/>
              <w:left w:w="120" w:type="dxa"/>
              <w:bottom w:w="137" w:type="dxa"/>
              <w:right w:w="120" w:type="dxa"/>
            </w:tcMar>
            <w:vAlign w:val="bottom"/>
          </w:tcPr>
          <w:p w14:paraId="71337C3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Card2</w:t>
            </w:r>
            <w:r>
              <w:rPr>
                <w:rFonts w:ascii="Times New Roman" w:eastAsia="Times New Roman" w:hAnsi="Times New Roman" w:cs="Times New Roman"/>
                <w:vertAlign w:val="subscript"/>
              </w:rPr>
              <w:t>count</w:t>
            </w:r>
          </w:p>
        </w:tc>
        <w:tc>
          <w:tcPr>
            <w:tcW w:w="1437" w:type="dxa"/>
            <w:tcMar>
              <w:top w:w="137" w:type="dxa"/>
              <w:left w:w="120" w:type="dxa"/>
              <w:bottom w:w="137" w:type="dxa"/>
              <w:right w:w="120" w:type="dxa"/>
            </w:tcMar>
            <w:vAlign w:val="bottom"/>
          </w:tcPr>
          <w:p w14:paraId="5F3132C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0.1534</w:t>
            </w:r>
          </w:p>
        </w:tc>
        <w:tc>
          <w:tcPr>
            <w:tcW w:w="2234" w:type="dxa"/>
            <w:tcMar>
              <w:top w:w="137" w:type="dxa"/>
              <w:left w:w="120" w:type="dxa"/>
              <w:bottom w:w="137" w:type="dxa"/>
              <w:right w:w="120" w:type="dxa"/>
            </w:tcMar>
            <w:vAlign w:val="bottom"/>
          </w:tcPr>
          <w:p w14:paraId="7D76E72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 Frequency</w:t>
            </w:r>
          </w:p>
        </w:tc>
        <w:tc>
          <w:tcPr>
            <w:tcW w:w="1770" w:type="dxa"/>
            <w:tcMar>
              <w:top w:w="137" w:type="dxa"/>
              <w:left w:w="120" w:type="dxa"/>
              <w:bottom w:w="137" w:type="dxa"/>
              <w:right w:w="120" w:type="dxa"/>
            </w:tcMar>
            <w:vAlign w:val="bottom"/>
          </w:tcPr>
          <w:p w14:paraId="558F50C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Card/Entity</w:t>
            </w:r>
          </w:p>
        </w:tc>
      </w:tr>
      <w:tr w:rsidR="00273E3A" w14:paraId="1F675625" w14:textId="77777777">
        <w:tc>
          <w:tcPr>
            <w:tcW w:w="846" w:type="dxa"/>
            <w:tcMar>
              <w:top w:w="137" w:type="dxa"/>
              <w:left w:w="120" w:type="dxa"/>
              <w:bottom w:w="137" w:type="dxa"/>
              <w:right w:w="120" w:type="dxa"/>
            </w:tcMar>
            <w:vAlign w:val="bottom"/>
          </w:tcPr>
          <w:p w14:paraId="61165CE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2230" w:type="dxa"/>
            <w:tcMar>
              <w:top w:w="137" w:type="dxa"/>
              <w:left w:w="120" w:type="dxa"/>
              <w:bottom w:w="137" w:type="dxa"/>
              <w:right w:w="120" w:type="dxa"/>
            </w:tcMar>
            <w:vAlign w:val="bottom"/>
          </w:tcPr>
          <w:p w14:paraId="31F6470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V78</w:t>
            </w:r>
          </w:p>
        </w:tc>
        <w:tc>
          <w:tcPr>
            <w:tcW w:w="1437" w:type="dxa"/>
            <w:tcMar>
              <w:top w:w="137" w:type="dxa"/>
              <w:left w:w="120" w:type="dxa"/>
              <w:bottom w:w="137" w:type="dxa"/>
              <w:right w:w="120" w:type="dxa"/>
            </w:tcMar>
            <w:vAlign w:val="bottom"/>
          </w:tcPr>
          <w:p w14:paraId="500EE9B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0.1423</w:t>
            </w:r>
          </w:p>
        </w:tc>
        <w:tc>
          <w:tcPr>
            <w:tcW w:w="2234" w:type="dxa"/>
            <w:tcMar>
              <w:top w:w="137" w:type="dxa"/>
              <w:left w:w="120" w:type="dxa"/>
              <w:bottom w:w="137" w:type="dxa"/>
              <w:right w:w="120" w:type="dxa"/>
            </w:tcMar>
            <w:vAlign w:val="bottom"/>
          </w:tcPr>
          <w:p w14:paraId="672846E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(PCA)</w:t>
            </w:r>
          </w:p>
        </w:tc>
        <w:tc>
          <w:tcPr>
            <w:tcW w:w="1770" w:type="dxa"/>
            <w:tcMar>
              <w:top w:w="137" w:type="dxa"/>
              <w:left w:w="120" w:type="dxa"/>
              <w:bottom w:w="137" w:type="dxa"/>
              <w:right w:w="120" w:type="dxa"/>
            </w:tcMar>
            <w:vAlign w:val="bottom"/>
          </w:tcPr>
          <w:p w14:paraId="0F35D63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46AC828F" w14:textId="77777777">
        <w:tc>
          <w:tcPr>
            <w:tcW w:w="846" w:type="dxa"/>
            <w:tcMar>
              <w:top w:w="137" w:type="dxa"/>
              <w:left w:w="120" w:type="dxa"/>
              <w:bottom w:w="137" w:type="dxa"/>
              <w:right w:w="120" w:type="dxa"/>
            </w:tcMar>
            <w:vAlign w:val="bottom"/>
          </w:tcPr>
          <w:p w14:paraId="5A60875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2230" w:type="dxa"/>
            <w:tcMar>
              <w:top w:w="137" w:type="dxa"/>
              <w:left w:w="120" w:type="dxa"/>
              <w:bottom w:w="137" w:type="dxa"/>
              <w:right w:w="120" w:type="dxa"/>
            </w:tcMar>
            <w:vAlign w:val="bottom"/>
          </w:tcPr>
          <w:p w14:paraId="4434A31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Velocity</w:t>
            </w:r>
            <w:r>
              <w:rPr>
                <w:rFonts w:ascii="Times New Roman" w:eastAsia="Times New Roman" w:hAnsi="Times New Roman" w:cs="Times New Roman"/>
                <w:vertAlign w:val="subscript"/>
              </w:rPr>
              <w:t>24h</w:t>
            </w:r>
          </w:p>
        </w:tc>
        <w:tc>
          <w:tcPr>
            <w:tcW w:w="1437" w:type="dxa"/>
            <w:tcMar>
              <w:top w:w="137" w:type="dxa"/>
              <w:left w:w="120" w:type="dxa"/>
              <w:bottom w:w="137" w:type="dxa"/>
              <w:right w:w="120" w:type="dxa"/>
            </w:tcMar>
            <w:vAlign w:val="bottom"/>
          </w:tcPr>
          <w:p w14:paraId="32609F3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0.1312</w:t>
            </w:r>
          </w:p>
        </w:tc>
        <w:tc>
          <w:tcPr>
            <w:tcW w:w="2234" w:type="dxa"/>
            <w:tcMar>
              <w:top w:w="137" w:type="dxa"/>
              <w:left w:w="120" w:type="dxa"/>
              <w:bottom w:w="137" w:type="dxa"/>
              <w:right w:w="120" w:type="dxa"/>
            </w:tcMar>
            <w:vAlign w:val="bottom"/>
          </w:tcPr>
          <w:p w14:paraId="3FC7D06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Velocity Feature</w:t>
            </w:r>
          </w:p>
        </w:tc>
        <w:tc>
          <w:tcPr>
            <w:tcW w:w="1770" w:type="dxa"/>
            <w:tcMar>
              <w:top w:w="137" w:type="dxa"/>
              <w:left w:w="120" w:type="dxa"/>
              <w:bottom w:w="137" w:type="dxa"/>
              <w:right w:w="120" w:type="dxa"/>
            </w:tcMar>
            <w:vAlign w:val="bottom"/>
          </w:tcPr>
          <w:p w14:paraId="6F91C7D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62FDCC65" w14:textId="77777777">
        <w:tc>
          <w:tcPr>
            <w:tcW w:w="846" w:type="dxa"/>
            <w:tcMar>
              <w:top w:w="137" w:type="dxa"/>
              <w:left w:w="120" w:type="dxa"/>
              <w:bottom w:w="137" w:type="dxa"/>
              <w:right w:w="120" w:type="dxa"/>
            </w:tcMar>
            <w:vAlign w:val="bottom"/>
          </w:tcPr>
          <w:p w14:paraId="631980B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2230" w:type="dxa"/>
            <w:tcMar>
              <w:top w:w="137" w:type="dxa"/>
              <w:left w:w="120" w:type="dxa"/>
              <w:bottom w:w="137" w:type="dxa"/>
              <w:right w:w="120" w:type="dxa"/>
            </w:tcMar>
            <w:vAlign w:val="bottom"/>
          </w:tcPr>
          <w:p w14:paraId="646CB5D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V123</w:t>
            </w:r>
          </w:p>
        </w:tc>
        <w:tc>
          <w:tcPr>
            <w:tcW w:w="1437" w:type="dxa"/>
            <w:tcMar>
              <w:top w:w="137" w:type="dxa"/>
              <w:left w:w="120" w:type="dxa"/>
              <w:bottom w:w="137" w:type="dxa"/>
              <w:right w:w="120" w:type="dxa"/>
            </w:tcMar>
            <w:vAlign w:val="bottom"/>
          </w:tcPr>
          <w:p w14:paraId="3989CC0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0.1201</w:t>
            </w:r>
          </w:p>
        </w:tc>
        <w:tc>
          <w:tcPr>
            <w:tcW w:w="2234" w:type="dxa"/>
            <w:tcMar>
              <w:top w:w="137" w:type="dxa"/>
              <w:left w:w="120" w:type="dxa"/>
              <w:bottom w:w="137" w:type="dxa"/>
              <w:right w:w="120" w:type="dxa"/>
            </w:tcMar>
            <w:vAlign w:val="bottom"/>
          </w:tcPr>
          <w:p w14:paraId="766431B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(Interaction)</w:t>
            </w:r>
          </w:p>
        </w:tc>
        <w:tc>
          <w:tcPr>
            <w:tcW w:w="1770" w:type="dxa"/>
            <w:tcMar>
              <w:top w:w="137" w:type="dxa"/>
              <w:left w:w="120" w:type="dxa"/>
              <w:bottom w:w="137" w:type="dxa"/>
              <w:right w:w="120" w:type="dxa"/>
            </w:tcMar>
            <w:vAlign w:val="bottom"/>
          </w:tcPr>
          <w:p w14:paraId="7CD3C37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76CA4DEC" w14:textId="77777777">
        <w:tc>
          <w:tcPr>
            <w:tcW w:w="846" w:type="dxa"/>
            <w:tcMar>
              <w:top w:w="137" w:type="dxa"/>
              <w:left w:w="120" w:type="dxa"/>
              <w:bottom w:w="137" w:type="dxa"/>
              <w:right w:w="120" w:type="dxa"/>
            </w:tcMar>
            <w:vAlign w:val="bottom"/>
          </w:tcPr>
          <w:p w14:paraId="3D9732C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2230" w:type="dxa"/>
            <w:tcMar>
              <w:top w:w="137" w:type="dxa"/>
              <w:left w:w="120" w:type="dxa"/>
              <w:bottom w:w="137" w:type="dxa"/>
              <w:right w:w="120" w:type="dxa"/>
            </w:tcMar>
            <w:vAlign w:val="bottom"/>
          </w:tcPr>
          <w:p w14:paraId="6C82FDD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TransactionAmt</w:t>
            </w:r>
            <w:r>
              <w:rPr>
                <w:rFonts w:ascii="Times New Roman" w:eastAsia="Times New Roman" w:hAnsi="Times New Roman" w:cs="Times New Roman"/>
                <w:vertAlign w:val="subscript"/>
              </w:rPr>
              <w:t>zscore</w:t>
            </w:r>
          </w:p>
        </w:tc>
        <w:tc>
          <w:tcPr>
            <w:tcW w:w="1437" w:type="dxa"/>
            <w:tcMar>
              <w:top w:w="137" w:type="dxa"/>
              <w:left w:w="120" w:type="dxa"/>
              <w:bottom w:w="137" w:type="dxa"/>
              <w:right w:w="120" w:type="dxa"/>
            </w:tcMar>
            <w:vAlign w:val="bottom"/>
          </w:tcPr>
          <w:p w14:paraId="784FFD6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0.1089</w:t>
            </w:r>
          </w:p>
        </w:tc>
        <w:tc>
          <w:tcPr>
            <w:tcW w:w="2234" w:type="dxa"/>
            <w:tcMar>
              <w:top w:w="137" w:type="dxa"/>
              <w:left w:w="120" w:type="dxa"/>
              <w:bottom w:w="137" w:type="dxa"/>
              <w:right w:w="120" w:type="dxa"/>
            </w:tcMar>
            <w:vAlign w:val="bottom"/>
          </w:tcPr>
          <w:p w14:paraId="2FB89D4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Statistical</w:t>
            </w:r>
          </w:p>
        </w:tc>
        <w:tc>
          <w:tcPr>
            <w:tcW w:w="1770" w:type="dxa"/>
            <w:tcMar>
              <w:top w:w="137" w:type="dxa"/>
              <w:left w:w="120" w:type="dxa"/>
              <w:bottom w:w="137" w:type="dxa"/>
              <w:right w:w="120" w:type="dxa"/>
            </w:tcMar>
            <w:vAlign w:val="bottom"/>
          </w:tcPr>
          <w:p w14:paraId="587760D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4B250E4A" w14:textId="77777777">
        <w:tc>
          <w:tcPr>
            <w:tcW w:w="846" w:type="dxa"/>
            <w:tcMar>
              <w:top w:w="137" w:type="dxa"/>
              <w:left w:w="120" w:type="dxa"/>
              <w:bottom w:w="137" w:type="dxa"/>
              <w:right w:w="120" w:type="dxa"/>
            </w:tcMar>
            <w:vAlign w:val="bottom"/>
          </w:tcPr>
          <w:p w14:paraId="4A1C5DA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15</w:t>
            </w:r>
          </w:p>
        </w:tc>
        <w:tc>
          <w:tcPr>
            <w:tcW w:w="2230" w:type="dxa"/>
            <w:tcMar>
              <w:top w:w="137" w:type="dxa"/>
              <w:left w:w="120" w:type="dxa"/>
              <w:bottom w:w="137" w:type="dxa"/>
              <w:right w:w="120" w:type="dxa"/>
            </w:tcMar>
            <w:vAlign w:val="bottom"/>
          </w:tcPr>
          <w:p w14:paraId="3D42BB4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Email</w:t>
            </w:r>
            <w:r>
              <w:rPr>
                <w:rFonts w:ascii="Times New Roman" w:eastAsia="Times New Roman" w:hAnsi="Times New Roman" w:cs="Times New Roman"/>
                <w:vertAlign w:val="subscript"/>
              </w:rPr>
              <w:t>fraud rate</w:t>
            </w:r>
          </w:p>
        </w:tc>
        <w:tc>
          <w:tcPr>
            <w:tcW w:w="1437" w:type="dxa"/>
            <w:tcMar>
              <w:top w:w="137" w:type="dxa"/>
              <w:left w:w="120" w:type="dxa"/>
              <w:bottom w:w="137" w:type="dxa"/>
              <w:right w:w="120" w:type="dxa"/>
            </w:tcMar>
            <w:vAlign w:val="bottom"/>
          </w:tcPr>
          <w:p w14:paraId="4418195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0.0987</w:t>
            </w:r>
          </w:p>
        </w:tc>
        <w:tc>
          <w:tcPr>
            <w:tcW w:w="2234" w:type="dxa"/>
            <w:tcMar>
              <w:top w:w="137" w:type="dxa"/>
              <w:left w:w="120" w:type="dxa"/>
              <w:bottom w:w="137" w:type="dxa"/>
              <w:right w:w="120" w:type="dxa"/>
            </w:tcMar>
            <w:vAlign w:val="bottom"/>
          </w:tcPr>
          <w:p w14:paraId="6B910A6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Email History</w:t>
            </w:r>
          </w:p>
        </w:tc>
        <w:tc>
          <w:tcPr>
            <w:tcW w:w="1770" w:type="dxa"/>
            <w:tcMar>
              <w:top w:w="137" w:type="dxa"/>
              <w:left w:w="120" w:type="dxa"/>
              <w:bottom w:w="137" w:type="dxa"/>
              <w:right w:w="120" w:type="dxa"/>
            </w:tcMar>
            <w:vAlign w:val="bottom"/>
          </w:tcPr>
          <w:p w14:paraId="3649E00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Entity</w:t>
            </w:r>
          </w:p>
        </w:tc>
      </w:tr>
      <w:tr w:rsidR="00273E3A" w14:paraId="60BA23E8" w14:textId="77777777">
        <w:tc>
          <w:tcPr>
            <w:tcW w:w="846" w:type="dxa"/>
            <w:tcMar>
              <w:top w:w="137" w:type="dxa"/>
              <w:left w:w="120" w:type="dxa"/>
              <w:bottom w:w="137" w:type="dxa"/>
              <w:right w:w="120" w:type="dxa"/>
            </w:tcMar>
            <w:vAlign w:val="bottom"/>
          </w:tcPr>
          <w:p w14:paraId="67A2163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16</w:t>
            </w:r>
          </w:p>
        </w:tc>
        <w:tc>
          <w:tcPr>
            <w:tcW w:w="2230" w:type="dxa"/>
            <w:tcMar>
              <w:top w:w="137" w:type="dxa"/>
              <w:left w:w="120" w:type="dxa"/>
              <w:bottom w:w="137" w:type="dxa"/>
              <w:right w:w="120" w:type="dxa"/>
            </w:tcMar>
            <w:vAlign w:val="bottom"/>
          </w:tcPr>
          <w:p w14:paraId="503BBE1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V45</w:t>
            </w:r>
          </w:p>
        </w:tc>
        <w:tc>
          <w:tcPr>
            <w:tcW w:w="1437" w:type="dxa"/>
            <w:tcMar>
              <w:top w:w="137" w:type="dxa"/>
              <w:left w:w="120" w:type="dxa"/>
              <w:bottom w:w="137" w:type="dxa"/>
              <w:right w:w="120" w:type="dxa"/>
            </w:tcMar>
            <w:vAlign w:val="bottom"/>
          </w:tcPr>
          <w:p w14:paraId="1EF9087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0.0876</w:t>
            </w:r>
          </w:p>
        </w:tc>
        <w:tc>
          <w:tcPr>
            <w:tcW w:w="2234" w:type="dxa"/>
            <w:tcMar>
              <w:top w:w="137" w:type="dxa"/>
              <w:left w:w="120" w:type="dxa"/>
              <w:bottom w:w="137" w:type="dxa"/>
              <w:right w:w="120" w:type="dxa"/>
            </w:tcMar>
            <w:vAlign w:val="bottom"/>
          </w:tcPr>
          <w:p w14:paraId="52C7BF2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(Behavioral)</w:t>
            </w:r>
          </w:p>
        </w:tc>
        <w:tc>
          <w:tcPr>
            <w:tcW w:w="1770" w:type="dxa"/>
            <w:tcMar>
              <w:top w:w="137" w:type="dxa"/>
              <w:left w:w="120" w:type="dxa"/>
              <w:bottom w:w="137" w:type="dxa"/>
              <w:right w:w="120" w:type="dxa"/>
            </w:tcMar>
            <w:vAlign w:val="bottom"/>
          </w:tcPr>
          <w:p w14:paraId="53FE601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59C477C3" w14:textId="77777777">
        <w:tc>
          <w:tcPr>
            <w:tcW w:w="846" w:type="dxa"/>
            <w:tcMar>
              <w:top w:w="137" w:type="dxa"/>
              <w:left w:w="120" w:type="dxa"/>
              <w:bottom w:w="137" w:type="dxa"/>
              <w:right w:w="120" w:type="dxa"/>
            </w:tcMar>
            <w:vAlign w:val="bottom"/>
          </w:tcPr>
          <w:p w14:paraId="6000604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2230" w:type="dxa"/>
            <w:tcMar>
              <w:top w:w="137" w:type="dxa"/>
              <w:left w:w="120" w:type="dxa"/>
              <w:bottom w:w="137" w:type="dxa"/>
              <w:right w:w="120" w:type="dxa"/>
            </w:tcMar>
            <w:vAlign w:val="bottom"/>
          </w:tcPr>
          <w:p w14:paraId="097AA4A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V167</w:t>
            </w:r>
          </w:p>
        </w:tc>
        <w:tc>
          <w:tcPr>
            <w:tcW w:w="1437" w:type="dxa"/>
            <w:tcMar>
              <w:top w:w="137" w:type="dxa"/>
              <w:left w:w="120" w:type="dxa"/>
              <w:bottom w:w="137" w:type="dxa"/>
              <w:right w:w="120" w:type="dxa"/>
            </w:tcMar>
            <w:vAlign w:val="bottom"/>
          </w:tcPr>
          <w:p w14:paraId="410BE6E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0.0765</w:t>
            </w:r>
          </w:p>
        </w:tc>
        <w:tc>
          <w:tcPr>
            <w:tcW w:w="2234" w:type="dxa"/>
            <w:tcMar>
              <w:top w:w="137" w:type="dxa"/>
              <w:left w:w="120" w:type="dxa"/>
              <w:bottom w:w="137" w:type="dxa"/>
              <w:right w:w="120" w:type="dxa"/>
            </w:tcMar>
            <w:vAlign w:val="bottom"/>
          </w:tcPr>
          <w:p w14:paraId="00A6CB6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(PCA)</w:t>
            </w:r>
          </w:p>
        </w:tc>
        <w:tc>
          <w:tcPr>
            <w:tcW w:w="1770" w:type="dxa"/>
            <w:tcMar>
              <w:top w:w="137" w:type="dxa"/>
              <w:left w:w="120" w:type="dxa"/>
              <w:bottom w:w="137" w:type="dxa"/>
              <w:right w:w="120" w:type="dxa"/>
            </w:tcMar>
            <w:vAlign w:val="bottom"/>
          </w:tcPr>
          <w:p w14:paraId="19D69FF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5D0AC48F" w14:textId="77777777">
        <w:tc>
          <w:tcPr>
            <w:tcW w:w="846" w:type="dxa"/>
            <w:tcMar>
              <w:top w:w="137" w:type="dxa"/>
              <w:left w:w="120" w:type="dxa"/>
              <w:bottom w:w="137" w:type="dxa"/>
              <w:right w:w="120" w:type="dxa"/>
            </w:tcMar>
            <w:vAlign w:val="bottom"/>
          </w:tcPr>
          <w:p w14:paraId="61336AC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18</w:t>
            </w:r>
          </w:p>
        </w:tc>
        <w:tc>
          <w:tcPr>
            <w:tcW w:w="2230" w:type="dxa"/>
            <w:tcMar>
              <w:top w:w="137" w:type="dxa"/>
              <w:left w:w="120" w:type="dxa"/>
              <w:bottom w:w="137" w:type="dxa"/>
              <w:right w:w="120" w:type="dxa"/>
            </w:tcMar>
            <w:vAlign w:val="bottom"/>
          </w:tcPr>
          <w:p w14:paraId="0C949B9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w:t>
            </w:r>
            <w:r>
              <w:rPr>
                <w:rFonts w:ascii="Times New Roman" w:eastAsia="Times New Roman" w:hAnsi="Times New Roman" w:cs="Times New Roman"/>
                <w:vertAlign w:val="subscript"/>
              </w:rPr>
              <w:t>device consistency</w:t>
            </w:r>
          </w:p>
        </w:tc>
        <w:tc>
          <w:tcPr>
            <w:tcW w:w="1437" w:type="dxa"/>
            <w:tcMar>
              <w:top w:w="137" w:type="dxa"/>
              <w:left w:w="120" w:type="dxa"/>
              <w:bottom w:w="137" w:type="dxa"/>
              <w:right w:w="120" w:type="dxa"/>
            </w:tcMar>
            <w:vAlign w:val="bottom"/>
          </w:tcPr>
          <w:p w14:paraId="3C22431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0.0654</w:t>
            </w:r>
          </w:p>
        </w:tc>
        <w:tc>
          <w:tcPr>
            <w:tcW w:w="2234" w:type="dxa"/>
            <w:tcMar>
              <w:top w:w="137" w:type="dxa"/>
              <w:left w:w="120" w:type="dxa"/>
              <w:bottom w:w="137" w:type="dxa"/>
              <w:right w:w="120" w:type="dxa"/>
            </w:tcMar>
            <w:vAlign w:val="bottom"/>
          </w:tcPr>
          <w:p w14:paraId="097431D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Multi-layer Relation</w:t>
            </w:r>
          </w:p>
        </w:tc>
        <w:tc>
          <w:tcPr>
            <w:tcW w:w="1770" w:type="dxa"/>
            <w:tcMar>
              <w:top w:w="137" w:type="dxa"/>
              <w:left w:w="120" w:type="dxa"/>
              <w:bottom w:w="137" w:type="dxa"/>
              <w:right w:w="120" w:type="dxa"/>
            </w:tcMar>
            <w:vAlign w:val="bottom"/>
          </w:tcPr>
          <w:p w14:paraId="49A86A8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Card-Device</w:t>
            </w:r>
          </w:p>
        </w:tc>
      </w:tr>
      <w:tr w:rsidR="00273E3A" w14:paraId="7F879BE5" w14:textId="77777777">
        <w:tc>
          <w:tcPr>
            <w:tcW w:w="846" w:type="dxa"/>
            <w:tcMar>
              <w:top w:w="137" w:type="dxa"/>
              <w:left w:w="120" w:type="dxa"/>
              <w:bottom w:w="137" w:type="dxa"/>
              <w:right w:w="120" w:type="dxa"/>
            </w:tcMar>
            <w:vAlign w:val="bottom"/>
          </w:tcPr>
          <w:p w14:paraId="012378C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19</w:t>
            </w:r>
          </w:p>
        </w:tc>
        <w:tc>
          <w:tcPr>
            <w:tcW w:w="2230" w:type="dxa"/>
            <w:tcMar>
              <w:top w:w="137" w:type="dxa"/>
              <w:left w:w="120" w:type="dxa"/>
              <w:bottom w:w="137" w:type="dxa"/>
              <w:right w:w="120" w:type="dxa"/>
            </w:tcMar>
            <w:vAlign w:val="bottom"/>
          </w:tcPr>
          <w:p w14:paraId="48DDCB3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V234</w:t>
            </w:r>
          </w:p>
        </w:tc>
        <w:tc>
          <w:tcPr>
            <w:tcW w:w="1437" w:type="dxa"/>
            <w:tcMar>
              <w:top w:w="137" w:type="dxa"/>
              <w:left w:w="120" w:type="dxa"/>
              <w:bottom w:w="137" w:type="dxa"/>
              <w:right w:w="120" w:type="dxa"/>
            </w:tcMar>
            <w:vAlign w:val="bottom"/>
          </w:tcPr>
          <w:p w14:paraId="7FCA54D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0.0543</w:t>
            </w:r>
          </w:p>
        </w:tc>
        <w:tc>
          <w:tcPr>
            <w:tcW w:w="2234" w:type="dxa"/>
            <w:tcMar>
              <w:top w:w="137" w:type="dxa"/>
              <w:left w:w="120" w:type="dxa"/>
              <w:bottom w:w="137" w:type="dxa"/>
              <w:right w:w="120" w:type="dxa"/>
            </w:tcMar>
            <w:vAlign w:val="bottom"/>
          </w:tcPr>
          <w:p w14:paraId="1025F9E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Engineered (Velocity)</w:t>
            </w:r>
          </w:p>
        </w:tc>
        <w:tc>
          <w:tcPr>
            <w:tcW w:w="1770" w:type="dxa"/>
            <w:tcMar>
              <w:top w:w="137" w:type="dxa"/>
              <w:left w:w="120" w:type="dxa"/>
              <w:bottom w:w="137" w:type="dxa"/>
              <w:right w:w="120" w:type="dxa"/>
            </w:tcMar>
            <w:vAlign w:val="bottom"/>
          </w:tcPr>
          <w:p w14:paraId="1BF0CA2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Transaction</w:t>
            </w:r>
          </w:p>
        </w:tc>
      </w:tr>
      <w:tr w:rsidR="00273E3A" w14:paraId="011A3C38" w14:textId="77777777">
        <w:tc>
          <w:tcPr>
            <w:tcW w:w="846" w:type="dxa"/>
            <w:tcBorders>
              <w:bottom w:val="single" w:sz="4" w:space="0" w:color="000000"/>
            </w:tcBorders>
            <w:tcMar>
              <w:top w:w="137" w:type="dxa"/>
              <w:left w:w="120" w:type="dxa"/>
              <w:bottom w:w="137" w:type="dxa"/>
              <w:right w:w="120" w:type="dxa"/>
            </w:tcMar>
            <w:vAlign w:val="bottom"/>
          </w:tcPr>
          <w:p w14:paraId="107491B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20</w:t>
            </w:r>
          </w:p>
        </w:tc>
        <w:tc>
          <w:tcPr>
            <w:tcW w:w="2230" w:type="dxa"/>
            <w:tcBorders>
              <w:bottom w:val="single" w:sz="4" w:space="0" w:color="000000"/>
            </w:tcBorders>
            <w:tcMar>
              <w:top w:w="137" w:type="dxa"/>
              <w:left w:w="120" w:type="dxa"/>
              <w:bottom w:w="137" w:type="dxa"/>
              <w:right w:w="120" w:type="dxa"/>
            </w:tcMar>
            <w:vAlign w:val="bottom"/>
          </w:tcPr>
          <w:p w14:paraId="6306ADC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Geographic</w:t>
            </w:r>
            <w:r>
              <w:rPr>
                <w:rFonts w:ascii="Times New Roman" w:eastAsia="Times New Roman" w:hAnsi="Times New Roman" w:cs="Times New Roman"/>
                <w:vertAlign w:val="subscript"/>
              </w:rPr>
              <w:t>distance</w:t>
            </w:r>
          </w:p>
        </w:tc>
        <w:tc>
          <w:tcPr>
            <w:tcW w:w="1437" w:type="dxa"/>
            <w:tcBorders>
              <w:bottom w:val="single" w:sz="4" w:space="0" w:color="000000"/>
            </w:tcBorders>
            <w:tcMar>
              <w:top w:w="137" w:type="dxa"/>
              <w:left w:w="120" w:type="dxa"/>
              <w:bottom w:w="137" w:type="dxa"/>
              <w:right w:w="120" w:type="dxa"/>
            </w:tcMar>
            <w:vAlign w:val="bottom"/>
          </w:tcPr>
          <w:p w14:paraId="1245DA7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0.0432</w:t>
            </w:r>
          </w:p>
        </w:tc>
        <w:tc>
          <w:tcPr>
            <w:tcW w:w="2234" w:type="dxa"/>
            <w:tcBorders>
              <w:bottom w:val="single" w:sz="4" w:space="0" w:color="000000"/>
            </w:tcBorders>
            <w:tcMar>
              <w:top w:w="137" w:type="dxa"/>
              <w:left w:w="120" w:type="dxa"/>
              <w:bottom w:w="137" w:type="dxa"/>
              <w:right w:w="120" w:type="dxa"/>
            </w:tcMar>
            <w:vAlign w:val="bottom"/>
          </w:tcPr>
          <w:p w14:paraId="1CDB47B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Geospatial</w:t>
            </w:r>
          </w:p>
        </w:tc>
        <w:tc>
          <w:tcPr>
            <w:tcW w:w="1770" w:type="dxa"/>
            <w:tcBorders>
              <w:bottom w:val="single" w:sz="4" w:space="0" w:color="000000"/>
            </w:tcBorders>
            <w:tcMar>
              <w:top w:w="137" w:type="dxa"/>
              <w:left w:w="120" w:type="dxa"/>
              <w:bottom w:w="137" w:type="dxa"/>
              <w:right w:w="120" w:type="dxa"/>
            </w:tcMar>
            <w:vAlign w:val="bottom"/>
          </w:tcPr>
          <w:p w14:paraId="235B500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Entity</w:t>
            </w:r>
          </w:p>
        </w:tc>
      </w:tr>
    </w:tbl>
    <w:p w14:paraId="6684E6BD" w14:textId="77777777" w:rsidR="00273E3A" w:rsidRDefault="00273E3A">
      <w:pPr>
        <w:spacing w:before="240" w:line="360" w:lineRule="auto"/>
        <w:jc w:val="both"/>
        <w:rPr>
          <w:rFonts w:ascii="Times New Roman" w:eastAsia="Times New Roman" w:hAnsi="Times New Roman" w:cs="Times New Roman"/>
          <w:b/>
          <w:bCs/>
        </w:rPr>
      </w:pPr>
    </w:p>
    <w:p w14:paraId="1394DBEC" w14:textId="77777777" w:rsidR="00273E3A"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6 </w:t>
      </w:r>
    </w:p>
    <w:p w14:paraId="50C5A3F5"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i/>
          <w:iCs/>
        </w:rPr>
        <w:t>Left-Skewed Attention Weight Distribution</w:t>
      </w:r>
    </w:p>
    <w:p w14:paraId="492FC2D3" w14:textId="77777777" w:rsidR="00273E3A" w:rsidRDefault="00000000">
      <w:pPr>
        <w:spacing w:line="360" w:lineRule="auto"/>
        <w:jc w:val="both"/>
        <w:rPr>
          <w:rFonts w:ascii="Times New Roman" w:eastAsia="Times New Roman" w:hAnsi="Times New Roman" w:cs="Times New Roman"/>
        </w:rPr>
      </w:pPr>
      <w:r>
        <w:rPr>
          <w:noProof/>
        </w:rPr>
        <w:drawing>
          <wp:inline distT="0" distB="0" distL="0" distR="0" wp14:anchorId="3DC781CC" wp14:editId="29CB34DF">
            <wp:extent cx="5309919" cy="303559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14246"/>
                    <a:stretch>
                      <a:fillRect/>
                    </a:stretch>
                  </pic:blipFill>
                  <pic:spPr>
                    <a:xfrm>
                      <a:off x="0" y="0"/>
                      <a:ext cx="5309919" cy="3035592"/>
                    </a:xfrm>
                    <a:prstGeom prst="rect">
                      <a:avLst/>
                    </a:prstGeom>
                    <a:ln/>
                  </pic:spPr>
                </pic:pic>
              </a:graphicData>
            </a:graphic>
          </wp:inline>
        </w:drawing>
      </w:r>
    </w:p>
    <w:p w14:paraId="4851E3CE"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Scalability tests across dataset sizes from 10,000 to 5,600,000 transactions, as in Table 5 and Figure 7, show linear training times from 45 seconds to 8.7 hours on Graphics Processing Unit, inference latencies 0.8 to 3.1 milliseconds per 1,000 transactions, memory 2.1 to 64.2 gigabytes, and stable Area Under the Curve-Receiver Operating Characteristic from 0.863 to 0.877, validating production feasibility.</w:t>
      </w:r>
    </w:p>
    <w:p w14:paraId="089D36CC"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124BE53D"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Scalability Metrics Across Dataset Sizes</w:t>
      </w:r>
    </w:p>
    <w:tbl>
      <w:tblPr>
        <w:tblStyle w:val="a3"/>
        <w:tblW w:w="9360" w:type="dxa"/>
        <w:tblInd w:w="0" w:type="dxa"/>
        <w:tblLayout w:type="fixed"/>
        <w:tblLook w:val="0400" w:firstRow="0" w:lastRow="0" w:firstColumn="0" w:lastColumn="0" w:noHBand="0" w:noVBand="1"/>
      </w:tblPr>
      <w:tblGrid>
        <w:gridCol w:w="900"/>
        <w:gridCol w:w="1313"/>
        <w:gridCol w:w="1087"/>
        <w:gridCol w:w="1188"/>
        <w:gridCol w:w="1027"/>
        <w:gridCol w:w="1145"/>
        <w:gridCol w:w="900"/>
        <w:gridCol w:w="90"/>
        <w:gridCol w:w="900"/>
        <w:gridCol w:w="810"/>
      </w:tblGrid>
      <w:tr w:rsidR="00273E3A" w14:paraId="23AFDA8B" w14:textId="77777777">
        <w:trPr>
          <w:tblHeader/>
        </w:trPr>
        <w:tc>
          <w:tcPr>
            <w:tcW w:w="900" w:type="dxa"/>
            <w:tcBorders>
              <w:top w:val="single" w:sz="4" w:space="0" w:color="000000"/>
              <w:bottom w:val="single" w:sz="4" w:space="0" w:color="000000"/>
            </w:tcBorders>
            <w:tcMar>
              <w:top w:w="15" w:type="dxa"/>
              <w:left w:w="0" w:type="dxa"/>
              <w:bottom w:w="137" w:type="dxa"/>
              <w:right w:w="137" w:type="dxa"/>
            </w:tcMar>
            <w:vAlign w:val="bottom"/>
          </w:tcPr>
          <w:p w14:paraId="04A60053"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Scale</w:t>
            </w:r>
          </w:p>
        </w:tc>
        <w:tc>
          <w:tcPr>
            <w:tcW w:w="1313" w:type="dxa"/>
            <w:tcBorders>
              <w:top w:val="single" w:sz="4" w:space="0" w:color="000000"/>
              <w:bottom w:val="single" w:sz="4" w:space="0" w:color="000000"/>
            </w:tcBorders>
            <w:tcMar>
              <w:top w:w="15" w:type="dxa"/>
              <w:left w:w="137" w:type="dxa"/>
              <w:bottom w:w="137" w:type="dxa"/>
              <w:right w:w="137" w:type="dxa"/>
            </w:tcMar>
            <w:vAlign w:val="bottom"/>
          </w:tcPr>
          <w:p w14:paraId="6F67153D"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Transactions</w:t>
            </w:r>
          </w:p>
        </w:tc>
        <w:tc>
          <w:tcPr>
            <w:tcW w:w="1087" w:type="dxa"/>
            <w:tcBorders>
              <w:top w:val="single" w:sz="4" w:space="0" w:color="000000"/>
              <w:bottom w:val="single" w:sz="4" w:space="0" w:color="000000"/>
            </w:tcBorders>
            <w:tcMar>
              <w:top w:w="15" w:type="dxa"/>
              <w:left w:w="137" w:type="dxa"/>
              <w:bottom w:w="137" w:type="dxa"/>
              <w:right w:w="137" w:type="dxa"/>
            </w:tcMar>
            <w:vAlign w:val="bottom"/>
          </w:tcPr>
          <w:p w14:paraId="60A6C1FD"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Nodes</w:t>
            </w:r>
          </w:p>
        </w:tc>
        <w:tc>
          <w:tcPr>
            <w:tcW w:w="1188" w:type="dxa"/>
            <w:tcBorders>
              <w:top w:val="single" w:sz="4" w:space="0" w:color="000000"/>
              <w:bottom w:val="single" w:sz="4" w:space="0" w:color="000000"/>
            </w:tcBorders>
            <w:tcMar>
              <w:top w:w="15" w:type="dxa"/>
              <w:left w:w="137" w:type="dxa"/>
              <w:bottom w:w="137" w:type="dxa"/>
              <w:right w:w="137" w:type="dxa"/>
            </w:tcMar>
            <w:vAlign w:val="bottom"/>
          </w:tcPr>
          <w:p w14:paraId="786CF86C"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Edges</w:t>
            </w:r>
          </w:p>
        </w:tc>
        <w:tc>
          <w:tcPr>
            <w:tcW w:w="1027" w:type="dxa"/>
            <w:tcBorders>
              <w:top w:val="single" w:sz="4" w:space="0" w:color="000000"/>
              <w:bottom w:val="single" w:sz="4" w:space="0" w:color="000000"/>
            </w:tcBorders>
            <w:tcMar>
              <w:top w:w="15" w:type="dxa"/>
              <w:left w:w="137" w:type="dxa"/>
              <w:bottom w:w="137" w:type="dxa"/>
              <w:right w:w="137" w:type="dxa"/>
            </w:tcMar>
            <w:vAlign w:val="bottom"/>
          </w:tcPr>
          <w:p w14:paraId="07834E8F"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Training Time (GPU)</w:t>
            </w:r>
          </w:p>
        </w:tc>
        <w:tc>
          <w:tcPr>
            <w:tcW w:w="1145" w:type="dxa"/>
            <w:tcBorders>
              <w:top w:val="single" w:sz="4" w:space="0" w:color="000000"/>
              <w:bottom w:val="single" w:sz="4" w:space="0" w:color="000000"/>
            </w:tcBorders>
            <w:tcMar>
              <w:top w:w="15" w:type="dxa"/>
              <w:left w:w="137" w:type="dxa"/>
              <w:bottom w:w="137" w:type="dxa"/>
              <w:right w:w="137" w:type="dxa"/>
            </w:tcMar>
            <w:vAlign w:val="bottom"/>
          </w:tcPr>
          <w:p w14:paraId="53697939"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Inference/1K Trans (ms)</w:t>
            </w:r>
          </w:p>
        </w:tc>
        <w:tc>
          <w:tcPr>
            <w:tcW w:w="990" w:type="dxa"/>
            <w:gridSpan w:val="2"/>
            <w:tcBorders>
              <w:top w:val="single" w:sz="4" w:space="0" w:color="000000"/>
              <w:bottom w:val="single" w:sz="4" w:space="0" w:color="000000"/>
            </w:tcBorders>
            <w:tcMar>
              <w:top w:w="15" w:type="dxa"/>
              <w:left w:w="137" w:type="dxa"/>
              <w:bottom w:w="137" w:type="dxa"/>
              <w:right w:w="137" w:type="dxa"/>
            </w:tcMar>
            <w:vAlign w:val="bottom"/>
          </w:tcPr>
          <w:p w14:paraId="105C5F2B"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Memory (GB)</w:t>
            </w:r>
          </w:p>
        </w:tc>
        <w:tc>
          <w:tcPr>
            <w:tcW w:w="900" w:type="dxa"/>
            <w:tcBorders>
              <w:top w:val="single" w:sz="4" w:space="0" w:color="000000"/>
              <w:bottom w:val="single" w:sz="4" w:space="0" w:color="000000"/>
            </w:tcBorders>
            <w:tcMar>
              <w:top w:w="15" w:type="dxa"/>
              <w:left w:w="137" w:type="dxa"/>
              <w:bottom w:w="137" w:type="dxa"/>
              <w:right w:w="137" w:type="dxa"/>
            </w:tcMar>
            <w:vAlign w:val="bottom"/>
          </w:tcPr>
          <w:p w14:paraId="42BBB7D5"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AUC-ROC</w:t>
            </w:r>
          </w:p>
        </w:tc>
        <w:tc>
          <w:tcPr>
            <w:tcW w:w="810" w:type="dxa"/>
            <w:tcBorders>
              <w:top w:val="single" w:sz="4" w:space="0" w:color="000000"/>
              <w:bottom w:val="single" w:sz="4" w:space="0" w:color="000000"/>
            </w:tcBorders>
            <w:tcMar>
              <w:top w:w="15" w:type="dxa"/>
              <w:left w:w="137" w:type="dxa"/>
              <w:bottom w:w="137" w:type="dxa"/>
              <w:right w:w="15" w:type="dxa"/>
            </w:tcMar>
            <w:vAlign w:val="bottom"/>
          </w:tcPr>
          <w:p w14:paraId="36883D99"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F1-Score</w:t>
            </w:r>
          </w:p>
        </w:tc>
      </w:tr>
      <w:tr w:rsidR="00273E3A" w14:paraId="06F82840" w14:textId="77777777">
        <w:tc>
          <w:tcPr>
            <w:tcW w:w="900" w:type="dxa"/>
            <w:tcBorders>
              <w:top w:val="single" w:sz="4" w:space="0" w:color="000000"/>
            </w:tcBorders>
            <w:tcMar>
              <w:top w:w="137" w:type="dxa"/>
              <w:left w:w="0" w:type="dxa"/>
              <w:bottom w:w="137" w:type="dxa"/>
              <w:right w:w="137" w:type="dxa"/>
            </w:tcMar>
            <w:vAlign w:val="bottom"/>
          </w:tcPr>
          <w:p w14:paraId="2C5FD6A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Small</w:t>
            </w:r>
          </w:p>
        </w:tc>
        <w:tc>
          <w:tcPr>
            <w:tcW w:w="1313" w:type="dxa"/>
            <w:tcBorders>
              <w:top w:val="single" w:sz="4" w:space="0" w:color="000000"/>
            </w:tcBorders>
            <w:tcMar>
              <w:top w:w="137" w:type="dxa"/>
              <w:left w:w="137" w:type="dxa"/>
              <w:bottom w:w="137" w:type="dxa"/>
              <w:right w:w="137" w:type="dxa"/>
            </w:tcMar>
            <w:vAlign w:val="bottom"/>
          </w:tcPr>
          <w:p w14:paraId="73BB459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10,000</w:t>
            </w:r>
          </w:p>
        </w:tc>
        <w:tc>
          <w:tcPr>
            <w:tcW w:w="1087" w:type="dxa"/>
            <w:tcBorders>
              <w:top w:val="single" w:sz="4" w:space="0" w:color="000000"/>
            </w:tcBorders>
            <w:tcMar>
              <w:top w:w="137" w:type="dxa"/>
              <w:left w:w="137" w:type="dxa"/>
              <w:bottom w:w="137" w:type="dxa"/>
              <w:right w:w="137" w:type="dxa"/>
            </w:tcMar>
            <w:vAlign w:val="bottom"/>
          </w:tcPr>
          <w:p w14:paraId="7269D28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28,547</w:t>
            </w:r>
          </w:p>
        </w:tc>
        <w:tc>
          <w:tcPr>
            <w:tcW w:w="1188" w:type="dxa"/>
            <w:tcBorders>
              <w:top w:val="single" w:sz="4" w:space="0" w:color="000000"/>
            </w:tcBorders>
            <w:tcMar>
              <w:top w:w="137" w:type="dxa"/>
              <w:left w:w="137" w:type="dxa"/>
              <w:bottom w:w="137" w:type="dxa"/>
              <w:right w:w="137" w:type="dxa"/>
            </w:tcMar>
            <w:vAlign w:val="bottom"/>
          </w:tcPr>
          <w:p w14:paraId="60BD631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85,234</w:t>
            </w:r>
          </w:p>
        </w:tc>
        <w:tc>
          <w:tcPr>
            <w:tcW w:w="1027" w:type="dxa"/>
            <w:tcBorders>
              <w:top w:val="single" w:sz="4" w:space="0" w:color="000000"/>
            </w:tcBorders>
            <w:tcMar>
              <w:top w:w="137" w:type="dxa"/>
              <w:left w:w="137" w:type="dxa"/>
              <w:bottom w:w="137" w:type="dxa"/>
              <w:right w:w="137" w:type="dxa"/>
            </w:tcMar>
            <w:vAlign w:val="bottom"/>
          </w:tcPr>
          <w:p w14:paraId="5C90886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45 sec</w:t>
            </w:r>
          </w:p>
        </w:tc>
        <w:tc>
          <w:tcPr>
            <w:tcW w:w="1145" w:type="dxa"/>
            <w:tcBorders>
              <w:top w:val="single" w:sz="4" w:space="0" w:color="000000"/>
            </w:tcBorders>
            <w:tcMar>
              <w:top w:w="137" w:type="dxa"/>
              <w:left w:w="137" w:type="dxa"/>
              <w:bottom w:w="137" w:type="dxa"/>
              <w:right w:w="137" w:type="dxa"/>
            </w:tcMar>
            <w:vAlign w:val="bottom"/>
          </w:tcPr>
          <w:p w14:paraId="2FCCF59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w:t>
            </w:r>
          </w:p>
        </w:tc>
        <w:tc>
          <w:tcPr>
            <w:tcW w:w="900" w:type="dxa"/>
            <w:tcBorders>
              <w:top w:val="single" w:sz="4" w:space="0" w:color="000000"/>
            </w:tcBorders>
            <w:tcMar>
              <w:top w:w="137" w:type="dxa"/>
              <w:left w:w="137" w:type="dxa"/>
              <w:bottom w:w="137" w:type="dxa"/>
              <w:right w:w="137" w:type="dxa"/>
            </w:tcMar>
            <w:vAlign w:val="bottom"/>
          </w:tcPr>
          <w:p w14:paraId="64F5669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2.1</w:t>
            </w:r>
          </w:p>
        </w:tc>
        <w:tc>
          <w:tcPr>
            <w:tcW w:w="990" w:type="dxa"/>
            <w:gridSpan w:val="2"/>
            <w:tcBorders>
              <w:top w:val="single" w:sz="4" w:space="0" w:color="000000"/>
            </w:tcBorders>
            <w:tcMar>
              <w:top w:w="137" w:type="dxa"/>
              <w:left w:w="137" w:type="dxa"/>
              <w:bottom w:w="137" w:type="dxa"/>
              <w:right w:w="137" w:type="dxa"/>
            </w:tcMar>
            <w:vAlign w:val="bottom"/>
          </w:tcPr>
          <w:p w14:paraId="356E4B9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0.863</w:t>
            </w:r>
          </w:p>
        </w:tc>
        <w:tc>
          <w:tcPr>
            <w:tcW w:w="810" w:type="dxa"/>
            <w:tcBorders>
              <w:top w:val="single" w:sz="4" w:space="0" w:color="000000"/>
            </w:tcBorders>
            <w:tcMar>
              <w:top w:w="137" w:type="dxa"/>
              <w:left w:w="137" w:type="dxa"/>
              <w:bottom w:w="137" w:type="dxa"/>
              <w:right w:w="0" w:type="dxa"/>
            </w:tcMar>
            <w:vAlign w:val="bottom"/>
          </w:tcPr>
          <w:p w14:paraId="635675F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0.712</w:t>
            </w:r>
          </w:p>
        </w:tc>
      </w:tr>
      <w:tr w:rsidR="00273E3A" w14:paraId="0B581F28" w14:textId="77777777">
        <w:tc>
          <w:tcPr>
            <w:tcW w:w="900" w:type="dxa"/>
            <w:tcMar>
              <w:top w:w="137" w:type="dxa"/>
              <w:left w:w="0" w:type="dxa"/>
              <w:bottom w:w="137" w:type="dxa"/>
              <w:right w:w="137" w:type="dxa"/>
            </w:tcMar>
            <w:vAlign w:val="bottom"/>
          </w:tcPr>
          <w:p w14:paraId="792CD67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Medium</w:t>
            </w:r>
          </w:p>
        </w:tc>
        <w:tc>
          <w:tcPr>
            <w:tcW w:w="1313" w:type="dxa"/>
            <w:tcMar>
              <w:top w:w="137" w:type="dxa"/>
              <w:left w:w="137" w:type="dxa"/>
              <w:bottom w:w="137" w:type="dxa"/>
              <w:right w:w="137" w:type="dxa"/>
            </w:tcMar>
            <w:vAlign w:val="bottom"/>
          </w:tcPr>
          <w:p w14:paraId="482CB4C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100,000</w:t>
            </w:r>
          </w:p>
        </w:tc>
        <w:tc>
          <w:tcPr>
            <w:tcW w:w="1087" w:type="dxa"/>
            <w:tcMar>
              <w:top w:w="137" w:type="dxa"/>
              <w:left w:w="137" w:type="dxa"/>
              <w:bottom w:w="137" w:type="dxa"/>
              <w:right w:w="137" w:type="dxa"/>
            </w:tcMar>
            <w:vAlign w:val="bottom"/>
          </w:tcPr>
          <w:p w14:paraId="7620017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124,893</w:t>
            </w:r>
          </w:p>
        </w:tc>
        <w:tc>
          <w:tcPr>
            <w:tcW w:w="1188" w:type="dxa"/>
            <w:tcMar>
              <w:top w:w="137" w:type="dxa"/>
              <w:left w:w="137" w:type="dxa"/>
              <w:bottom w:w="137" w:type="dxa"/>
              <w:right w:w="137" w:type="dxa"/>
            </w:tcMar>
            <w:vAlign w:val="bottom"/>
          </w:tcPr>
          <w:p w14:paraId="44E4535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542,187</w:t>
            </w:r>
          </w:p>
        </w:tc>
        <w:tc>
          <w:tcPr>
            <w:tcW w:w="1027" w:type="dxa"/>
            <w:tcMar>
              <w:top w:w="137" w:type="dxa"/>
              <w:left w:w="137" w:type="dxa"/>
              <w:bottom w:w="137" w:type="dxa"/>
              <w:right w:w="137" w:type="dxa"/>
            </w:tcMar>
            <w:vAlign w:val="bottom"/>
          </w:tcPr>
          <w:p w14:paraId="065F3F27"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8.2 min</w:t>
            </w:r>
          </w:p>
        </w:tc>
        <w:tc>
          <w:tcPr>
            <w:tcW w:w="1145" w:type="dxa"/>
            <w:tcMar>
              <w:top w:w="137" w:type="dxa"/>
              <w:left w:w="137" w:type="dxa"/>
              <w:bottom w:w="137" w:type="dxa"/>
              <w:right w:w="137" w:type="dxa"/>
            </w:tcMar>
            <w:vAlign w:val="bottom"/>
          </w:tcPr>
          <w:p w14:paraId="0F06744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900" w:type="dxa"/>
            <w:tcMar>
              <w:top w:w="137" w:type="dxa"/>
              <w:left w:w="137" w:type="dxa"/>
              <w:bottom w:w="137" w:type="dxa"/>
              <w:right w:w="137" w:type="dxa"/>
            </w:tcMar>
            <w:vAlign w:val="bottom"/>
          </w:tcPr>
          <w:p w14:paraId="05A717E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4.8</w:t>
            </w:r>
          </w:p>
        </w:tc>
        <w:tc>
          <w:tcPr>
            <w:tcW w:w="990" w:type="dxa"/>
            <w:gridSpan w:val="2"/>
            <w:tcMar>
              <w:top w:w="137" w:type="dxa"/>
              <w:left w:w="137" w:type="dxa"/>
              <w:bottom w:w="137" w:type="dxa"/>
              <w:right w:w="137" w:type="dxa"/>
            </w:tcMar>
            <w:vAlign w:val="bottom"/>
          </w:tcPr>
          <w:p w14:paraId="764D433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0.872</w:t>
            </w:r>
          </w:p>
        </w:tc>
        <w:tc>
          <w:tcPr>
            <w:tcW w:w="810" w:type="dxa"/>
            <w:tcMar>
              <w:top w:w="137" w:type="dxa"/>
              <w:left w:w="137" w:type="dxa"/>
              <w:bottom w:w="137" w:type="dxa"/>
              <w:right w:w="0" w:type="dxa"/>
            </w:tcMar>
            <w:vAlign w:val="bottom"/>
          </w:tcPr>
          <w:p w14:paraId="0D18CC0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0.729</w:t>
            </w:r>
          </w:p>
        </w:tc>
      </w:tr>
      <w:tr w:rsidR="00273E3A" w14:paraId="5337AD43" w14:textId="77777777">
        <w:tc>
          <w:tcPr>
            <w:tcW w:w="900" w:type="dxa"/>
            <w:tcMar>
              <w:top w:w="137" w:type="dxa"/>
              <w:left w:w="0" w:type="dxa"/>
              <w:bottom w:w="137" w:type="dxa"/>
              <w:right w:w="137" w:type="dxa"/>
            </w:tcMar>
            <w:vAlign w:val="bottom"/>
          </w:tcPr>
          <w:p w14:paraId="4EB0099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Large</w:t>
            </w:r>
          </w:p>
        </w:tc>
        <w:tc>
          <w:tcPr>
            <w:tcW w:w="1313" w:type="dxa"/>
            <w:tcMar>
              <w:top w:w="137" w:type="dxa"/>
              <w:left w:w="137" w:type="dxa"/>
              <w:bottom w:w="137" w:type="dxa"/>
              <w:right w:w="137" w:type="dxa"/>
            </w:tcMar>
            <w:vAlign w:val="bottom"/>
          </w:tcPr>
          <w:p w14:paraId="526D9BD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560,000</w:t>
            </w:r>
          </w:p>
        </w:tc>
        <w:tc>
          <w:tcPr>
            <w:tcW w:w="1087" w:type="dxa"/>
            <w:tcMar>
              <w:top w:w="137" w:type="dxa"/>
              <w:left w:w="137" w:type="dxa"/>
              <w:bottom w:w="137" w:type="dxa"/>
              <w:right w:w="137" w:type="dxa"/>
            </w:tcMar>
            <w:vAlign w:val="bottom"/>
          </w:tcPr>
          <w:p w14:paraId="5200256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645,238</w:t>
            </w:r>
          </w:p>
        </w:tc>
        <w:tc>
          <w:tcPr>
            <w:tcW w:w="1188" w:type="dxa"/>
            <w:tcMar>
              <w:top w:w="137" w:type="dxa"/>
              <w:left w:w="137" w:type="dxa"/>
              <w:bottom w:w="137" w:type="dxa"/>
              <w:right w:w="137" w:type="dxa"/>
            </w:tcMar>
            <w:vAlign w:val="bottom"/>
          </w:tcPr>
          <w:p w14:paraId="6AA6BC6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2,847,394</w:t>
            </w:r>
          </w:p>
        </w:tc>
        <w:tc>
          <w:tcPr>
            <w:tcW w:w="1027" w:type="dxa"/>
            <w:tcMar>
              <w:top w:w="137" w:type="dxa"/>
              <w:left w:w="137" w:type="dxa"/>
              <w:bottom w:w="137" w:type="dxa"/>
              <w:right w:w="137" w:type="dxa"/>
            </w:tcMar>
            <w:vAlign w:val="bottom"/>
          </w:tcPr>
          <w:p w14:paraId="19967DCF"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47 min</w:t>
            </w:r>
          </w:p>
        </w:tc>
        <w:tc>
          <w:tcPr>
            <w:tcW w:w="1145" w:type="dxa"/>
            <w:tcMar>
              <w:top w:w="137" w:type="dxa"/>
              <w:left w:w="137" w:type="dxa"/>
              <w:bottom w:w="137" w:type="dxa"/>
              <w:right w:w="137" w:type="dxa"/>
            </w:tcMar>
            <w:vAlign w:val="bottom"/>
          </w:tcPr>
          <w:p w14:paraId="3D651F2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1.8</w:t>
            </w:r>
          </w:p>
        </w:tc>
        <w:tc>
          <w:tcPr>
            <w:tcW w:w="900" w:type="dxa"/>
            <w:tcMar>
              <w:top w:w="137" w:type="dxa"/>
              <w:left w:w="137" w:type="dxa"/>
              <w:bottom w:w="137" w:type="dxa"/>
              <w:right w:w="137" w:type="dxa"/>
            </w:tcMar>
            <w:vAlign w:val="bottom"/>
          </w:tcPr>
          <w:p w14:paraId="6B67FFE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11.3</w:t>
            </w:r>
          </w:p>
        </w:tc>
        <w:tc>
          <w:tcPr>
            <w:tcW w:w="990" w:type="dxa"/>
            <w:gridSpan w:val="2"/>
            <w:tcMar>
              <w:top w:w="137" w:type="dxa"/>
              <w:left w:w="137" w:type="dxa"/>
              <w:bottom w:w="137" w:type="dxa"/>
              <w:right w:w="137" w:type="dxa"/>
            </w:tcMar>
            <w:vAlign w:val="bottom"/>
          </w:tcPr>
          <w:p w14:paraId="0FD1A66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0.874</w:t>
            </w:r>
          </w:p>
        </w:tc>
        <w:tc>
          <w:tcPr>
            <w:tcW w:w="810" w:type="dxa"/>
            <w:tcMar>
              <w:top w:w="137" w:type="dxa"/>
              <w:left w:w="137" w:type="dxa"/>
              <w:bottom w:w="137" w:type="dxa"/>
              <w:right w:w="0" w:type="dxa"/>
            </w:tcMar>
            <w:vAlign w:val="bottom"/>
          </w:tcPr>
          <w:p w14:paraId="78EA652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0.734</w:t>
            </w:r>
          </w:p>
        </w:tc>
      </w:tr>
      <w:tr w:rsidR="00273E3A" w14:paraId="5002F2B2" w14:textId="77777777">
        <w:tc>
          <w:tcPr>
            <w:tcW w:w="900" w:type="dxa"/>
            <w:tcMar>
              <w:top w:w="137" w:type="dxa"/>
              <w:left w:w="0" w:type="dxa"/>
              <w:bottom w:w="137" w:type="dxa"/>
              <w:right w:w="137" w:type="dxa"/>
            </w:tcMar>
            <w:vAlign w:val="bottom"/>
          </w:tcPr>
          <w:p w14:paraId="19FEB56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Very Large</w:t>
            </w:r>
          </w:p>
        </w:tc>
        <w:tc>
          <w:tcPr>
            <w:tcW w:w="1313" w:type="dxa"/>
            <w:tcMar>
              <w:top w:w="137" w:type="dxa"/>
              <w:left w:w="137" w:type="dxa"/>
              <w:bottom w:w="137" w:type="dxa"/>
              <w:right w:w="137" w:type="dxa"/>
            </w:tcMar>
            <w:vAlign w:val="bottom"/>
          </w:tcPr>
          <w:p w14:paraId="5B816CD5"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2,000,000</w:t>
            </w:r>
          </w:p>
        </w:tc>
        <w:tc>
          <w:tcPr>
            <w:tcW w:w="1087" w:type="dxa"/>
            <w:tcMar>
              <w:top w:w="137" w:type="dxa"/>
              <w:left w:w="137" w:type="dxa"/>
              <w:bottom w:w="137" w:type="dxa"/>
              <w:right w:w="137" w:type="dxa"/>
            </w:tcMar>
            <w:vAlign w:val="bottom"/>
          </w:tcPr>
          <w:p w14:paraId="0F39075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1,847,293</w:t>
            </w:r>
          </w:p>
        </w:tc>
        <w:tc>
          <w:tcPr>
            <w:tcW w:w="1188" w:type="dxa"/>
            <w:tcMar>
              <w:top w:w="137" w:type="dxa"/>
              <w:left w:w="137" w:type="dxa"/>
              <w:bottom w:w="137" w:type="dxa"/>
              <w:right w:w="137" w:type="dxa"/>
            </w:tcMar>
            <w:vAlign w:val="bottom"/>
          </w:tcPr>
          <w:p w14:paraId="19DC486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8,234,847</w:t>
            </w:r>
          </w:p>
        </w:tc>
        <w:tc>
          <w:tcPr>
            <w:tcW w:w="1027" w:type="dxa"/>
            <w:tcMar>
              <w:top w:w="137" w:type="dxa"/>
              <w:left w:w="137" w:type="dxa"/>
              <w:bottom w:w="137" w:type="dxa"/>
              <w:right w:w="137" w:type="dxa"/>
            </w:tcMar>
            <w:vAlign w:val="bottom"/>
          </w:tcPr>
          <w:p w14:paraId="32D2C4E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3.2 hrs</w:t>
            </w:r>
          </w:p>
        </w:tc>
        <w:tc>
          <w:tcPr>
            <w:tcW w:w="1145" w:type="dxa"/>
            <w:tcMar>
              <w:top w:w="137" w:type="dxa"/>
              <w:left w:w="137" w:type="dxa"/>
              <w:bottom w:w="137" w:type="dxa"/>
              <w:right w:w="137" w:type="dxa"/>
            </w:tcMar>
            <w:vAlign w:val="bottom"/>
          </w:tcPr>
          <w:p w14:paraId="5AD7B25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2.4</w:t>
            </w:r>
          </w:p>
        </w:tc>
        <w:tc>
          <w:tcPr>
            <w:tcW w:w="900" w:type="dxa"/>
            <w:tcMar>
              <w:top w:w="137" w:type="dxa"/>
              <w:left w:w="137" w:type="dxa"/>
              <w:bottom w:w="137" w:type="dxa"/>
              <w:right w:w="137" w:type="dxa"/>
            </w:tcMar>
            <w:vAlign w:val="bottom"/>
          </w:tcPr>
          <w:p w14:paraId="1FE0D1A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28.7</w:t>
            </w:r>
          </w:p>
        </w:tc>
        <w:tc>
          <w:tcPr>
            <w:tcW w:w="990" w:type="dxa"/>
            <w:gridSpan w:val="2"/>
            <w:tcMar>
              <w:top w:w="137" w:type="dxa"/>
              <w:left w:w="137" w:type="dxa"/>
              <w:bottom w:w="137" w:type="dxa"/>
              <w:right w:w="137" w:type="dxa"/>
            </w:tcMar>
            <w:vAlign w:val="bottom"/>
          </w:tcPr>
          <w:p w14:paraId="0ED8A42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0.876</w:t>
            </w:r>
          </w:p>
        </w:tc>
        <w:tc>
          <w:tcPr>
            <w:tcW w:w="810" w:type="dxa"/>
            <w:tcMar>
              <w:top w:w="137" w:type="dxa"/>
              <w:left w:w="137" w:type="dxa"/>
              <w:bottom w:w="137" w:type="dxa"/>
              <w:right w:w="0" w:type="dxa"/>
            </w:tcMar>
            <w:vAlign w:val="bottom"/>
          </w:tcPr>
          <w:p w14:paraId="281F336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0.740</w:t>
            </w:r>
          </w:p>
        </w:tc>
      </w:tr>
      <w:tr w:rsidR="00273E3A" w14:paraId="55F744D2" w14:textId="77777777">
        <w:tc>
          <w:tcPr>
            <w:tcW w:w="900" w:type="dxa"/>
            <w:tcBorders>
              <w:bottom w:val="single" w:sz="4" w:space="0" w:color="000000"/>
            </w:tcBorders>
            <w:tcMar>
              <w:top w:w="137" w:type="dxa"/>
              <w:left w:w="0" w:type="dxa"/>
              <w:bottom w:w="137" w:type="dxa"/>
              <w:right w:w="137" w:type="dxa"/>
            </w:tcMar>
            <w:vAlign w:val="bottom"/>
          </w:tcPr>
          <w:p w14:paraId="1C25641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Extreme</w:t>
            </w:r>
          </w:p>
        </w:tc>
        <w:tc>
          <w:tcPr>
            <w:tcW w:w="1313" w:type="dxa"/>
            <w:tcBorders>
              <w:bottom w:val="single" w:sz="4" w:space="0" w:color="000000"/>
            </w:tcBorders>
            <w:tcMar>
              <w:top w:w="137" w:type="dxa"/>
              <w:left w:w="137" w:type="dxa"/>
              <w:bottom w:w="137" w:type="dxa"/>
              <w:right w:w="137" w:type="dxa"/>
            </w:tcMar>
            <w:vAlign w:val="bottom"/>
          </w:tcPr>
          <w:p w14:paraId="617CAC0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5,600,000</w:t>
            </w:r>
          </w:p>
        </w:tc>
        <w:tc>
          <w:tcPr>
            <w:tcW w:w="1087" w:type="dxa"/>
            <w:tcBorders>
              <w:bottom w:val="single" w:sz="4" w:space="0" w:color="000000"/>
            </w:tcBorders>
            <w:tcMar>
              <w:top w:w="137" w:type="dxa"/>
              <w:left w:w="137" w:type="dxa"/>
              <w:bottom w:w="137" w:type="dxa"/>
              <w:right w:w="137" w:type="dxa"/>
            </w:tcMar>
            <w:vAlign w:val="bottom"/>
          </w:tcPr>
          <w:p w14:paraId="06DF755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3,427,582</w:t>
            </w:r>
          </w:p>
        </w:tc>
        <w:tc>
          <w:tcPr>
            <w:tcW w:w="1188" w:type="dxa"/>
            <w:tcBorders>
              <w:bottom w:val="single" w:sz="4" w:space="0" w:color="000000"/>
            </w:tcBorders>
            <w:tcMar>
              <w:top w:w="137" w:type="dxa"/>
              <w:left w:w="137" w:type="dxa"/>
              <w:bottom w:w="137" w:type="dxa"/>
              <w:right w:w="137" w:type="dxa"/>
            </w:tcMar>
            <w:vAlign w:val="bottom"/>
          </w:tcPr>
          <w:p w14:paraId="45A4347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15,847,392</w:t>
            </w:r>
          </w:p>
        </w:tc>
        <w:tc>
          <w:tcPr>
            <w:tcW w:w="1027" w:type="dxa"/>
            <w:tcBorders>
              <w:bottom w:val="single" w:sz="4" w:space="0" w:color="000000"/>
            </w:tcBorders>
            <w:tcMar>
              <w:top w:w="137" w:type="dxa"/>
              <w:left w:w="137" w:type="dxa"/>
              <w:bottom w:w="137" w:type="dxa"/>
              <w:right w:w="137" w:type="dxa"/>
            </w:tcMar>
            <w:vAlign w:val="bottom"/>
          </w:tcPr>
          <w:p w14:paraId="477D67C3"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8.7 hrs</w:t>
            </w:r>
          </w:p>
        </w:tc>
        <w:tc>
          <w:tcPr>
            <w:tcW w:w="1145" w:type="dxa"/>
            <w:tcBorders>
              <w:bottom w:val="single" w:sz="4" w:space="0" w:color="000000"/>
            </w:tcBorders>
            <w:tcMar>
              <w:top w:w="137" w:type="dxa"/>
              <w:left w:w="137" w:type="dxa"/>
              <w:bottom w:w="137" w:type="dxa"/>
              <w:right w:w="137" w:type="dxa"/>
            </w:tcMar>
            <w:vAlign w:val="bottom"/>
          </w:tcPr>
          <w:p w14:paraId="310275F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3.1</w:t>
            </w:r>
          </w:p>
        </w:tc>
        <w:tc>
          <w:tcPr>
            <w:tcW w:w="900" w:type="dxa"/>
            <w:tcBorders>
              <w:bottom w:val="single" w:sz="4" w:space="0" w:color="000000"/>
            </w:tcBorders>
            <w:tcMar>
              <w:top w:w="137" w:type="dxa"/>
              <w:left w:w="137" w:type="dxa"/>
              <w:bottom w:w="137" w:type="dxa"/>
              <w:right w:w="137" w:type="dxa"/>
            </w:tcMar>
            <w:vAlign w:val="bottom"/>
          </w:tcPr>
          <w:p w14:paraId="46743B3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64.2</w:t>
            </w:r>
          </w:p>
        </w:tc>
        <w:tc>
          <w:tcPr>
            <w:tcW w:w="990" w:type="dxa"/>
            <w:gridSpan w:val="2"/>
            <w:tcBorders>
              <w:bottom w:val="single" w:sz="4" w:space="0" w:color="000000"/>
            </w:tcBorders>
            <w:tcMar>
              <w:top w:w="137" w:type="dxa"/>
              <w:left w:w="137" w:type="dxa"/>
              <w:bottom w:w="137" w:type="dxa"/>
              <w:right w:w="137" w:type="dxa"/>
            </w:tcMar>
            <w:vAlign w:val="bottom"/>
          </w:tcPr>
          <w:p w14:paraId="741015C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0.877</w:t>
            </w:r>
          </w:p>
        </w:tc>
        <w:tc>
          <w:tcPr>
            <w:tcW w:w="810" w:type="dxa"/>
            <w:tcBorders>
              <w:bottom w:val="single" w:sz="4" w:space="0" w:color="000000"/>
            </w:tcBorders>
            <w:tcMar>
              <w:top w:w="137" w:type="dxa"/>
              <w:left w:w="137" w:type="dxa"/>
              <w:bottom w:w="137" w:type="dxa"/>
              <w:right w:w="0" w:type="dxa"/>
            </w:tcMar>
            <w:vAlign w:val="bottom"/>
          </w:tcPr>
          <w:p w14:paraId="281F5B1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0.746</w:t>
            </w:r>
          </w:p>
        </w:tc>
      </w:tr>
    </w:tbl>
    <w:p w14:paraId="0A180B9A" w14:textId="77777777" w:rsidR="00273E3A"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7</w:t>
      </w:r>
    </w:p>
    <w:p w14:paraId="5781C838" w14:textId="77777777" w:rsidR="00273E3A"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Performance Metrics with Privacy Protections</w:t>
      </w:r>
    </w:p>
    <w:p w14:paraId="28EAEBCE" w14:textId="77777777" w:rsidR="00273E3A" w:rsidRDefault="00000000">
      <w:pPr>
        <w:spacing w:before="240" w:line="360" w:lineRule="auto"/>
        <w:jc w:val="both"/>
        <w:rPr>
          <w:rFonts w:ascii="Times New Roman" w:eastAsia="Times New Roman" w:hAnsi="Times New Roman" w:cs="Times New Roman"/>
        </w:rPr>
      </w:pPr>
      <w:r>
        <w:rPr>
          <w:noProof/>
        </w:rPr>
        <w:drawing>
          <wp:inline distT="0" distB="0" distL="0" distR="0" wp14:anchorId="73B8069B" wp14:editId="75E25FF7">
            <wp:extent cx="5636090" cy="34557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8026"/>
                    <a:stretch>
                      <a:fillRect/>
                    </a:stretch>
                  </pic:blipFill>
                  <pic:spPr>
                    <a:xfrm>
                      <a:off x="0" y="0"/>
                      <a:ext cx="5636090" cy="3455797"/>
                    </a:xfrm>
                    <a:prstGeom prst="rect">
                      <a:avLst/>
                    </a:prstGeom>
                    <a:ln/>
                  </pic:spPr>
                </pic:pic>
              </a:graphicData>
            </a:graphic>
          </wp:inline>
        </w:drawing>
      </w:r>
    </w:p>
    <w:p w14:paraId="5765010C" w14:textId="77777777" w:rsidR="00273E3A"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Privacy evaluations in Table 6 compare central baseline to federated and differential privacy setups, with Area Under the Curve-Receiver Operating Characteristic dropping from 0.874 to 0.847 under combined federated plus differential privacy at epsilon equals 1, precision from 0.893 to 0.853, recall from 0.821 to 0.782, F1 from 0.857 to 0.818, and training time increasing 400 percent due to aggregation overhead, yet maintaining strong utility.</w:t>
      </w:r>
    </w:p>
    <w:p w14:paraId="58E60093"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6</w:t>
      </w:r>
    </w:p>
    <w:p w14:paraId="0AB0F1BB" w14:textId="77777777" w:rsidR="00273E3A"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Privacy Mechanism Performance Impacts</w:t>
      </w:r>
    </w:p>
    <w:tbl>
      <w:tblPr>
        <w:tblStyle w:val="a4"/>
        <w:tblW w:w="9360" w:type="dxa"/>
        <w:tblInd w:w="0" w:type="dxa"/>
        <w:tblLayout w:type="fixed"/>
        <w:tblLook w:val="0400" w:firstRow="0" w:lastRow="0" w:firstColumn="0" w:lastColumn="0" w:noHBand="0" w:noVBand="1"/>
      </w:tblPr>
      <w:tblGrid>
        <w:gridCol w:w="2161"/>
        <w:gridCol w:w="1169"/>
        <w:gridCol w:w="1217"/>
        <w:gridCol w:w="914"/>
        <w:gridCol w:w="1035"/>
        <w:gridCol w:w="1487"/>
        <w:gridCol w:w="1377"/>
      </w:tblGrid>
      <w:tr w:rsidR="00273E3A" w14:paraId="25B837F1" w14:textId="77777777">
        <w:trPr>
          <w:tblHeader/>
        </w:trPr>
        <w:tc>
          <w:tcPr>
            <w:tcW w:w="2161" w:type="dxa"/>
            <w:tcBorders>
              <w:top w:val="single" w:sz="4" w:space="0" w:color="000000"/>
              <w:bottom w:val="single" w:sz="4" w:space="0" w:color="000000"/>
            </w:tcBorders>
            <w:tcMar>
              <w:top w:w="15" w:type="dxa"/>
              <w:left w:w="0" w:type="dxa"/>
              <w:bottom w:w="137" w:type="dxa"/>
              <w:right w:w="137" w:type="dxa"/>
            </w:tcMar>
            <w:vAlign w:val="bottom"/>
          </w:tcPr>
          <w:p w14:paraId="41363CBE"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Configuration</w:t>
            </w:r>
          </w:p>
        </w:tc>
        <w:tc>
          <w:tcPr>
            <w:tcW w:w="1169" w:type="dxa"/>
            <w:tcBorders>
              <w:top w:val="single" w:sz="4" w:space="0" w:color="000000"/>
              <w:bottom w:val="single" w:sz="4" w:space="0" w:color="000000"/>
            </w:tcBorders>
            <w:tcMar>
              <w:top w:w="15" w:type="dxa"/>
              <w:left w:w="137" w:type="dxa"/>
              <w:bottom w:w="137" w:type="dxa"/>
              <w:right w:w="137" w:type="dxa"/>
            </w:tcMar>
            <w:vAlign w:val="bottom"/>
          </w:tcPr>
          <w:p w14:paraId="58C52C80"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AUC-ROC</w:t>
            </w:r>
          </w:p>
        </w:tc>
        <w:tc>
          <w:tcPr>
            <w:tcW w:w="1217" w:type="dxa"/>
            <w:tcBorders>
              <w:top w:val="single" w:sz="4" w:space="0" w:color="000000"/>
              <w:bottom w:val="single" w:sz="4" w:space="0" w:color="000000"/>
            </w:tcBorders>
            <w:tcMar>
              <w:top w:w="15" w:type="dxa"/>
              <w:left w:w="137" w:type="dxa"/>
              <w:bottom w:w="137" w:type="dxa"/>
              <w:right w:w="137" w:type="dxa"/>
            </w:tcMar>
            <w:vAlign w:val="bottom"/>
          </w:tcPr>
          <w:p w14:paraId="1F48FE6C"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Precision</w:t>
            </w:r>
          </w:p>
        </w:tc>
        <w:tc>
          <w:tcPr>
            <w:tcW w:w="914" w:type="dxa"/>
            <w:tcBorders>
              <w:top w:val="single" w:sz="4" w:space="0" w:color="000000"/>
              <w:bottom w:val="single" w:sz="4" w:space="0" w:color="000000"/>
            </w:tcBorders>
            <w:tcMar>
              <w:top w:w="15" w:type="dxa"/>
              <w:left w:w="137" w:type="dxa"/>
              <w:bottom w:w="137" w:type="dxa"/>
              <w:right w:w="137" w:type="dxa"/>
            </w:tcMar>
            <w:vAlign w:val="bottom"/>
          </w:tcPr>
          <w:p w14:paraId="4E55397E"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Recall</w:t>
            </w:r>
          </w:p>
        </w:tc>
        <w:tc>
          <w:tcPr>
            <w:tcW w:w="1035" w:type="dxa"/>
            <w:tcBorders>
              <w:top w:val="single" w:sz="4" w:space="0" w:color="000000"/>
              <w:bottom w:val="single" w:sz="4" w:space="0" w:color="000000"/>
            </w:tcBorders>
            <w:tcMar>
              <w:top w:w="15" w:type="dxa"/>
              <w:left w:w="137" w:type="dxa"/>
              <w:bottom w:w="137" w:type="dxa"/>
              <w:right w:w="137" w:type="dxa"/>
            </w:tcMar>
            <w:vAlign w:val="bottom"/>
          </w:tcPr>
          <w:p w14:paraId="368B82D2"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F1-Score</w:t>
            </w:r>
          </w:p>
        </w:tc>
        <w:tc>
          <w:tcPr>
            <w:tcW w:w="1487" w:type="dxa"/>
            <w:tcBorders>
              <w:top w:val="single" w:sz="4" w:space="0" w:color="000000"/>
              <w:bottom w:val="single" w:sz="4" w:space="0" w:color="000000"/>
            </w:tcBorders>
            <w:tcMar>
              <w:top w:w="15" w:type="dxa"/>
              <w:left w:w="137" w:type="dxa"/>
              <w:bottom w:w="137" w:type="dxa"/>
              <w:right w:w="137" w:type="dxa"/>
            </w:tcMar>
            <w:vAlign w:val="bottom"/>
          </w:tcPr>
          <w:p w14:paraId="21268948"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Training Time</w:t>
            </w:r>
          </w:p>
        </w:tc>
        <w:tc>
          <w:tcPr>
            <w:tcW w:w="1377" w:type="dxa"/>
            <w:tcBorders>
              <w:top w:val="single" w:sz="4" w:space="0" w:color="000000"/>
              <w:bottom w:val="single" w:sz="4" w:space="0" w:color="000000"/>
            </w:tcBorders>
            <w:tcMar>
              <w:top w:w="15" w:type="dxa"/>
              <w:left w:w="137" w:type="dxa"/>
              <w:bottom w:w="137" w:type="dxa"/>
              <w:right w:w="15" w:type="dxa"/>
            </w:tcMar>
            <w:vAlign w:val="bottom"/>
          </w:tcPr>
          <w:p w14:paraId="5E6D6493" w14:textId="77777777" w:rsidR="00273E3A"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Privacy Budget</w:t>
            </w:r>
          </w:p>
        </w:tc>
      </w:tr>
      <w:tr w:rsidR="00273E3A" w14:paraId="056EE124" w14:textId="77777777">
        <w:tc>
          <w:tcPr>
            <w:tcW w:w="2161" w:type="dxa"/>
            <w:tcBorders>
              <w:top w:val="single" w:sz="4" w:space="0" w:color="000000"/>
            </w:tcBorders>
            <w:tcMar>
              <w:top w:w="137" w:type="dxa"/>
              <w:left w:w="0" w:type="dxa"/>
              <w:bottom w:w="137" w:type="dxa"/>
              <w:right w:w="137" w:type="dxa"/>
            </w:tcMar>
            <w:vAlign w:val="bottom"/>
          </w:tcPr>
          <w:p w14:paraId="2746D88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Central (Baseline)</w:t>
            </w:r>
          </w:p>
        </w:tc>
        <w:tc>
          <w:tcPr>
            <w:tcW w:w="1169" w:type="dxa"/>
            <w:tcBorders>
              <w:top w:val="single" w:sz="4" w:space="0" w:color="000000"/>
            </w:tcBorders>
            <w:tcMar>
              <w:top w:w="137" w:type="dxa"/>
              <w:left w:w="137" w:type="dxa"/>
              <w:bottom w:w="137" w:type="dxa"/>
              <w:right w:w="137" w:type="dxa"/>
            </w:tcMar>
            <w:vAlign w:val="bottom"/>
          </w:tcPr>
          <w:p w14:paraId="63EE049E"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0.874</w:t>
            </w:r>
          </w:p>
        </w:tc>
        <w:tc>
          <w:tcPr>
            <w:tcW w:w="1217" w:type="dxa"/>
            <w:tcBorders>
              <w:top w:val="single" w:sz="4" w:space="0" w:color="000000"/>
            </w:tcBorders>
            <w:tcMar>
              <w:top w:w="137" w:type="dxa"/>
              <w:left w:w="137" w:type="dxa"/>
              <w:bottom w:w="137" w:type="dxa"/>
              <w:right w:w="137" w:type="dxa"/>
            </w:tcMar>
            <w:vAlign w:val="bottom"/>
          </w:tcPr>
          <w:p w14:paraId="3D33FD1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0.893</w:t>
            </w:r>
          </w:p>
        </w:tc>
        <w:tc>
          <w:tcPr>
            <w:tcW w:w="914" w:type="dxa"/>
            <w:tcBorders>
              <w:top w:val="single" w:sz="4" w:space="0" w:color="000000"/>
            </w:tcBorders>
            <w:tcMar>
              <w:top w:w="137" w:type="dxa"/>
              <w:left w:w="137" w:type="dxa"/>
              <w:bottom w:w="137" w:type="dxa"/>
              <w:right w:w="137" w:type="dxa"/>
            </w:tcMar>
            <w:vAlign w:val="bottom"/>
          </w:tcPr>
          <w:p w14:paraId="0E82019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0.821</w:t>
            </w:r>
          </w:p>
        </w:tc>
        <w:tc>
          <w:tcPr>
            <w:tcW w:w="1035" w:type="dxa"/>
            <w:tcBorders>
              <w:top w:val="single" w:sz="4" w:space="0" w:color="000000"/>
            </w:tcBorders>
            <w:tcMar>
              <w:top w:w="137" w:type="dxa"/>
              <w:left w:w="137" w:type="dxa"/>
              <w:bottom w:w="137" w:type="dxa"/>
              <w:right w:w="137" w:type="dxa"/>
            </w:tcMar>
            <w:vAlign w:val="bottom"/>
          </w:tcPr>
          <w:p w14:paraId="2C84300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0.857</w:t>
            </w:r>
          </w:p>
        </w:tc>
        <w:tc>
          <w:tcPr>
            <w:tcW w:w="1487" w:type="dxa"/>
            <w:tcBorders>
              <w:top w:val="single" w:sz="4" w:space="0" w:color="000000"/>
            </w:tcBorders>
            <w:tcMar>
              <w:top w:w="137" w:type="dxa"/>
              <w:left w:w="137" w:type="dxa"/>
              <w:bottom w:w="137" w:type="dxa"/>
              <w:right w:w="137" w:type="dxa"/>
            </w:tcMar>
            <w:vAlign w:val="bottom"/>
          </w:tcPr>
          <w:p w14:paraId="6633A0D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47 min</w:t>
            </w:r>
          </w:p>
        </w:tc>
        <w:tc>
          <w:tcPr>
            <w:tcW w:w="1377" w:type="dxa"/>
            <w:tcBorders>
              <w:top w:val="single" w:sz="4" w:space="0" w:color="000000"/>
            </w:tcBorders>
            <w:tcMar>
              <w:top w:w="137" w:type="dxa"/>
              <w:left w:w="137" w:type="dxa"/>
              <w:bottom w:w="137" w:type="dxa"/>
              <w:right w:w="0" w:type="dxa"/>
            </w:tcMar>
            <w:vAlign w:val="bottom"/>
          </w:tcPr>
          <w:p w14:paraId="65AEFEB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None</w:t>
            </w:r>
          </w:p>
        </w:tc>
      </w:tr>
      <w:tr w:rsidR="00273E3A" w14:paraId="10405724" w14:textId="77777777">
        <w:tc>
          <w:tcPr>
            <w:tcW w:w="2161" w:type="dxa"/>
            <w:tcMar>
              <w:top w:w="137" w:type="dxa"/>
              <w:left w:w="0" w:type="dxa"/>
              <w:bottom w:w="137" w:type="dxa"/>
              <w:right w:w="137" w:type="dxa"/>
            </w:tcMar>
            <w:vAlign w:val="bottom"/>
          </w:tcPr>
          <w:p w14:paraId="09BFE51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Federated Learning</w:t>
            </w:r>
          </w:p>
        </w:tc>
        <w:tc>
          <w:tcPr>
            <w:tcW w:w="1169" w:type="dxa"/>
            <w:tcMar>
              <w:top w:w="137" w:type="dxa"/>
              <w:left w:w="137" w:type="dxa"/>
              <w:bottom w:w="137" w:type="dxa"/>
              <w:right w:w="137" w:type="dxa"/>
            </w:tcMar>
            <w:vAlign w:val="bottom"/>
          </w:tcPr>
          <w:p w14:paraId="21C37F7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0.870</w:t>
            </w:r>
          </w:p>
        </w:tc>
        <w:tc>
          <w:tcPr>
            <w:tcW w:w="1217" w:type="dxa"/>
            <w:tcMar>
              <w:top w:w="137" w:type="dxa"/>
              <w:left w:w="137" w:type="dxa"/>
              <w:bottom w:w="137" w:type="dxa"/>
              <w:right w:w="137" w:type="dxa"/>
            </w:tcMar>
            <w:vAlign w:val="bottom"/>
          </w:tcPr>
          <w:p w14:paraId="63FEAEBB"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0.889</w:t>
            </w:r>
          </w:p>
        </w:tc>
        <w:tc>
          <w:tcPr>
            <w:tcW w:w="914" w:type="dxa"/>
            <w:tcMar>
              <w:top w:w="137" w:type="dxa"/>
              <w:left w:w="137" w:type="dxa"/>
              <w:bottom w:w="137" w:type="dxa"/>
              <w:right w:w="137" w:type="dxa"/>
            </w:tcMar>
            <w:vAlign w:val="bottom"/>
          </w:tcPr>
          <w:p w14:paraId="3C82315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0.817</w:t>
            </w:r>
          </w:p>
        </w:tc>
        <w:tc>
          <w:tcPr>
            <w:tcW w:w="1035" w:type="dxa"/>
            <w:tcMar>
              <w:top w:w="137" w:type="dxa"/>
              <w:left w:w="137" w:type="dxa"/>
              <w:bottom w:w="137" w:type="dxa"/>
              <w:right w:w="137" w:type="dxa"/>
            </w:tcMar>
            <w:vAlign w:val="bottom"/>
          </w:tcPr>
          <w:p w14:paraId="69ABEF0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0.853</w:t>
            </w:r>
          </w:p>
        </w:tc>
        <w:tc>
          <w:tcPr>
            <w:tcW w:w="1487" w:type="dxa"/>
            <w:tcMar>
              <w:top w:w="137" w:type="dxa"/>
              <w:left w:w="137" w:type="dxa"/>
              <w:bottom w:w="137" w:type="dxa"/>
              <w:right w:w="137" w:type="dxa"/>
            </w:tcMar>
            <w:vAlign w:val="bottom"/>
          </w:tcPr>
          <w:p w14:paraId="03FD0B1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3.2 hrs</w:t>
            </w:r>
          </w:p>
        </w:tc>
        <w:tc>
          <w:tcPr>
            <w:tcW w:w="1377" w:type="dxa"/>
            <w:tcMar>
              <w:top w:w="137" w:type="dxa"/>
              <w:left w:w="137" w:type="dxa"/>
              <w:bottom w:w="137" w:type="dxa"/>
              <w:right w:w="0" w:type="dxa"/>
            </w:tcMar>
            <w:vAlign w:val="bottom"/>
          </w:tcPr>
          <w:p w14:paraId="1D9FA316"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None</w:t>
            </w:r>
          </w:p>
        </w:tc>
      </w:tr>
      <w:tr w:rsidR="00273E3A" w14:paraId="4D9DF606" w14:textId="77777777">
        <w:tc>
          <w:tcPr>
            <w:tcW w:w="2161" w:type="dxa"/>
            <w:tcMar>
              <w:top w:w="137" w:type="dxa"/>
              <w:left w:w="0" w:type="dxa"/>
              <w:bottom w:w="137" w:type="dxa"/>
              <w:right w:w="137" w:type="dxa"/>
            </w:tcMar>
            <w:vAlign w:val="bottom"/>
          </w:tcPr>
          <w:p w14:paraId="0F5BB2E2"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Differential Privacy (ε=1)</w:t>
            </w:r>
          </w:p>
        </w:tc>
        <w:tc>
          <w:tcPr>
            <w:tcW w:w="1169" w:type="dxa"/>
            <w:tcMar>
              <w:top w:w="137" w:type="dxa"/>
              <w:left w:w="137" w:type="dxa"/>
              <w:bottom w:w="137" w:type="dxa"/>
              <w:right w:w="137" w:type="dxa"/>
            </w:tcMar>
            <w:vAlign w:val="bottom"/>
          </w:tcPr>
          <w:p w14:paraId="4BEA416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0.852</w:t>
            </w:r>
          </w:p>
        </w:tc>
        <w:tc>
          <w:tcPr>
            <w:tcW w:w="1217" w:type="dxa"/>
            <w:tcMar>
              <w:top w:w="137" w:type="dxa"/>
              <w:left w:w="137" w:type="dxa"/>
              <w:bottom w:w="137" w:type="dxa"/>
              <w:right w:w="137" w:type="dxa"/>
            </w:tcMar>
            <w:vAlign w:val="bottom"/>
          </w:tcPr>
          <w:p w14:paraId="74DCA459"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0.861</w:t>
            </w:r>
          </w:p>
        </w:tc>
        <w:tc>
          <w:tcPr>
            <w:tcW w:w="914" w:type="dxa"/>
            <w:tcMar>
              <w:top w:w="137" w:type="dxa"/>
              <w:left w:w="137" w:type="dxa"/>
              <w:bottom w:w="137" w:type="dxa"/>
              <w:right w:w="137" w:type="dxa"/>
            </w:tcMar>
            <w:vAlign w:val="bottom"/>
          </w:tcPr>
          <w:p w14:paraId="4F99DB8C"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0.793</w:t>
            </w:r>
          </w:p>
        </w:tc>
        <w:tc>
          <w:tcPr>
            <w:tcW w:w="1035" w:type="dxa"/>
            <w:tcMar>
              <w:top w:w="137" w:type="dxa"/>
              <w:left w:w="137" w:type="dxa"/>
              <w:bottom w:w="137" w:type="dxa"/>
              <w:right w:w="137" w:type="dxa"/>
            </w:tcMar>
            <w:vAlign w:val="bottom"/>
          </w:tcPr>
          <w:p w14:paraId="5C88756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0.827</w:t>
            </w:r>
          </w:p>
        </w:tc>
        <w:tc>
          <w:tcPr>
            <w:tcW w:w="1487" w:type="dxa"/>
            <w:tcMar>
              <w:top w:w="137" w:type="dxa"/>
              <w:left w:w="137" w:type="dxa"/>
              <w:bottom w:w="137" w:type="dxa"/>
              <w:right w:w="137" w:type="dxa"/>
            </w:tcMar>
            <w:vAlign w:val="bottom"/>
          </w:tcPr>
          <w:p w14:paraId="7A0BFD2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51 min</w:t>
            </w:r>
          </w:p>
        </w:tc>
        <w:tc>
          <w:tcPr>
            <w:tcW w:w="1377" w:type="dxa"/>
            <w:tcMar>
              <w:top w:w="137" w:type="dxa"/>
              <w:left w:w="137" w:type="dxa"/>
              <w:bottom w:w="137" w:type="dxa"/>
              <w:right w:w="0" w:type="dxa"/>
            </w:tcMar>
            <w:vAlign w:val="bottom"/>
          </w:tcPr>
          <w:p w14:paraId="38FC999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ε=1, δ=10</w:t>
            </w:r>
            <w:r>
              <w:rPr>
                <w:rFonts w:ascii="Times New Roman" w:eastAsia="Times New Roman" w:hAnsi="Times New Roman" w:cs="Times New Roman"/>
                <w:vertAlign w:val="superscript"/>
              </w:rPr>
              <w:t>-5</w:t>
            </w:r>
          </w:p>
        </w:tc>
      </w:tr>
      <w:tr w:rsidR="00273E3A" w14:paraId="54BD8219" w14:textId="77777777">
        <w:tc>
          <w:tcPr>
            <w:tcW w:w="2161" w:type="dxa"/>
            <w:tcBorders>
              <w:bottom w:val="single" w:sz="4" w:space="0" w:color="000000"/>
            </w:tcBorders>
            <w:tcMar>
              <w:top w:w="137" w:type="dxa"/>
              <w:left w:w="0" w:type="dxa"/>
              <w:bottom w:w="137" w:type="dxa"/>
              <w:right w:w="137" w:type="dxa"/>
            </w:tcMar>
            <w:vAlign w:val="bottom"/>
          </w:tcPr>
          <w:p w14:paraId="3FF423CA"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Federated+DP (ε=1)</w:t>
            </w:r>
          </w:p>
        </w:tc>
        <w:tc>
          <w:tcPr>
            <w:tcW w:w="1169" w:type="dxa"/>
            <w:tcBorders>
              <w:bottom w:val="single" w:sz="4" w:space="0" w:color="000000"/>
            </w:tcBorders>
            <w:tcMar>
              <w:top w:w="137" w:type="dxa"/>
              <w:left w:w="137" w:type="dxa"/>
              <w:bottom w:w="137" w:type="dxa"/>
              <w:right w:w="137" w:type="dxa"/>
            </w:tcMar>
            <w:vAlign w:val="bottom"/>
          </w:tcPr>
          <w:p w14:paraId="140DCD88"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0.847</w:t>
            </w:r>
          </w:p>
        </w:tc>
        <w:tc>
          <w:tcPr>
            <w:tcW w:w="1217" w:type="dxa"/>
            <w:tcBorders>
              <w:bottom w:val="single" w:sz="4" w:space="0" w:color="000000"/>
            </w:tcBorders>
            <w:tcMar>
              <w:top w:w="137" w:type="dxa"/>
              <w:left w:w="137" w:type="dxa"/>
              <w:bottom w:w="137" w:type="dxa"/>
              <w:right w:w="137" w:type="dxa"/>
            </w:tcMar>
            <w:vAlign w:val="bottom"/>
          </w:tcPr>
          <w:p w14:paraId="7092A961"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0.853</w:t>
            </w:r>
          </w:p>
        </w:tc>
        <w:tc>
          <w:tcPr>
            <w:tcW w:w="914" w:type="dxa"/>
            <w:tcBorders>
              <w:bottom w:val="single" w:sz="4" w:space="0" w:color="000000"/>
            </w:tcBorders>
            <w:tcMar>
              <w:top w:w="137" w:type="dxa"/>
              <w:left w:w="137" w:type="dxa"/>
              <w:bottom w:w="137" w:type="dxa"/>
              <w:right w:w="137" w:type="dxa"/>
            </w:tcMar>
            <w:vAlign w:val="bottom"/>
          </w:tcPr>
          <w:p w14:paraId="4578D950"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0.782</w:t>
            </w:r>
          </w:p>
        </w:tc>
        <w:tc>
          <w:tcPr>
            <w:tcW w:w="1035" w:type="dxa"/>
            <w:tcBorders>
              <w:bottom w:val="single" w:sz="4" w:space="0" w:color="000000"/>
            </w:tcBorders>
            <w:tcMar>
              <w:top w:w="137" w:type="dxa"/>
              <w:left w:w="137" w:type="dxa"/>
              <w:bottom w:w="137" w:type="dxa"/>
              <w:right w:w="137" w:type="dxa"/>
            </w:tcMar>
            <w:vAlign w:val="bottom"/>
          </w:tcPr>
          <w:p w14:paraId="48359B4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0.818</w:t>
            </w:r>
          </w:p>
        </w:tc>
        <w:tc>
          <w:tcPr>
            <w:tcW w:w="1487" w:type="dxa"/>
            <w:tcBorders>
              <w:bottom w:val="single" w:sz="4" w:space="0" w:color="000000"/>
            </w:tcBorders>
            <w:tcMar>
              <w:top w:w="137" w:type="dxa"/>
              <w:left w:w="137" w:type="dxa"/>
              <w:bottom w:w="137" w:type="dxa"/>
              <w:right w:w="137" w:type="dxa"/>
            </w:tcMar>
            <w:vAlign w:val="bottom"/>
          </w:tcPr>
          <w:p w14:paraId="4B926B4D"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3.5 hrs</w:t>
            </w:r>
          </w:p>
        </w:tc>
        <w:tc>
          <w:tcPr>
            <w:tcW w:w="1377" w:type="dxa"/>
            <w:tcBorders>
              <w:bottom w:val="single" w:sz="4" w:space="0" w:color="000000"/>
            </w:tcBorders>
            <w:tcMar>
              <w:top w:w="137" w:type="dxa"/>
              <w:left w:w="137" w:type="dxa"/>
              <w:bottom w:w="137" w:type="dxa"/>
              <w:right w:w="0" w:type="dxa"/>
            </w:tcMar>
            <w:vAlign w:val="bottom"/>
          </w:tcPr>
          <w:p w14:paraId="4B2B3C84" w14:textId="77777777" w:rsidR="00273E3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ε=1, δ=10</w:t>
            </w:r>
            <w:r>
              <w:rPr>
                <w:rFonts w:ascii="Times New Roman" w:eastAsia="Times New Roman" w:hAnsi="Times New Roman" w:cs="Times New Roman"/>
                <w:vertAlign w:val="superscript"/>
              </w:rPr>
              <w:t>-5</w:t>
            </w:r>
          </w:p>
        </w:tc>
      </w:tr>
    </w:tbl>
    <w:p w14:paraId="0534D360" w14:textId="77777777" w:rsidR="00273E3A" w:rsidRDefault="00273E3A">
      <w:pPr>
        <w:spacing w:before="240" w:line="360" w:lineRule="auto"/>
        <w:jc w:val="both"/>
        <w:rPr>
          <w:rFonts w:ascii="Times New Roman" w:eastAsia="Times New Roman" w:hAnsi="Times New Roman" w:cs="Times New Roman"/>
          <w:b/>
          <w:bCs/>
        </w:rPr>
      </w:pPr>
    </w:p>
    <w:p w14:paraId="569DB8A1" w14:textId="77777777" w:rsidR="00273E3A"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14:paraId="7BC0DF83"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empirical results demonstrate that the proposed Graph Neural Network framework, enhanced with Explainable Artificial Intelligence, is highly effective in detecting complex fraud patterns embedded within financial transaction networks. By using heterogeneous Graph Attention Networks, the framework integrates transaction speed, behavioral irregularities, and entity relationships within multi-layer graphs, enabling it to outperform traditional baselines. Superior Area Under the Curve Receiver Operating Characteristic and F1 score values indicate stronger detection of coordinated and collusive schemes that are typically missed by isolated, transaction level approaches. These findings are consistent with Cheng et al. (2024), who highlight the advantage of graph based models over tabular techniques such as Extreme Gradient Boosting in relational fraud detection. The attention mechanism plays a central role by assigning higher importance to suspicious neighbors, thereby exposing circular transaction flows and shell entity structures, in line with observations by Sha et al. (2025) on heterogeneous attention driven fraud models.</w:t>
      </w:r>
    </w:p>
    <w:p w14:paraId="314B9B6D"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framework also shows strong generalizability across benchmark datasets such as Kaggle and Elliptic, maintaining stable performance under varying conditions. Precision recall tradeoffs at practical decision thresholds support risk based alerting and substantially reduce false positives when compared to legacy monitoring systems, supporting the compliance efficiency concerns raised by Ricadela (2024). This reduction directly improves real time operational workflows by limiting unnecessary manual investigations.</w:t>
      </w:r>
    </w:p>
    <w:p w14:paraId="3C9681BC"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Transparency is a key strength of the framework. Explainability techniques such as SHapley Additive exPlanations and Local Interpretable Model agnostic Explanations provide clear breakdowns of how features contribute to fraud predictions. These attributions consistently highlight the importance of transaction velocity and network structure, enabling stakeholders to understand how risk scores are formed. Visual explanations, including waterfall plots and attention heatmaps, make it possible to trace model decisions step by step, supporting regulatory expectations for interpretability as discussed by Molnar (2025). Such explainability aligns with evidence from Lundberg et al. (2018) and supports institutional trust and adoption, echoing findings by Mohsin and Nasim (2025) on the role of Explainable Artificial Intelligence in fraud governance.</w:t>
      </w:r>
    </w:p>
    <w:p w14:paraId="74FBDAAB"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From an operational perspective, the framework scales efficiently, exhibiting linear growth in time and memory usage. It supports rapid inference across very large graphs and completes training within practical time frames on standard hardware. Privacy preserving techniques such as federated learning maintain high accuracy while respecting data sovereignty, consistent with results reported by Hilou et al. (2025). Overall, the framework achieves competitive performance improvements over recent Graph Neural Network approaches, including those by Devi et al. (2025), Sha et al. (2025), and Cheng et al. (2024). While accuracy gains are incremental, the added transparency provides critical value for deployment in regulated Anti Money Laundering environments, reinforcing the importance of explainability alongside predictive strength, as emphasized by Goodfellow et al. (2014).</w:t>
      </w:r>
    </w:p>
    <w:p w14:paraId="7D00B5FF"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w:t>
      </w:r>
    </w:p>
    <w:p w14:paraId="1F52FCC9"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encounters limitations in dataset scope, as benchmarks like Institute of Electrical and Electronics Engineers-Consumer Intelligence Series emphasize card fraud over comprehensive money laundering, potentially underrepresenting sanctions evasion or shell networks, and temporal validations capture short-term drift but not long-term adversarial adaptations, constraining generalizability to evolving threats.</w:t>
      </w:r>
    </w:p>
    <w:p w14:paraId="4DB87C51"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Future Consideration</w:t>
      </w:r>
    </w:p>
    <w:p w14:paraId="39860C56" w14:textId="77777777" w:rsidR="00273E3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endeavors could incorporate Temporal Graph Neural Networks for dynamic sequences, adversarial robustness certifications against perturbations, real multi-institutional federated testing across heterogeneous formats, and validation on documented Anti-Money Laundering cases like trade-based laundering to extend beyond card domains.</w:t>
      </w:r>
    </w:p>
    <w:p w14:paraId="7C5D56AF" w14:textId="77777777" w:rsidR="00010CBB" w:rsidRDefault="00010CBB">
      <w:pPr>
        <w:spacing w:line="360" w:lineRule="auto"/>
        <w:jc w:val="both"/>
        <w:rPr>
          <w:rFonts w:ascii="Times New Roman" w:eastAsia="Times New Roman" w:hAnsi="Times New Roman" w:cs="Times New Roman"/>
        </w:rPr>
      </w:pPr>
    </w:p>
    <w:p w14:paraId="79DC5F81" w14:textId="77777777" w:rsidR="00010CBB" w:rsidRPr="00DB5007" w:rsidRDefault="00010CBB" w:rsidP="00010CBB">
      <w:pPr>
        <w:spacing w:line="360" w:lineRule="auto"/>
        <w:jc w:val="both"/>
        <w:rPr>
          <w:rFonts w:ascii="Times New Roman" w:hAnsi="Times New Roman" w:cs="Times New Roman"/>
          <w:b/>
          <w:bCs/>
        </w:rPr>
      </w:pPr>
      <w:r w:rsidRPr="00DB5007">
        <w:rPr>
          <w:rFonts w:ascii="Times New Roman" w:hAnsi="Times New Roman" w:cs="Times New Roman"/>
          <w:b/>
          <w:bCs/>
        </w:rPr>
        <w:t>5.</w:t>
      </w:r>
      <w:r w:rsidRPr="00DB5007">
        <w:rPr>
          <w:rFonts w:ascii="Times New Roman" w:hAnsi="Times New Roman" w:cs="Times New Roman"/>
          <w:b/>
          <w:bCs/>
        </w:rPr>
        <w:tab/>
        <w:t>Conclusions And Recommendations</w:t>
      </w:r>
    </w:p>
    <w:p w14:paraId="1648D7EC" w14:textId="77777777" w:rsidR="00010CBB" w:rsidRPr="00DB5007" w:rsidRDefault="00010CBB" w:rsidP="00010CBB">
      <w:pPr>
        <w:spacing w:line="360" w:lineRule="auto"/>
        <w:jc w:val="both"/>
        <w:rPr>
          <w:rFonts w:ascii="Times New Roman" w:hAnsi="Times New Roman" w:cs="Times New Roman"/>
          <w:b/>
          <w:bCs/>
        </w:rPr>
      </w:pPr>
      <w:r w:rsidRPr="00DB5007">
        <w:rPr>
          <w:rFonts w:ascii="Times New Roman" w:hAnsi="Times New Roman" w:cs="Times New Roman"/>
          <w:b/>
          <w:bCs/>
        </w:rPr>
        <w:t>Conclusions</w:t>
      </w:r>
    </w:p>
    <w:p w14:paraId="03902D1D" w14:textId="77777777" w:rsidR="00010CBB" w:rsidRPr="00DB5007" w:rsidRDefault="00010CBB" w:rsidP="00010CBB">
      <w:pPr>
        <w:spacing w:line="360" w:lineRule="auto"/>
        <w:jc w:val="both"/>
        <w:rPr>
          <w:rFonts w:ascii="Times New Roman" w:hAnsi="Times New Roman" w:cs="Times New Roman"/>
        </w:rPr>
      </w:pPr>
      <w:r w:rsidRPr="00DB5007">
        <w:rPr>
          <w:rFonts w:ascii="Times New Roman" w:hAnsi="Times New Roman" w:cs="Times New Roman"/>
        </w:rPr>
        <w:t>This study developed and validated an integrated Graph Neural Network-Explainable Artificial Intelligence framework for detecting complex multi-layered financial crime networks in anti-money laundering systems. Leveraging heterogeneous Graph Attention Networks on benchmark and synthetic datasets, the framework achieved superior detection with AUC-ROC exceeding 0.874, precision of 89.3%, and recall of 82.1%, outperforming traditional baselines. Multi-layered relational analysis proved essential for uncovering sophisticated schemes, while SHapley Additive exPlanations and attention mechanisms delivered transparent, stakeholder-specific rationales meeting regulatory demands. Scalability tests confirmed efficient performance across production-scale data with sub-millisecond inference, supporting real-time deployment despite moderate privacy-utility trade-offs.</w:t>
      </w:r>
    </w:p>
    <w:p w14:paraId="4D1F63BD" w14:textId="77777777" w:rsidR="00010CBB" w:rsidRPr="00DB5007" w:rsidRDefault="00010CBB" w:rsidP="00010CBB">
      <w:pPr>
        <w:spacing w:line="360" w:lineRule="auto"/>
        <w:jc w:val="both"/>
        <w:rPr>
          <w:rFonts w:ascii="Times New Roman" w:hAnsi="Times New Roman" w:cs="Times New Roman"/>
          <w:b/>
          <w:bCs/>
        </w:rPr>
      </w:pPr>
      <w:r w:rsidRPr="00DB5007">
        <w:rPr>
          <w:rFonts w:ascii="Times New Roman" w:hAnsi="Times New Roman" w:cs="Times New Roman"/>
          <w:b/>
          <w:bCs/>
        </w:rPr>
        <w:t>Recommendations</w:t>
      </w:r>
    </w:p>
    <w:p w14:paraId="484217F6" w14:textId="77777777" w:rsidR="00010CBB" w:rsidRPr="00DB5007" w:rsidRDefault="00010CBB" w:rsidP="00010CBB">
      <w:pPr>
        <w:spacing w:line="360" w:lineRule="auto"/>
        <w:jc w:val="both"/>
        <w:rPr>
          <w:rFonts w:ascii="Times New Roman" w:hAnsi="Times New Roman" w:cs="Times New Roman"/>
        </w:rPr>
      </w:pPr>
      <w:r w:rsidRPr="00DB5007">
        <w:rPr>
          <w:rFonts w:ascii="Times New Roman" w:hAnsi="Times New Roman" w:cs="Times New Roman"/>
        </w:rPr>
        <w:t>Future research should prioritize creating domain-specific financial crime datasets incorporating real-world money laundering typologies to enhance model generalizability beyond card fraud scenarios. Integration of advanced temporal Graph Neural Networks is advised to better capture evolving criminal behaviors over time. Testing the framework in live operational environments through industry partnerships will validate practical deployment and refine real-time capabilities. Collaborative initiatives among financial institutions, regulators, and researchers are needed to standardize explainability benchmarks and privacy-preserving protocols. Finally, exploring continual learning mechanisms will ensure the framework adapts proactively to emerging threats in dynamic financial ecosystems.</w:t>
      </w:r>
    </w:p>
    <w:p w14:paraId="01D23F8B" w14:textId="77777777" w:rsidR="00010CBB" w:rsidRDefault="00010CBB">
      <w:pPr>
        <w:spacing w:line="360" w:lineRule="auto"/>
        <w:jc w:val="both"/>
        <w:rPr>
          <w:rFonts w:ascii="Times New Roman" w:eastAsia="Times New Roman" w:hAnsi="Times New Roman" w:cs="Times New Roman"/>
        </w:rPr>
      </w:pPr>
    </w:p>
    <w:p w14:paraId="147B80F6" w14:textId="77777777" w:rsidR="00010CBB" w:rsidRDefault="00010CBB">
      <w:pPr>
        <w:spacing w:line="360" w:lineRule="auto"/>
        <w:jc w:val="both"/>
        <w:rPr>
          <w:rFonts w:ascii="Times New Roman" w:eastAsia="Times New Roman" w:hAnsi="Times New Roman" w:cs="Times New Roman"/>
        </w:rPr>
      </w:pPr>
    </w:p>
    <w:p w14:paraId="66942212" w14:textId="77777777" w:rsidR="00273E3A" w:rsidRDefault="00000000">
      <w:pPr>
        <w:pBdr>
          <w:top w:val="nil"/>
          <w:left w:val="nil"/>
          <w:bottom w:val="nil"/>
          <w:right w:val="nil"/>
          <w:between w:val="nil"/>
        </w:pBdr>
        <w:spacing w:after="0" w:line="240" w:lineRule="auto"/>
        <w:rPr>
          <w:rFonts w:ascii="Arial" w:eastAsia="Arial" w:hAnsi="Arial" w:cs="Arial"/>
          <w:color w:val="000000"/>
          <w:sz w:val="22"/>
          <w:szCs w:val="22"/>
          <w:highlight w:val="yellow"/>
        </w:rPr>
      </w:pPr>
      <w:bookmarkStart w:id="1" w:name="_zelz0ym8bf2r" w:colFirst="0" w:colLast="0"/>
      <w:bookmarkEnd w:id="1"/>
      <w:r>
        <w:rPr>
          <w:rFonts w:ascii="Arial" w:eastAsia="Arial" w:hAnsi="Arial" w:cs="Arial"/>
          <w:color w:val="000000"/>
          <w:sz w:val="22"/>
          <w:szCs w:val="22"/>
          <w:highlight w:val="yellow"/>
        </w:rPr>
        <w:t>Disclaimer (Artificial intelligence)</w:t>
      </w:r>
    </w:p>
    <w:p w14:paraId="5BEBFCC8" w14:textId="77777777" w:rsidR="00273E3A" w:rsidRDefault="00273E3A">
      <w:pPr>
        <w:pBdr>
          <w:top w:val="nil"/>
          <w:left w:val="nil"/>
          <w:bottom w:val="nil"/>
          <w:right w:val="nil"/>
          <w:between w:val="nil"/>
        </w:pBdr>
        <w:spacing w:after="0" w:line="240" w:lineRule="auto"/>
        <w:rPr>
          <w:rFonts w:ascii="Arial" w:eastAsia="Arial" w:hAnsi="Arial" w:cs="Arial"/>
          <w:color w:val="000000"/>
          <w:sz w:val="22"/>
          <w:szCs w:val="22"/>
          <w:highlight w:val="yellow"/>
        </w:rPr>
      </w:pPr>
    </w:p>
    <w:p w14:paraId="074D623F" w14:textId="77777777" w:rsidR="00273E3A" w:rsidRDefault="00000000">
      <w:pPr>
        <w:pBdr>
          <w:top w:val="nil"/>
          <w:left w:val="nil"/>
          <w:bottom w:val="nil"/>
          <w:right w:val="nil"/>
          <w:between w:val="nil"/>
        </w:pBdr>
        <w:spacing w:after="0" w:line="240" w:lineRule="auto"/>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3EBEB958" w14:textId="77777777" w:rsidR="00273E3A" w:rsidRDefault="00273E3A">
      <w:pPr>
        <w:spacing w:line="360" w:lineRule="auto"/>
        <w:jc w:val="both"/>
        <w:rPr>
          <w:rFonts w:ascii="Times New Roman" w:eastAsia="Times New Roman" w:hAnsi="Times New Roman" w:cs="Times New Roman"/>
        </w:rPr>
      </w:pPr>
      <w:bookmarkStart w:id="2" w:name="_cx3uem6rppx8" w:colFirst="0" w:colLast="0"/>
      <w:bookmarkEnd w:id="2"/>
    </w:p>
    <w:p w14:paraId="6817F638" w14:textId="77777777" w:rsidR="00273E3A"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7A4D9DD4"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Basquill, J. (2022). </w:t>
      </w:r>
      <w:r>
        <w:rPr>
          <w:rFonts w:ascii="Times New Roman" w:eastAsia="Times New Roman" w:hAnsi="Times New Roman" w:cs="Times New Roman"/>
          <w:i/>
          <w:iCs/>
        </w:rPr>
        <w:t>Banks turn to network tools and anomaly detection to fight financial crime</w:t>
      </w:r>
      <w:r>
        <w:rPr>
          <w:rFonts w:ascii="Times New Roman" w:eastAsia="Times New Roman" w:hAnsi="Times New Roman" w:cs="Times New Roman"/>
        </w:rPr>
        <w:t>. Global Trade Review (GTR). https://www.gtreview.com/news/digital-trade/banks-turn-to-network-tools-and-anomaly-detection-to-fight-financial-crime/</w:t>
      </w:r>
    </w:p>
    <w:p w14:paraId="0EACC5E7"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Bounie, D. (2025). </w:t>
      </w:r>
      <w:r>
        <w:rPr>
          <w:rFonts w:ascii="Times New Roman" w:eastAsia="Times New Roman" w:hAnsi="Times New Roman" w:cs="Times New Roman"/>
          <w:i/>
          <w:iCs/>
        </w:rPr>
        <w:t>Explainable artificial intelligence for anti-money laundering | ANR</w:t>
      </w:r>
      <w:r>
        <w:rPr>
          <w:rFonts w:ascii="Times New Roman" w:eastAsia="Times New Roman" w:hAnsi="Times New Roman" w:cs="Times New Roman"/>
        </w:rPr>
        <w:t>. Agence Nationale de La Recherche. https://anr.fr/Project-ANR-20-CHIA-0023</w:t>
      </w:r>
    </w:p>
    <w:p w14:paraId="1530FA60"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Brownlee, J. (2020). </w:t>
      </w:r>
      <w:r>
        <w:rPr>
          <w:rFonts w:ascii="Times New Roman" w:eastAsia="Times New Roman" w:hAnsi="Times New Roman" w:cs="Times New Roman"/>
          <w:i/>
          <w:iCs/>
        </w:rPr>
        <w:t>How to Fix k-Fold Cross-Validation for Imbalanced Classification</w:t>
      </w:r>
      <w:r>
        <w:rPr>
          <w:rFonts w:ascii="Times New Roman" w:eastAsia="Times New Roman" w:hAnsi="Times New Roman" w:cs="Times New Roman"/>
        </w:rPr>
        <w:t>. Machine Learning Mastery. https://machinelearningmastery.com/cross-validation-for-imbalanced-classification/</w:t>
      </w:r>
    </w:p>
    <w:p w14:paraId="1301E4FB"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Chen, X.-Q., Ma, C.-Q., Ren, Y.-S., Lei, Y.-T., Huynh, N. Q. A., &amp; Narayan, S. (2023). Explainable artificial intelligence in finance: A bibliometric review. </w:t>
      </w:r>
      <w:r>
        <w:rPr>
          <w:rFonts w:ascii="Times New Roman" w:eastAsia="Times New Roman" w:hAnsi="Times New Roman" w:cs="Times New Roman"/>
          <w:i/>
          <w:iCs/>
        </w:rPr>
        <w:t>Finance Research Letters</w:t>
      </w:r>
      <w:r>
        <w:rPr>
          <w:rFonts w:ascii="Times New Roman" w:eastAsia="Times New Roman" w:hAnsi="Times New Roman" w:cs="Times New Roman"/>
        </w:rPr>
        <w:t xml:space="preserve">, </w:t>
      </w:r>
      <w:r>
        <w:rPr>
          <w:rFonts w:ascii="Times New Roman" w:eastAsia="Times New Roman" w:hAnsi="Times New Roman" w:cs="Times New Roman"/>
          <w:i/>
          <w:iCs/>
        </w:rPr>
        <w:t>56</w:t>
      </w:r>
      <w:r>
        <w:rPr>
          <w:rFonts w:ascii="Times New Roman" w:eastAsia="Times New Roman" w:hAnsi="Times New Roman" w:cs="Times New Roman"/>
        </w:rPr>
        <w:t>, 104145. https://doi.org/10.1016/j.frl.2023.104145</w:t>
      </w:r>
    </w:p>
    <w:p w14:paraId="4ABA3C30"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Cheng, D., Zou, Y., Xiang, S., &amp; Jiang, C. (2024). Graph Neural Networks for Financial Fraud Detection: A Review.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https://doi.org/10.1007/s11704-024-40474-y</w:t>
      </w:r>
    </w:p>
    <w:p w14:paraId="65A3D075"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Dahal, L. (2024). </w:t>
      </w:r>
      <w:r>
        <w:rPr>
          <w:rFonts w:ascii="Times New Roman" w:eastAsia="Times New Roman" w:hAnsi="Times New Roman" w:cs="Times New Roman"/>
          <w:i/>
          <w:iCs/>
        </w:rPr>
        <w:t>Bitcoin Fraud Detection Using Graph Neural Networks</w:t>
      </w:r>
      <w:r>
        <w:rPr>
          <w:rFonts w:ascii="Times New Roman" w:eastAsia="Times New Roman" w:hAnsi="Times New Roman" w:cs="Times New Roman"/>
        </w:rPr>
        <w:t>. Escholarship.org. https://escholarship.org/uc/item/8sf1h2f9</w:t>
      </w:r>
    </w:p>
    <w:p w14:paraId="5880FC3B"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Deprez, B., Wei, W., Verbeke, W., Baesens, B., Mets, K., &amp; Verdonck, T. (2025). Advances in Continual Graph Learning for Anti-Money Laundering Systems: A Comprehensive Review.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https://doi.org/10.48550/arxiv.2503.24259</w:t>
      </w:r>
    </w:p>
    <w:p w14:paraId="67595A91"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Devi, R. R., Raja, J. E., &amp; Chin, Y. B. (2025). Reinforcement learning with graph neural network (RL-GNN) fusion for real-time financial fraud detection: a context-aware community mining approach. </w:t>
      </w:r>
      <w:r>
        <w:rPr>
          <w:rFonts w:ascii="Times New Roman" w:eastAsia="Times New Roman" w:hAnsi="Times New Roman" w:cs="Times New Roman"/>
          <w:i/>
          <w:iCs/>
        </w:rPr>
        <w:t>Scientific Reports</w:t>
      </w:r>
      <w:r>
        <w:rPr>
          <w:rFonts w:ascii="Times New Roman" w:eastAsia="Times New Roman" w:hAnsi="Times New Roman" w:cs="Times New Roman"/>
        </w:rPr>
        <w:t xml:space="preserve">, </w:t>
      </w:r>
      <w:r>
        <w:rPr>
          <w:rFonts w:ascii="Times New Roman" w:eastAsia="Times New Roman" w:hAnsi="Times New Roman" w:cs="Times New Roman"/>
          <w:i/>
          <w:iCs/>
        </w:rPr>
        <w:t>15</w:t>
      </w:r>
      <w:r>
        <w:rPr>
          <w:rFonts w:ascii="Times New Roman" w:eastAsia="Times New Roman" w:hAnsi="Times New Roman" w:cs="Times New Roman"/>
        </w:rPr>
        <w:t>(1). https://doi.org/10.1038/s41598-025-25200-3</w:t>
      </w:r>
    </w:p>
    <w:p w14:paraId="69F46588"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Facctum. (2025a). </w:t>
      </w:r>
      <w:r>
        <w:rPr>
          <w:rFonts w:ascii="Times New Roman" w:eastAsia="Times New Roman" w:hAnsi="Times New Roman" w:cs="Times New Roman"/>
          <w:i/>
          <w:iCs/>
        </w:rPr>
        <w:t>Back What Is Explainable AI (XAI) And Why Is It Important In Compliance?</w:t>
      </w:r>
      <w:r>
        <w:rPr>
          <w:rFonts w:ascii="Times New Roman" w:eastAsia="Times New Roman" w:hAnsi="Times New Roman" w:cs="Times New Roman"/>
        </w:rPr>
        <w:t xml:space="preserve"> Facctum.com. https://www.facctum.com/terms/explainable-ai</w:t>
      </w:r>
    </w:p>
    <w:p w14:paraId="5FE81215"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Facctum. (2025b). </w:t>
      </w:r>
      <w:r>
        <w:rPr>
          <w:rFonts w:ascii="Times New Roman" w:eastAsia="Times New Roman" w:hAnsi="Times New Roman" w:cs="Times New Roman"/>
          <w:i/>
          <w:iCs/>
        </w:rPr>
        <w:t>Back What Is Explainable AI In Compliance And Why Does It Matter?</w:t>
      </w:r>
      <w:r>
        <w:rPr>
          <w:rFonts w:ascii="Times New Roman" w:eastAsia="Times New Roman" w:hAnsi="Times New Roman" w:cs="Times New Roman"/>
        </w:rPr>
        <w:t xml:space="preserve"> Facctum.com. https://www.facctum.com/terms/explainable-ai-in-compliance</w:t>
      </w:r>
    </w:p>
    <w:p w14:paraId="650A9D3F"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Fan, J., Shar, L. K., Zhang, R., Liu, Z., &amp; Lam, K.-Y. (2025, March 13). </w:t>
      </w:r>
      <w:r>
        <w:rPr>
          <w:rFonts w:ascii="Times New Roman" w:eastAsia="Times New Roman" w:hAnsi="Times New Roman" w:cs="Times New Roman"/>
          <w:i/>
          <w:iCs/>
        </w:rPr>
        <w:t>Deep Learning Approaches for Anti-Money Laundering on Mobile Transactions: Review, Framework, and Directions</w:t>
      </w:r>
      <w:r>
        <w:rPr>
          <w:rFonts w:ascii="Times New Roman" w:eastAsia="Times New Roman" w:hAnsi="Times New Roman" w:cs="Times New Roman"/>
        </w:rPr>
        <w:t>. https://doi.org/10.48550/arXiv.2503.10058</w:t>
      </w:r>
    </w:p>
    <w:p w14:paraId="633F701F"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Gao, X., Zhang, W., Shao, Y., Hung, Cui, B., &amp; Yin, H. (2022). Efficient Graph Neural Network Inference at Large Scale.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https://doi.org/10.48550/arxiv.2211.00495</w:t>
      </w:r>
    </w:p>
    <w:p w14:paraId="13BD473B"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Goodfellow, I. J., Shlens, J., &amp; Szegedy, C. (2014). </w:t>
      </w:r>
      <w:r>
        <w:rPr>
          <w:rFonts w:ascii="Times New Roman" w:eastAsia="Times New Roman" w:hAnsi="Times New Roman" w:cs="Times New Roman"/>
          <w:i/>
          <w:iCs/>
        </w:rPr>
        <w:t>Explaining and Harnessing Adversarial Examples</w:t>
      </w:r>
      <w:r>
        <w:rPr>
          <w:rFonts w:ascii="Times New Roman" w:eastAsia="Times New Roman" w:hAnsi="Times New Roman" w:cs="Times New Roman"/>
        </w:rPr>
        <w:t>. CoRR. https://www.semanticscholar.org/paper/Explaining-and-Harnessing-Adversarial-Examples-Goodfellow-Shlens/bee044c8e8903fb67523c1f8c105ab4718600cdb</w:t>
      </w:r>
    </w:p>
    <w:p w14:paraId="5F626079"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Grover, P., Li, Z., Liu, J., Zablocki, J., Zhou, H., Xu, J., &amp; Cheng, A. (2022). </w:t>
      </w:r>
      <w:r>
        <w:rPr>
          <w:rFonts w:ascii="Times New Roman" w:eastAsia="Times New Roman" w:hAnsi="Times New Roman" w:cs="Times New Roman"/>
          <w:i/>
          <w:iCs/>
        </w:rPr>
        <w:t>Fraud Dataset Benchmark and Applications</w:t>
      </w:r>
      <w:r>
        <w:rPr>
          <w:rFonts w:ascii="Times New Roman" w:eastAsia="Times New Roman" w:hAnsi="Times New Roman" w:cs="Times New Roman"/>
        </w:rPr>
        <w:t>. Semantic Scholar. https://api.semanticscholar.org/CorpusID:251929079</w:t>
      </w:r>
    </w:p>
    <w:p w14:paraId="5C1BEB14"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Grover, P., Li, Z., Xu, J., Tittelfitz , J., Cheng, A., Zablocki, J., Liu, J., &amp; Zhou, H. (2018). </w:t>
      </w:r>
      <w:r>
        <w:rPr>
          <w:rFonts w:ascii="Times New Roman" w:eastAsia="Times New Roman" w:hAnsi="Times New Roman" w:cs="Times New Roman"/>
          <w:i/>
          <w:iCs/>
        </w:rPr>
        <w:t>FDB: Fraud Dataset Benchmark</w:t>
      </w:r>
      <w:r>
        <w:rPr>
          <w:rFonts w:ascii="Times New Roman" w:eastAsia="Times New Roman" w:hAnsi="Times New Roman" w:cs="Times New Roman"/>
        </w:rPr>
        <w:t>. Amazon Science. https://www.amazon.science/code-and-datasets/fdb-fraud-dataset-benchmark</w:t>
      </w:r>
    </w:p>
    <w:p w14:paraId="36165866"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Hilou, H. W., Ahmed, M. A., Dheeb, S. A., Radhi, A. A., Khadim, Z. M., Majeed, M. N., &amp; Jadaan, A. I. (2025). Federated Learning for Credit Card Fraud Detection: A Privacy-Preserving Approach with Smote Optimization. </w:t>
      </w:r>
      <w:r>
        <w:rPr>
          <w:rFonts w:ascii="Times New Roman" w:eastAsia="Times New Roman" w:hAnsi="Times New Roman" w:cs="Times New Roman"/>
          <w:i/>
          <w:iCs/>
        </w:rPr>
        <w:t>Journal of Al-Qadisiyah for Computer Science and Mathematics</w:t>
      </w:r>
      <w:r>
        <w:rPr>
          <w:rFonts w:ascii="Times New Roman" w:eastAsia="Times New Roman" w:hAnsi="Times New Roman" w:cs="Times New Roman"/>
        </w:rPr>
        <w:t xml:space="preserve">, </w:t>
      </w:r>
      <w:r>
        <w:rPr>
          <w:rFonts w:ascii="Times New Roman" w:eastAsia="Times New Roman" w:hAnsi="Times New Roman" w:cs="Times New Roman"/>
          <w:i/>
          <w:iCs/>
        </w:rPr>
        <w:t>17</w:t>
      </w:r>
      <w:r>
        <w:rPr>
          <w:rFonts w:ascii="Times New Roman" w:eastAsia="Times New Roman" w:hAnsi="Times New Roman" w:cs="Times New Roman"/>
        </w:rPr>
        <w:t>(3). https://doi.org/10.29304/jqcsm.2025.17.32423</w:t>
      </w:r>
    </w:p>
    <w:p w14:paraId="124A1DBE"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Hoang, V. T., Dinh, N., Le, V.-T., Kiet Tran-Trung, Van, B. N., &amp; Kittikhun Meethongjan. (2025). Detecting Anomalies in FinTech: A Graph Neural Network and Feature Selection Perspective. </w:t>
      </w:r>
      <w:r>
        <w:rPr>
          <w:rFonts w:ascii="Times New Roman" w:eastAsia="Times New Roman" w:hAnsi="Times New Roman" w:cs="Times New Roman"/>
          <w:i/>
          <w:iCs/>
        </w:rPr>
        <w:t>Computers, Materials &amp; Continua/Computers, Materials &amp; Continua (Print)</w:t>
      </w:r>
      <w:r>
        <w:rPr>
          <w:rFonts w:ascii="Times New Roman" w:eastAsia="Times New Roman" w:hAnsi="Times New Roman" w:cs="Times New Roman"/>
        </w:rPr>
        <w:t xml:space="preserve">, </w:t>
      </w:r>
      <w:r>
        <w:rPr>
          <w:rFonts w:ascii="Times New Roman" w:eastAsia="Times New Roman" w:hAnsi="Times New Roman" w:cs="Times New Roman"/>
          <w:i/>
          <w:iCs/>
        </w:rPr>
        <w:t>86</w:t>
      </w:r>
      <w:r>
        <w:rPr>
          <w:rFonts w:ascii="Times New Roman" w:eastAsia="Times New Roman" w:hAnsi="Times New Roman" w:cs="Times New Roman"/>
        </w:rPr>
        <w:t>(1), 1–40. https://doi.org/10.32604/cmc.2025.068733</w:t>
      </w:r>
    </w:p>
    <w:p w14:paraId="4063CFF3"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Huang, Q., Wang, M., Gai, Y., Gan , Q., &amp; Zhang, Z. (2018). </w:t>
      </w:r>
      <w:r>
        <w:rPr>
          <w:rFonts w:ascii="Times New Roman" w:eastAsia="Times New Roman" w:hAnsi="Times New Roman" w:cs="Times New Roman"/>
          <w:i/>
          <w:iCs/>
        </w:rPr>
        <w:t>Graph Convolutional Network — DGL 2.5 documentation</w:t>
      </w:r>
      <w:r>
        <w:rPr>
          <w:rFonts w:ascii="Times New Roman" w:eastAsia="Times New Roman" w:hAnsi="Times New Roman" w:cs="Times New Roman"/>
        </w:rPr>
        <w:t>. Www.dgl.ai. https://www.dgl.ai/dgl_docs/tutorials/models/1_gnn/1_gcn.html</w:t>
      </w:r>
    </w:p>
    <w:p w14:paraId="502D7385"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Huang, R. (2025). FinGuard-GNN: Dynamic Graph Neural Network Framework for Financial Fraud Detection. </w:t>
      </w:r>
      <w:r>
        <w:rPr>
          <w:rFonts w:ascii="Times New Roman" w:eastAsia="Times New Roman" w:hAnsi="Times New Roman" w:cs="Times New Roman"/>
          <w:i/>
          <w:iCs/>
        </w:rPr>
        <w:t>Frontiers in Business, Economics and Management</w:t>
      </w:r>
      <w:r>
        <w:rPr>
          <w:rFonts w:ascii="Times New Roman" w:eastAsia="Times New Roman" w:hAnsi="Times New Roman" w:cs="Times New Roman"/>
        </w:rPr>
        <w:t xml:space="preserve">, </w:t>
      </w:r>
      <w:r>
        <w:rPr>
          <w:rFonts w:ascii="Times New Roman" w:eastAsia="Times New Roman" w:hAnsi="Times New Roman" w:cs="Times New Roman"/>
          <w:i/>
          <w:iCs/>
        </w:rPr>
        <w:t>19</w:t>
      </w:r>
      <w:r>
        <w:rPr>
          <w:rFonts w:ascii="Times New Roman" w:eastAsia="Times New Roman" w:hAnsi="Times New Roman" w:cs="Times New Roman"/>
        </w:rPr>
        <w:t>(3), 121–125. https://doi.org/10.54097/wh6hg844</w:t>
      </w:r>
    </w:p>
    <w:p w14:paraId="7AB591C6"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Kute, D. V., Pradhan, B., Shukla, N., &amp; Alamri, A. (2021). Deep Learning and Explainable Artificial Intelligence Techniques Applied for Detecting Money Laundering–A Critical Review. </w:t>
      </w:r>
      <w:r>
        <w:rPr>
          <w:rFonts w:ascii="Times New Roman" w:eastAsia="Times New Roman" w:hAnsi="Times New Roman" w:cs="Times New Roman"/>
          <w:i/>
          <w:iCs/>
        </w:rPr>
        <w:t>IEEE Access</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(2), 82300–82317. https://doi.org/10.1109/access.2021.3086230</w:t>
      </w:r>
    </w:p>
    <w:p w14:paraId="22A65EAE"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Lawal, O., &amp; Obunadike, C. (2025). AN EXPLAINABLE GRAPH NEURAL NETWORK FRAMEWORK FOR ANTI–MONEY LAUNDERING IN CRYPTOCURRENCY TRANSACTIONS USING THE ELLIPTIC DATASET. </w:t>
      </w:r>
      <w:r>
        <w:rPr>
          <w:rFonts w:ascii="Times New Roman" w:eastAsia="Times New Roman" w:hAnsi="Times New Roman" w:cs="Times New Roman"/>
          <w:i/>
          <w:iCs/>
        </w:rPr>
        <w:t>International Journal of Network Security &amp; Its Applications</w:t>
      </w:r>
      <w:r>
        <w:rPr>
          <w:rFonts w:ascii="Times New Roman" w:eastAsia="Times New Roman" w:hAnsi="Times New Roman" w:cs="Times New Roman"/>
        </w:rPr>
        <w:t xml:space="preserve">, </w:t>
      </w:r>
      <w:r>
        <w:rPr>
          <w:rFonts w:ascii="Times New Roman" w:eastAsia="Times New Roman" w:hAnsi="Times New Roman" w:cs="Times New Roman"/>
          <w:i/>
          <w:iCs/>
        </w:rPr>
        <w:t>17</w:t>
      </w:r>
      <w:r>
        <w:rPr>
          <w:rFonts w:ascii="Times New Roman" w:eastAsia="Times New Roman" w:hAnsi="Times New Roman" w:cs="Times New Roman"/>
        </w:rPr>
        <w:t>(6), 27–39. https://doi.org/10.5121/ijnsa.2025.17602</w:t>
      </w:r>
    </w:p>
    <w:p w14:paraId="638AF587"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Z., Yang, X., &amp; Jiang, C. (2025). Multi-view Graph based Hierarchical Representation Learning for Money Laundering Group Detection. </w:t>
      </w:r>
      <w:r>
        <w:rPr>
          <w:rFonts w:ascii="Times New Roman" w:eastAsia="Times New Roman" w:hAnsi="Times New Roman" w:cs="Times New Roman"/>
          <w:i/>
          <w:iCs/>
        </w:rPr>
        <w:t>IEEE Transactions on Information Forensics and Security</w:t>
      </w:r>
      <w:r>
        <w:rPr>
          <w:rFonts w:ascii="Times New Roman" w:eastAsia="Times New Roman" w:hAnsi="Times New Roman" w:cs="Times New Roman"/>
        </w:rPr>
        <w:t>, 1–1. https://doi.org/10.1109/tifs.2025.3529321</w:t>
      </w:r>
    </w:p>
    <w:p w14:paraId="64FA1E59"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Liu, J. (2025). </w:t>
      </w:r>
      <w:r>
        <w:rPr>
          <w:rFonts w:ascii="Times New Roman" w:eastAsia="Times New Roman" w:hAnsi="Times New Roman" w:cs="Times New Roman"/>
          <w:i/>
          <w:iCs/>
        </w:rPr>
        <w:t>Feature Engineering for AML: From Raw Data to Risk Signals</w:t>
      </w:r>
      <w:r>
        <w:rPr>
          <w:rFonts w:ascii="Times New Roman" w:eastAsia="Times New Roman" w:hAnsi="Times New Roman" w:cs="Times New Roman"/>
        </w:rPr>
        <w:t>. Nerous.ai. https://nerous.ai/en/resources/blog/feature-engineering-aml/</w:t>
      </w:r>
    </w:p>
    <w:p w14:paraId="6A6B2228"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Lou, C., Wang, Y., Li, J., Qian, Y., &amp; Li, X. (2024). Graph neural network for fraud detection via context encoding and adaptive aggregation. </w:t>
      </w:r>
      <w:r>
        <w:rPr>
          <w:rFonts w:ascii="Times New Roman" w:eastAsia="Times New Roman" w:hAnsi="Times New Roman" w:cs="Times New Roman"/>
          <w:i/>
          <w:iCs/>
        </w:rPr>
        <w:t>Expert Systems with Applications</w:t>
      </w:r>
      <w:r>
        <w:rPr>
          <w:rFonts w:ascii="Times New Roman" w:eastAsia="Times New Roman" w:hAnsi="Times New Roman" w:cs="Times New Roman"/>
        </w:rPr>
        <w:t>, 125473–125473. https://doi.org/10.1016/j.eswa.2024.125473</w:t>
      </w:r>
    </w:p>
    <w:p w14:paraId="2B0A52F7"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Lundberg, S. M., Erion, G. G., &amp; Lee, S.-I. (2018). Consistent Individualized Feature Attribution for Tree Ensembles.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https://doi.org/10.48550/arxiv.1802.03888</w:t>
      </w:r>
    </w:p>
    <w:p w14:paraId="461D9FED"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McMahan, H. B., Moore, E., Ramage, D., Hampson, S., &amp; Arcas, B. A. Y. (2016). </w:t>
      </w:r>
      <w:r>
        <w:rPr>
          <w:rFonts w:ascii="Times New Roman" w:eastAsia="Times New Roman" w:hAnsi="Times New Roman" w:cs="Times New Roman"/>
          <w:i/>
          <w:iCs/>
        </w:rPr>
        <w:t>Communication-Efficient Learning of Deep Networks from Decentralized Data</w:t>
      </w:r>
      <w:r>
        <w:rPr>
          <w:rFonts w:ascii="Times New Roman" w:eastAsia="Times New Roman" w:hAnsi="Times New Roman" w:cs="Times New Roman"/>
        </w:rPr>
        <w:t>. International Conference on Artificial Intelligence and Statistics. https://api.semanticscholar.org/CorpusID:14955348</w:t>
      </w:r>
    </w:p>
    <w:p w14:paraId="798D2AE6"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Mohsin, M. T., &amp; Nasim, N. B. (2025). Explaining the unexplainable: A systematic review of explainable AI in finance. </w:t>
      </w:r>
      <w:r>
        <w:rPr>
          <w:rFonts w:ascii="Times New Roman" w:eastAsia="Times New Roman" w:hAnsi="Times New Roman" w:cs="Times New Roman"/>
          <w:i/>
          <w:iCs/>
        </w:rPr>
        <w:t>International Journal of Science and Research Archive</w:t>
      </w:r>
      <w:r>
        <w:rPr>
          <w:rFonts w:ascii="Times New Roman" w:eastAsia="Times New Roman" w:hAnsi="Times New Roman" w:cs="Times New Roman"/>
        </w:rPr>
        <w:t xml:space="preserve">, </w:t>
      </w:r>
      <w:r>
        <w:rPr>
          <w:rFonts w:ascii="Times New Roman" w:eastAsia="Times New Roman" w:hAnsi="Times New Roman" w:cs="Times New Roman"/>
          <w:i/>
          <w:iCs/>
        </w:rPr>
        <w:t>16</w:t>
      </w:r>
      <w:r>
        <w:rPr>
          <w:rFonts w:ascii="Times New Roman" w:eastAsia="Times New Roman" w:hAnsi="Times New Roman" w:cs="Times New Roman"/>
        </w:rPr>
        <w:t>(3), 476–497. https://doi.org/10.30574/ijsra.2025.16.3.2581</w:t>
      </w:r>
    </w:p>
    <w:p w14:paraId="37B3B7A9"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Molnar, C. (2025). Interpretable Machine Learning. In </w:t>
      </w:r>
      <w:r>
        <w:rPr>
          <w:rFonts w:ascii="Times New Roman" w:eastAsia="Times New Roman" w:hAnsi="Times New Roman" w:cs="Times New Roman"/>
          <w:i/>
          <w:iCs/>
        </w:rPr>
        <w:t>christophm.github.io</w:t>
      </w:r>
      <w:r>
        <w:rPr>
          <w:rFonts w:ascii="Times New Roman" w:eastAsia="Times New Roman" w:hAnsi="Times New Roman" w:cs="Times New Roman"/>
        </w:rPr>
        <w:t>. https://christophm.github.io/interpretable-ml-book</w:t>
      </w:r>
    </w:p>
    <w:p w14:paraId="04999CD9"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Motie, S., &amp; Raahemi, B. (2023). Financial fraud detection using graph neural networks: A systematic review. </w:t>
      </w:r>
      <w:r>
        <w:rPr>
          <w:rFonts w:ascii="Times New Roman" w:eastAsia="Times New Roman" w:hAnsi="Times New Roman" w:cs="Times New Roman"/>
          <w:i/>
          <w:iCs/>
        </w:rPr>
        <w:t>Expert Systems with Applications</w:t>
      </w:r>
      <w:r>
        <w:rPr>
          <w:rFonts w:ascii="Times New Roman" w:eastAsia="Times New Roman" w:hAnsi="Times New Roman" w:cs="Times New Roman"/>
        </w:rPr>
        <w:t xml:space="preserve">, </w:t>
      </w:r>
      <w:r>
        <w:rPr>
          <w:rFonts w:ascii="Times New Roman" w:eastAsia="Times New Roman" w:hAnsi="Times New Roman" w:cs="Times New Roman"/>
          <w:i/>
          <w:iCs/>
        </w:rPr>
        <w:t>240</w:t>
      </w:r>
      <w:r>
        <w:rPr>
          <w:rFonts w:ascii="Times New Roman" w:eastAsia="Times New Roman" w:hAnsi="Times New Roman" w:cs="Times New Roman"/>
        </w:rPr>
        <w:t>, 122156. https://doi.org/10.1016/j.eswa.2023.122156</w:t>
      </w:r>
    </w:p>
    <w:p w14:paraId="1422EB21"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Poon, C.-H., Kwok, J., Chow, C., &amp; Choi, J.-H. (2025). LineMVGNN: Anti-Money Laundering with Line-Graph-Assisted Multi-View Graph Neural Networks. </w:t>
      </w:r>
      <w:r>
        <w:rPr>
          <w:rFonts w:ascii="Times New Roman" w:eastAsia="Times New Roman" w:hAnsi="Times New Roman" w:cs="Times New Roman"/>
          <w:i/>
          <w:iCs/>
        </w:rPr>
        <w:t>AI</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(4), 69–69. https://doi.org/10.3390/ai6040069</w:t>
      </w:r>
    </w:p>
    <w:p w14:paraId="1AA3109B"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Pousette, T., &amp; Rosendal, A. (2024). </w:t>
      </w:r>
      <w:r>
        <w:rPr>
          <w:rFonts w:ascii="Times New Roman" w:eastAsia="Times New Roman" w:hAnsi="Times New Roman" w:cs="Times New Roman"/>
          <w:i/>
          <w:iCs/>
        </w:rPr>
        <w:t>Explainable Anti-Money Laundering: Application of Explainable AI on Graph Neural Networks in Anti-Money Laundering</w:t>
      </w:r>
      <w:r>
        <w:rPr>
          <w:rFonts w:ascii="Times New Roman" w:eastAsia="Times New Roman" w:hAnsi="Times New Roman" w:cs="Times New Roman"/>
        </w:rPr>
        <w:t>. https://odr.chalmers.se/server/api/core/bitstreams/e8e8359e-3154-46f6-830f-0133bcd38d99/content</w:t>
      </w:r>
    </w:p>
    <w:p w14:paraId="7CC0C5F3"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Qian, J., &amp; Tong, G. (2025). Metapath-guided graph neural networks for financial fraud detection. </w:t>
      </w:r>
      <w:r>
        <w:rPr>
          <w:rFonts w:ascii="Times New Roman" w:eastAsia="Times New Roman" w:hAnsi="Times New Roman" w:cs="Times New Roman"/>
          <w:i/>
          <w:iCs/>
        </w:rPr>
        <w:t>Computers &amp; Electrical Engineering</w:t>
      </w:r>
      <w:r>
        <w:rPr>
          <w:rFonts w:ascii="Times New Roman" w:eastAsia="Times New Roman" w:hAnsi="Times New Roman" w:cs="Times New Roman"/>
        </w:rPr>
        <w:t xml:space="preserve">, </w:t>
      </w:r>
      <w:r>
        <w:rPr>
          <w:rFonts w:ascii="Times New Roman" w:eastAsia="Times New Roman" w:hAnsi="Times New Roman" w:cs="Times New Roman"/>
          <w:i/>
          <w:iCs/>
        </w:rPr>
        <w:t>126</w:t>
      </w:r>
      <w:r>
        <w:rPr>
          <w:rFonts w:ascii="Times New Roman" w:eastAsia="Times New Roman" w:hAnsi="Times New Roman" w:cs="Times New Roman"/>
        </w:rPr>
        <w:t>, 110428–110428. https://doi.org/10.1016/j.compeleceng.2025.110428</w:t>
      </w:r>
    </w:p>
    <w:p w14:paraId="0A76EB99"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Ricadela, A. (2024). </w:t>
      </w:r>
      <w:r>
        <w:rPr>
          <w:rFonts w:ascii="Times New Roman" w:eastAsia="Times New Roman" w:hAnsi="Times New Roman" w:cs="Times New Roman"/>
          <w:i/>
          <w:iCs/>
        </w:rPr>
        <w:t>Anti–Money Laundering AI Explained</w:t>
      </w:r>
      <w:r>
        <w:rPr>
          <w:rFonts w:ascii="Times New Roman" w:eastAsia="Times New Roman" w:hAnsi="Times New Roman" w:cs="Times New Roman"/>
        </w:rPr>
        <w:t>. Oracle.com; Oracle. https://www.oracle.com/africa/financial-services/aml-ai/#what</w:t>
      </w:r>
    </w:p>
    <w:p w14:paraId="0F390ADA"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SAS. (2025). </w:t>
      </w:r>
      <w:r>
        <w:rPr>
          <w:rFonts w:ascii="Times New Roman" w:eastAsia="Times New Roman" w:hAnsi="Times New Roman" w:cs="Times New Roman"/>
          <w:i/>
          <w:iCs/>
        </w:rPr>
        <w:t>Explainable Artificial Intelligence for Anti-Money Laundering</w:t>
      </w:r>
      <w:r>
        <w:rPr>
          <w:rFonts w:ascii="Times New Roman" w:eastAsia="Times New Roman" w:hAnsi="Times New Roman" w:cs="Times New Roman"/>
        </w:rPr>
        <w:t>. Sas.com. https://www.sas.com/en/whitepapers/explainable-artificial-intelligence-for-anti-money-laundering.html</w:t>
      </w:r>
    </w:p>
    <w:p w14:paraId="1A61FE80"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Sha, Q., Tang, T., Du, X., Liu, J., Wang, Y., &amp; Sheng, Y. (2025). Detecting Credit Card Fraud via Heterogeneous Graph Neural Networks with Graph Attention.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https://doi.org/10.48550/arxiv.2504.08183</w:t>
      </w:r>
    </w:p>
    <w:p w14:paraId="3C6D3BE8"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Stojanović, B., Božić, J., Hofer-Schmitz, K., Nahrgang, K., Weber, A., Badii, A., Sundaram, M., Jordan, E., &amp; Runevic, J. (2021). Follow the Trail: Machine Learning for Fraud Detection in Fintech Applications.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21</w:t>
      </w:r>
      <w:r>
        <w:rPr>
          <w:rFonts w:ascii="Times New Roman" w:eastAsia="Times New Roman" w:hAnsi="Times New Roman" w:cs="Times New Roman"/>
        </w:rPr>
        <w:t>(5), 1594. https://doi.org/10.3390/s21051594</w:t>
      </w:r>
    </w:p>
    <w:p w14:paraId="45A01117"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Szeghalmy, S., &amp; Fazekas, A. (2023). A Comparative Study of the Use of Stratified Cross-Validation and Distribution-Balanced Stratified Cross-Validation in Imbalanced Learning.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23</w:t>
      </w:r>
      <w:r>
        <w:rPr>
          <w:rFonts w:ascii="Times New Roman" w:eastAsia="Times New Roman" w:hAnsi="Times New Roman" w:cs="Times New Roman"/>
        </w:rPr>
        <w:t>(4), 2333. https://doi.org/10.3390/s23042333</w:t>
      </w:r>
    </w:p>
    <w:p w14:paraId="28BC8915"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Tookitaki. (2024). </w:t>
      </w:r>
      <w:r>
        <w:rPr>
          <w:rFonts w:ascii="Times New Roman" w:eastAsia="Times New Roman" w:hAnsi="Times New Roman" w:cs="Times New Roman"/>
          <w:i/>
          <w:iCs/>
        </w:rPr>
        <w:t>AML Case Study with Answers: Learning from Real-World Scenarios</w:t>
      </w:r>
      <w:r>
        <w:rPr>
          <w:rFonts w:ascii="Times New Roman" w:eastAsia="Times New Roman" w:hAnsi="Times New Roman" w:cs="Times New Roman"/>
        </w:rPr>
        <w:t>. Tookitaki.com. https://www.tookitaki.com/compliance-hub/aml-case-study-with-answers-learning-from-real-world-scenarios</w:t>
      </w:r>
    </w:p>
    <w:p w14:paraId="63E3A96B"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Vallarino, D. (2025). </w:t>
      </w:r>
      <w:r>
        <w:rPr>
          <w:rFonts w:ascii="Times New Roman" w:eastAsia="Times New Roman" w:hAnsi="Times New Roman" w:cs="Times New Roman"/>
          <w:i/>
          <w:iCs/>
        </w:rPr>
        <w:t>AI-Powered Fraud Detection in Financial Services: GNN, Compliance Challenges, and Risk Mitigation</w:t>
      </w:r>
      <w:r>
        <w:rPr>
          <w:rFonts w:ascii="Times New Roman" w:eastAsia="Times New Roman" w:hAnsi="Times New Roman" w:cs="Times New Roman"/>
        </w:rPr>
        <w:t>. https://doi.org/10.2139/ssrn.5170054</w:t>
      </w:r>
    </w:p>
    <w:p w14:paraId="2FE74FF4"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Verlaan, S., Ioana Hulpuș, &amp; Jan, E. (2025). </w:t>
      </w:r>
      <w:r>
        <w:rPr>
          <w:rFonts w:ascii="Times New Roman" w:eastAsia="Times New Roman" w:hAnsi="Times New Roman" w:cs="Times New Roman"/>
          <w:i/>
          <w:iCs/>
        </w:rPr>
        <w:t>LAS-GNN: A Graph Neural Network for Temporal Money Laundering Motif Detection</w:t>
      </w:r>
      <w:r>
        <w:rPr>
          <w:rFonts w:ascii="Times New Roman" w:eastAsia="Times New Roman" w:hAnsi="Times New Roman" w:cs="Times New Roman"/>
        </w:rPr>
        <w:t>. 256–264. https://doi.org/10.1145/3768292.3770410</w:t>
      </w:r>
    </w:p>
    <w:p w14:paraId="57F31490" w14:textId="77777777" w:rsidR="00273E3A" w:rsidRDefault="0000000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Wilson, C.-A. (2025). </w:t>
      </w:r>
      <w:r>
        <w:rPr>
          <w:rFonts w:ascii="Times New Roman" w:eastAsia="Times New Roman" w:hAnsi="Times New Roman" w:cs="Times New Roman"/>
          <w:i/>
          <w:iCs/>
        </w:rPr>
        <w:t>Explainable AI in Finance: Addressing the Needs of Diverse Stakeholders</w:t>
      </w:r>
      <w:r>
        <w:rPr>
          <w:rFonts w:ascii="Times New Roman" w:eastAsia="Times New Roman" w:hAnsi="Times New Roman" w:cs="Times New Roman"/>
        </w:rPr>
        <w:t>. https://doi.org/10.56227/25.1.25</w:t>
      </w:r>
    </w:p>
    <w:p w14:paraId="2368B8BF" w14:textId="77777777" w:rsidR="00273E3A" w:rsidRDefault="00273E3A">
      <w:pPr>
        <w:spacing w:line="360" w:lineRule="auto"/>
        <w:jc w:val="both"/>
        <w:rPr>
          <w:rFonts w:ascii="Times New Roman" w:eastAsia="Times New Roman" w:hAnsi="Times New Roman" w:cs="Times New Roman"/>
        </w:rPr>
      </w:pPr>
    </w:p>
    <w:sectPr w:rsidR="00273E3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5960C" w14:textId="77777777" w:rsidR="00D05638" w:rsidRDefault="00D05638">
      <w:pPr>
        <w:spacing w:after="0" w:line="240" w:lineRule="auto"/>
      </w:pPr>
      <w:r>
        <w:separator/>
      </w:r>
    </w:p>
  </w:endnote>
  <w:endnote w:type="continuationSeparator" w:id="0">
    <w:p w14:paraId="672911E6" w14:textId="77777777" w:rsidR="00D05638" w:rsidRDefault="00D0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DB4EBE3-D12C-4B04-903D-8D30044A7C8E}"/>
    <w:embedBold r:id="rId2" w:fontKey="{498692AF-2458-4C41-A424-A6E00427EC72}"/>
    <w:embedItalic r:id="rId3" w:fontKey="{CB98BED4-2E85-4463-8BE3-A03587C73A7A}"/>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B7D56CAA-AA61-4729-8FF6-2C9CACA062D8}"/>
    <w:embedItalic r:id="rId5" w:fontKey="{F13AC40D-E6C4-40D0-AACE-321CD15B8F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AF602B65-3983-4ECC-B2F1-0F1213CC70C5}"/>
  </w:font>
  <w:font w:name="Cambria">
    <w:panose1 w:val="02040503050406030204"/>
    <w:charset w:val="00"/>
    <w:family w:val="roman"/>
    <w:pitch w:val="variable"/>
    <w:sig w:usb0="E00006FF" w:usb1="420024FF" w:usb2="02000000" w:usb3="00000000" w:csb0="0000019F" w:csb1="00000000"/>
    <w:embedRegular r:id="rId7" w:fontKey="{B03EC57F-EF35-483E-91AD-C826BA327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73B3" w14:textId="77777777" w:rsidR="00273E3A" w:rsidRDefault="00273E3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CFDE" w14:textId="77777777" w:rsidR="00273E3A" w:rsidRDefault="00273E3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D9B1" w14:textId="77777777" w:rsidR="00273E3A" w:rsidRDefault="00273E3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D5857" w14:textId="77777777" w:rsidR="00D05638" w:rsidRDefault="00D05638">
      <w:pPr>
        <w:spacing w:after="0" w:line="240" w:lineRule="auto"/>
      </w:pPr>
      <w:r>
        <w:separator/>
      </w:r>
    </w:p>
  </w:footnote>
  <w:footnote w:type="continuationSeparator" w:id="0">
    <w:p w14:paraId="6F43F6A8" w14:textId="77777777" w:rsidR="00D05638" w:rsidRDefault="00D05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7103" w14:textId="77777777" w:rsidR="00273E3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8589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A16D" w14:textId="77777777" w:rsidR="00273E3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8BF6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841A" w14:textId="77777777" w:rsidR="00273E3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243A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B7B82"/>
    <w:multiLevelType w:val="multilevel"/>
    <w:tmpl w:val="EBBE9438"/>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00756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E3A"/>
    <w:rsid w:val="00010CBB"/>
    <w:rsid w:val="00273E3A"/>
    <w:rsid w:val="00B62B0C"/>
    <w:rsid w:val="00D0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5A6B8"/>
  <w15:docId w15:val="{55698E79-3C73-420C-A037-99222CD7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7966</Words>
  <Characters>45412</Characters>
  <Application>Microsoft Office Word</Application>
  <DocSecurity>0</DocSecurity>
  <Lines>378</Lines>
  <Paragraphs>106</Paragraphs>
  <ScaleCrop>false</ScaleCrop>
  <Company/>
  <LinksUpToDate>false</LinksUpToDate>
  <CharactersWithSpaces>53272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Otolorin</cp:lastModifiedBy>
  <cp:revision>2</cp:revision>
  <dcterms:created xsi:type="dcterms:W3CDTF">2026-01-22T11:17:00Z</dcterms:created>
  <dcterms:modified xsi:type="dcterms:W3CDTF">2026-01-22T11:18:00Z</dcterms:modified>
</cp:coreProperties>
</file>