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D164B" w14:textId="0084163B" w:rsidR="00CA0E2E" w:rsidRPr="00930AA5" w:rsidRDefault="00070506" w:rsidP="00070506">
      <w:pPr>
        <w:rPr>
          <w:rFonts w:ascii="Arial" w:hAnsi="Arial" w:cs="Arial"/>
          <w:b/>
          <w:bCs/>
          <w:sz w:val="36"/>
          <w:szCs w:val="36"/>
        </w:rPr>
      </w:pPr>
      <w:bookmarkStart w:id="0" w:name="_Hlk217297558"/>
      <w:r w:rsidRPr="00930AA5">
        <w:rPr>
          <w:rFonts w:ascii="Arial" w:hAnsi="Arial" w:cs="Arial"/>
          <w:b/>
          <w:bCs/>
          <w:sz w:val="36"/>
          <w:szCs w:val="36"/>
        </w:rPr>
        <w:t xml:space="preserve">Physiological, </w:t>
      </w:r>
      <w:proofErr w:type="spellStart"/>
      <w:r w:rsidRPr="00930AA5">
        <w:rPr>
          <w:rFonts w:ascii="Arial" w:hAnsi="Arial" w:cs="Arial"/>
          <w:b/>
          <w:bCs/>
          <w:sz w:val="36"/>
          <w:szCs w:val="36"/>
        </w:rPr>
        <w:t>Haematological</w:t>
      </w:r>
      <w:proofErr w:type="spellEnd"/>
      <w:r w:rsidRPr="00930AA5">
        <w:rPr>
          <w:rFonts w:ascii="Arial" w:hAnsi="Arial" w:cs="Arial"/>
          <w:b/>
          <w:bCs/>
          <w:sz w:val="36"/>
          <w:szCs w:val="36"/>
        </w:rPr>
        <w:t xml:space="preserve"> </w:t>
      </w:r>
      <w:r>
        <w:rPr>
          <w:rFonts w:ascii="Arial" w:hAnsi="Arial" w:cs="Arial"/>
          <w:b/>
          <w:bCs/>
          <w:sz w:val="36"/>
          <w:szCs w:val="36"/>
        </w:rPr>
        <w:t>a</w:t>
      </w:r>
      <w:r w:rsidRPr="00930AA5">
        <w:rPr>
          <w:rFonts w:ascii="Arial" w:hAnsi="Arial" w:cs="Arial"/>
          <w:b/>
          <w:bCs/>
          <w:sz w:val="36"/>
          <w:szCs w:val="36"/>
        </w:rPr>
        <w:t>nd Biochemical Responses in Goats Premedicated with Α</w:t>
      </w:r>
      <w:r w:rsidRPr="00930AA5">
        <w:rPr>
          <w:rFonts w:ascii="Cambria Math" w:hAnsi="Cambria Math" w:cs="Cambria Math"/>
          <w:b/>
          <w:bCs/>
          <w:sz w:val="36"/>
          <w:szCs w:val="36"/>
        </w:rPr>
        <w:t>₂</w:t>
      </w:r>
      <w:r w:rsidRPr="00930AA5">
        <w:rPr>
          <w:rFonts w:ascii="Arial" w:hAnsi="Arial" w:cs="Arial"/>
          <w:b/>
          <w:bCs/>
          <w:sz w:val="36"/>
          <w:szCs w:val="36"/>
        </w:rPr>
        <w:t xml:space="preserve">-Agonist-Opioid Combinations </w:t>
      </w:r>
      <w:r>
        <w:rPr>
          <w:rFonts w:ascii="Arial" w:hAnsi="Arial" w:cs="Arial"/>
          <w:b/>
          <w:bCs/>
          <w:sz w:val="36"/>
          <w:szCs w:val="36"/>
        </w:rPr>
        <w:t>u</w:t>
      </w:r>
      <w:r w:rsidRPr="00930AA5">
        <w:rPr>
          <w:rFonts w:ascii="Arial" w:hAnsi="Arial" w:cs="Arial"/>
          <w:b/>
          <w:bCs/>
          <w:sz w:val="36"/>
          <w:szCs w:val="36"/>
        </w:rPr>
        <w:t xml:space="preserve">nder </w:t>
      </w:r>
      <w:proofErr w:type="spellStart"/>
      <w:r w:rsidRPr="00930AA5">
        <w:rPr>
          <w:rFonts w:ascii="Arial" w:hAnsi="Arial" w:cs="Arial"/>
          <w:b/>
          <w:bCs/>
          <w:sz w:val="36"/>
          <w:szCs w:val="36"/>
        </w:rPr>
        <w:t>Tiva</w:t>
      </w:r>
      <w:proofErr w:type="spellEnd"/>
      <w:r w:rsidRPr="00930AA5">
        <w:rPr>
          <w:rFonts w:ascii="Arial" w:hAnsi="Arial" w:cs="Arial"/>
          <w:b/>
          <w:bCs/>
          <w:sz w:val="36"/>
          <w:szCs w:val="36"/>
        </w:rPr>
        <w:t xml:space="preserve"> </w:t>
      </w:r>
      <w:r>
        <w:rPr>
          <w:rFonts w:ascii="Arial" w:hAnsi="Arial" w:cs="Arial"/>
          <w:b/>
          <w:bCs/>
          <w:sz w:val="36"/>
          <w:szCs w:val="36"/>
        </w:rPr>
        <w:t>a</w:t>
      </w:r>
      <w:r w:rsidRPr="00930AA5">
        <w:rPr>
          <w:rFonts w:ascii="Arial" w:hAnsi="Arial" w:cs="Arial"/>
          <w:b/>
          <w:bCs/>
          <w:sz w:val="36"/>
          <w:szCs w:val="36"/>
        </w:rPr>
        <w:t xml:space="preserve">nd </w:t>
      </w:r>
      <w:proofErr w:type="spellStart"/>
      <w:r w:rsidRPr="00930AA5">
        <w:rPr>
          <w:rFonts w:ascii="Arial" w:hAnsi="Arial" w:cs="Arial"/>
          <w:b/>
          <w:bCs/>
          <w:sz w:val="36"/>
          <w:szCs w:val="36"/>
        </w:rPr>
        <w:t>Piva</w:t>
      </w:r>
      <w:proofErr w:type="spellEnd"/>
      <w:r w:rsidRPr="00930AA5">
        <w:rPr>
          <w:rFonts w:ascii="Arial" w:hAnsi="Arial" w:cs="Arial"/>
          <w:b/>
          <w:bCs/>
          <w:sz w:val="36"/>
          <w:szCs w:val="36"/>
        </w:rPr>
        <w:t xml:space="preserve"> Protocols</w:t>
      </w:r>
    </w:p>
    <w:bookmarkEnd w:id="0"/>
    <w:p w14:paraId="417DD5B5" w14:textId="77777777" w:rsidR="00A258C3" w:rsidRPr="00930AA5" w:rsidRDefault="00A258C3" w:rsidP="00441B6F">
      <w:pPr>
        <w:pStyle w:val="Author"/>
        <w:spacing w:line="240" w:lineRule="auto"/>
        <w:jc w:val="both"/>
        <w:rPr>
          <w:rFonts w:ascii="Arial" w:hAnsi="Arial" w:cs="Arial"/>
          <w:sz w:val="36"/>
        </w:rPr>
      </w:pPr>
    </w:p>
    <w:p w14:paraId="2F888B6E" w14:textId="77777777" w:rsidR="004402FD" w:rsidRPr="00930AA5" w:rsidRDefault="004402FD" w:rsidP="008E0B43">
      <w:pPr>
        <w:pStyle w:val="Affiliation"/>
        <w:spacing w:after="0" w:line="240" w:lineRule="auto"/>
        <w:rPr>
          <w:rFonts w:ascii="Arial" w:hAnsi="Arial" w:cs="Arial"/>
          <w:i/>
          <w:iCs/>
        </w:rPr>
      </w:pPr>
    </w:p>
    <w:p w14:paraId="2F62C9EC" w14:textId="77777777" w:rsidR="002C57D2" w:rsidRPr="00930AA5" w:rsidRDefault="002C57D2" w:rsidP="00441B6F">
      <w:pPr>
        <w:pStyle w:val="Affiliation"/>
        <w:spacing w:after="0" w:line="240" w:lineRule="auto"/>
        <w:jc w:val="both"/>
        <w:rPr>
          <w:rFonts w:ascii="Arial" w:hAnsi="Arial" w:cs="Arial"/>
        </w:rPr>
      </w:pPr>
    </w:p>
    <w:p w14:paraId="7BE9317B" w14:textId="3D48702F" w:rsidR="00B01FCD" w:rsidRPr="00930AA5" w:rsidRDefault="00A66479" w:rsidP="00441B6F">
      <w:pPr>
        <w:pStyle w:val="Copyright"/>
        <w:spacing w:after="0" w:line="240" w:lineRule="auto"/>
        <w:jc w:val="both"/>
        <w:rPr>
          <w:rFonts w:ascii="Arial" w:hAnsi="Arial" w:cs="Arial"/>
        </w:rPr>
        <w:sectPr w:rsidR="00B01FCD" w:rsidRPr="00930AA5" w:rsidSect="00B172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30AA5">
        <w:rPr>
          <w:rFonts w:ascii="Arial" w:hAnsi="Arial" w:cs="Arial"/>
          <w:noProof/>
        </w:rPr>
        <mc:AlternateContent>
          <mc:Choice Requires="wps">
            <w:drawing>
              <wp:inline distT="0" distB="0" distL="0" distR="0" wp14:anchorId="5D8B1250" wp14:editId="4F6DAB10">
                <wp:extent cx="5303520" cy="635"/>
                <wp:effectExtent l="13335" t="17145" r="17145" b="11430"/>
                <wp:docPr id="19590325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EDCC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30AA5">
        <w:rPr>
          <w:rFonts w:ascii="Arial" w:hAnsi="Arial" w:cs="Arial"/>
        </w:rPr>
        <w:t>.</w:t>
      </w:r>
    </w:p>
    <w:p w14:paraId="21A56BA0" w14:textId="43572FFC" w:rsidR="00790ADA" w:rsidRPr="00930AA5" w:rsidRDefault="00B01FCD" w:rsidP="00441B6F">
      <w:pPr>
        <w:pStyle w:val="AbstHead"/>
        <w:spacing w:after="0"/>
        <w:jc w:val="both"/>
        <w:rPr>
          <w:rFonts w:ascii="Arial" w:hAnsi="Arial" w:cs="Arial"/>
        </w:rPr>
      </w:pPr>
      <w:r w:rsidRPr="00930AA5">
        <w:rPr>
          <w:rFonts w:ascii="Arial" w:hAnsi="Arial" w:cs="Arial"/>
        </w:rPr>
        <w:t>ABSTRACT</w:t>
      </w:r>
      <w:r w:rsidR="0066510A" w:rsidRPr="00930AA5">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30AA5" w14:paraId="63891A2A" w14:textId="77777777" w:rsidTr="001E44FE">
        <w:tc>
          <w:tcPr>
            <w:tcW w:w="9576" w:type="dxa"/>
            <w:shd w:val="clear" w:color="auto" w:fill="F2F2F2"/>
          </w:tcPr>
          <w:p w14:paraId="13660116" w14:textId="4085EBC6" w:rsidR="003D6F97" w:rsidRPr="00930AA5" w:rsidRDefault="003D6F97" w:rsidP="003D6F97">
            <w:pPr>
              <w:pStyle w:val="Body"/>
              <w:spacing w:after="0"/>
              <w:rPr>
                <w:rFonts w:ascii="Arial" w:eastAsia="Calibri" w:hAnsi="Arial" w:cs="Arial"/>
                <w:bCs/>
                <w:szCs w:val="22"/>
                <w:lang w:val="en-IN"/>
              </w:rPr>
            </w:pPr>
            <w:bookmarkStart w:id="1" w:name="_Hlk217300608"/>
            <w:r w:rsidRPr="00930AA5">
              <w:rPr>
                <w:rFonts w:ascii="Arial" w:eastAsia="Calibri" w:hAnsi="Arial" w:cs="Arial"/>
                <w:b/>
                <w:szCs w:val="22"/>
                <w:lang w:val="en-IN"/>
              </w:rPr>
              <w:t xml:space="preserve">Aims: </w:t>
            </w:r>
            <w:r w:rsidRPr="00930AA5">
              <w:rPr>
                <w:rFonts w:ascii="Arial" w:eastAsia="Calibri" w:hAnsi="Arial" w:cs="Arial"/>
                <w:bCs/>
                <w:szCs w:val="22"/>
                <w:lang w:val="en-IN"/>
              </w:rPr>
              <w:t>The present study aimed to evaluate and compare the physiological and haematological responses of goats premedicated with xylazine–butorphanol or dexmedetomidine–butorphanol and induced with tiletamine–zolazepam, under total intravenous anaesthesia (TIVA) and partial intravenous anaesthesia (PIVA) protocols, to assess their clinical safety and suitability for routine surgical procedures.</w:t>
            </w:r>
          </w:p>
          <w:p w14:paraId="1B931720" w14:textId="65CA0C6F" w:rsidR="003D6F97" w:rsidRPr="00930AA5" w:rsidRDefault="003D6F97" w:rsidP="003D6F97">
            <w:pPr>
              <w:pStyle w:val="Body"/>
              <w:spacing w:after="0"/>
              <w:rPr>
                <w:rFonts w:ascii="Arial" w:eastAsia="Calibri" w:hAnsi="Arial" w:cs="Arial"/>
                <w:bCs/>
                <w:szCs w:val="22"/>
                <w:lang w:val="en-IN"/>
              </w:rPr>
            </w:pPr>
            <w:r w:rsidRPr="00930AA5">
              <w:rPr>
                <w:rFonts w:ascii="Arial" w:eastAsia="Calibri" w:hAnsi="Arial" w:cs="Arial"/>
                <w:b/>
                <w:szCs w:val="22"/>
                <w:lang w:val="en-IN"/>
              </w:rPr>
              <w:t xml:space="preserve">Study Design: </w:t>
            </w:r>
            <w:r w:rsidRPr="00930AA5">
              <w:rPr>
                <w:rFonts w:ascii="Arial" w:eastAsia="Calibri" w:hAnsi="Arial" w:cs="Arial"/>
                <w:bCs/>
                <w:szCs w:val="22"/>
                <w:lang w:val="en-IN"/>
              </w:rPr>
              <w:t>Randomised, prospective clinical experimental study.</w:t>
            </w:r>
          </w:p>
          <w:p w14:paraId="74EAF23A" w14:textId="28F2F663" w:rsidR="003D6F97" w:rsidRPr="00930AA5" w:rsidRDefault="003D6F97" w:rsidP="003D6F97">
            <w:pPr>
              <w:pStyle w:val="Body"/>
              <w:spacing w:after="0"/>
              <w:rPr>
                <w:rFonts w:ascii="Arial" w:eastAsia="Calibri" w:hAnsi="Arial" w:cs="Arial"/>
                <w:b/>
                <w:szCs w:val="22"/>
                <w:lang w:val="en-IN"/>
              </w:rPr>
            </w:pPr>
            <w:r w:rsidRPr="00930AA5">
              <w:rPr>
                <w:rFonts w:ascii="Arial" w:eastAsia="Calibri" w:hAnsi="Arial" w:cs="Arial"/>
                <w:b/>
                <w:szCs w:val="22"/>
                <w:lang w:val="en-IN"/>
              </w:rPr>
              <w:t xml:space="preserve">Place and Duration of Study: </w:t>
            </w:r>
            <w:r w:rsidRPr="00930AA5">
              <w:rPr>
                <w:rFonts w:ascii="Arial" w:eastAsia="Calibri" w:hAnsi="Arial" w:cs="Arial"/>
                <w:bCs/>
                <w:szCs w:val="22"/>
                <w:lang w:val="en-IN"/>
              </w:rPr>
              <w:t xml:space="preserve">The study was conducted at the </w:t>
            </w:r>
            <w:r w:rsidRPr="00930AA5">
              <w:rPr>
                <w:rFonts w:ascii="Arial" w:hAnsi="Arial" w:cs="Arial"/>
              </w:rPr>
              <w:t xml:space="preserve">Teaching Veterinary Clinical Complex, </w:t>
            </w:r>
            <w:proofErr w:type="spellStart"/>
            <w:r w:rsidRPr="00930AA5">
              <w:rPr>
                <w:rFonts w:ascii="Arial" w:hAnsi="Arial" w:cs="Arial"/>
              </w:rPr>
              <w:t>Mannuthy</w:t>
            </w:r>
            <w:proofErr w:type="spellEnd"/>
            <w:r w:rsidRPr="00930AA5">
              <w:rPr>
                <w:rFonts w:ascii="Arial" w:hAnsi="Arial" w:cs="Arial"/>
              </w:rPr>
              <w:t xml:space="preserve"> and the University Veterinary Hospital, Kokkalai, Thrissur, Kerala </w:t>
            </w:r>
            <w:r w:rsidRPr="00930AA5">
              <w:rPr>
                <w:rFonts w:ascii="Arial" w:eastAsia="Calibri" w:hAnsi="Arial" w:cs="Arial"/>
                <w:bCs/>
                <w:szCs w:val="22"/>
                <w:lang w:val="en-IN"/>
              </w:rPr>
              <w:t xml:space="preserve">Veterinary and Animal Sciences University, </w:t>
            </w:r>
            <w:r w:rsidRPr="00930AA5">
              <w:rPr>
                <w:rFonts w:ascii="Arial" w:hAnsi="Arial" w:cs="Arial"/>
              </w:rPr>
              <w:t xml:space="preserve">India, between 2020 to 2023. </w:t>
            </w:r>
          </w:p>
          <w:p w14:paraId="3A92AF79" w14:textId="70FFE761" w:rsidR="003D6F97" w:rsidRPr="00930AA5" w:rsidRDefault="003D6F97" w:rsidP="003D6F97">
            <w:pPr>
              <w:pStyle w:val="Body"/>
              <w:spacing w:after="0"/>
              <w:rPr>
                <w:rFonts w:ascii="Arial" w:eastAsia="Calibri" w:hAnsi="Arial" w:cs="Arial"/>
                <w:bCs/>
                <w:szCs w:val="22"/>
                <w:lang w:val="en-IN"/>
              </w:rPr>
            </w:pPr>
            <w:r w:rsidRPr="00930AA5">
              <w:rPr>
                <w:rFonts w:ascii="Arial" w:eastAsia="Calibri" w:hAnsi="Arial" w:cs="Arial"/>
                <w:b/>
                <w:szCs w:val="22"/>
                <w:lang w:val="en-IN"/>
              </w:rPr>
              <w:t xml:space="preserve">Methodology: </w:t>
            </w:r>
            <w:r w:rsidRPr="00930AA5">
              <w:rPr>
                <w:rFonts w:ascii="Arial" w:eastAsia="Calibri" w:hAnsi="Arial" w:cs="Arial"/>
                <w:bCs/>
                <w:szCs w:val="22"/>
                <w:lang w:val="en-IN"/>
              </w:rPr>
              <w:t>Twenty-four clinically healthy goats of either sex were randomly allocated into four groups (n = 6). Groups I and III received xylazine–butorphanol, while Groups II and IV received dexmedetomidine–butorphanol as premedication. Anaesthesia was induced using tiletamine–zolazepam in all animals. Anaesthetic maintenance was achieved through TIVA using constant rate infusion in Groups I and II, and through PIVA with isoflurane in oxygen in Groups III and IV. Physiological parameters</w:t>
            </w:r>
            <w:r w:rsidR="005916BA">
              <w:rPr>
                <w:rFonts w:ascii="Arial" w:eastAsia="Calibri" w:hAnsi="Arial" w:cs="Arial"/>
                <w:bCs/>
                <w:szCs w:val="22"/>
                <w:lang w:val="en-IN"/>
              </w:rPr>
              <w:t xml:space="preserve"> </w:t>
            </w:r>
            <w:r w:rsidRPr="00930AA5">
              <w:rPr>
                <w:rFonts w:ascii="Arial" w:eastAsia="Calibri" w:hAnsi="Arial" w:cs="Arial"/>
                <w:bCs/>
                <w:szCs w:val="22"/>
                <w:lang w:val="en-IN"/>
              </w:rPr>
              <w:t>were recorded at baseline, post-induction, during maintenance and recovery. Haematological parameters were also evaluated. Data were analysed using appropriate parametric statistical tests</w:t>
            </w:r>
            <w:r w:rsidR="005916BA">
              <w:rPr>
                <w:rFonts w:ascii="Arial" w:eastAsia="Calibri" w:hAnsi="Arial" w:cs="Arial"/>
                <w:bCs/>
                <w:szCs w:val="22"/>
                <w:lang w:val="en-IN"/>
              </w:rPr>
              <w:t>.</w:t>
            </w:r>
            <w:r w:rsidRPr="00930AA5">
              <w:rPr>
                <w:rFonts w:ascii="Arial" w:eastAsia="Calibri" w:hAnsi="Arial" w:cs="Arial"/>
                <w:bCs/>
                <w:szCs w:val="22"/>
                <w:lang w:val="en-IN"/>
              </w:rPr>
              <w:t xml:space="preserve"> </w:t>
            </w:r>
          </w:p>
          <w:p w14:paraId="698868B5" w14:textId="5A17D394" w:rsidR="003D6F97" w:rsidRPr="00930AA5" w:rsidRDefault="003D6F97" w:rsidP="003D6F97">
            <w:pPr>
              <w:pStyle w:val="Body"/>
              <w:spacing w:after="0"/>
              <w:rPr>
                <w:rFonts w:ascii="Arial" w:eastAsia="Calibri" w:hAnsi="Arial" w:cs="Arial"/>
                <w:bCs/>
                <w:szCs w:val="22"/>
                <w:lang w:val="en-IN"/>
              </w:rPr>
            </w:pPr>
            <w:r w:rsidRPr="00930AA5">
              <w:rPr>
                <w:rFonts w:ascii="Arial" w:eastAsia="Calibri" w:hAnsi="Arial" w:cs="Arial"/>
                <w:b/>
                <w:szCs w:val="22"/>
                <w:lang w:val="en-IN"/>
              </w:rPr>
              <w:t xml:space="preserve">Results: </w:t>
            </w:r>
            <w:r w:rsidRPr="00930AA5">
              <w:rPr>
                <w:rFonts w:ascii="Arial" w:eastAsia="Calibri" w:hAnsi="Arial" w:cs="Arial"/>
                <w:bCs/>
                <w:szCs w:val="22"/>
                <w:lang w:val="en-IN"/>
              </w:rPr>
              <w:t>A significant decrease in respiratory rate and rectal temperature, along with a mild increase in capillary refill time, was observed following induction in all groups. Peripheral oxygen saturation remained within normal physiological limits throughout the anaesthetic period, with comparatively higher values in PIVA groups. Haematological parameters showed transient but statistically significant changes in some groups after induction; however, all values remained within normal physiological ranges.</w:t>
            </w:r>
            <w:r w:rsidR="00352E41" w:rsidRPr="00930AA5">
              <w:rPr>
                <w:rFonts w:ascii="Arial" w:eastAsia="Calibri" w:hAnsi="Arial" w:cs="Arial"/>
                <w:bCs/>
                <w:szCs w:val="22"/>
                <w:lang w:val="en-IN"/>
              </w:rPr>
              <w:t xml:space="preserve"> </w:t>
            </w:r>
            <w:r w:rsidR="00352E41" w:rsidRPr="00930AA5">
              <w:rPr>
                <w:rFonts w:ascii="Arial" w:eastAsia="Calibri" w:hAnsi="Arial" w:cs="Arial"/>
                <w:bCs/>
                <w:szCs w:val="22"/>
              </w:rPr>
              <w:t>Serum biochemical parameters remained within normal physiological limits in all groups.</w:t>
            </w:r>
            <w:r w:rsidR="003C3D34" w:rsidRPr="00930AA5">
              <w:rPr>
                <w:rFonts w:ascii="Arial" w:eastAsia="Calibri" w:hAnsi="Arial" w:cs="Arial"/>
                <w:bCs/>
                <w:szCs w:val="22"/>
              </w:rPr>
              <w:t xml:space="preserve"> </w:t>
            </w:r>
            <w:r w:rsidRPr="00930AA5">
              <w:rPr>
                <w:rFonts w:ascii="Arial" w:eastAsia="Calibri" w:hAnsi="Arial" w:cs="Arial"/>
                <w:bCs/>
                <w:szCs w:val="22"/>
                <w:lang w:val="en-IN"/>
              </w:rPr>
              <w:t>No clinically significant adverse effects were observed, and recovery was smooth in all animals.</w:t>
            </w:r>
          </w:p>
          <w:p w14:paraId="35A70575" w14:textId="724C994A" w:rsidR="00505F06" w:rsidRPr="00930AA5" w:rsidRDefault="003D6F97" w:rsidP="00441B6F">
            <w:pPr>
              <w:pStyle w:val="Body"/>
              <w:spacing w:after="0"/>
              <w:rPr>
                <w:rFonts w:ascii="Arial" w:eastAsia="Calibri" w:hAnsi="Arial" w:cs="Arial"/>
                <w:bCs/>
                <w:szCs w:val="22"/>
                <w:lang w:val="en-IN"/>
              </w:rPr>
            </w:pPr>
            <w:r w:rsidRPr="00930AA5">
              <w:rPr>
                <w:rFonts w:ascii="Arial" w:eastAsia="Calibri" w:hAnsi="Arial" w:cs="Arial"/>
                <w:b/>
                <w:szCs w:val="22"/>
                <w:lang w:val="en-IN"/>
              </w:rPr>
              <w:t>Conclusion:</w:t>
            </w:r>
            <w:r w:rsidR="00115E4D" w:rsidRPr="00930AA5">
              <w:rPr>
                <w:rFonts w:ascii="Arial" w:eastAsia="Calibri" w:hAnsi="Arial" w:cs="Arial"/>
                <w:b/>
                <w:szCs w:val="22"/>
                <w:lang w:val="en-IN"/>
              </w:rPr>
              <w:t xml:space="preserve"> </w:t>
            </w:r>
            <w:r w:rsidRPr="00930AA5">
              <w:rPr>
                <w:rFonts w:ascii="Arial" w:eastAsia="Calibri" w:hAnsi="Arial" w:cs="Arial"/>
                <w:bCs/>
                <w:szCs w:val="22"/>
                <w:lang w:val="en-IN"/>
              </w:rPr>
              <w:t xml:space="preserve">Both </w:t>
            </w:r>
            <w:proofErr w:type="spellStart"/>
            <w:r w:rsidR="005916BA" w:rsidRPr="00930AA5">
              <w:rPr>
                <w:rFonts w:ascii="Arial" w:eastAsia="Calibri" w:hAnsi="Arial" w:cs="Arial"/>
                <w:bCs/>
                <w:szCs w:val="22"/>
                <w:lang w:val="en-IN"/>
              </w:rPr>
              <w:t>premedication</w:t>
            </w:r>
            <w:r w:rsidR="005916BA">
              <w:rPr>
                <w:rFonts w:ascii="Arial" w:eastAsia="Calibri" w:hAnsi="Arial" w:cs="Arial"/>
                <w:bCs/>
                <w:szCs w:val="22"/>
                <w:lang w:val="en-IN"/>
              </w:rPr>
              <w:t>s</w:t>
            </w:r>
            <w:proofErr w:type="spellEnd"/>
            <w:r w:rsidRPr="00930AA5">
              <w:rPr>
                <w:rFonts w:ascii="Arial" w:eastAsia="Calibri" w:hAnsi="Arial" w:cs="Arial"/>
                <w:bCs/>
                <w:szCs w:val="22"/>
                <w:lang w:val="en-IN"/>
              </w:rPr>
              <w:t>, combined with tiletamine–zolazepam induction and maintenance under TIVA or PIVA, provided effective and clinically safe anaesthesia in goats. The protocols can be reliably employed for routine surgical procedures in both field and referral clinical settings.</w:t>
            </w:r>
            <w:bookmarkEnd w:id="1"/>
          </w:p>
        </w:tc>
      </w:tr>
    </w:tbl>
    <w:p w14:paraId="1DBDB419" w14:textId="77777777" w:rsidR="00636EB2" w:rsidRPr="00930AA5" w:rsidRDefault="00636EB2" w:rsidP="00441B6F">
      <w:pPr>
        <w:pStyle w:val="Body"/>
        <w:spacing w:after="0"/>
        <w:rPr>
          <w:rFonts w:ascii="Arial" w:hAnsi="Arial" w:cs="Arial"/>
          <w:i/>
        </w:rPr>
      </w:pPr>
    </w:p>
    <w:p w14:paraId="73976331" w14:textId="76ACBB02" w:rsidR="00476B6A" w:rsidRPr="00930AA5" w:rsidRDefault="00A24E7E" w:rsidP="00476B6A">
      <w:pPr>
        <w:pStyle w:val="Body"/>
        <w:rPr>
          <w:rFonts w:ascii="Arial" w:hAnsi="Arial" w:cs="Arial"/>
          <w:i/>
          <w:lang w:val="en-IN"/>
        </w:rPr>
      </w:pPr>
      <w:r w:rsidRPr="00930AA5">
        <w:rPr>
          <w:rFonts w:ascii="Arial" w:hAnsi="Arial" w:cs="Arial"/>
          <w:b/>
          <w:bCs/>
          <w:i/>
        </w:rPr>
        <w:t>Keywords:</w:t>
      </w:r>
      <w:r w:rsidRPr="00930AA5">
        <w:rPr>
          <w:rFonts w:ascii="Arial" w:hAnsi="Arial" w:cs="Arial"/>
          <w:i/>
        </w:rPr>
        <w:t xml:space="preserve"> </w:t>
      </w:r>
      <w:r w:rsidR="00476B6A" w:rsidRPr="00930AA5">
        <w:rPr>
          <w:rFonts w:ascii="Arial" w:hAnsi="Arial" w:cs="Arial"/>
          <w:i/>
          <w:lang w:val="en-IN"/>
        </w:rPr>
        <w:t>Small ruminant anaesthesia, α</w:t>
      </w:r>
      <w:r w:rsidR="00476B6A" w:rsidRPr="00930AA5">
        <w:rPr>
          <w:rFonts w:ascii="Cambria Math" w:hAnsi="Cambria Math" w:cs="Cambria Math"/>
          <w:i/>
          <w:lang w:val="en-IN"/>
        </w:rPr>
        <w:t>₂</w:t>
      </w:r>
      <w:r w:rsidR="00476B6A" w:rsidRPr="00930AA5">
        <w:rPr>
          <w:rFonts w:ascii="Arial" w:hAnsi="Arial" w:cs="Arial"/>
          <w:i/>
          <w:lang w:val="en-IN"/>
        </w:rPr>
        <w:t>-adrenergic agonists, Tiletamine–zolazepam, Total intravenous anaesthesia, Partial intravenous anaesthesia, Anaesthetic safety, Cardiopulmonary parameters</w:t>
      </w:r>
    </w:p>
    <w:p w14:paraId="6B2AB0CC" w14:textId="271A6E40" w:rsidR="007F7B32" w:rsidRPr="00930AA5" w:rsidRDefault="00902823" w:rsidP="00441B6F">
      <w:pPr>
        <w:pStyle w:val="AbstHead"/>
        <w:spacing w:after="0"/>
        <w:jc w:val="both"/>
        <w:rPr>
          <w:rFonts w:ascii="Arial" w:hAnsi="Arial" w:cs="Arial"/>
        </w:rPr>
      </w:pPr>
      <w:r w:rsidRPr="00930AA5">
        <w:rPr>
          <w:rFonts w:ascii="Arial" w:hAnsi="Arial" w:cs="Arial"/>
        </w:rPr>
        <w:t xml:space="preserve">1. </w:t>
      </w:r>
      <w:r w:rsidR="00B01FCD" w:rsidRPr="00930AA5">
        <w:rPr>
          <w:rFonts w:ascii="Arial" w:hAnsi="Arial" w:cs="Arial"/>
        </w:rPr>
        <w:t>INTRODUCTION</w:t>
      </w:r>
      <w:r w:rsidR="007F7B32" w:rsidRPr="00930AA5">
        <w:rPr>
          <w:rFonts w:ascii="Arial" w:hAnsi="Arial" w:cs="Arial"/>
        </w:rPr>
        <w:t xml:space="preserve"> </w:t>
      </w:r>
    </w:p>
    <w:p w14:paraId="5FCD6011" w14:textId="77777777" w:rsidR="00790ADA" w:rsidRPr="00930AA5" w:rsidRDefault="00790ADA" w:rsidP="00441B6F">
      <w:pPr>
        <w:pStyle w:val="AbstHead"/>
        <w:spacing w:after="0"/>
        <w:jc w:val="both"/>
        <w:rPr>
          <w:rFonts w:ascii="Arial" w:hAnsi="Arial" w:cs="Arial"/>
        </w:rPr>
      </w:pPr>
    </w:p>
    <w:p w14:paraId="37698F6F" w14:textId="77777777" w:rsidR="005D2A47" w:rsidRPr="00930AA5" w:rsidRDefault="005D2A47" w:rsidP="00CE76E7">
      <w:pPr>
        <w:ind w:firstLine="567"/>
        <w:jc w:val="both"/>
        <w:rPr>
          <w:rFonts w:ascii="Arial" w:hAnsi="Arial" w:cs="Arial"/>
        </w:rPr>
      </w:pPr>
      <w:r w:rsidRPr="00930AA5">
        <w:rPr>
          <w:rFonts w:ascii="Arial" w:hAnsi="Arial" w:cs="Arial"/>
        </w:rPr>
        <w:t xml:space="preserve">Goats play a vital role in livestock production systems worldwide, particularly in developing countries, owing to their adaptability, low input requirements, and contribution to food security and rural livelihoods. In veterinary clinical practice, goats frequently require </w:t>
      </w:r>
      <w:proofErr w:type="spellStart"/>
      <w:r w:rsidRPr="00930AA5">
        <w:rPr>
          <w:rFonts w:ascii="Arial" w:hAnsi="Arial" w:cs="Arial"/>
        </w:rPr>
        <w:t>anaesthesia</w:t>
      </w:r>
      <w:proofErr w:type="spellEnd"/>
      <w:r w:rsidRPr="00930AA5">
        <w:rPr>
          <w:rFonts w:ascii="Arial" w:hAnsi="Arial" w:cs="Arial"/>
        </w:rPr>
        <w:t xml:space="preserve"> for a variety of elective and emergency surgical procedures. However, providing safe and effective general </w:t>
      </w:r>
      <w:proofErr w:type="spellStart"/>
      <w:r w:rsidRPr="00930AA5">
        <w:rPr>
          <w:rFonts w:ascii="Arial" w:hAnsi="Arial" w:cs="Arial"/>
        </w:rPr>
        <w:t>anaesthesia</w:t>
      </w:r>
      <w:proofErr w:type="spellEnd"/>
      <w:r w:rsidRPr="00930AA5">
        <w:rPr>
          <w:rFonts w:ascii="Arial" w:hAnsi="Arial" w:cs="Arial"/>
        </w:rPr>
        <w:t xml:space="preserve"> in small ruminants remains challenging due to their heightened sensitivity to stress, variable cardiopulmonary responses, and species-specific physiological characteristics.</w:t>
      </w:r>
    </w:p>
    <w:p w14:paraId="67B07920" w14:textId="0F0EEB2C" w:rsidR="005D2A47" w:rsidRPr="00930AA5" w:rsidRDefault="005D2A47" w:rsidP="00CE76E7">
      <w:pPr>
        <w:ind w:firstLine="567"/>
        <w:jc w:val="both"/>
        <w:rPr>
          <w:rFonts w:ascii="Arial" w:hAnsi="Arial" w:cs="Arial"/>
        </w:rPr>
      </w:pPr>
      <w:r w:rsidRPr="00930AA5">
        <w:rPr>
          <w:rFonts w:ascii="Arial" w:hAnsi="Arial" w:cs="Arial"/>
        </w:rPr>
        <w:t xml:space="preserve">Balanced </w:t>
      </w:r>
      <w:proofErr w:type="spellStart"/>
      <w:r w:rsidRPr="00930AA5">
        <w:rPr>
          <w:rFonts w:ascii="Arial" w:hAnsi="Arial" w:cs="Arial"/>
        </w:rPr>
        <w:t>anaesthetic</w:t>
      </w:r>
      <w:proofErr w:type="spellEnd"/>
      <w:r w:rsidRPr="00930AA5">
        <w:rPr>
          <w:rFonts w:ascii="Arial" w:hAnsi="Arial" w:cs="Arial"/>
        </w:rPr>
        <w:t xml:space="preserve"> techniques that combine sedatives, analgesics, and induction agents are widely employed to improve </w:t>
      </w:r>
      <w:proofErr w:type="spellStart"/>
      <w:r w:rsidRPr="00930AA5">
        <w:rPr>
          <w:rFonts w:ascii="Arial" w:hAnsi="Arial" w:cs="Arial"/>
        </w:rPr>
        <w:t>anaesthetic</w:t>
      </w:r>
      <w:proofErr w:type="spellEnd"/>
      <w:r w:rsidRPr="00930AA5">
        <w:rPr>
          <w:rFonts w:ascii="Arial" w:hAnsi="Arial" w:cs="Arial"/>
        </w:rPr>
        <w:t xml:space="preserve"> safety and quality while </w:t>
      </w:r>
      <w:proofErr w:type="spellStart"/>
      <w:r w:rsidRPr="00930AA5">
        <w:rPr>
          <w:rFonts w:ascii="Arial" w:hAnsi="Arial" w:cs="Arial"/>
        </w:rPr>
        <w:t>minimising</w:t>
      </w:r>
      <w:proofErr w:type="spellEnd"/>
      <w:r w:rsidRPr="00930AA5">
        <w:rPr>
          <w:rFonts w:ascii="Arial" w:hAnsi="Arial" w:cs="Arial"/>
        </w:rPr>
        <w:t xml:space="preserve"> drug-related adverse effects. Among sedative agents, α</w:t>
      </w:r>
      <w:r w:rsidRPr="00930AA5">
        <w:rPr>
          <w:rFonts w:ascii="Cambria Math" w:hAnsi="Cambria Math" w:cs="Cambria Math"/>
        </w:rPr>
        <w:t>₂</w:t>
      </w:r>
      <w:r w:rsidRPr="00930AA5">
        <w:rPr>
          <w:rFonts w:ascii="Arial" w:hAnsi="Arial" w:cs="Arial"/>
        </w:rPr>
        <w:t xml:space="preserve">-adrenergic agonists such as xylazine and dexmedetomidine are commonly used in goats because of their reliable sedative and </w:t>
      </w:r>
      <w:r w:rsidRPr="00930AA5">
        <w:rPr>
          <w:rFonts w:ascii="Arial" w:hAnsi="Arial" w:cs="Arial"/>
        </w:rPr>
        <w:lastRenderedPageBreak/>
        <w:t xml:space="preserve">analgesic properties. When combined with opioids like butorphanol, these agents provide enhanced sedation, analgesia, and muscle relaxation, facilitating smoother induction and maintenance of </w:t>
      </w:r>
      <w:proofErr w:type="spellStart"/>
      <w:r w:rsidRPr="00930AA5">
        <w:rPr>
          <w:rFonts w:ascii="Arial" w:hAnsi="Arial" w:cs="Arial"/>
        </w:rPr>
        <w:t>anaesthesia</w:t>
      </w:r>
      <w:proofErr w:type="spellEnd"/>
      <w:r w:rsidRPr="00930AA5">
        <w:rPr>
          <w:rFonts w:ascii="Arial" w:hAnsi="Arial" w:cs="Arial"/>
        </w:rPr>
        <w:t>. Comparative studies in goats show that different α</w:t>
      </w:r>
      <w:r w:rsidRPr="00930AA5">
        <w:rPr>
          <w:rFonts w:ascii="Cambria Math" w:hAnsi="Cambria Math" w:cs="Cambria Math"/>
        </w:rPr>
        <w:t>₂</w:t>
      </w:r>
      <w:r w:rsidRPr="00930AA5">
        <w:rPr>
          <w:rFonts w:ascii="Arial" w:hAnsi="Arial" w:cs="Arial"/>
        </w:rPr>
        <w:t>-adrenergic agonists produce distinct sedative and physiological profiles, necessitating protocol-specific evaluation when combined with opioids and induction agents (</w:t>
      </w:r>
      <w:proofErr w:type="spellStart"/>
      <w:r w:rsidRPr="00930AA5">
        <w:rPr>
          <w:rFonts w:ascii="Arial" w:hAnsi="Arial" w:cs="Arial"/>
        </w:rPr>
        <w:t>Nahvi</w:t>
      </w:r>
      <w:proofErr w:type="spellEnd"/>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 xml:space="preserve">, </w:t>
      </w:r>
      <w:r w:rsidRPr="00930AA5">
        <w:rPr>
          <w:rFonts w:ascii="Arial" w:hAnsi="Arial" w:cs="Arial"/>
        </w:rPr>
        <w:t xml:space="preserve">2022; </w:t>
      </w:r>
      <w:proofErr w:type="spellStart"/>
      <w:r w:rsidRPr="00930AA5">
        <w:rPr>
          <w:rFonts w:ascii="Arial" w:hAnsi="Arial" w:cs="Arial"/>
        </w:rPr>
        <w:t>Salarpour</w:t>
      </w:r>
      <w:proofErr w:type="spellEnd"/>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2022). </w:t>
      </w:r>
    </w:p>
    <w:p w14:paraId="7823BEBA" w14:textId="5A1A0A3A" w:rsidR="005D2A47" w:rsidRPr="00930AA5" w:rsidRDefault="005D2A47" w:rsidP="00CE76E7">
      <w:pPr>
        <w:ind w:firstLine="567"/>
        <w:jc w:val="both"/>
        <w:rPr>
          <w:rFonts w:ascii="Arial" w:hAnsi="Arial" w:cs="Arial"/>
        </w:rPr>
      </w:pPr>
      <w:r w:rsidRPr="00930AA5">
        <w:rPr>
          <w:rFonts w:ascii="Arial" w:hAnsi="Arial" w:cs="Arial"/>
        </w:rPr>
        <w:t xml:space="preserve">Tiletamine–zolazepam provides rapid and reliable induction with acceptable cardiovascular stability in goats and has been used historically as a primary induction agent in small ruminant </w:t>
      </w:r>
      <w:proofErr w:type="spellStart"/>
      <w:r w:rsidRPr="00930AA5">
        <w:rPr>
          <w:rFonts w:ascii="Arial" w:hAnsi="Arial" w:cs="Arial"/>
        </w:rPr>
        <w:t>anaesthesia</w:t>
      </w:r>
      <w:proofErr w:type="spellEnd"/>
      <w:r w:rsidRPr="00930AA5">
        <w:rPr>
          <w:rFonts w:ascii="Arial" w:hAnsi="Arial" w:cs="Arial"/>
        </w:rPr>
        <w:t xml:space="preserve"> (Carrol</w:t>
      </w:r>
      <w:r w:rsidR="00211057" w:rsidRPr="00930AA5">
        <w:rPr>
          <w:rFonts w:ascii="Arial" w:hAnsi="Arial" w:cs="Arial"/>
        </w:rPr>
        <w:t>l</w:t>
      </w:r>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1997). </w:t>
      </w:r>
      <w:proofErr w:type="spellStart"/>
      <w:r w:rsidRPr="00930AA5">
        <w:rPr>
          <w:rFonts w:ascii="Arial" w:hAnsi="Arial" w:cs="Arial"/>
        </w:rPr>
        <w:t>Anaesthetic</w:t>
      </w:r>
      <w:proofErr w:type="spellEnd"/>
      <w:r w:rsidRPr="00930AA5">
        <w:rPr>
          <w:rFonts w:ascii="Arial" w:hAnsi="Arial" w:cs="Arial"/>
        </w:rPr>
        <w:t xml:space="preserve"> maintenance can be achieved either through total intravenous </w:t>
      </w:r>
      <w:proofErr w:type="spellStart"/>
      <w:r w:rsidRPr="00930AA5">
        <w:rPr>
          <w:rFonts w:ascii="Arial" w:hAnsi="Arial" w:cs="Arial"/>
        </w:rPr>
        <w:t>anaesthesia</w:t>
      </w:r>
      <w:proofErr w:type="spellEnd"/>
      <w:r w:rsidRPr="00930AA5">
        <w:rPr>
          <w:rFonts w:ascii="Arial" w:hAnsi="Arial" w:cs="Arial"/>
        </w:rPr>
        <w:t xml:space="preserve"> (TIVA) using constant rate infusions or through partial intravenous </w:t>
      </w:r>
      <w:proofErr w:type="spellStart"/>
      <w:r w:rsidRPr="00930AA5">
        <w:rPr>
          <w:rFonts w:ascii="Arial" w:hAnsi="Arial" w:cs="Arial"/>
        </w:rPr>
        <w:t>anaesthesia</w:t>
      </w:r>
      <w:proofErr w:type="spellEnd"/>
      <w:r w:rsidRPr="00930AA5">
        <w:rPr>
          <w:rFonts w:ascii="Arial" w:hAnsi="Arial" w:cs="Arial"/>
        </w:rPr>
        <w:t xml:space="preserve"> (PIVA), where injectable agents are combined with inhalational </w:t>
      </w:r>
      <w:proofErr w:type="spellStart"/>
      <w:r w:rsidRPr="00930AA5">
        <w:rPr>
          <w:rFonts w:ascii="Arial" w:hAnsi="Arial" w:cs="Arial"/>
        </w:rPr>
        <w:t>anaesthetics</w:t>
      </w:r>
      <w:proofErr w:type="spellEnd"/>
      <w:r w:rsidRPr="00930AA5">
        <w:rPr>
          <w:rFonts w:ascii="Arial" w:hAnsi="Arial" w:cs="Arial"/>
        </w:rPr>
        <w:t xml:space="preserve"> such as isoflurane. Both techniques offer distinct clinical advantages: TIVA is particularly useful in field and resource-limited settings, whereas PIVA allows precise control of </w:t>
      </w:r>
      <w:proofErr w:type="spellStart"/>
      <w:r w:rsidRPr="00930AA5">
        <w:rPr>
          <w:rFonts w:ascii="Arial" w:hAnsi="Arial" w:cs="Arial"/>
        </w:rPr>
        <w:t>anaesthetic</w:t>
      </w:r>
      <w:proofErr w:type="spellEnd"/>
      <w:r w:rsidRPr="00930AA5">
        <w:rPr>
          <w:rFonts w:ascii="Arial" w:hAnsi="Arial" w:cs="Arial"/>
        </w:rPr>
        <w:t xml:space="preserve"> depth and improved oxygenation in referral facilities (</w:t>
      </w:r>
      <w:r w:rsidR="00043A2C" w:rsidRPr="00930AA5">
        <w:rPr>
          <w:rFonts w:ascii="Arial" w:hAnsi="Arial" w:cs="Arial"/>
        </w:rPr>
        <w:t>Velazquez</w:t>
      </w:r>
      <w:r w:rsidRPr="00930AA5">
        <w:rPr>
          <w:rFonts w:ascii="Arial" w:hAnsi="Arial" w:cs="Arial"/>
        </w:rPr>
        <w:t xml:space="preserve">-Delgado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2021).</w:t>
      </w:r>
    </w:p>
    <w:p w14:paraId="0E58DA50" w14:textId="77777777" w:rsidR="005D2A47" w:rsidRPr="00930AA5" w:rsidRDefault="005D2A47" w:rsidP="00CE76E7">
      <w:pPr>
        <w:ind w:firstLine="567"/>
        <w:jc w:val="both"/>
        <w:rPr>
          <w:rFonts w:ascii="Arial" w:hAnsi="Arial" w:cs="Arial"/>
        </w:rPr>
      </w:pPr>
      <w:r w:rsidRPr="00930AA5">
        <w:rPr>
          <w:rFonts w:ascii="Arial" w:hAnsi="Arial" w:cs="Arial"/>
        </w:rPr>
        <w:t xml:space="preserve">While several studies have evaluated individual components of these protocols such as electrocardiographic changes, dose-sparing effects, or </w:t>
      </w:r>
      <w:proofErr w:type="spellStart"/>
      <w:r w:rsidRPr="00930AA5">
        <w:rPr>
          <w:rFonts w:ascii="Arial" w:hAnsi="Arial" w:cs="Arial"/>
        </w:rPr>
        <w:t>anaesthetic</w:t>
      </w:r>
      <w:proofErr w:type="spellEnd"/>
      <w:r w:rsidRPr="00930AA5">
        <w:rPr>
          <w:rFonts w:ascii="Arial" w:hAnsi="Arial" w:cs="Arial"/>
        </w:rPr>
        <w:t xml:space="preserve"> depth, comprehensive assessments integrating physiological, </w:t>
      </w:r>
      <w:proofErr w:type="spellStart"/>
      <w:r w:rsidRPr="00930AA5">
        <w:rPr>
          <w:rFonts w:ascii="Arial" w:hAnsi="Arial" w:cs="Arial"/>
        </w:rPr>
        <w:t>haematological</w:t>
      </w:r>
      <w:proofErr w:type="spellEnd"/>
      <w:r w:rsidRPr="00930AA5">
        <w:rPr>
          <w:rFonts w:ascii="Arial" w:hAnsi="Arial" w:cs="Arial"/>
        </w:rPr>
        <w:t xml:space="preserve">, and biochemical responses under different maintenance techniques remain limited in goats. Understanding these systemic responses is essential for assessing </w:t>
      </w:r>
      <w:proofErr w:type="spellStart"/>
      <w:r w:rsidRPr="00930AA5">
        <w:rPr>
          <w:rFonts w:ascii="Arial" w:hAnsi="Arial" w:cs="Arial"/>
        </w:rPr>
        <w:t>anaesthetic</w:t>
      </w:r>
      <w:proofErr w:type="spellEnd"/>
      <w:r w:rsidRPr="00930AA5">
        <w:rPr>
          <w:rFonts w:ascii="Arial" w:hAnsi="Arial" w:cs="Arial"/>
        </w:rPr>
        <w:t xml:space="preserve"> safety, predicting potential complications, and guiding evidence-based protocol selection in clinical practice.</w:t>
      </w:r>
    </w:p>
    <w:p w14:paraId="01BBE28B" w14:textId="64040146" w:rsidR="005D2A47" w:rsidRPr="00930AA5" w:rsidRDefault="005D2A47" w:rsidP="00CE76E7">
      <w:pPr>
        <w:ind w:firstLine="567"/>
        <w:jc w:val="both"/>
        <w:rPr>
          <w:rFonts w:ascii="Arial" w:hAnsi="Arial" w:cs="Arial"/>
        </w:rPr>
      </w:pPr>
      <w:r w:rsidRPr="00930AA5">
        <w:rPr>
          <w:rFonts w:ascii="Arial" w:hAnsi="Arial" w:cs="Arial"/>
        </w:rPr>
        <w:t xml:space="preserve">Therefore, the present study was undertaken to evaluate and compare the physiological and </w:t>
      </w:r>
      <w:proofErr w:type="spellStart"/>
      <w:r w:rsidRPr="00930AA5">
        <w:rPr>
          <w:rFonts w:ascii="Arial" w:hAnsi="Arial" w:cs="Arial"/>
        </w:rPr>
        <w:t>haematological</w:t>
      </w:r>
      <w:proofErr w:type="spellEnd"/>
      <w:r w:rsidRPr="00930AA5">
        <w:rPr>
          <w:rFonts w:ascii="Arial" w:hAnsi="Arial" w:cs="Arial"/>
        </w:rPr>
        <w:t xml:space="preserve"> responses of goats premedicated with xylazine</w:t>
      </w:r>
      <w:r w:rsidR="00115E4D" w:rsidRPr="00930AA5">
        <w:rPr>
          <w:rFonts w:ascii="Arial" w:hAnsi="Arial" w:cs="Arial"/>
        </w:rPr>
        <w:t>-</w:t>
      </w:r>
      <w:r w:rsidRPr="00930AA5">
        <w:rPr>
          <w:rFonts w:ascii="Arial" w:hAnsi="Arial" w:cs="Arial"/>
        </w:rPr>
        <w:t>butorphanol or dexmedetomidine</w:t>
      </w:r>
      <w:r w:rsidR="00115E4D" w:rsidRPr="00930AA5">
        <w:rPr>
          <w:rFonts w:ascii="Arial" w:hAnsi="Arial" w:cs="Arial"/>
        </w:rPr>
        <w:t>-</w:t>
      </w:r>
      <w:r w:rsidRPr="00930AA5">
        <w:rPr>
          <w:rFonts w:ascii="Arial" w:hAnsi="Arial" w:cs="Arial"/>
        </w:rPr>
        <w:t>butorphanol, induced with tiletamine</w:t>
      </w:r>
      <w:r w:rsidR="00115E4D" w:rsidRPr="00930AA5">
        <w:rPr>
          <w:rFonts w:ascii="Arial" w:hAnsi="Arial" w:cs="Arial"/>
        </w:rPr>
        <w:t>-</w:t>
      </w:r>
      <w:r w:rsidRPr="00930AA5">
        <w:rPr>
          <w:rFonts w:ascii="Arial" w:hAnsi="Arial" w:cs="Arial"/>
        </w:rPr>
        <w:t xml:space="preserve">zolazepam, and maintained under total intravenous </w:t>
      </w:r>
      <w:proofErr w:type="spellStart"/>
      <w:r w:rsidRPr="00930AA5">
        <w:rPr>
          <w:rFonts w:ascii="Arial" w:hAnsi="Arial" w:cs="Arial"/>
        </w:rPr>
        <w:t>anaesthesia</w:t>
      </w:r>
      <w:proofErr w:type="spellEnd"/>
      <w:r w:rsidRPr="00930AA5">
        <w:rPr>
          <w:rFonts w:ascii="Arial" w:hAnsi="Arial" w:cs="Arial"/>
        </w:rPr>
        <w:t xml:space="preserve"> (TIVA) or partial intravenous </w:t>
      </w:r>
      <w:proofErr w:type="spellStart"/>
      <w:r w:rsidRPr="00930AA5">
        <w:rPr>
          <w:rFonts w:ascii="Arial" w:hAnsi="Arial" w:cs="Arial"/>
        </w:rPr>
        <w:t>anaesthesia</w:t>
      </w:r>
      <w:proofErr w:type="spellEnd"/>
      <w:r w:rsidRPr="00930AA5">
        <w:rPr>
          <w:rFonts w:ascii="Arial" w:hAnsi="Arial" w:cs="Arial"/>
        </w:rPr>
        <w:t xml:space="preserve"> (PIVA). By providing a holistic assessment of systemic responses under these commonly employed </w:t>
      </w:r>
      <w:proofErr w:type="spellStart"/>
      <w:r w:rsidRPr="00930AA5">
        <w:rPr>
          <w:rFonts w:ascii="Arial" w:hAnsi="Arial" w:cs="Arial"/>
        </w:rPr>
        <w:t>anaesthetic</w:t>
      </w:r>
      <w:proofErr w:type="spellEnd"/>
      <w:r w:rsidRPr="00930AA5">
        <w:rPr>
          <w:rFonts w:ascii="Arial" w:hAnsi="Arial" w:cs="Arial"/>
        </w:rPr>
        <w:t xml:space="preserve"> protocols, the study aims to generate clinically relevant data to support safe </w:t>
      </w:r>
      <w:proofErr w:type="spellStart"/>
      <w:r w:rsidRPr="00930AA5">
        <w:rPr>
          <w:rFonts w:ascii="Arial" w:hAnsi="Arial" w:cs="Arial"/>
        </w:rPr>
        <w:t>anaesthetic</w:t>
      </w:r>
      <w:proofErr w:type="spellEnd"/>
      <w:r w:rsidRPr="00930AA5">
        <w:rPr>
          <w:rFonts w:ascii="Arial" w:hAnsi="Arial" w:cs="Arial"/>
        </w:rPr>
        <w:t xml:space="preserve"> decision-making in both field and referral veterinary settings. </w:t>
      </w:r>
    </w:p>
    <w:p w14:paraId="2A020AC9" w14:textId="77777777" w:rsidR="00790ADA" w:rsidRPr="00930AA5" w:rsidRDefault="00790ADA" w:rsidP="00441B6F">
      <w:pPr>
        <w:pStyle w:val="Body"/>
        <w:spacing w:after="0"/>
        <w:rPr>
          <w:rFonts w:ascii="Arial" w:hAnsi="Arial" w:cs="Arial"/>
        </w:rPr>
      </w:pPr>
    </w:p>
    <w:p w14:paraId="2B649790" w14:textId="77BCDD4F" w:rsidR="007F7B32" w:rsidRPr="00930AA5" w:rsidRDefault="00902823" w:rsidP="00441B6F">
      <w:pPr>
        <w:pStyle w:val="AbstHead"/>
        <w:spacing w:after="0"/>
        <w:jc w:val="both"/>
        <w:rPr>
          <w:rFonts w:ascii="Arial" w:hAnsi="Arial" w:cs="Arial"/>
        </w:rPr>
      </w:pPr>
      <w:r w:rsidRPr="00930AA5">
        <w:rPr>
          <w:rFonts w:ascii="Arial" w:hAnsi="Arial" w:cs="Arial"/>
        </w:rPr>
        <w:t>2. material and method</w:t>
      </w:r>
      <w:r w:rsidR="00000F8F" w:rsidRPr="00930AA5">
        <w:rPr>
          <w:rFonts w:ascii="Arial" w:hAnsi="Arial" w:cs="Arial"/>
        </w:rPr>
        <w:t xml:space="preserve">s </w:t>
      </w:r>
    </w:p>
    <w:p w14:paraId="4D174149" w14:textId="77777777" w:rsidR="00790ADA" w:rsidRPr="00930AA5" w:rsidRDefault="00790ADA" w:rsidP="00441B6F">
      <w:pPr>
        <w:pStyle w:val="AbstHead"/>
        <w:spacing w:after="0"/>
        <w:jc w:val="both"/>
        <w:rPr>
          <w:rFonts w:ascii="Arial" w:hAnsi="Arial" w:cs="Arial"/>
        </w:rPr>
      </w:pPr>
    </w:p>
    <w:p w14:paraId="042B76D7" w14:textId="77777777" w:rsidR="005D2A47" w:rsidRPr="00930AA5" w:rsidRDefault="005D2A47" w:rsidP="00CE76E7">
      <w:pPr>
        <w:rPr>
          <w:rFonts w:ascii="Arial" w:hAnsi="Arial" w:cs="Arial"/>
          <w:b/>
          <w:bCs/>
          <w:sz w:val="22"/>
          <w:szCs w:val="22"/>
        </w:rPr>
      </w:pPr>
      <w:r w:rsidRPr="00930AA5">
        <w:rPr>
          <w:rFonts w:ascii="Arial" w:hAnsi="Arial" w:cs="Arial"/>
          <w:b/>
          <w:bCs/>
          <w:sz w:val="22"/>
          <w:szCs w:val="22"/>
        </w:rPr>
        <w:t>2.1. Animals and Experimental Design</w:t>
      </w:r>
    </w:p>
    <w:p w14:paraId="127ACCA8" w14:textId="77777777" w:rsidR="005D2A47" w:rsidRPr="00930AA5" w:rsidRDefault="005D2A47" w:rsidP="00CE76E7">
      <w:pPr>
        <w:ind w:firstLine="567"/>
        <w:jc w:val="both"/>
        <w:rPr>
          <w:rFonts w:ascii="Arial" w:hAnsi="Arial" w:cs="Arial"/>
        </w:rPr>
      </w:pPr>
      <w:r w:rsidRPr="00930AA5">
        <w:rPr>
          <w:rFonts w:ascii="Arial" w:hAnsi="Arial" w:cs="Arial"/>
        </w:rPr>
        <w:t>Even though it was a study on clinical cases, the experimental protocol was conducted in accordance with institutional and national guidelines for the care and use of animals in research. Prior informed consent was obtained from the owners of all animals before inclusion in the study.</w:t>
      </w:r>
    </w:p>
    <w:p w14:paraId="0C0A0580" w14:textId="77777777" w:rsidR="005D2A47" w:rsidRPr="00930AA5" w:rsidRDefault="005D2A47" w:rsidP="00CE76E7">
      <w:pPr>
        <w:ind w:firstLine="567"/>
        <w:jc w:val="both"/>
        <w:rPr>
          <w:rFonts w:ascii="Arial" w:hAnsi="Arial" w:cs="Arial"/>
        </w:rPr>
      </w:pPr>
      <w:r w:rsidRPr="00930AA5">
        <w:rPr>
          <w:rFonts w:ascii="Arial" w:hAnsi="Arial" w:cs="Arial"/>
        </w:rPr>
        <w:t xml:space="preserve">The study was conducted on 24 client-owned goats of either sex, aged above six months, presented for various elective surgical procedures at the Teaching Veterinary Clinical Complex, </w:t>
      </w:r>
      <w:proofErr w:type="spellStart"/>
      <w:r w:rsidRPr="00930AA5">
        <w:rPr>
          <w:rFonts w:ascii="Arial" w:hAnsi="Arial" w:cs="Arial"/>
        </w:rPr>
        <w:t>Mannuthy</w:t>
      </w:r>
      <w:proofErr w:type="spellEnd"/>
      <w:r w:rsidRPr="00930AA5">
        <w:rPr>
          <w:rFonts w:ascii="Arial" w:hAnsi="Arial" w:cs="Arial"/>
        </w:rPr>
        <w:t xml:space="preserve"> and the University Veterinary Hospital, Kokkalai, Thrissur, Kerala, India. All animals underwent detailed signalment recording, anamnesis, and clinical examination on the day of presentation. Only clinically healthy animals, based on physical examination and baseline laboratory evaluations, were included. The goats were randomly allocated into four experimental groups (n=6 per group). All animals were fasted for 18 hours and water was withheld for 8 hours before </w:t>
      </w:r>
      <w:proofErr w:type="spellStart"/>
      <w:r w:rsidRPr="00930AA5">
        <w:rPr>
          <w:rFonts w:ascii="Arial" w:hAnsi="Arial" w:cs="Arial"/>
        </w:rPr>
        <w:t>anaesthesia</w:t>
      </w:r>
      <w:proofErr w:type="spellEnd"/>
      <w:r w:rsidRPr="00930AA5">
        <w:rPr>
          <w:rFonts w:ascii="Arial" w:hAnsi="Arial" w:cs="Arial"/>
        </w:rPr>
        <w:t>.</w:t>
      </w:r>
    </w:p>
    <w:p w14:paraId="7781C960" w14:textId="77777777" w:rsidR="005D2A47" w:rsidRPr="00930AA5" w:rsidRDefault="005D2A47" w:rsidP="00CE76E7">
      <w:pPr>
        <w:ind w:firstLine="567"/>
        <w:jc w:val="both"/>
        <w:rPr>
          <w:rFonts w:ascii="Arial" w:hAnsi="Arial" w:cs="Arial"/>
        </w:rPr>
      </w:pPr>
      <w:r w:rsidRPr="00930AA5">
        <w:rPr>
          <w:rFonts w:ascii="Arial" w:hAnsi="Arial" w:cs="Arial"/>
        </w:rPr>
        <w:t xml:space="preserve">Physiological, </w:t>
      </w:r>
      <w:proofErr w:type="spellStart"/>
      <w:r w:rsidRPr="00930AA5">
        <w:rPr>
          <w:rFonts w:ascii="Arial" w:hAnsi="Arial" w:cs="Arial"/>
        </w:rPr>
        <w:t>haematological</w:t>
      </w:r>
      <w:proofErr w:type="spellEnd"/>
      <w:r w:rsidRPr="00930AA5">
        <w:rPr>
          <w:rFonts w:ascii="Arial" w:hAnsi="Arial" w:cs="Arial"/>
        </w:rPr>
        <w:t xml:space="preserve">, biochemical, blood gas, electrolyte, non-invasive blood pressure, and electrocardiographic parameters were recorded at predefined intervals before premedication (baseline), after induction, during maintenance of </w:t>
      </w:r>
      <w:proofErr w:type="spellStart"/>
      <w:r w:rsidRPr="00930AA5">
        <w:rPr>
          <w:rFonts w:ascii="Arial" w:hAnsi="Arial" w:cs="Arial"/>
        </w:rPr>
        <w:t>anaesthesia</w:t>
      </w:r>
      <w:proofErr w:type="spellEnd"/>
      <w:r w:rsidRPr="00930AA5">
        <w:rPr>
          <w:rFonts w:ascii="Arial" w:hAnsi="Arial" w:cs="Arial"/>
        </w:rPr>
        <w:t>, and after complete recovery.</w:t>
      </w:r>
    </w:p>
    <w:p w14:paraId="2C1AE599" w14:textId="77777777" w:rsidR="008A2C19" w:rsidRPr="00930AA5" w:rsidRDefault="008A2C19" w:rsidP="00CE76E7">
      <w:pPr>
        <w:rPr>
          <w:rFonts w:ascii="Arial" w:hAnsi="Arial" w:cs="Arial"/>
          <w:b/>
          <w:bCs/>
          <w:sz w:val="22"/>
          <w:szCs w:val="22"/>
        </w:rPr>
      </w:pPr>
    </w:p>
    <w:p w14:paraId="49176BD3" w14:textId="515B06A6" w:rsidR="005D2A47" w:rsidRPr="00930AA5" w:rsidRDefault="005D2A47" w:rsidP="00CE76E7">
      <w:pPr>
        <w:rPr>
          <w:rFonts w:ascii="Arial" w:hAnsi="Arial" w:cs="Arial"/>
          <w:b/>
          <w:bCs/>
          <w:sz w:val="22"/>
          <w:szCs w:val="22"/>
        </w:rPr>
      </w:pPr>
      <w:r w:rsidRPr="00930AA5">
        <w:rPr>
          <w:rFonts w:ascii="Arial" w:hAnsi="Arial" w:cs="Arial"/>
          <w:b/>
          <w:bCs/>
          <w:sz w:val="22"/>
          <w:szCs w:val="22"/>
        </w:rPr>
        <w:t xml:space="preserve">2.2. </w:t>
      </w:r>
      <w:proofErr w:type="spellStart"/>
      <w:r w:rsidRPr="00930AA5">
        <w:rPr>
          <w:rFonts w:ascii="Arial" w:hAnsi="Arial" w:cs="Arial"/>
          <w:b/>
          <w:bCs/>
          <w:sz w:val="22"/>
          <w:szCs w:val="22"/>
        </w:rPr>
        <w:t>Anaesthetic</w:t>
      </w:r>
      <w:proofErr w:type="spellEnd"/>
      <w:r w:rsidRPr="00930AA5">
        <w:rPr>
          <w:rFonts w:ascii="Arial" w:hAnsi="Arial" w:cs="Arial"/>
          <w:b/>
          <w:bCs/>
          <w:sz w:val="22"/>
          <w:szCs w:val="22"/>
        </w:rPr>
        <w:t xml:space="preserve"> Protocols</w:t>
      </w:r>
    </w:p>
    <w:p w14:paraId="2290528C" w14:textId="77777777" w:rsidR="005D2A47" w:rsidRPr="00930AA5" w:rsidRDefault="005D2A47" w:rsidP="00CE76E7">
      <w:pPr>
        <w:ind w:firstLine="567"/>
        <w:jc w:val="both"/>
        <w:rPr>
          <w:rFonts w:ascii="Arial" w:hAnsi="Arial" w:cs="Arial"/>
        </w:rPr>
      </w:pPr>
      <w:r w:rsidRPr="00930AA5">
        <w:rPr>
          <w:rFonts w:ascii="Arial" w:hAnsi="Arial" w:cs="Arial"/>
        </w:rPr>
        <w:t xml:space="preserve">Animals in Groups I and III were premedicated using Xylazine at 0.02 mg/kg BW, and Butorphanol at 0.05 mg/kg BW, intravenously as a single mixed injection. Animals in Groups II and IV were premedicated using Dexmedetomidine at 2.5 µg/kg BW, and Butorphanol at 0.05 mg/kg BW, intravenously as a single mixed injection. The onset time and quality of sedation were observed and recorded. </w:t>
      </w:r>
    </w:p>
    <w:p w14:paraId="15BB96FC" w14:textId="38789207" w:rsidR="005D2A47" w:rsidRPr="00930AA5" w:rsidRDefault="005D2A47" w:rsidP="00CE76E7">
      <w:pPr>
        <w:ind w:firstLine="567"/>
        <w:jc w:val="both"/>
        <w:rPr>
          <w:rFonts w:ascii="Arial" w:hAnsi="Arial" w:cs="Arial"/>
        </w:rPr>
      </w:pPr>
      <w:proofErr w:type="spellStart"/>
      <w:r w:rsidRPr="00930AA5">
        <w:rPr>
          <w:rFonts w:ascii="Arial" w:hAnsi="Arial" w:cs="Arial"/>
        </w:rPr>
        <w:t>Anaesthesia</w:t>
      </w:r>
      <w:proofErr w:type="spellEnd"/>
      <w:r w:rsidRPr="00930AA5">
        <w:rPr>
          <w:rFonts w:ascii="Arial" w:hAnsi="Arial" w:cs="Arial"/>
        </w:rPr>
        <w:t xml:space="preserve"> was induced in all goats using tiletamine–zolazepam at a dose of 2.5 mg/kg BW intravenously. Once adequate muscle relaxation was achieved, in Groups III and IV, hand-guided blind endotracheal intubation was performed with goats positioned in lateral recumbency</w:t>
      </w:r>
      <w:r w:rsidR="004F48E0" w:rsidRPr="00930AA5">
        <w:rPr>
          <w:rFonts w:ascii="Arial" w:hAnsi="Arial" w:cs="Arial"/>
        </w:rPr>
        <w:t xml:space="preserve">. </w:t>
      </w:r>
      <w:r w:rsidRPr="00930AA5">
        <w:rPr>
          <w:rFonts w:ascii="Arial" w:hAnsi="Arial" w:cs="Arial"/>
        </w:rPr>
        <w:t xml:space="preserve">Correct placement was confirmed by airflow detection and external palpation, following which the cuff was inflated and the tube secured. Animals in Groups I and II were not intubated as </w:t>
      </w:r>
      <w:proofErr w:type="spellStart"/>
      <w:r w:rsidRPr="00930AA5">
        <w:rPr>
          <w:rFonts w:ascii="Arial" w:hAnsi="Arial" w:cs="Arial"/>
        </w:rPr>
        <w:t>anaesthesia</w:t>
      </w:r>
      <w:proofErr w:type="spellEnd"/>
      <w:r w:rsidRPr="00930AA5">
        <w:rPr>
          <w:rFonts w:ascii="Arial" w:hAnsi="Arial" w:cs="Arial"/>
        </w:rPr>
        <w:t xml:space="preserve"> was maintained using total intravenous techniques.</w:t>
      </w:r>
    </w:p>
    <w:p w14:paraId="589BF805" w14:textId="77777777" w:rsidR="005D2A47" w:rsidRPr="00930AA5" w:rsidRDefault="005D2A47" w:rsidP="00CE76E7">
      <w:pPr>
        <w:ind w:firstLine="567"/>
        <w:jc w:val="both"/>
        <w:rPr>
          <w:rFonts w:ascii="Arial" w:hAnsi="Arial" w:cs="Arial"/>
        </w:rPr>
      </w:pPr>
      <w:r w:rsidRPr="00930AA5">
        <w:rPr>
          <w:rFonts w:ascii="Arial" w:hAnsi="Arial" w:cs="Arial"/>
        </w:rPr>
        <w:t xml:space="preserve">In TIVA (Groups I &amp; II), </w:t>
      </w:r>
      <w:proofErr w:type="spellStart"/>
      <w:r w:rsidRPr="00930AA5">
        <w:rPr>
          <w:rFonts w:ascii="Arial" w:hAnsi="Arial" w:cs="Arial"/>
        </w:rPr>
        <w:t>Anaesthesia</w:t>
      </w:r>
      <w:proofErr w:type="spellEnd"/>
      <w:r w:rsidRPr="00930AA5">
        <w:rPr>
          <w:rFonts w:ascii="Arial" w:hAnsi="Arial" w:cs="Arial"/>
        </w:rPr>
        <w:t xml:space="preserve"> was maintained using a constant rate infusion (CRI) of tiletamine-zolazepam at 0.04 mg/kg BW/min, diluted in 100 mL normal saline and delivered at 5 mL/kg BW/h using a volumetric infusion pump (Ibrahim</w:t>
      </w:r>
      <w:r w:rsidRPr="00930AA5">
        <w:rPr>
          <w:rFonts w:ascii="Arial" w:hAnsi="Arial" w:cs="Arial"/>
          <w:spacing w:val="1"/>
        </w:rPr>
        <w:t xml:space="preserve">, </w:t>
      </w:r>
      <w:r w:rsidRPr="00930AA5">
        <w:rPr>
          <w:rFonts w:ascii="Arial" w:hAnsi="Arial" w:cs="Arial"/>
        </w:rPr>
        <w:t>2017). Additional bolus supplementation (1 mg/kg BW) was administered when required. In PIVA (Groups III &amp; IV),</w:t>
      </w:r>
      <w:r w:rsidRPr="00930AA5">
        <w:rPr>
          <w:rFonts w:ascii="Arial" w:hAnsi="Arial" w:cs="Arial"/>
          <w:b/>
          <w:bCs/>
        </w:rPr>
        <w:t xml:space="preserve"> </w:t>
      </w:r>
      <w:r w:rsidRPr="00930AA5">
        <w:rPr>
          <w:rFonts w:ascii="Arial" w:hAnsi="Arial" w:cs="Arial"/>
        </w:rPr>
        <w:t xml:space="preserve">Small animal inhalant </w:t>
      </w:r>
      <w:proofErr w:type="spellStart"/>
      <w:r w:rsidRPr="00930AA5">
        <w:rPr>
          <w:rFonts w:ascii="Arial" w:hAnsi="Arial" w:cs="Arial"/>
        </w:rPr>
        <w:t>Pheobus</w:t>
      </w:r>
      <w:proofErr w:type="spellEnd"/>
      <w:r w:rsidRPr="00930AA5">
        <w:rPr>
          <w:rFonts w:ascii="Arial" w:hAnsi="Arial" w:cs="Arial"/>
        </w:rPr>
        <w:t xml:space="preserve"> </w:t>
      </w:r>
      <w:proofErr w:type="spellStart"/>
      <w:r w:rsidRPr="00930AA5">
        <w:rPr>
          <w:rFonts w:ascii="Arial" w:hAnsi="Arial" w:cs="Arial"/>
        </w:rPr>
        <w:t>anaesthetic</w:t>
      </w:r>
      <w:proofErr w:type="spellEnd"/>
      <w:r w:rsidRPr="00930AA5">
        <w:rPr>
          <w:rFonts w:ascii="Arial" w:hAnsi="Arial" w:cs="Arial"/>
        </w:rPr>
        <w:t xml:space="preserve"> machine with a semi-closed Bain’s circuit system and calibrated agent-specific precision </w:t>
      </w:r>
      <w:proofErr w:type="spellStart"/>
      <w:r w:rsidRPr="00930AA5">
        <w:rPr>
          <w:rFonts w:ascii="Arial" w:hAnsi="Arial" w:cs="Arial"/>
        </w:rPr>
        <w:t>vaporiser</w:t>
      </w:r>
      <w:proofErr w:type="spellEnd"/>
      <w:r w:rsidRPr="00930AA5">
        <w:rPr>
          <w:rFonts w:ascii="Arial" w:hAnsi="Arial" w:cs="Arial"/>
        </w:rPr>
        <w:t xml:space="preserve"> for isoflurane was used throughout the study, and the </w:t>
      </w:r>
      <w:proofErr w:type="spellStart"/>
      <w:r w:rsidRPr="00930AA5">
        <w:rPr>
          <w:rFonts w:ascii="Arial" w:hAnsi="Arial" w:cs="Arial"/>
        </w:rPr>
        <w:t>anaesthesia</w:t>
      </w:r>
      <w:proofErr w:type="spellEnd"/>
      <w:r w:rsidRPr="00930AA5">
        <w:rPr>
          <w:rFonts w:ascii="Arial" w:hAnsi="Arial" w:cs="Arial"/>
        </w:rPr>
        <w:t xml:space="preserve"> was maintained using isoflurane in oxygen (100%). Isoflurane concentration was adjusted between 0.2-3% to maintain an adequate surgical plane. Fresh gas flow was initially set at 3 L/min and later reduced to 1-2 L/min.</w:t>
      </w:r>
    </w:p>
    <w:p w14:paraId="69F4DF64" w14:textId="77777777" w:rsidR="006C2DA4" w:rsidRPr="00930AA5" w:rsidRDefault="006C2DA4" w:rsidP="00C90B8C">
      <w:pPr>
        <w:jc w:val="both"/>
        <w:rPr>
          <w:rFonts w:ascii="Arial" w:hAnsi="Arial" w:cs="Arial"/>
          <w:b/>
          <w:bCs/>
        </w:rPr>
      </w:pPr>
    </w:p>
    <w:p w14:paraId="1356BC7E" w14:textId="4F46CB5F" w:rsidR="00C90B8C" w:rsidRPr="00930AA5" w:rsidRDefault="00C90B8C" w:rsidP="00C90B8C">
      <w:pPr>
        <w:jc w:val="both"/>
        <w:rPr>
          <w:rFonts w:ascii="Arial" w:hAnsi="Arial" w:cs="Arial"/>
          <w:b/>
          <w:bCs/>
        </w:rPr>
      </w:pPr>
      <w:r w:rsidRPr="00930AA5">
        <w:rPr>
          <w:rFonts w:ascii="Arial" w:hAnsi="Arial" w:cs="Arial"/>
          <w:b/>
          <w:bCs/>
        </w:rPr>
        <w:t xml:space="preserve">Table 1. Experimental design and </w:t>
      </w:r>
      <w:proofErr w:type="spellStart"/>
      <w:r w:rsidRPr="00930AA5">
        <w:rPr>
          <w:rFonts w:ascii="Arial" w:hAnsi="Arial" w:cs="Arial"/>
          <w:b/>
          <w:bCs/>
        </w:rPr>
        <w:t>anaesthetic</w:t>
      </w:r>
      <w:proofErr w:type="spellEnd"/>
      <w:r w:rsidRPr="00930AA5">
        <w:rPr>
          <w:rFonts w:ascii="Arial" w:hAnsi="Arial" w:cs="Arial"/>
          <w:b/>
          <w:bCs/>
        </w:rPr>
        <w:t xml:space="preserve"> protocols used in goats</w:t>
      </w:r>
    </w:p>
    <w:p w14:paraId="60492CB2" w14:textId="77777777" w:rsidR="006C2DA4" w:rsidRPr="00930AA5" w:rsidRDefault="006C2DA4" w:rsidP="00C90B8C">
      <w:pPr>
        <w:jc w:val="both"/>
        <w:rPr>
          <w:rFonts w:ascii="Arial" w:hAnsi="Arial" w:cs="Arial"/>
          <w:b/>
          <w:bCs/>
        </w:rPr>
      </w:pPr>
    </w:p>
    <w:tbl>
      <w:tblPr>
        <w:tblStyle w:val="TableGrid"/>
        <w:tblW w:w="8222" w:type="dxa"/>
        <w:tblInd w:w="108" w:type="dxa"/>
        <w:tblLayout w:type="fixed"/>
        <w:tblLook w:val="04A0" w:firstRow="1" w:lastRow="0" w:firstColumn="1" w:lastColumn="0" w:noHBand="0" w:noVBand="1"/>
      </w:tblPr>
      <w:tblGrid>
        <w:gridCol w:w="880"/>
        <w:gridCol w:w="2126"/>
        <w:gridCol w:w="1814"/>
        <w:gridCol w:w="1984"/>
        <w:gridCol w:w="1418"/>
      </w:tblGrid>
      <w:tr w:rsidR="00C90B8C" w:rsidRPr="00930AA5" w14:paraId="1A985D45" w14:textId="77777777" w:rsidTr="009D2AC4">
        <w:tc>
          <w:tcPr>
            <w:tcW w:w="880" w:type="dxa"/>
            <w:vAlign w:val="center"/>
          </w:tcPr>
          <w:p w14:paraId="0189D976" w14:textId="77777777" w:rsidR="00C90B8C" w:rsidRPr="00930AA5" w:rsidRDefault="00C90B8C" w:rsidP="00CC1BD2">
            <w:pPr>
              <w:rPr>
                <w:rFonts w:ascii="Arial" w:hAnsi="Arial" w:cs="Arial"/>
                <w:b/>
                <w:bCs/>
                <w:sz w:val="20"/>
                <w:szCs w:val="20"/>
              </w:rPr>
            </w:pPr>
            <w:r w:rsidRPr="00930AA5">
              <w:rPr>
                <w:rFonts w:ascii="Arial" w:hAnsi="Arial" w:cs="Arial"/>
                <w:b/>
                <w:bCs/>
                <w:sz w:val="20"/>
                <w:szCs w:val="20"/>
              </w:rPr>
              <w:lastRenderedPageBreak/>
              <w:t>Group</w:t>
            </w:r>
          </w:p>
        </w:tc>
        <w:tc>
          <w:tcPr>
            <w:tcW w:w="2126" w:type="dxa"/>
          </w:tcPr>
          <w:p w14:paraId="20683360"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Premedication</w:t>
            </w:r>
          </w:p>
        </w:tc>
        <w:tc>
          <w:tcPr>
            <w:tcW w:w="1814" w:type="dxa"/>
          </w:tcPr>
          <w:p w14:paraId="5887A37F"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Induction agent</w:t>
            </w:r>
          </w:p>
        </w:tc>
        <w:tc>
          <w:tcPr>
            <w:tcW w:w="1984" w:type="dxa"/>
          </w:tcPr>
          <w:p w14:paraId="66981843"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Maintenance technique</w:t>
            </w:r>
          </w:p>
        </w:tc>
        <w:tc>
          <w:tcPr>
            <w:tcW w:w="1418" w:type="dxa"/>
          </w:tcPr>
          <w:p w14:paraId="73E7B1AE" w14:textId="77777777" w:rsidR="00C90B8C" w:rsidRPr="00930AA5" w:rsidRDefault="00C90B8C" w:rsidP="00CC1BD2">
            <w:pPr>
              <w:jc w:val="center"/>
              <w:rPr>
                <w:rFonts w:ascii="Arial" w:hAnsi="Arial" w:cs="Arial"/>
                <w:b/>
                <w:bCs/>
                <w:sz w:val="20"/>
                <w:szCs w:val="20"/>
              </w:rPr>
            </w:pPr>
            <w:r w:rsidRPr="00930AA5">
              <w:rPr>
                <w:rFonts w:ascii="Arial" w:hAnsi="Arial" w:cs="Arial"/>
                <w:b/>
                <w:bCs/>
                <w:sz w:val="20"/>
                <w:szCs w:val="20"/>
              </w:rPr>
              <w:t>Number of animals (n)</w:t>
            </w:r>
          </w:p>
        </w:tc>
      </w:tr>
      <w:tr w:rsidR="00C90B8C" w:rsidRPr="00930AA5" w14:paraId="26A89375" w14:textId="77777777" w:rsidTr="009D2AC4">
        <w:tc>
          <w:tcPr>
            <w:tcW w:w="880" w:type="dxa"/>
          </w:tcPr>
          <w:p w14:paraId="623ED9AF"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w:t>
            </w:r>
          </w:p>
        </w:tc>
        <w:tc>
          <w:tcPr>
            <w:tcW w:w="2126" w:type="dxa"/>
          </w:tcPr>
          <w:p w14:paraId="20320291" w14:textId="77777777" w:rsidR="00C90B8C" w:rsidRPr="00930AA5" w:rsidRDefault="00C90B8C" w:rsidP="00CC1BD2">
            <w:pPr>
              <w:rPr>
                <w:rFonts w:ascii="Arial" w:hAnsi="Arial" w:cs="Arial"/>
                <w:sz w:val="20"/>
                <w:szCs w:val="20"/>
              </w:rPr>
            </w:pPr>
            <w:r w:rsidRPr="00930AA5">
              <w:rPr>
                <w:rFonts w:ascii="Arial" w:hAnsi="Arial" w:cs="Arial"/>
                <w:sz w:val="20"/>
                <w:szCs w:val="20"/>
              </w:rPr>
              <w:t>Xylazine@0.02mg/kg BW -Butorphanol @</w:t>
            </w:r>
          </w:p>
          <w:p w14:paraId="39992F0C" w14:textId="77777777" w:rsidR="00C90B8C" w:rsidRPr="00930AA5" w:rsidRDefault="00C90B8C" w:rsidP="00CC1BD2">
            <w:pPr>
              <w:rPr>
                <w:rFonts w:ascii="Arial" w:hAnsi="Arial" w:cs="Arial"/>
                <w:sz w:val="20"/>
                <w:szCs w:val="20"/>
              </w:rPr>
            </w:pPr>
            <w:r w:rsidRPr="00930AA5">
              <w:rPr>
                <w:rFonts w:ascii="Arial" w:hAnsi="Arial" w:cs="Arial"/>
                <w:sz w:val="20"/>
                <w:szCs w:val="20"/>
              </w:rPr>
              <w:t>0.05 mg/kg BW</w:t>
            </w:r>
          </w:p>
          <w:p w14:paraId="44AEA5F1"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7B20EC6F"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w:t>
            </w:r>
          </w:p>
          <w:p w14:paraId="391B4F04" w14:textId="77777777" w:rsidR="00C90B8C" w:rsidRPr="00930AA5" w:rsidRDefault="00C90B8C" w:rsidP="00CC1BD2">
            <w:pPr>
              <w:rPr>
                <w:rFonts w:ascii="Arial" w:hAnsi="Arial" w:cs="Arial"/>
                <w:sz w:val="20"/>
                <w:szCs w:val="20"/>
              </w:rPr>
            </w:pPr>
            <w:r w:rsidRPr="00930AA5">
              <w:rPr>
                <w:rFonts w:ascii="Arial" w:hAnsi="Arial" w:cs="Arial"/>
                <w:sz w:val="20"/>
                <w:szCs w:val="20"/>
              </w:rPr>
              <w:t>zolazepam@ 2.5 mg/kg BW intravenously</w:t>
            </w:r>
          </w:p>
        </w:tc>
        <w:tc>
          <w:tcPr>
            <w:tcW w:w="1984" w:type="dxa"/>
          </w:tcPr>
          <w:p w14:paraId="67B32D7C"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Tiletamine and</w:t>
            </w:r>
          </w:p>
          <w:p w14:paraId="5FE4D080"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zolazepam@</w:t>
            </w:r>
          </w:p>
          <w:p w14:paraId="681FB243"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0.04 mg/kgBW/min</w:t>
            </w:r>
          </w:p>
          <w:p w14:paraId="2306A688" w14:textId="77777777" w:rsidR="00C90B8C" w:rsidRPr="00930AA5" w:rsidRDefault="00C90B8C" w:rsidP="00CC1BD2">
            <w:pPr>
              <w:rPr>
                <w:rFonts w:ascii="Arial" w:hAnsi="Arial" w:cs="Arial"/>
                <w:sz w:val="20"/>
                <w:szCs w:val="20"/>
              </w:rPr>
            </w:pPr>
            <w:r w:rsidRPr="00930AA5">
              <w:rPr>
                <w:rFonts w:ascii="Arial" w:hAnsi="Arial" w:cs="Arial"/>
                <w:sz w:val="20"/>
                <w:szCs w:val="20"/>
              </w:rPr>
              <w:t>CRI</w:t>
            </w:r>
          </w:p>
        </w:tc>
        <w:tc>
          <w:tcPr>
            <w:tcW w:w="1418" w:type="dxa"/>
          </w:tcPr>
          <w:p w14:paraId="512F825A"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r w:rsidR="00C90B8C" w:rsidRPr="00930AA5" w14:paraId="5CC4DA0D" w14:textId="77777777" w:rsidTr="009D2AC4">
        <w:tc>
          <w:tcPr>
            <w:tcW w:w="880" w:type="dxa"/>
          </w:tcPr>
          <w:p w14:paraId="2C2DC466"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II</w:t>
            </w:r>
          </w:p>
        </w:tc>
        <w:tc>
          <w:tcPr>
            <w:tcW w:w="2126" w:type="dxa"/>
          </w:tcPr>
          <w:p w14:paraId="72D44F2C" w14:textId="77777777" w:rsidR="00C90B8C" w:rsidRPr="00930AA5" w:rsidRDefault="00C90B8C" w:rsidP="00CC1BD2">
            <w:pPr>
              <w:rPr>
                <w:rFonts w:ascii="Arial" w:hAnsi="Arial" w:cs="Arial"/>
                <w:sz w:val="20"/>
                <w:szCs w:val="20"/>
              </w:rPr>
            </w:pPr>
            <w:r w:rsidRPr="00930AA5">
              <w:rPr>
                <w:rFonts w:ascii="Arial" w:hAnsi="Arial" w:cs="Arial"/>
                <w:sz w:val="20"/>
                <w:szCs w:val="20"/>
              </w:rPr>
              <w:t>Dexmedetomidine</w:t>
            </w:r>
          </w:p>
          <w:p w14:paraId="55EE4E2F" w14:textId="77777777" w:rsidR="00C90B8C" w:rsidRPr="00930AA5" w:rsidRDefault="00C90B8C" w:rsidP="00CC1BD2">
            <w:pPr>
              <w:rPr>
                <w:rFonts w:ascii="Arial" w:hAnsi="Arial" w:cs="Arial"/>
                <w:sz w:val="20"/>
                <w:szCs w:val="20"/>
              </w:rPr>
            </w:pPr>
            <w:r w:rsidRPr="00930AA5">
              <w:rPr>
                <w:rFonts w:ascii="Arial" w:hAnsi="Arial" w:cs="Arial"/>
                <w:sz w:val="20"/>
                <w:szCs w:val="20"/>
              </w:rPr>
              <w:t>@ 2.5µg/kg BW and butorphanol</w:t>
            </w:r>
          </w:p>
          <w:p w14:paraId="323A3D03" w14:textId="77777777" w:rsidR="00C90B8C" w:rsidRPr="00930AA5" w:rsidRDefault="00C90B8C" w:rsidP="00CC1BD2">
            <w:pPr>
              <w:rPr>
                <w:rFonts w:ascii="Arial" w:hAnsi="Arial" w:cs="Arial"/>
                <w:sz w:val="20"/>
                <w:szCs w:val="20"/>
              </w:rPr>
            </w:pPr>
            <w:r w:rsidRPr="00930AA5">
              <w:rPr>
                <w:rFonts w:ascii="Arial" w:hAnsi="Arial" w:cs="Arial"/>
                <w:sz w:val="20"/>
                <w:szCs w:val="20"/>
              </w:rPr>
              <w:t>0.05mg/kg BW</w:t>
            </w:r>
          </w:p>
          <w:p w14:paraId="7F43710E"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5955258A"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w:t>
            </w:r>
          </w:p>
          <w:p w14:paraId="328DF7ED" w14:textId="77777777" w:rsidR="00C90B8C" w:rsidRPr="00930AA5" w:rsidRDefault="00C90B8C" w:rsidP="00CC1BD2">
            <w:pPr>
              <w:rPr>
                <w:rFonts w:ascii="Arial" w:hAnsi="Arial" w:cs="Arial"/>
                <w:sz w:val="20"/>
                <w:szCs w:val="20"/>
              </w:rPr>
            </w:pPr>
            <w:r w:rsidRPr="00930AA5">
              <w:rPr>
                <w:rFonts w:ascii="Arial" w:hAnsi="Arial" w:cs="Arial"/>
                <w:sz w:val="20"/>
                <w:szCs w:val="20"/>
              </w:rPr>
              <w:t>zolazepam@ 2.5 mg/kg BW intravenously</w:t>
            </w:r>
          </w:p>
        </w:tc>
        <w:tc>
          <w:tcPr>
            <w:tcW w:w="1984" w:type="dxa"/>
          </w:tcPr>
          <w:p w14:paraId="0B6CFBF1"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Tiletamine and</w:t>
            </w:r>
          </w:p>
          <w:p w14:paraId="6F0A12E8"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zolazepam@</w:t>
            </w:r>
          </w:p>
          <w:p w14:paraId="70843D9F" w14:textId="77777777" w:rsidR="00C90B8C" w:rsidRPr="00930AA5" w:rsidRDefault="00C90B8C" w:rsidP="00CC1BD2">
            <w:pPr>
              <w:rPr>
                <w:rFonts w:ascii="Arial" w:hAnsi="Arial" w:cs="Arial"/>
                <w:sz w:val="20"/>
                <w:szCs w:val="20"/>
                <w:lang w:val="it-IT"/>
              </w:rPr>
            </w:pPr>
            <w:r w:rsidRPr="00930AA5">
              <w:rPr>
                <w:rFonts w:ascii="Arial" w:hAnsi="Arial" w:cs="Arial"/>
                <w:sz w:val="20"/>
                <w:szCs w:val="20"/>
                <w:lang w:val="it-IT"/>
              </w:rPr>
              <w:t>0.04 mg/kgBW/min</w:t>
            </w:r>
          </w:p>
          <w:p w14:paraId="1C3CF9F8" w14:textId="77777777" w:rsidR="00C90B8C" w:rsidRPr="00930AA5" w:rsidRDefault="00C90B8C" w:rsidP="00CC1BD2">
            <w:pPr>
              <w:rPr>
                <w:rFonts w:ascii="Arial" w:hAnsi="Arial" w:cs="Arial"/>
                <w:sz w:val="20"/>
                <w:szCs w:val="20"/>
              </w:rPr>
            </w:pPr>
            <w:r w:rsidRPr="00930AA5">
              <w:rPr>
                <w:rFonts w:ascii="Arial" w:hAnsi="Arial" w:cs="Arial"/>
                <w:sz w:val="20"/>
                <w:szCs w:val="20"/>
              </w:rPr>
              <w:t>CRI</w:t>
            </w:r>
          </w:p>
        </w:tc>
        <w:tc>
          <w:tcPr>
            <w:tcW w:w="1418" w:type="dxa"/>
          </w:tcPr>
          <w:p w14:paraId="6A4E66A6"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r w:rsidR="00C90B8C" w:rsidRPr="00930AA5" w14:paraId="105159A3" w14:textId="77777777" w:rsidTr="009D2AC4">
        <w:tc>
          <w:tcPr>
            <w:tcW w:w="880" w:type="dxa"/>
          </w:tcPr>
          <w:p w14:paraId="06EE0635"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III</w:t>
            </w:r>
          </w:p>
        </w:tc>
        <w:tc>
          <w:tcPr>
            <w:tcW w:w="2126" w:type="dxa"/>
          </w:tcPr>
          <w:p w14:paraId="7470DECA" w14:textId="77777777" w:rsidR="00C90B8C" w:rsidRPr="00930AA5" w:rsidRDefault="00C90B8C" w:rsidP="00CC1BD2">
            <w:pPr>
              <w:rPr>
                <w:rFonts w:ascii="Arial" w:hAnsi="Arial" w:cs="Arial"/>
                <w:sz w:val="20"/>
                <w:szCs w:val="20"/>
              </w:rPr>
            </w:pPr>
            <w:r w:rsidRPr="00930AA5">
              <w:rPr>
                <w:rFonts w:ascii="Arial" w:hAnsi="Arial" w:cs="Arial"/>
                <w:sz w:val="20"/>
                <w:szCs w:val="20"/>
              </w:rPr>
              <w:t>Xylazine@0.02mg/kg BW -Butorphanol @</w:t>
            </w:r>
          </w:p>
          <w:p w14:paraId="291FECC9" w14:textId="77777777" w:rsidR="00C90B8C" w:rsidRPr="00930AA5" w:rsidRDefault="00C90B8C" w:rsidP="00CC1BD2">
            <w:pPr>
              <w:rPr>
                <w:rFonts w:ascii="Arial" w:hAnsi="Arial" w:cs="Arial"/>
                <w:sz w:val="20"/>
                <w:szCs w:val="20"/>
              </w:rPr>
            </w:pPr>
            <w:r w:rsidRPr="00930AA5">
              <w:rPr>
                <w:rFonts w:ascii="Arial" w:hAnsi="Arial" w:cs="Arial"/>
                <w:sz w:val="20"/>
                <w:szCs w:val="20"/>
              </w:rPr>
              <w:t>0.05 mg/kg BW</w:t>
            </w:r>
          </w:p>
          <w:p w14:paraId="48CBA92B"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4825C1C5"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w:t>
            </w:r>
          </w:p>
          <w:p w14:paraId="6B8772AA" w14:textId="77777777" w:rsidR="00C90B8C" w:rsidRPr="00930AA5" w:rsidRDefault="00C90B8C" w:rsidP="00CC1BD2">
            <w:pPr>
              <w:rPr>
                <w:rFonts w:ascii="Arial" w:hAnsi="Arial" w:cs="Arial"/>
                <w:sz w:val="20"/>
                <w:szCs w:val="20"/>
              </w:rPr>
            </w:pPr>
            <w:r w:rsidRPr="00930AA5">
              <w:rPr>
                <w:rFonts w:ascii="Arial" w:hAnsi="Arial" w:cs="Arial"/>
                <w:sz w:val="20"/>
                <w:szCs w:val="20"/>
              </w:rPr>
              <w:t>zolazepam@ 2.5 mg/kg BW intravenously</w:t>
            </w:r>
          </w:p>
        </w:tc>
        <w:tc>
          <w:tcPr>
            <w:tcW w:w="1984" w:type="dxa"/>
          </w:tcPr>
          <w:p w14:paraId="4646C444" w14:textId="77777777" w:rsidR="00C90B8C" w:rsidRPr="00930AA5" w:rsidRDefault="00C90B8C" w:rsidP="00CC1BD2">
            <w:pPr>
              <w:rPr>
                <w:rFonts w:ascii="Arial" w:hAnsi="Arial" w:cs="Arial"/>
                <w:sz w:val="20"/>
                <w:szCs w:val="20"/>
              </w:rPr>
            </w:pPr>
            <w:r w:rsidRPr="00930AA5">
              <w:rPr>
                <w:rFonts w:ascii="Arial" w:hAnsi="Arial" w:cs="Arial"/>
                <w:sz w:val="20"/>
                <w:szCs w:val="20"/>
              </w:rPr>
              <w:t>Isoflurane</w:t>
            </w:r>
          </w:p>
          <w:p w14:paraId="23E43CBF" w14:textId="77777777" w:rsidR="00C90B8C" w:rsidRPr="00930AA5" w:rsidRDefault="00C90B8C" w:rsidP="00CC1BD2">
            <w:pPr>
              <w:rPr>
                <w:rFonts w:ascii="Arial" w:hAnsi="Arial" w:cs="Arial"/>
                <w:sz w:val="20"/>
                <w:szCs w:val="20"/>
              </w:rPr>
            </w:pPr>
            <w:r w:rsidRPr="00930AA5">
              <w:rPr>
                <w:rFonts w:ascii="Arial" w:hAnsi="Arial" w:cs="Arial"/>
                <w:sz w:val="20"/>
                <w:szCs w:val="20"/>
              </w:rPr>
              <w:t>inhalation</w:t>
            </w:r>
          </w:p>
        </w:tc>
        <w:tc>
          <w:tcPr>
            <w:tcW w:w="1418" w:type="dxa"/>
          </w:tcPr>
          <w:p w14:paraId="05FB2F47"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r w:rsidR="00C90B8C" w:rsidRPr="00930AA5" w14:paraId="435830C6" w14:textId="77777777" w:rsidTr="009D2AC4">
        <w:tc>
          <w:tcPr>
            <w:tcW w:w="880" w:type="dxa"/>
          </w:tcPr>
          <w:p w14:paraId="1BE88773" w14:textId="77777777" w:rsidR="00C90B8C" w:rsidRPr="00930AA5" w:rsidRDefault="00C90B8C" w:rsidP="00CC1BD2">
            <w:pPr>
              <w:jc w:val="center"/>
              <w:rPr>
                <w:rFonts w:ascii="Arial" w:hAnsi="Arial" w:cs="Arial"/>
                <w:sz w:val="20"/>
                <w:szCs w:val="20"/>
              </w:rPr>
            </w:pPr>
            <w:r w:rsidRPr="00930AA5">
              <w:rPr>
                <w:rFonts w:ascii="Arial" w:hAnsi="Arial" w:cs="Arial"/>
                <w:sz w:val="20"/>
                <w:szCs w:val="20"/>
              </w:rPr>
              <w:t>IV</w:t>
            </w:r>
          </w:p>
        </w:tc>
        <w:tc>
          <w:tcPr>
            <w:tcW w:w="2126" w:type="dxa"/>
          </w:tcPr>
          <w:p w14:paraId="42A11A53" w14:textId="77777777" w:rsidR="00C90B8C" w:rsidRPr="00930AA5" w:rsidRDefault="00C90B8C" w:rsidP="00CC1BD2">
            <w:pPr>
              <w:rPr>
                <w:rFonts w:ascii="Arial" w:hAnsi="Arial" w:cs="Arial"/>
                <w:sz w:val="20"/>
                <w:szCs w:val="20"/>
              </w:rPr>
            </w:pPr>
            <w:r w:rsidRPr="00930AA5">
              <w:rPr>
                <w:rFonts w:ascii="Arial" w:hAnsi="Arial" w:cs="Arial"/>
                <w:sz w:val="20"/>
                <w:szCs w:val="20"/>
              </w:rPr>
              <w:t>Dexmedetomidine</w:t>
            </w:r>
          </w:p>
          <w:p w14:paraId="397BA9EF" w14:textId="77777777" w:rsidR="00C90B8C" w:rsidRPr="00930AA5" w:rsidRDefault="00C90B8C" w:rsidP="00CC1BD2">
            <w:pPr>
              <w:rPr>
                <w:rFonts w:ascii="Arial" w:hAnsi="Arial" w:cs="Arial"/>
                <w:sz w:val="20"/>
                <w:szCs w:val="20"/>
              </w:rPr>
            </w:pPr>
            <w:r w:rsidRPr="00930AA5">
              <w:rPr>
                <w:rFonts w:ascii="Arial" w:hAnsi="Arial" w:cs="Arial"/>
                <w:sz w:val="20"/>
                <w:szCs w:val="20"/>
              </w:rPr>
              <w:t>@ 2.5µg/kg BW and butorphanol</w:t>
            </w:r>
          </w:p>
          <w:p w14:paraId="5833101D" w14:textId="77777777" w:rsidR="00C90B8C" w:rsidRPr="00930AA5" w:rsidRDefault="00C90B8C" w:rsidP="00CC1BD2">
            <w:pPr>
              <w:rPr>
                <w:rFonts w:ascii="Arial" w:hAnsi="Arial" w:cs="Arial"/>
                <w:sz w:val="20"/>
                <w:szCs w:val="20"/>
              </w:rPr>
            </w:pPr>
            <w:r w:rsidRPr="00930AA5">
              <w:rPr>
                <w:rFonts w:ascii="Arial" w:hAnsi="Arial" w:cs="Arial"/>
                <w:sz w:val="20"/>
                <w:szCs w:val="20"/>
              </w:rPr>
              <w:t>0.05mg/kg BW</w:t>
            </w:r>
          </w:p>
          <w:p w14:paraId="39FDFDA8" w14:textId="77777777" w:rsidR="00C90B8C" w:rsidRPr="00930AA5" w:rsidRDefault="00C90B8C" w:rsidP="00CC1BD2">
            <w:pPr>
              <w:rPr>
                <w:rFonts w:ascii="Arial" w:hAnsi="Arial" w:cs="Arial"/>
                <w:sz w:val="20"/>
                <w:szCs w:val="20"/>
              </w:rPr>
            </w:pPr>
            <w:r w:rsidRPr="00930AA5">
              <w:rPr>
                <w:rFonts w:ascii="Arial" w:hAnsi="Arial" w:cs="Arial"/>
                <w:sz w:val="20"/>
                <w:szCs w:val="20"/>
              </w:rPr>
              <w:t>intravenously</w:t>
            </w:r>
          </w:p>
        </w:tc>
        <w:tc>
          <w:tcPr>
            <w:tcW w:w="1814" w:type="dxa"/>
          </w:tcPr>
          <w:p w14:paraId="5FF8D6B1" w14:textId="77777777" w:rsidR="00C90B8C" w:rsidRPr="00930AA5" w:rsidRDefault="00C90B8C" w:rsidP="00CC1BD2">
            <w:pPr>
              <w:rPr>
                <w:rFonts w:ascii="Arial" w:hAnsi="Arial" w:cs="Arial"/>
                <w:sz w:val="20"/>
                <w:szCs w:val="20"/>
              </w:rPr>
            </w:pPr>
            <w:r w:rsidRPr="00930AA5">
              <w:rPr>
                <w:rFonts w:ascii="Arial" w:hAnsi="Arial" w:cs="Arial"/>
                <w:sz w:val="20"/>
                <w:szCs w:val="20"/>
              </w:rPr>
              <w:t>Tiletamine and zolazepam@ 2.5 mg/kg BW intravenously</w:t>
            </w:r>
          </w:p>
        </w:tc>
        <w:tc>
          <w:tcPr>
            <w:tcW w:w="1984" w:type="dxa"/>
          </w:tcPr>
          <w:p w14:paraId="68513B23" w14:textId="77777777" w:rsidR="00C90B8C" w:rsidRPr="00930AA5" w:rsidRDefault="00C90B8C" w:rsidP="00CC1BD2">
            <w:pPr>
              <w:rPr>
                <w:rFonts w:ascii="Arial" w:hAnsi="Arial" w:cs="Arial"/>
                <w:sz w:val="20"/>
                <w:szCs w:val="20"/>
              </w:rPr>
            </w:pPr>
            <w:r w:rsidRPr="00930AA5">
              <w:rPr>
                <w:rFonts w:ascii="Arial" w:hAnsi="Arial" w:cs="Arial"/>
                <w:sz w:val="20"/>
                <w:szCs w:val="20"/>
              </w:rPr>
              <w:t>Isoflurane</w:t>
            </w:r>
          </w:p>
          <w:p w14:paraId="0F568AB4" w14:textId="77777777" w:rsidR="00C90B8C" w:rsidRPr="00930AA5" w:rsidRDefault="00C90B8C" w:rsidP="00CC1BD2">
            <w:pPr>
              <w:rPr>
                <w:rFonts w:ascii="Arial" w:hAnsi="Arial" w:cs="Arial"/>
                <w:sz w:val="20"/>
                <w:szCs w:val="20"/>
              </w:rPr>
            </w:pPr>
            <w:r w:rsidRPr="00930AA5">
              <w:rPr>
                <w:rFonts w:ascii="Arial" w:hAnsi="Arial" w:cs="Arial"/>
                <w:sz w:val="20"/>
                <w:szCs w:val="20"/>
              </w:rPr>
              <w:t>inhalation</w:t>
            </w:r>
          </w:p>
        </w:tc>
        <w:tc>
          <w:tcPr>
            <w:tcW w:w="1418" w:type="dxa"/>
          </w:tcPr>
          <w:p w14:paraId="0613DED4" w14:textId="77777777" w:rsidR="00C90B8C" w:rsidRPr="00930AA5" w:rsidRDefault="00C90B8C" w:rsidP="00CC1BD2">
            <w:pPr>
              <w:jc w:val="both"/>
              <w:rPr>
                <w:rFonts w:ascii="Arial" w:hAnsi="Arial" w:cs="Arial"/>
                <w:sz w:val="20"/>
                <w:szCs w:val="20"/>
              </w:rPr>
            </w:pPr>
            <w:r w:rsidRPr="00930AA5">
              <w:rPr>
                <w:rFonts w:ascii="Arial" w:hAnsi="Arial" w:cs="Arial"/>
                <w:sz w:val="20"/>
                <w:szCs w:val="20"/>
              </w:rPr>
              <w:t>6</w:t>
            </w:r>
          </w:p>
        </w:tc>
      </w:tr>
    </w:tbl>
    <w:p w14:paraId="2953F9E4" w14:textId="77777777" w:rsidR="00C90B8C" w:rsidRPr="00930AA5" w:rsidRDefault="00C90B8C" w:rsidP="00C90B8C">
      <w:pPr>
        <w:jc w:val="both"/>
        <w:rPr>
          <w:rFonts w:ascii="Arial" w:hAnsi="Arial" w:cs="Arial"/>
        </w:rPr>
      </w:pPr>
      <w:r w:rsidRPr="00930AA5">
        <w:rPr>
          <w:rFonts w:ascii="Arial" w:hAnsi="Arial" w:cs="Arial"/>
        </w:rPr>
        <w:t>Footnote:</w:t>
      </w:r>
      <w:r w:rsidRPr="00930AA5">
        <w:rPr>
          <w:rFonts w:ascii="Arial" w:hAnsi="Arial" w:cs="Arial"/>
          <w:b/>
          <w:bCs/>
        </w:rPr>
        <w:t xml:space="preserve"> </w:t>
      </w:r>
      <w:r w:rsidRPr="00930AA5">
        <w:rPr>
          <w:rFonts w:ascii="Arial" w:hAnsi="Arial" w:cs="Arial"/>
          <w:i/>
          <w:iCs/>
        </w:rPr>
        <w:t xml:space="preserve">TIVA – Total intravenous </w:t>
      </w:r>
      <w:proofErr w:type="spellStart"/>
      <w:r w:rsidRPr="00930AA5">
        <w:rPr>
          <w:rFonts w:ascii="Arial" w:hAnsi="Arial" w:cs="Arial"/>
          <w:i/>
          <w:iCs/>
        </w:rPr>
        <w:t>anaesthesia</w:t>
      </w:r>
      <w:proofErr w:type="spellEnd"/>
      <w:r w:rsidRPr="00930AA5">
        <w:rPr>
          <w:rFonts w:ascii="Arial" w:hAnsi="Arial" w:cs="Arial"/>
          <w:i/>
          <w:iCs/>
        </w:rPr>
        <w:t xml:space="preserve">; PIVA – Partial intravenous </w:t>
      </w:r>
      <w:proofErr w:type="spellStart"/>
      <w:r w:rsidRPr="00930AA5">
        <w:rPr>
          <w:rFonts w:ascii="Arial" w:hAnsi="Arial" w:cs="Arial"/>
          <w:i/>
          <w:iCs/>
        </w:rPr>
        <w:t>anaesthesia</w:t>
      </w:r>
      <w:proofErr w:type="spellEnd"/>
      <w:r w:rsidRPr="00930AA5">
        <w:rPr>
          <w:rFonts w:ascii="Arial" w:hAnsi="Arial" w:cs="Arial"/>
          <w:i/>
          <w:iCs/>
        </w:rPr>
        <w:t>.</w:t>
      </w:r>
    </w:p>
    <w:p w14:paraId="2F516C3F" w14:textId="77777777" w:rsidR="00C90B8C" w:rsidRPr="00930AA5" w:rsidRDefault="00C90B8C" w:rsidP="005D2A47">
      <w:pPr>
        <w:ind w:firstLine="567"/>
        <w:jc w:val="both"/>
        <w:rPr>
          <w:rFonts w:ascii="Arial" w:hAnsi="Arial" w:cs="Arial"/>
        </w:rPr>
      </w:pPr>
    </w:p>
    <w:p w14:paraId="7286B3AD" w14:textId="77777777" w:rsidR="005D2A47" w:rsidRPr="00930AA5" w:rsidRDefault="005D2A47" w:rsidP="005D2A47">
      <w:pPr>
        <w:rPr>
          <w:rFonts w:ascii="Arial" w:hAnsi="Arial" w:cs="Arial"/>
          <w:b/>
          <w:bCs/>
          <w:sz w:val="22"/>
          <w:szCs w:val="22"/>
        </w:rPr>
      </w:pPr>
      <w:r w:rsidRPr="00930AA5">
        <w:rPr>
          <w:rFonts w:ascii="Arial" w:hAnsi="Arial" w:cs="Arial"/>
          <w:b/>
          <w:bCs/>
          <w:sz w:val="22"/>
          <w:szCs w:val="22"/>
        </w:rPr>
        <w:t>2.3. Physiological Parameters Monitored</w:t>
      </w:r>
    </w:p>
    <w:p w14:paraId="34A7E836" w14:textId="77777777" w:rsidR="005D2A47" w:rsidRPr="00930AA5" w:rsidRDefault="005D2A47" w:rsidP="005D2A47">
      <w:pPr>
        <w:ind w:firstLine="567"/>
        <w:jc w:val="both"/>
        <w:rPr>
          <w:rFonts w:ascii="Arial" w:hAnsi="Arial" w:cs="Arial"/>
        </w:rPr>
      </w:pPr>
      <w:r w:rsidRPr="00930AA5">
        <w:rPr>
          <w:rFonts w:ascii="Arial" w:hAnsi="Arial" w:cs="Arial"/>
        </w:rPr>
        <w:t xml:space="preserve">The Physiological parameters, namely Heart rate (HR), Respiratory rate (RR), Pulse rate (PR), Rectal temperature (T), Capillary Refill Time (CRT), </w:t>
      </w:r>
      <w:proofErr w:type="spellStart"/>
      <w:r w:rsidRPr="00930AA5">
        <w:rPr>
          <w:rFonts w:ascii="Arial" w:hAnsi="Arial" w:cs="Arial"/>
        </w:rPr>
        <w:t>Colour</w:t>
      </w:r>
      <w:proofErr w:type="spellEnd"/>
      <w:r w:rsidRPr="00930AA5">
        <w:rPr>
          <w:rFonts w:ascii="Arial" w:hAnsi="Arial" w:cs="Arial"/>
        </w:rPr>
        <w:t xml:space="preserve"> of visible mucous membranes and Peripheral oxygen saturation (SpO</w:t>
      </w:r>
      <w:r w:rsidRPr="00930AA5">
        <w:rPr>
          <w:rFonts w:ascii="Cambria Math" w:hAnsi="Cambria Math" w:cs="Cambria Math"/>
        </w:rPr>
        <w:t>₂</w:t>
      </w:r>
      <w:r w:rsidRPr="00930AA5">
        <w:rPr>
          <w:rFonts w:ascii="Arial" w:hAnsi="Arial" w:cs="Arial"/>
        </w:rPr>
        <w:t xml:space="preserve">) were recorded by measurements taken at baseline, 10 minutes post-induction, at 15-minute intervals during maintenance, and during recovery. </w:t>
      </w:r>
      <w:proofErr w:type="spellStart"/>
      <w:r w:rsidRPr="00930AA5">
        <w:rPr>
          <w:rFonts w:ascii="Arial" w:hAnsi="Arial" w:cs="Arial"/>
        </w:rPr>
        <w:t>Anaesthetic</w:t>
      </w:r>
      <w:proofErr w:type="spellEnd"/>
      <w:r w:rsidRPr="00930AA5">
        <w:rPr>
          <w:rFonts w:ascii="Arial" w:hAnsi="Arial" w:cs="Arial"/>
        </w:rPr>
        <w:t xml:space="preserve"> depth was assessed using the palpebral reflex, the pedal reflex, the pin-prick reflex, the jaw relaxation, and the eyeball position.</w:t>
      </w:r>
    </w:p>
    <w:p w14:paraId="76805065" w14:textId="77777777" w:rsidR="008A2C19" w:rsidRPr="00930AA5" w:rsidRDefault="008A2C19" w:rsidP="005D2A47">
      <w:pPr>
        <w:rPr>
          <w:rFonts w:ascii="Arial" w:hAnsi="Arial" w:cs="Arial"/>
          <w:b/>
          <w:bCs/>
          <w:sz w:val="22"/>
          <w:szCs w:val="22"/>
        </w:rPr>
      </w:pPr>
    </w:p>
    <w:p w14:paraId="28843CE8" w14:textId="5B6616AA" w:rsidR="005D2A47" w:rsidRPr="00930AA5" w:rsidRDefault="005D2A47" w:rsidP="005D2A47">
      <w:pPr>
        <w:rPr>
          <w:rFonts w:ascii="Arial" w:hAnsi="Arial" w:cs="Arial"/>
          <w:b/>
          <w:bCs/>
          <w:sz w:val="22"/>
          <w:szCs w:val="22"/>
        </w:rPr>
      </w:pPr>
      <w:r w:rsidRPr="00930AA5">
        <w:rPr>
          <w:rFonts w:ascii="Arial" w:hAnsi="Arial" w:cs="Arial"/>
          <w:b/>
          <w:bCs/>
          <w:sz w:val="22"/>
          <w:szCs w:val="22"/>
        </w:rPr>
        <w:t>2.4. Blood Sampling and Laboratory Analysis</w:t>
      </w:r>
    </w:p>
    <w:p w14:paraId="74214939" w14:textId="77777777" w:rsidR="005D2A47" w:rsidRPr="00930AA5" w:rsidRDefault="005D2A47" w:rsidP="00CE76E7">
      <w:pPr>
        <w:ind w:firstLine="567"/>
        <w:jc w:val="both"/>
        <w:rPr>
          <w:rFonts w:ascii="Arial" w:hAnsi="Arial" w:cs="Arial"/>
        </w:rPr>
      </w:pPr>
      <w:r w:rsidRPr="00930AA5">
        <w:rPr>
          <w:rFonts w:ascii="Arial" w:hAnsi="Arial" w:cs="Arial"/>
        </w:rPr>
        <w:t xml:space="preserve">Venous blood samples were collected into EDTA vials at baseline, 10 minutes post-induction, and post-recovery for estimation of Total Erythrocyte Count (TEC), Total Leucocyte Count (TLC), Total Platelet Count (TPC), </w:t>
      </w:r>
      <w:proofErr w:type="spellStart"/>
      <w:r w:rsidRPr="00930AA5">
        <w:rPr>
          <w:rFonts w:ascii="Arial" w:hAnsi="Arial" w:cs="Arial"/>
        </w:rPr>
        <w:t>Haemoglobin</w:t>
      </w:r>
      <w:proofErr w:type="spellEnd"/>
      <w:r w:rsidRPr="00930AA5">
        <w:rPr>
          <w:rFonts w:ascii="Arial" w:hAnsi="Arial" w:cs="Arial"/>
        </w:rPr>
        <w:t xml:space="preserve"> (Hb), Packed Cell Volume (VPRC), and Differential Leukocyte Count (DLC) using an automated </w:t>
      </w:r>
      <w:proofErr w:type="spellStart"/>
      <w:r w:rsidRPr="00930AA5">
        <w:rPr>
          <w:rFonts w:ascii="Arial" w:hAnsi="Arial" w:cs="Arial"/>
        </w:rPr>
        <w:t>haematology</w:t>
      </w:r>
      <w:proofErr w:type="spellEnd"/>
      <w:r w:rsidRPr="00930AA5">
        <w:rPr>
          <w:rFonts w:ascii="Arial" w:hAnsi="Arial" w:cs="Arial"/>
        </w:rPr>
        <w:t xml:space="preserve"> </w:t>
      </w:r>
      <w:proofErr w:type="spellStart"/>
      <w:r w:rsidRPr="00930AA5">
        <w:rPr>
          <w:rFonts w:ascii="Arial" w:hAnsi="Arial" w:cs="Arial"/>
        </w:rPr>
        <w:t>analyser</w:t>
      </w:r>
      <w:proofErr w:type="spellEnd"/>
      <w:r w:rsidRPr="00930AA5">
        <w:rPr>
          <w:rFonts w:ascii="Arial" w:hAnsi="Arial" w:cs="Arial"/>
        </w:rPr>
        <w:t>.</w:t>
      </w:r>
    </w:p>
    <w:p w14:paraId="3C0311B5" w14:textId="77777777" w:rsidR="005D2A47" w:rsidRPr="00930AA5" w:rsidRDefault="005D2A47" w:rsidP="00CE76E7">
      <w:pPr>
        <w:ind w:firstLine="567"/>
        <w:jc w:val="both"/>
        <w:rPr>
          <w:rFonts w:ascii="Arial" w:hAnsi="Arial" w:cs="Arial"/>
        </w:rPr>
      </w:pPr>
      <w:r w:rsidRPr="00930AA5">
        <w:rPr>
          <w:rFonts w:ascii="Arial" w:hAnsi="Arial" w:cs="Arial"/>
        </w:rPr>
        <w:t xml:space="preserve">Blood samples collected into non-EDTA vials were </w:t>
      </w:r>
      <w:proofErr w:type="spellStart"/>
      <w:r w:rsidRPr="00930AA5">
        <w:rPr>
          <w:rFonts w:ascii="Arial" w:hAnsi="Arial" w:cs="Arial"/>
        </w:rPr>
        <w:t>analysed</w:t>
      </w:r>
      <w:proofErr w:type="spellEnd"/>
      <w:r w:rsidRPr="00930AA5">
        <w:rPr>
          <w:rFonts w:ascii="Arial" w:hAnsi="Arial" w:cs="Arial"/>
        </w:rPr>
        <w:t xml:space="preserve"> for Alanine aminotransferase (ALT), Aspartate aminotransferase (AST), Blood Urea Nitrogen (BUN), Serum Creatinine (Cr), Serum Glucose level and total protein (TP), using standard commercial kits and a semi-automatic biochemistry </w:t>
      </w:r>
      <w:proofErr w:type="spellStart"/>
      <w:r w:rsidRPr="00930AA5">
        <w:rPr>
          <w:rFonts w:ascii="Arial" w:hAnsi="Arial" w:cs="Arial"/>
        </w:rPr>
        <w:t>analyser</w:t>
      </w:r>
      <w:proofErr w:type="spellEnd"/>
      <w:r w:rsidRPr="00930AA5">
        <w:rPr>
          <w:rFonts w:ascii="Arial" w:hAnsi="Arial" w:cs="Arial"/>
        </w:rPr>
        <w:t>.</w:t>
      </w:r>
    </w:p>
    <w:p w14:paraId="5CCB2C49" w14:textId="77777777" w:rsidR="005D2A47" w:rsidRPr="00930AA5" w:rsidRDefault="005D2A47" w:rsidP="00CE76E7">
      <w:pPr>
        <w:ind w:firstLine="567"/>
        <w:jc w:val="both"/>
        <w:rPr>
          <w:rFonts w:ascii="Arial" w:hAnsi="Arial" w:cs="Arial"/>
        </w:rPr>
      </w:pPr>
      <w:proofErr w:type="spellStart"/>
      <w:r w:rsidRPr="00930AA5">
        <w:rPr>
          <w:rFonts w:ascii="Arial" w:hAnsi="Arial" w:cs="Arial"/>
        </w:rPr>
        <w:t>Heparinised</w:t>
      </w:r>
      <w:proofErr w:type="spellEnd"/>
      <w:r w:rsidRPr="00930AA5">
        <w:rPr>
          <w:rFonts w:ascii="Arial" w:hAnsi="Arial" w:cs="Arial"/>
        </w:rPr>
        <w:t xml:space="preserve"> venous blood samples were </w:t>
      </w:r>
      <w:proofErr w:type="spellStart"/>
      <w:r w:rsidRPr="00930AA5">
        <w:rPr>
          <w:rFonts w:ascii="Arial" w:hAnsi="Arial" w:cs="Arial"/>
        </w:rPr>
        <w:t>analysed</w:t>
      </w:r>
      <w:proofErr w:type="spellEnd"/>
      <w:r w:rsidRPr="00930AA5">
        <w:rPr>
          <w:rFonts w:ascii="Arial" w:hAnsi="Arial" w:cs="Arial"/>
        </w:rPr>
        <w:t xml:space="preserve"> using a blood gas </w:t>
      </w:r>
      <w:proofErr w:type="spellStart"/>
      <w:r w:rsidRPr="00930AA5">
        <w:rPr>
          <w:rFonts w:ascii="Arial" w:hAnsi="Arial" w:cs="Arial"/>
        </w:rPr>
        <w:t>analyser</w:t>
      </w:r>
      <w:proofErr w:type="spellEnd"/>
      <w:r w:rsidRPr="00930AA5">
        <w:rPr>
          <w:rFonts w:ascii="Arial" w:hAnsi="Arial" w:cs="Arial"/>
        </w:rPr>
        <w:t xml:space="preserve">, for the blood pH, partial pressure of carbon dioxide (PvCO2) (mm Hg), partial pressure of oxygen (PvO2) (mm Hg), bicarbonates (mmol/L), base excess (BE) (mmol/L), blood sodium (mmol/L), potassium (mmol/L) and chloride (mmol/L) concentration (Praveen, 2021). </w:t>
      </w:r>
    </w:p>
    <w:p w14:paraId="3FE1B093" w14:textId="77777777" w:rsidR="008A2C19" w:rsidRPr="00930AA5" w:rsidRDefault="008A2C19" w:rsidP="00CE76E7">
      <w:pPr>
        <w:rPr>
          <w:rFonts w:ascii="Arial" w:hAnsi="Arial" w:cs="Arial"/>
          <w:b/>
          <w:bCs/>
          <w:sz w:val="22"/>
          <w:szCs w:val="22"/>
        </w:rPr>
      </w:pPr>
    </w:p>
    <w:p w14:paraId="796EDD0F" w14:textId="1E04F96E" w:rsidR="005D2A47" w:rsidRPr="00930AA5" w:rsidRDefault="005D2A47" w:rsidP="00CE76E7">
      <w:pPr>
        <w:rPr>
          <w:rFonts w:ascii="Arial" w:hAnsi="Arial" w:cs="Arial"/>
          <w:b/>
          <w:bCs/>
          <w:sz w:val="22"/>
          <w:szCs w:val="22"/>
        </w:rPr>
      </w:pPr>
      <w:r w:rsidRPr="00930AA5">
        <w:rPr>
          <w:rFonts w:ascii="Arial" w:hAnsi="Arial" w:cs="Arial"/>
          <w:b/>
          <w:bCs/>
          <w:sz w:val="22"/>
          <w:szCs w:val="22"/>
        </w:rPr>
        <w:t>2.5. Statistical Analysis</w:t>
      </w:r>
    </w:p>
    <w:p w14:paraId="766ED14E" w14:textId="2D2381E9" w:rsidR="005D2A47" w:rsidRPr="00930AA5" w:rsidRDefault="005D2A47" w:rsidP="00CE76E7">
      <w:pPr>
        <w:pStyle w:val="Body"/>
        <w:spacing w:after="0"/>
        <w:ind w:firstLine="567"/>
        <w:rPr>
          <w:rFonts w:ascii="Arial" w:hAnsi="Arial" w:cs="Arial"/>
        </w:rPr>
      </w:pPr>
      <w:r w:rsidRPr="00930AA5">
        <w:rPr>
          <w:rFonts w:ascii="Arial" w:hAnsi="Arial" w:cs="Arial"/>
        </w:rPr>
        <w:t xml:space="preserve">Data were </w:t>
      </w:r>
      <w:proofErr w:type="spellStart"/>
      <w:r w:rsidRPr="00930AA5">
        <w:rPr>
          <w:rFonts w:ascii="Arial" w:hAnsi="Arial" w:cs="Arial"/>
        </w:rPr>
        <w:t>analysed</w:t>
      </w:r>
      <w:proofErr w:type="spellEnd"/>
      <w:r w:rsidRPr="00930AA5">
        <w:rPr>
          <w:rFonts w:ascii="Arial" w:hAnsi="Arial" w:cs="Arial"/>
        </w:rPr>
        <w:t xml:space="preserve"> using SPSS version 24.0. Intergroup comparisons were performed using one-way ANOVA followed by Duncan’s multiple range test. Intragroup comparisons across time points were </w:t>
      </w:r>
      <w:proofErr w:type="spellStart"/>
      <w:r w:rsidRPr="00930AA5">
        <w:rPr>
          <w:rFonts w:ascii="Arial" w:hAnsi="Arial" w:cs="Arial"/>
        </w:rPr>
        <w:t>analysed</w:t>
      </w:r>
      <w:proofErr w:type="spellEnd"/>
      <w:r w:rsidRPr="00930AA5">
        <w:rPr>
          <w:rFonts w:ascii="Arial" w:hAnsi="Arial" w:cs="Arial"/>
        </w:rPr>
        <w:t xml:space="preserve"> using repeated-measures ANOVA, followed by the least significant difference (LSD) test. A value of P &lt; 0.05 was considered statistically significant.</w:t>
      </w:r>
      <w:r w:rsidRPr="00930AA5">
        <w:rPr>
          <w:rFonts w:ascii="Arial" w:hAnsi="Arial" w:cs="Arial"/>
          <w:sz w:val="24"/>
          <w:szCs w:val="24"/>
        </w:rPr>
        <w:t xml:space="preserve"> </w:t>
      </w:r>
    </w:p>
    <w:p w14:paraId="01BF87A3" w14:textId="77777777" w:rsidR="00790ADA" w:rsidRPr="00930AA5" w:rsidRDefault="00790ADA" w:rsidP="00441B6F">
      <w:pPr>
        <w:pStyle w:val="Body"/>
        <w:spacing w:after="0"/>
        <w:rPr>
          <w:rFonts w:ascii="Arial" w:hAnsi="Arial" w:cs="Arial"/>
        </w:rPr>
      </w:pPr>
    </w:p>
    <w:p w14:paraId="1DB877F7" w14:textId="77777777" w:rsidR="00CE76E7" w:rsidRPr="00930AA5" w:rsidRDefault="00CE76E7" w:rsidP="00441B6F">
      <w:pPr>
        <w:pStyle w:val="Body"/>
        <w:spacing w:after="0"/>
        <w:rPr>
          <w:rFonts w:ascii="Arial" w:hAnsi="Arial" w:cs="Arial"/>
        </w:rPr>
      </w:pPr>
    </w:p>
    <w:p w14:paraId="02028C29" w14:textId="5E567CF5" w:rsidR="008A2C19" w:rsidRPr="00930AA5" w:rsidRDefault="008A2C19" w:rsidP="008A2C19">
      <w:pPr>
        <w:pStyle w:val="ConcHead"/>
        <w:spacing w:after="0"/>
        <w:jc w:val="both"/>
        <w:rPr>
          <w:rFonts w:ascii="Arial" w:hAnsi="Arial" w:cs="Arial"/>
        </w:rPr>
      </w:pPr>
      <w:r w:rsidRPr="00930AA5">
        <w:rPr>
          <w:rFonts w:ascii="Arial" w:hAnsi="Arial" w:cs="Arial"/>
        </w:rPr>
        <w:t xml:space="preserve">3. </w:t>
      </w:r>
      <w:r w:rsidR="00EC132A" w:rsidRPr="00930AA5">
        <w:rPr>
          <w:rFonts w:ascii="Arial" w:hAnsi="Arial" w:cs="Arial"/>
        </w:rPr>
        <w:t xml:space="preserve">RESULTS AND </w:t>
      </w:r>
      <w:r w:rsidRPr="00930AA5">
        <w:rPr>
          <w:rFonts w:ascii="Arial" w:hAnsi="Arial" w:cs="Arial"/>
        </w:rPr>
        <w:t>DISCUSSION</w:t>
      </w:r>
    </w:p>
    <w:p w14:paraId="03B3370A" w14:textId="77777777" w:rsidR="008A2C19" w:rsidRPr="00930AA5" w:rsidRDefault="008A2C19" w:rsidP="00441B6F">
      <w:pPr>
        <w:pStyle w:val="Body"/>
        <w:spacing w:after="0"/>
        <w:rPr>
          <w:rFonts w:ascii="Arial" w:hAnsi="Arial" w:cs="Arial"/>
        </w:rPr>
      </w:pPr>
    </w:p>
    <w:p w14:paraId="358A494E" w14:textId="77777777" w:rsidR="006C1956" w:rsidRPr="00930AA5" w:rsidRDefault="006C1956" w:rsidP="006C1956">
      <w:pPr>
        <w:rPr>
          <w:rFonts w:ascii="Arial" w:hAnsi="Arial" w:cs="Arial"/>
          <w:b/>
          <w:bCs/>
          <w:sz w:val="22"/>
          <w:szCs w:val="22"/>
        </w:rPr>
      </w:pPr>
      <w:r w:rsidRPr="00930AA5">
        <w:rPr>
          <w:rFonts w:ascii="Arial" w:hAnsi="Arial" w:cs="Arial"/>
          <w:b/>
          <w:bCs/>
          <w:sz w:val="22"/>
          <w:szCs w:val="22"/>
        </w:rPr>
        <w:t>3.1. Animals and Baseline Characteristics</w:t>
      </w:r>
    </w:p>
    <w:p w14:paraId="152B05E3" w14:textId="6C963A50" w:rsidR="006C1956" w:rsidRPr="00930AA5" w:rsidRDefault="006C1956" w:rsidP="00CE76E7">
      <w:pPr>
        <w:ind w:firstLine="567"/>
        <w:jc w:val="both"/>
        <w:rPr>
          <w:rFonts w:ascii="Arial" w:hAnsi="Arial" w:cs="Arial"/>
        </w:rPr>
      </w:pPr>
      <w:r w:rsidRPr="00930AA5">
        <w:rPr>
          <w:rFonts w:ascii="Arial" w:hAnsi="Arial" w:cs="Arial"/>
        </w:rPr>
        <w:t xml:space="preserve">Twenty-four goats of either sex, aged above six months, presented for various surgical procedures were included in the study. Animals were randomly allocated into four groups (Group I–IV; n = 6 per group) based on the </w:t>
      </w:r>
      <w:proofErr w:type="spellStart"/>
      <w:r w:rsidRPr="00930AA5">
        <w:rPr>
          <w:rFonts w:ascii="Arial" w:hAnsi="Arial" w:cs="Arial"/>
        </w:rPr>
        <w:t>anaesthetic</w:t>
      </w:r>
      <w:proofErr w:type="spellEnd"/>
      <w:r w:rsidRPr="00930AA5">
        <w:rPr>
          <w:rFonts w:ascii="Arial" w:hAnsi="Arial" w:cs="Arial"/>
        </w:rPr>
        <w:t xml:space="preserve"> protocol followed. There were no statistically significant differences among the groups with respect to age or body weight (P &gt; 0.05), indicating baseline comparability. All animals were clinically healthy with normal physiological, </w:t>
      </w:r>
      <w:proofErr w:type="spellStart"/>
      <w:r w:rsidRPr="00930AA5">
        <w:rPr>
          <w:rFonts w:ascii="Arial" w:hAnsi="Arial" w:cs="Arial"/>
        </w:rPr>
        <w:t>haematological</w:t>
      </w:r>
      <w:proofErr w:type="spellEnd"/>
      <w:r w:rsidRPr="00930AA5">
        <w:rPr>
          <w:rFonts w:ascii="Arial" w:hAnsi="Arial" w:cs="Arial"/>
        </w:rPr>
        <w:t xml:space="preserve">, biochemical, blood gas and electrocardiographic values prior to </w:t>
      </w:r>
      <w:proofErr w:type="spellStart"/>
      <w:r w:rsidRPr="00930AA5">
        <w:rPr>
          <w:rFonts w:ascii="Arial" w:hAnsi="Arial" w:cs="Arial"/>
        </w:rPr>
        <w:t>anaesthesia</w:t>
      </w:r>
      <w:proofErr w:type="spellEnd"/>
      <w:r w:rsidRPr="00930AA5">
        <w:rPr>
          <w:rFonts w:ascii="Arial" w:hAnsi="Arial" w:cs="Arial"/>
        </w:rPr>
        <w:t>.</w:t>
      </w:r>
      <w:r w:rsidR="007B616C">
        <w:rPr>
          <w:rFonts w:ascii="Arial" w:hAnsi="Arial" w:cs="Arial"/>
        </w:rPr>
        <w:t xml:space="preserve"> </w:t>
      </w:r>
      <w:r w:rsidR="007B616C" w:rsidRPr="005916BA">
        <w:rPr>
          <w:rFonts w:ascii="Arial" w:hAnsi="Arial" w:cs="Arial"/>
          <w:bCs/>
          <w:lang w:val="en-IN"/>
        </w:rPr>
        <w:t>While the findings are clinically relevant, the relatively small sample size and inclusion of clinically healthy animals should be considered when extrapolating results</w:t>
      </w:r>
      <w:r w:rsidR="007B616C" w:rsidRPr="007B616C">
        <w:rPr>
          <w:rFonts w:ascii="Arial" w:hAnsi="Arial" w:cs="Arial"/>
          <w:bCs/>
          <w:caps/>
          <w:lang w:val="en-IN"/>
        </w:rPr>
        <w:t>.</w:t>
      </w:r>
    </w:p>
    <w:p w14:paraId="45ACD7C5" w14:textId="77777777" w:rsidR="008A2C19" w:rsidRPr="00930AA5" w:rsidRDefault="008A2C19" w:rsidP="008A2C19">
      <w:pPr>
        <w:rPr>
          <w:rFonts w:ascii="Arial" w:hAnsi="Arial" w:cs="Arial"/>
          <w:b/>
          <w:bCs/>
        </w:rPr>
      </w:pPr>
    </w:p>
    <w:p w14:paraId="02AF918C" w14:textId="0778F071" w:rsidR="008A2C19" w:rsidRPr="00930AA5" w:rsidRDefault="008A2C19" w:rsidP="008A2C19">
      <w:pPr>
        <w:rPr>
          <w:rFonts w:ascii="Arial" w:hAnsi="Arial" w:cs="Arial"/>
          <w:b/>
          <w:bCs/>
          <w:sz w:val="22"/>
          <w:szCs w:val="22"/>
        </w:rPr>
      </w:pPr>
      <w:r w:rsidRPr="00930AA5">
        <w:rPr>
          <w:rFonts w:ascii="Arial" w:hAnsi="Arial" w:cs="Arial"/>
          <w:b/>
          <w:bCs/>
          <w:sz w:val="22"/>
          <w:szCs w:val="22"/>
        </w:rPr>
        <w:t>3.2. Physiological Parameters</w:t>
      </w:r>
    </w:p>
    <w:p w14:paraId="2CB39F79" w14:textId="4AEEC2A3" w:rsidR="008A2C19" w:rsidRPr="00930AA5" w:rsidRDefault="008A2C19" w:rsidP="00CE76E7">
      <w:pPr>
        <w:ind w:firstLine="567"/>
        <w:jc w:val="both"/>
        <w:rPr>
          <w:rFonts w:ascii="Arial" w:hAnsi="Arial" w:cs="Arial"/>
        </w:rPr>
      </w:pPr>
      <w:r w:rsidRPr="00930AA5">
        <w:rPr>
          <w:rFonts w:ascii="Arial" w:hAnsi="Arial" w:cs="Arial"/>
        </w:rPr>
        <w:lastRenderedPageBreak/>
        <w:t xml:space="preserve">A reduction in respiratory rate was observed following induction of </w:t>
      </w:r>
      <w:proofErr w:type="spellStart"/>
      <w:r w:rsidRPr="00930AA5">
        <w:rPr>
          <w:rFonts w:ascii="Arial" w:hAnsi="Arial" w:cs="Arial"/>
        </w:rPr>
        <w:t>anaesthesia</w:t>
      </w:r>
      <w:proofErr w:type="spellEnd"/>
      <w:r w:rsidRPr="00930AA5">
        <w:rPr>
          <w:rFonts w:ascii="Arial" w:hAnsi="Arial" w:cs="Arial"/>
        </w:rPr>
        <w:t xml:space="preserve"> in all groups which was consistent with the known central nervous system depressant effects of α</w:t>
      </w:r>
      <w:r w:rsidRPr="00930AA5">
        <w:rPr>
          <w:rFonts w:ascii="Cambria Math" w:hAnsi="Cambria Math" w:cs="Cambria Math"/>
        </w:rPr>
        <w:t>₂</w:t>
      </w:r>
      <w:r w:rsidRPr="00930AA5">
        <w:rPr>
          <w:rFonts w:ascii="Arial" w:hAnsi="Arial" w:cs="Arial"/>
        </w:rPr>
        <w:t>-adrenergic agonists and opioid combinations (</w:t>
      </w:r>
      <w:r w:rsidR="00A617D3" w:rsidRPr="00930AA5">
        <w:rPr>
          <w:rFonts w:ascii="Arial" w:hAnsi="Arial" w:cs="Arial"/>
        </w:rPr>
        <w:t xml:space="preserve">Plumb </w:t>
      </w:r>
      <w:r w:rsidR="00A617D3" w:rsidRPr="00930AA5">
        <w:rPr>
          <w:rFonts w:ascii="Arial" w:hAnsi="Arial" w:cs="Arial"/>
          <w:i/>
          <w:iCs/>
        </w:rPr>
        <w:t>et al.,</w:t>
      </w:r>
      <w:r w:rsidR="00A617D3" w:rsidRPr="00930AA5">
        <w:rPr>
          <w:rFonts w:ascii="Arial" w:hAnsi="Arial" w:cs="Arial"/>
        </w:rPr>
        <w:t xml:space="preserve"> 2008; </w:t>
      </w:r>
      <w:r w:rsidRPr="00930AA5">
        <w:rPr>
          <w:rFonts w:ascii="Arial" w:hAnsi="Arial" w:cs="Arial"/>
        </w:rPr>
        <w:t xml:space="preserve">Singh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2013). In Groups I, II and III, the decrease was statistically significant at specific time points compared to baseline (P &lt; 0.01), whereas Group IV showed a non-significant decline. Despite statistically significant reductions in some groups, respiratory rates remained within physiological limits throughout the </w:t>
      </w:r>
      <w:proofErr w:type="spellStart"/>
      <w:r w:rsidRPr="00930AA5">
        <w:rPr>
          <w:rFonts w:ascii="Arial" w:hAnsi="Arial" w:cs="Arial"/>
        </w:rPr>
        <w:t>anaesthetic</w:t>
      </w:r>
      <w:proofErr w:type="spellEnd"/>
      <w:r w:rsidRPr="00930AA5">
        <w:rPr>
          <w:rFonts w:ascii="Arial" w:hAnsi="Arial" w:cs="Arial"/>
        </w:rPr>
        <w:t xml:space="preserve"> period, indicating adequate respiratory safety. Similar findings have been reported following xylazine- and dexmedetomidine-based protocols in goats and other species (Abalos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2016; Aghamiri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2022; Ragab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2022).</w:t>
      </w:r>
    </w:p>
    <w:p w14:paraId="01F9BBA7" w14:textId="3B8AA730" w:rsidR="008A2C19" w:rsidRPr="00930AA5" w:rsidRDefault="008A2C19" w:rsidP="00CE76E7">
      <w:pPr>
        <w:ind w:firstLine="567"/>
        <w:jc w:val="both"/>
        <w:rPr>
          <w:rFonts w:ascii="Arial" w:hAnsi="Arial" w:cs="Arial"/>
        </w:rPr>
      </w:pPr>
      <w:r w:rsidRPr="00930AA5">
        <w:rPr>
          <w:rFonts w:ascii="Arial" w:hAnsi="Arial" w:cs="Arial"/>
        </w:rPr>
        <w:t>Pulse rate and heart rate showed mild, non-significant reductions following induction in all groups</w:t>
      </w:r>
      <w:r w:rsidR="00EC132A" w:rsidRPr="00930AA5">
        <w:rPr>
          <w:rFonts w:ascii="Arial" w:hAnsi="Arial" w:cs="Arial"/>
        </w:rPr>
        <w:t xml:space="preserve"> without clinically relevant </w:t>
      </w:r>
      <w:proofErr w:type="spellStart"/>
      <w:proofErr w:type="gramStart"/>
      <w:r w:rsidR="00EC132A" w:rsidRPr="00930AA5">
        <w:rPr>
          <w:rFonts w:ascii="Arial" w:hAnsi="Arial" w:cs="Arial"/>
        </w:rPr>
        <w:t>bradycardia.</w:t>
      </w:r>
      <w:r w:rsidRPr="00930AA5">
        <w:rPr>
          <w:rFonts w:ascii="Arial" w:hAnsi="Arial" w:cs="Arial"/>
        </w:rPr>
        <w:t>These</w:t>
      </w:r>
      <w:proofErr w:type="spellEnd"/>
      <w:proofErr w:type="gramEnd"/>
      <w:r w:rsidRPr="00930AA5">
        <w:rPr>
          <w:rFonts w:ascii="Arial" w:hAnsi="Arial" w:cs="Arial"/>
        </w:rPr>
        <w:t xml:space="preserve"> parameters remained stable and within physiological limits during maintenance and recovery phases. No statistically significant differences were observed either within or between groups at any recorded interval (P &gt; 0.05).</w:t>
      </w:r>
      <w:r w:rsidR="00EC132A" w:rsidRPr="00930AA5">
        <w:rPr>
          <w:rFonts w:ascii="Arial" w:hAnsi="Arial" w:cs="Arial"/>
        </w:rPr>
        <w:t xml:space="preserve"> </w:t>
      </w:r>
      <w:r w:rsidRPr="00930AA5">
        <w:rPr>
          <w:rFonts w:ascii="Arial" w:hAnsi="Arial" w:cs="Arial"/>
        </w:rPr>
        <w:t>This observation aligns with reports that tiletamine-zolazepam exerts sympathomimetic effects that counterbalance α</w:t>
      </w:r>
      <w:r w:rsidRPr="00930AA5">
        <w:rPr>
          <w:rFonts w:ascii="Cambria Math" w:hAnsi="Cambria Math" w:cs="Cambria Math"/>
        </w:rPr>
        <w:t>₂</w:t>
      </w:r>
      <w:r w:rsidRPr="00930AA5">
        <w:rPr>
          <w:rFonts w:ascii="Arial" w:hAnsi="Arial" w:cs="Arial"/>
        </w:rPr>
        <w:t>-agonist-induced cardiovascular depression (</w:t>
      </w:r>
      <w:proofErr w:type="spellStart"/>
      <w:r w:rsidRPr="00930AA5">
        <w:rPr>
          <w:rFonts w:ascii="Arial" w:hAnsi="Arial" w:cs="Arial"/>
        </w:rPr>
        <w:t>Ratnu</w:t>
      </w:r>
      <w:proofErr w:type="spellEnd"/>
      <w:r w:rsidRPr="00930AA5">
        <w:rPr>
          <w:rFonts w:ascii="Arial" w:hAnsi="Arial" w:cs="Arial"/>
        </w:rPr>
        <w:t xml:space="preserve">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2021). The stability of heart rate throughout maintenance and recovery suggests effective cardiovascular compensation, as previously reported in goats and dogs administered similar drug combinations (Stegmann, 1999; Hopster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2014).</w:t>
      </w:r>
    </w:p>
    <w:p w14:paraId="64A0AF36" w14:textId="1C378241" w:rsidR="008A2C19" w:rsidRPr="00930AA5" w:rsidRDefault="00EC132A" w:rsidP="00CE76E7">
      <w:pPr>
        <w:ind w:firstLine="567"/>
        <w:jc w:val="both"/>
        <w:rPr>
          <w:rFonts w:ascii="Arial" w:hAnsi="Arial" w:cs="Arial"/>
        </w:rPr>
      </w:pPr>
      <w:r w:rsidRPr="00930AA5">
        <w:rPr>
          <w:rFonts w:ascii="Arial" w:hAnsi="Arial" w:cs="Arial"/>
        </w:rPr>
        <w:t xml:space="preserve">Rectal temperature decreased significantly following induction of </w:t>
      </w:r>
      <w:proofErr w:type="spellStart"/>
      <w:r w:rsidRPr="00930AA5">
        <w:rPr>
          <w:rFonts w:ascii="Arial" w:hAnsi="Arial" w:cs="Arial"/>
        </w:rPr>
        <w:t>anaesthesia</w:t>
      </w:r>
      <w:proofErr w:type="spellEnd"/>
      <w:r w:rsidRPr="00930AA5">
        <w:rPr>
          <w:rFonts w:ascii="Arial" w:hAnsi="Arial" w:cs="Arial"/>
        </w:rPr>
        <w:t xml:space="preserve"> in all groups (P &lt; 0.01). The decline was evident as early as 10 minutes post-induction in Groups I, II and IV, whereas Group III showed a significant reduction at 25 minutes post-induction. Lower rectal temperatures persisted into the recovery phase, particularly in Groups III and IV. However, no significant differences were detected between groups at corresponding time points. </w:t>
      </w:r>
      <w:r w:rsidR="008A2C19" w:rsidRPr="00930AA5">
        <w:rPr>
          <w:rFonts w:ascii="Arial" w:hAnsi="Arial" w:cs="Arial"/>
        </w:rPr>
        <w:t>Rectal temperature decline</w:t>
      </w:r>
      <w:r w:rsidRPr="00930AA5">
        <w:rPr>
          <w:rFonts w:ascii="Arial" w:hAnsi="Arial" w:cs="Arial"/>
        </w:rPr>
        <w:t xml:space="preserve"> can be </w:t>
      </w:r>
      <w:r w:rsidR="008A2C19" w:rsidRPr="00930AA5">
        <w:rPr>
          <w:rFonts w:ascii="Arial" w:hAnsi="Arial" w:cs="Arial"/>
        </w:rPr>
        <w:t xml:space="preserve">likely due to depression of the thermoregulatory </w:t>
      </w:r>
      <w:proofErr w:type="spellStart"/>
      <w:r w:rsidR="008A2C19" w:rsidRPr="00930AA5">
        <w:rPr>
          <w:rFonts w:ascii="Arial" w:hAnsi="Arial" w:cs="Arial"/>
        </w:rPr>
        <w:t>centre</w:t>
      </w:r>
      <w:proofErr w:type="spellEnd"/>
      <w:r w:rsidR="008A2C19" w:rsidRPr="00930AA5">
        <w:rPr>
          <w:rFonts w:ascii="Arial" w:hAnsi="Arial" w:cs="Arial"/>
        </w:rPr>
        <w:t xml:space="preserve">, reduced metabolic rate and muscle relaxation associated with general </w:t>
      </w:r>
      <w:proofErr w:type="spellStart"/>
      <w:r w:rsidR="008A2C19" w:rsidRPr="00930AA5">
        <w:rPr>
          <w:rFonts w:ascii="Arial" w:hAnsi="Arial" w:cs="Arial"/>
        </w:rPr>
        <w:t>anaesthesia</w:t>
      </w:r>
      <w:proofErr w:type="spellEnd"/>
      <w:r w:rsidR="008A2C19" w:rsidRPr="00930AA5">
        <w:rPr>
          <w:rFonts w:ascii="Arial" w:hAnsi="Arial" w:cs="Arial"/>
        </w:rPr>
        <w:t xml:space="preserve"> (</w:t>
      </w:r>
      <w:proofErr w:type="spellStart"/>
      <w:r w:rsidR="008A2C19" w:rsidRPr="00930AA5">
        <w:rPr>
          <w:rFonts w:ascii="Arial" w:hAnsi="Arial" w:cs="Arial"/>
        </w:rPr>
        <w:t>Rajankutty</w:t>
      </w:r>
      <w:proofErr w:type="spellEnd"/>
      <w:r w:rsidR="008A2C19" w:rsidRPr="00930AA5">
        <w:rPr>
          <w:rFonts w:ascii="Arial" w:hAnsi="Arial" w:cs="Arial"/>
        </w:rPr>
        <w:t xml:space="preserve">, 1995; </w:t>
      </w:r>
      <w:proofErr w:type="spellStart"/>
      <w:r w:rsidR="008A2C19" w:rsidRPr="00930AA5">
        <w:rPr>
          <w:rFonts w:ascii="Arial" w:hAnsi="Arial" w:cs="Arial"/>
        </w:rPr>
        <w:t>Ratnu</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2021). The observed hypothermia remained within tolerable limits and was comparable to findings reported with both xylazine and dexmedetomidine-based </w:t>
      </w:r>
      <w:proofErr w:type="spellStart"/>
      <w:r w:rsidR="008A2C19" w:rsidRPr="00930AA5">
        <w:rPr>
          <w:rFonts w:ascii="Arial" w:hAnsi="Arial" w:cs="Arial"/>
        </w:rPr>
        <w:t>anaesthetic</w:t>
      </w:r>
      <w:proofErr w:type="spellEnd"/>
      <w:r w:rsidR="008A2C19" w:rsidRPr="00930AA5">
        <w:rPr>
          <w:rFonts w:ascii="Arial" w:hAnsi="Arial" w:cs="Arial"/>
        </w:rPr>
        <w:t xml:space="preserve"> protocols in goats (Kumar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2018; Ragab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w:t>
      </w:r>
    </w:p>
    <w:p w14:paraId="036E97A5" w14:textId="3FD9DFF5" w:rsidR="008A2C19" w:rsidRPr="00930AA5" w:rsidRDefault="00EC132A" w:rsidP="00CE76E7">
      <w:pPr>
        <w:ind w:firstLine="567"/>
        <w:jc w:val="both"/>
        <w:rPr>
          <w:rFonts w:ascii="Arial" w:hAnsi="Arial" w:cs="Arial"/>
        </w:rPr>
      </w:pPr>
      <w:r w:rsidRPr="00930AA5">
        <w:rPr>
          <w:rFonts w:ascii="Arial" w:hAnsi="Arial" w:cs="Arial"/>
        </w:rPr>
        <w:t xml:space="preserve">Capillary refill time increased significantly after induction in all groups (P &lt; 0.01) and remained elevated during maintenance and recovery, </w:t>
      </w:r>
      <w:r w:rsidR="008A2C19" w:rsidRPr="00930AA5">
        <w:rPr>
          <w:rFonts w:ascii="Arial" w:hAnsi="Arial" w:cs="Arial"/>
        </w:rPr>
        <w:t>but remained within normal physiological limits. This increase may be attributed to peripheral vasoconstriction induced by α</w:t>
      </w:r>
      <w:r w:rsidR="008A2C19" w:rsidRPr="00930AA5">
        <w:rPr>
          <w:rFonts w:ascii="Cambria Math" w:hAnsi="Cambria Math" w:cs="Cambria Math"/>
        </w:rPr>
        <w:t>₂</w:t>
      </w:r>
      <w:r w:rsidR="008A2C19" w:rsidRPr="00930AA5">
        <w:rPr>
          <w:rFonts w:ascii="Arial" w:hAnsi="Arial" w:cs="Arial"/>
        </w:rPr>
        <w:t xml:space="preserve">-adrenergic agonists (McSweeney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2012; Aghamiri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 </w:t>
      </w:r>
      <w:proofErr w:type="spellStart"/>
      <w:r w:rsidR="008A2C19" w:rsidRPr="00930AA5">
        <w:rPr>
          <w:rFonts w:ascii="Arial" w:hAnsi="Arial" w:cs="Arial"/>
        </w:rPr>
        <w:t>Salarpour</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  The consistently pale pink mucous membranes observed throughout the study indicated satisfactory peripheral perfusion.</w:t>
      </w:r>
    </w:p>
    <w:p w14:paraId="44BC4412" w14:textId="380ED877" w:rsidR="008A2C19" w:rsidRPr="00930AA5" w:rsidRDefault="00EC132A" w:rsidP="00CE76E7">
      <w:pPr>
        <w:ind w:firstLine="567"/>
        <w:jc w:val="both"/>
        <w:rPr>
          <w:rFonts w:ascii="Arial" w:hAnsi="Arial" w:cs="Arial"/>
        </w:rPr>
      </w:pPr>
      <w:r w:rsidRPr="00930AA5">
        <w:rPr>
          <w:rFonts w:ascii="Arial" w:hAnsi="Arial" w:cs="Arial"/>
        </w:rPr>
        <w:t>Peripheral oxygen saturation values remained within normal limits throughout the study in all groups. Groups II and III demonstrated a significant increase in SpO</w:t>
      </w:r>
      <w:r w:rsidRPr="00930AA5">
        <w:rPr>
          <w:rFonts w:ascii="Cambria Math" w:hAnsi="Cambria Math" w:cs="Cambria Math"/>
        </w:rPr>
        <w:t>₂</w:t>
      </w:r>
      <w:r w:rsidRPr="00930AA5">
        <w:rPr>
          <w:rFonts w:ascii="Arial" w:hAnsi="Arial" w:cs="Arial"/>
        </w:rPr>
        <w:t xml:space="preserve"> at later time points, particularly during recovery (P &lt; 0.01), whereas Groups I and IV showed no significant variation. A significant intergroup difference was observed only at the time of induction; thereafter, values were comparable among groups. </w:t>
      </w:r>
      <w:r w:rsidR="008A2C19" w:rsidRPr="00930AA5">
        <w:rPr>
          <w:rFonts w:ascii="Arial" w:hAnsi="Arial" w:cs="Arial"/>
        </w:rPr>
        <w:t>These changes are comparable to earlier reports in goats and dogs administered α</w:t>
      </w:r>
      <w:r w:rsidR="008A2C19" w:rsidRPr="00930AA5">
        <w:rPr>
          <w:rFonts w:ascii="Cambria Math" w:hAnsi="Cambria Math" w:cs="Cambria Math"/>
        </w:rPr>
        <w:t>₂</w:t>
      </w:r>
      <w:r w:rsidR="008A2C19" w:rsidRPr="00930AA5">
        <w:rPr>
          <w:rFonts w:ascii="Arial" w:hAnsi="Arial" w:cs="Arial"/>
        </w:rPr>
        <w:t>-agonist-based protocols (</w:t>
      </w:r>
      <w:proofErr w:type="spellStart"/>
      <w:r w:rsidR="008A2C19" w:rsidRPr="00930AA5">
        <w:rPr>
          <w:rFonts w:ascii="Arial" w:hAnsi="Arial" w:cs="Arial"/>
        </w:rPr>
        <w:t>Abouelfetouh</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2021; Salve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2022). The higher SpO</w:t>
      </w:r>
      <w:r w:rsidR="008A2C19" w:rsidRPr="00930AA5">
        <w:rPr>
          <w:rFonts w:ascii="Cambria Math" w:hAnsi="Cambria Math" w:cs="Cambria Math"/>
        </w:rPr>
        <w:t>₂</w:t>
      </w:r>
      <w:r w:rsidR="008A2C19" w:rsidRPr="00930AA5">
        <w:rPr>
          <w:rFonts w:ascii="Arial" w:hAnsi="Arial" w:cs="Arial"/>
        </w:rPr>
        <w:t xml:space="preserve"> values observed in intubated PIVA groups may be attributed to the administration of 100% oxygen during isoflurane maintenance (Hampton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2019). PIVA allowed improved oxygenation compared with TIVA (</w:t>
      </w:r>
      <w:r w:rsidR="00043A2C" w:rsidRPr="00930AA5">
        <w:rPr>
          <w:rFonts w:ascii="Arial" w:hAnsi="Arial" w:cs="Arial"/>
        </w:rPr>
        <w:t>Velazquez</w:t>
      </w:r>
      <w:r w:rsidR="008A2C19" w:rsidRPr="00930AA5">
        <w:rPr>
          <w:rFonts w:ascii="Arial" w:hAnsi="Arial" w:cs="Arial"/>
        </w:rPr>
        <w:t xml:space="preserve">-Delgado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2021).</w:t>
      </w:r>
    </w:p>
    <w:p w14:paraId="42B61137" w14:textId="77777777" w:rsidR="00EC132A" w:rsidRPr="00930AA5" w:rsidRDefault="00EC132A" w:rsidP="00EC132A">
      <w:pPr>
        <w:ind w:firstLine="567"/>
        <w:jc w:val="both"/>
        <w:rPr>
          <w:rFonts w:ascii="Arial" w:hAnsi="Arial" w:cs="Arial"/>
        </w:rPr>
      </w:pPr>
    </w:p>
    <w:p w14:paraId="0361368D" w14:textId="77777777" w:rsidR="00EC132A" w:rsidRPr="00930AA5" w:rsidRDefault="00EC132A" w:rsidP="00EC132A">
      <w:pPr>
        <w:jc w:val="both"/>
        <w:rPr>
          <w:rFonts w:ascii="Arial" w:hAnsi="Arial" w:cs="Arial"/>
          <w:b/>
          <w:bCs/>
        </w:rPr>
      </w:pPr>
      <w:r w:rsidRPr="00930AA5">
        <w:rPr>
          <w:rFonts w:ascii="Arial" w:hAnsi="Arial" w:cs="Arial"/>
          <w:b/>
          <w:bCs/>
        </w:rPr>
        <w:t xml:space="preserve">Table 2. Changes in physiological parameters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43767CD0" w14:textId="77777777" w:rsidR="00EC132A" w:rsidRPr="00930AA5" w:rsidRDefault="00EC132A" w:rsidP="00EC132A">
      <w:pPr>
        <w:jc w:val="both"/>
        <w:rPr>
          <w:rFonts w:ascii="Arial" w:hAnsi="Arial" w:cs="Arial"/>
          <w:b/>
          <w:bCs/>
        </w:rPr>
      </w:pPr>
    </w:p>
    <w:tbl>
      <w:tblPr>
        <w:tblStyle w:val="TableGrid"/>
        <w:tblW w:w="0" w:type="auto"/>
        <w:tblInd w:w="108" w:type="dxa"/>
        <w:tblLayout w:type="fixed"/>
        <w:tblLook w:val="04A0" w:firstRow="1" w:lastRow="0" w:firstColumn="1" w:lastColumn="0" w:noHBand="0" w:noVBand="1"/>
      </w:tblPr>
      <w:tblGrid>
        <w:gridCol w:w="2155"/>
        <w:gridCol w:w="1560"/>
        <w:gridCol w:w="1417"/>
        <w:gridCol w:w="1418"/>
        <w:gridCol w:w="1559"/>
        <w:gridCol w:w="1701"/>
      </w:tblGrid>
      <w:tr w:rsidR="00EC132A" w:rsidRPr="00930AA5" w14:paraId="0D1D53EA" w14:textId="77777777" w:rsidTr="00B33A51">
        <w:tc>
          <w:tcPr>
            <w:tcW w:w="2155" w:type="dxa"/>
            <w:vAlign w:val="center"/>
          </w:tcPr>
          <w:p w14:paraId="339F1D3E"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Parameter</w:t>
            </w:r>
          </w:p>
        </w:tc>
        <w:tc>
          <w:tcPr>
            <w:tcW w:w="1560" w:type="dxa"/>
            <w:vAlign w:val="center"/>
          </w:tcPr>
          <w:p w14:paraId="7A3199A7"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Time point</w:t>
            </w:r>
          </w:p>
        </w:tc>
        <w:tc>
          <w:tcPr>
            <w:tcW w:w="1417" w:type="dxa"/>
            <w:vAlign w:val="center"/>
          </w:tcPr>
          <w:p w14:paraId="5BE09C78"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w:t>
            </w:r>
          </w:p>
        </w:tc>
        <w:tc>
          <w:tcPr>
            <w:tcW w:w="1418" w:type="dxa"/>
            <w:vAlign w:val="center"/>
          </w:tcPr>
          <w:p w14:paraId="52DF8AB9"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II</w:t>
            </w:r>
          </w:p>
        </w:tc>
        <w:tc>
          <w:tcPr>
            <w:tcW w:w="1559" w:type="dxa"/>
            <w:vAlign w:val="center"/>
          </w:tcPr>
          <w:p w14:paraId="64D9C0F5"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III</w:t>
            </w:r>
          </w:p>
        </w:tc>
        <w:tc>
          <w:tcPr>
            <w:tcW w:w="1701" w:type="dxa"/>
            <w:vAlign w:val="center"/>
          </w:tcPr>
          <w:p w14:paraId="10CC6A79" w14:textId="77777777" w:rsidR="00EC132A" w:rsidRPr="00930AA5" w:rsidRDefault="00EC132A" w:rsidP="00CC1BD2">
            <w:pPr>
              <w:jc w:val="both"/>
              <w:rPr>
                <w:rFonts w:ascii="Arial" w:hAnsi="Arial" w:cs="Arial"/>
                <w:b/>
                <w:bCs/>
                <w:sz w:val="20"/>
                <w:szCs w:val="20"/>
              </w:rPr>
            </w:pPr>
            <w:r w:rsidRPr="00930AA5">
              <w:rPr>
                <w:rFonts w:ascii="Arial" w:hAnsi="Arial" w:cs="Arial"/>
                <w:b/>
                <w:bCs/>
                <w:sz w:val="20"/>
                <w:szCs w:val="20"/>
              </w:rPr>
              <w:t>Group IV</w:t>
            </w:r>
          </w:p>
        </w:tc>
      </w:tr>
      <w:tr w:rsidR="00B33A51" w:rsidRPr="00930AA5" w14:paraId="353F2B54" w14:textId="77777777" w:rsidTr="00B33A51">
        <w:tc>
          <w:tcPr>
            <w:tcW w:w="2155" w:type="dxa"/>
            <w:vMerge w:val="restart"/>
            <w:vAlign w:val="center"/>
          </w:tcPr>
          <w:p w14:paraId="3928F513" w14:textId="77777777" w:rsidR="00B33A51" w:rsidRPr="00930AA5" w:rsidRDefault="00B33A51" w:rsidP="00CC1BD2">
            <w:pPr>
              <w:rPr>
                <w:rFonts w:ascii="Arial" w:hAnsi="Arial" w:cs="Arial"/>
                <w:b/>
                <w:bCs/>
                <w:sz w:val="20"/>
                <w:szCs w:val="20"/>
              </w:rPr>
            </w:pPr>
            <w:r w:rsidRPr="00930AA5">
              <w:rPr>
                <w:rFonts w:ascii="Arial" w:hAnsi="Arial" w:cs="Arial"/>
                <w:sz w:val="20"/>
                <w:szCs w:val="20"/>
              </w:rPr>
              <w:t>Heart rate (beats/min)</w:t>
            </w:r>
          </w:p>
        </w:tc>
        <w:tc>
          <w:tcPr>
            <w:tcW w:w="1560" w:type="dxa"/>
            <w:vAlign w:val="center"/>
          </w:tcPr>
          <w:p w14:paraId="734EB52A"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2D88EF3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90.67</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7.17</w:t>
            </w:r>
          </w:p>
        </w:tc>
        <w:tc>
          <w:tcPr>
            <w:tcW w:w="1418" w:type="dxa"/>
            <w:vAlign w:val="center"/>
          </w:tcPr>
          <w:p w14:paraId="794ECF0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93</w:t>
            </w:r>
            <w:r w:rsidRPr="00930AA5">
              <w:rPr>
                <w:rFonts w:ascii="Arial" w:hAnsi="Arial" w:cs="Arial"/>
                <w:spacing w:val="-5"/>
                <w:sz w:val="20"/>
                <w:szCs w:val="20"/>
              </w:rPr>
              <w:t xml:space="preserve"> </w:t>
            </w:r>
            <w:r w:rsidRPr="00930AA5">
              <w:rPr>
                <w:rFonts w:ascii="Arial" w:hAnsi="Arial" w:cs="Arial"/>
                <w:sz w:val="20"/>
                <w:szCs w:val="20"/>
              </w:rPr>
              <w:t>±</w:t>
            </w:r>
            <w:r w:rsidRPr="00930AA5">
              <w:rPr>
                <w:rFonts w:ascii="Arial" w:hAnsi="Arial" w:cs="Arial"/>
                <w:spacing w:val="-5"/>
                <w:sz w:val="20"/>
                <w:szCs w:val="20"/>
              </w:rPr>
              <w:t xml:space="preserve"> </w:t>
            </w:r>
            <w:r w:rsidRPr="00930AA5">
              <w:rPr>
                <w:rFonts w:ascii="Arial" w:hAnsi="Arial" w:cs="Arial"/>
                <w:sz w:val="20"/>
                <w:szCs w:val="20"/>
              </w:rPr>
              <w:t>6.35</w:t>
            </w:r>
          </w:p>
        </w:tc>
        <w:tc>
          <w:tcPr>
            <w:tcW w:w="1559" w:type="dxa"/>
            <w:vAlign w:val="center"/>
          </w:tcPr>
          <w:p w14:paraId="5F6A0208"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83.17</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5.49</w:t>
            </w:r>
          </w:p>
        </w:tc>
        <w:tc>
          <w:tcPr>
            <w:tcW w:w="1701" w:type="dxa"/>
            <w:vAlign w:val="center"/>
          </w:tcPr>
          <w:p w14:paraId="00DCE4B9"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87.67</w:t>
            </w:r>
            <w:r w:rsidRPr="00930AA5">
              <w:rPr>
                <w:rFonts w:ascii="Arial" w:hAnsi="Arial" w:cs="Arial"/>
                <w:spacing w:val="-4"/>
                <w:sz w:val="20"/>
                <w:szCs w:val="20"/>
              </w:rPr>
              <w:t>±</w:t>
            </w:r>
            <w:r w:rsidRPr="00930AA5">
              <w:rPr>
                <w:rFonts w:ascii="Arial" w:hAnsi="Arial" w:cs="Arial"/>
                <w:sz w:val="20"/>
                <w:szCs w:val="20"/>
              </w:rPr>
              <w:t>11.86</w:t>
            </w:r>
          </w:p>
        </w:tc>
      </w:tr>
      <w:tr w:rsidR="00B33A51" w:rsidRPr="00930AA5" w14:paraId="7123AC34" w14:textId="77777777" w:rsidTr="00B33A51">
        <w:tc>
          <w:tcPr>
            <w:tcW w:w="2155" w:type="dxa"/>
            <w:vMerge/>
            <w:vAlign w:val="center"/>
          </w:tcPr>
          <w:p w14:paraId="536E101B" w14:textId="77777777" w:rsidR="00B33A51" w:rsidRPr="00930AA5" w:rsidRDefault="00B33A51" w:rsidP="00CC1BD2">
            <w:pPr>
              <w:jc w:val="both"/>
              <w:rPr>
                <w:rFonts w:ascii="Arial" w:hAnsi="Arial" w:cs="Arial"/>
                <w:b/>
                <w:bCs/>
                <w:sz w:val="20"/>
                <w:szCs w:val="20"/>
              </w:rPr>
            </w:pPr>
          </w:p>
        </w:tc>
        <w:tc>
          <w:tcPr>
            <w:tcW w:w="1560" w:type="dxa"/>
            <w:vAlign w:val="center"/>
          </w:tcPr>
          <w:p w14:paraId="406CB1F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24F32958"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76.00</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2.90</w:t>
            </w:r>
          </w:p>
        </w:tc>
        <w:tc>
          <w:tcPr>
            <w:tcW w:w="1418" w:type="dxa"/>
            <w:vAlign w:val="center"/>
          </w:tcPr>
          <w:p w14:paraId="1F85D0B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84.5</w:t>
            </w:r>
            <w:r w:rsidRPr="00930AA5">
              <w:rPr>
                <w:rFonts w:ascii="Arial" w:hAnsi="Arial" w:cs="Arial"/>
                <w:spacing w:val="-5"/>
                <w:sz w:val="20"/>
                <w:szCs w:val="20"/>
              </w:rPr>
              <w:t>±</w:t>
            </w:r>
            <w:r w:rsidRPr="00930AA5">
              <w:rPr>
                <w:rFonts w:ascii="Arial" w:hAnsi="Arial" w:cs="Arial"/>
                <w:spacing w:val="-57"/>
                <w:sz w:val="20"/>
                <w:szCs w:val="20"/>
              </w:rPr>
              <w:t xml:space="preserve"> </w:t>
            </w:r>
            <w:r w:rsidRPr="00930AA5">
              <w:rPr>
                <w:rFonts w:ascii="Arial" w:hAnsi="Arial" w:cs="Arial"/>
                <w:sz w:val="20"/>
                <w:szCs w:val="20"/>
              </w:rPr>
              <w:t>5.35</w:t>
            </w:r>
          </w:p>
        </w:tc>
        <w:tc>
          <w:tcPr>
            <w:tcW w:w="1559" w:type="dxa"/>
            <w:vAlign w:val="center"/>
          </w:tcPr>
          <w:p w14:paraId="6BA3C0D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83.33</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6.56</w:t>
            </w:r>
          </w:p>
        </w:tc>
        <w:tc>
          <w:tcPr>
            <w:tcW w:w="1701" w:type="dxa"/>
            <w:vAlign w:val="center"/>
          </w:tcPr>
          <w:p w14:paraId="042A985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77 ± 9.14</w:t>
            </w:r>
          </w:p>
        </w:tc>
      </w:tr>
      <w:tr w:rsidR="00B33A51" w:rsidRPr="00930AA5" w14:paraId="71E67C35" w14:textId="77777777" w:rsidTr="00B33A51">
        <w:tc>
          <w:tcPr>
            <w:tcW w:w="2155" w:type="dxa"/>
            <w:vMerge/>
            <w:vAlign w:val="center"/>
          </w:tcPr>
          <w:p w14:paraId="00923C3C" w14:textId="77777777" w:rsidR="00B33A51" w:rsidRPr="00930AA5" w:rsidRDefault="00B33A51" w:rsidP="00CC1BD2">
            <w:pPr>
              <w:jc w:val="both"/>
              <w:rPr>
                <w:rFonts w:ascii="Arial" w:hAnsi="Arial" w:cs="Arial"/>
                <w:b/>
                <w:bCs/>
                <w:sz w:val="20"/>
                <w:szCs w:val="20"/>
              </w:rPr>
            </w:pPr>
          </w:p>
        </w:tc>
        <w:tc>
          <w:tcPr>
            <w:tcW w:w="1560" w:type="dxa"/>
            <w:vAlign w:val="center"/>
          </w:tcPr>
          <w:p w14:paraId="051D684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5436DC5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77.67</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2.54</w:t>
            </w:r>
          </w:p>
        </w:tc>
        <w:tc>
          <w:tcPr>
            <w:tcW w:w="1418" w:type="dxa"/>
            <w:vAlign w:val="center"/>
          </w:tcPr>
          <w:p w14:paraId="57AED0F2"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83.33</w:t>
            </w:r>
            <w:r w:rsidRPr="00930AA5">
              <w:rPr>
                <w:rFonts w:ascii="Arial" w:hAnsi="Arial" w:cs="Arial"/>
                <w:spacing w:val="-5"/>
                <w:sz w:val="20"/>
                <w:szCs w:val="20"/>
              </w:rPr>
              <w:t>±</w:t>
            </w:r>
            <w:r w:rsidRPr="00930AA5">
              <w:rPr>
                <w:rFonts w:ascii="Arial" w:hAnsi="Arial" w:cs="Arial"/>
                <w:spacing w:val="-57"/>
                <w:sz w:val="20"/>
                <w:szCs w:val="20"/>
              </w:rPr>
              <w:t xml:space="preserve"> </w:t>
            </w:r>
            <w:r w:rsidRPr="00930AA5">
              <w:rPr>
                <w:rFonts w:ascii="Arial" w:hAnsi="Arial" w:cs="Arial"/>
                <w:sz w:val="20"/>
                <w:szCs w:val="20"/>
              </w:rPr>
              <w:t>7.77</w:t>
            </w:r>
          </w:p>
        </w:tc>
        <w:tc>
          <w:tcPr>
            <w:tcW w:w="1559" w:type="dxa"/>
            <w:vAlign w:val="center"/>
          </w:tcPr>
          <w:p w14:paraId="6892B35F"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80.50</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40</w:t>
            </w:r>
          </w:p>
        </w:tc>
        <w:tc>
          <w:tcPr>
            <w:tcW w:w="1701" w:type="dxa"/>
            <w:vAlign w:val="center"/>
          </w:tcPr>
          <w:p w14:paraId="5EF82D1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85.33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9.97</w:t>
            </w:r>
          </w:p>
        </w:tc>
      </w:tr>
      <w:tr w:rsidR="00B33A51" w:rsidRPr="00930AA5" w14:paraId="5FBDEE8D" w14:textId="77777777" w:rsidTr="00B33A51">
        <w:tc>
          <w:tcPr>
            <w:tcW w:w="2155" w:type="dxa"/>
            <w:vMerge/>
            <w:vAlign w:val="center"/>
          </w:tcPr>
          <w:p w14:paraId="3237E794" w14:textId="77777777" w:rsidR="00B33A51" w:rsidRPr="00930AA5" w:rsidRDefault="00B33A51" w:rsidP="00CC1BD2">
            <w:pPr>
              <w:jc w:val="both"/>
              <w:rPr>
                <w:rFonts w:ascii="Arial" w:hAnsi="Arial" w:cs="Arial"/>
                <w:b/>
                <w:bCs/>
                <w:sz w:val="20"/>
                <w:szCs w:val="20"/>
              </w:rPr>
            </w:pPr>
          </w:p>
        </w:tc>
        <w:tc>
          <w:tcPr>
            <w:tcW w:w="1560" w:type="dxa"/>
            <w:vAlign w:val="center"/>
          </w:tcPr>
          <w:p w14:paraId="25BBE904"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34E70689"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86.33</w:t>
            </w:r>
            <w:r w:rsidRPr="00930AA5">
              <w:rPr>
                <w:rFonts w:ascii="Arial" w:hAnsi="Arial" w:cs="Arial"/>
                <w:spacing w:val="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7.83</w:t>
            </w:r>
          </w:p>
        </w:tc>
        <w:tc>
          <w:tcPr>
            <w:tcW w:w="1418" w:type="dxa"/>
            <w:vAlign w:val="center"/>
          </w:tcPr>
          <w:p w14:paraId="1DF28592"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77.6</w:t>
            </w:r>
            <w:r w:rsidRPr="00930AA5">
              <w:rPr>
                <w:rFonts w:ascii="Arial" w:hAnsi="Arial" w:cs="Arial"/>
                <w:spacing w:val="-5"/>
                <w:sz w:val="20"/>
                <w:szCs w:val="20"/>
              </w:rPr>
              <w:t>±</w:t>
            </w:r>
            <w:r w:rsidRPr="00930AA5">
              <w:rPr>
                <w:rFonts w:ascii="Arial" w:hAnsi="Arial" w:cs="Arial"/>
                <w:spacing w:val="-57"/>
                <w:sz w:val="20"/>
                <w:szCs w:val="20"/>
              </w:rPr>
              <w:t xml:space="preserve"> </w:t>
            </w:r>
            <w:r w:rsidRPr="00930AA5">
              <w:rPr>
                <w:rFonts w:ascii="Arial" w:hAnsi="Arial" w:cs="Arial"/>
                <w:sz w:val="20"/>
                <w:szCs w:val="20"/>
              </w:rPr>
              <w:t>6.83</w:t>
            </w:r>
          </w:p>
        </w:tc>
        <w:tc>
          <w:tcPr>
            <w:tcW w:w="1559" w:type="dxa"/>
            <w:vAlign w:val="center"/>
          </w:tcPr>
          <w:p w14:paraId="7BFAF6A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78.5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5.46</w:t>
            </w:r>
          </w:p>
        </w:tc>
        <w:tc>
          <w:tcPr>
            <w:tcW w:w="1701" w:type="dxa"/>
            <w:vAlign w:val="center"/>
          </w:tcPr>
          <w:p w14:paraId="65D60D02"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88.17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10.66</w:t>
            </w:r>
          </w:p>
        </w:tc>
      </w:tr>
      <w:tr w:rsidR="00B33A51" w:rsidRPr="00930AA5" w14:paraId="2A133E2F" w14:textId="77777777" w:rsidTr="00B33A51">
        <w:tc>
          <w:tcPr>
            <w:tcW w:w="2155" w:type="dxa"/>
            <w:vMerge w:val="restart"/>
            <w:vAlign w:val="center"/>
          </w:tcPr>
          <w:p w14:paraId="7928DCDA" w14:textId="2D8682E9" w:rsidR="00B33A51" w:rsidRPr="00930AA5" w:rsidRDefault="00B33A51" w:rsidP="00B33A51">
            <w:pPr>
              <w:rPr>
                <w:rFonts w:ascii="Arial" w:hAnsi="Arial" w:cs="Arial"/>
                <w:b/>
                <w:bCs/>
                <w:sz w:val="20"/>
                <w:szCs w:val="20"/>
              </w:rPr>
            </w:pPr>
            <w:r w:rsidRPr="00930AA5">
              <w:rPr>
                <w:rFonts w:ascii="Arial" w:hAnsi="Arial" w:cs="Arial"/>
                <w:sz w:val="20"/>
                <w:szCs w:val="20"/>
              </w:rPr>
              <w:t>Respiratory rate (breaths/min)</w:t>
            </w:r>
          </w:p>
        </w:tc>
        <w:tc>
          <w:tcPr>
            <w:tcW w:w="1560" w:type="dxa"/>
            <w:vAlign w:val="center"/>
          </w:tcPr>
          <w:p w14:paraId="2FAD89F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2F936CE1"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32.67±4.57</w:t>
            </w:r>
            <w:r w:rsidRPr="00930AA5">
              <w:rPr>
                <w:rFonts w:ascii="Arial" w:hAnsi="Arial" w:cs="Arial"/>
                <w:sz w:val="20"/>
                <w:szCs w:val="20"/>
                <w:vertAlign w:val="superscript"/>
              </w:rPr>
              <w:t>a</w:t>
            </w:r>
          </w:p>
        </w:tc>
        <w:tc>
          <w:tcPr>
            <w:tcW w:w="1418" w:type="dxa"/>
            <w:vAlign w:val="center"/>
          </w:tcPr>
          <w:p w14:paraId="45C4AF88"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33.67±2.16</w:t>
            </w:r>
            <w:r w:rsidRPr="00930AA5">
              <w:rPr>
                <w:rFonts w:ascii="Arial" w:hAnsi="Arial" w:cs="Arial"/>
                <w:sz w:val="20"/>
                <w:szCs w:val="20"/>
                <w:vertAlign w:val="superscript"/>
              </w:rPr>
              <w:t>a</w:t>
            </w:r>
          </w:p>
        </w:tc>
        <w:tc>
          <w:tcPr>
            <w:tcW w:w="1559" w:type="dxa"/>
            <w:vAlign w:val="center"/>
          </w:tcPr>
          <w:p w14:paraId="258ECC4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31.83</w:t>
            </w:r>
            <w:r w:rsidRPr="00930AA5">
              <w:rPr>
                <w:rFonts w:ascii="Arial" w:hAnsi="Arial" w:cs="Arial"/>
                <w:spacing w:val="46"/>
                <w:sz w:val="20"/>
                <w:szCs w:val="20"/>
              </w:rPr>
              <w:t xml:space="preserve"> </w:t>
            </w:r>
            <w:r w:rsidRPr="00930AA5">
              <w:rPr>
                <w:rFonts w:ascii="Arial" w:hAnsi="Arial" w:cs="Arial"/>
                <w:sz w:val="20"/>
                <w:szCs w:val="20"/>
              </w:rPr>
              <w:t>±2.17</w:t>
            </w:r>
            <w:r w:rsidRPr="00930AA5">
              <w:rPr>
                <w:rFonts w:ascii="Arial" w:hAnsi="Arial" w:cs="Arial"/>
                <w:sz w:val="20"/>
                <w:szCs w:val="20"/>
                <w:vertAlign w:val="superscript"/>
              </w:rPr>
              <w:t>a</w:t>
            </w:r>
          </w:p>
        </w:tc>
        <w:tc>
          <w:tcPr>
            <w:tcW w:w="1701" w:type="dxa"/>
            <w:vAlign w:val="center"/>
          </w:tcPr>
          <w:p w14:paraId="72405BE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33.00±2.11</w:t>
            </w:r>
          </w:p>
        </w:tc>
      </w:tr>
      <w:tr w:rsidR="00B33A51" w:rsidRPr="00930AA5" w14:paraId="39056D3B" w14:textId="77777777" w:rsidTr="00B33A51">
        <w:tc>
          <w:tcPr>
            <w:tcW w:w="2155" w:type="dxa"/>
            <w:vMerge/>
            <w:vAlign w:val="center"/>
          </w:tcPr>
          <w:p w14:paraId="3F4555A2" w14:textId="77777777" w:rsidR="00B33A51" w:rsidRPr="00930AA5" w:rsidRDefault="00B33A51" w:rsidP="00CC1BD2">
            <w:pPr>
              <w:jc w:val="both"/>
              <w:rPr>
                <w:rFonts w:ascii="Arial" w:hAnsi="Arial" w:cs="Arial"/>
                <w:b/>
                <w:bCs/>
                <w:sz w:val="20"/>
                <w:szCs w:val="20"/>
              </w:rPr>
            </w:pPr>
          </w:p>
        </w:tc>
        <w:tc>
          <w:tcPr>
            <w:tcW w:w="1560" w:type="dxa"/>
            <w:vAlign w:val="center"/>
          </w:tcPr>
          <w:p w14:paraId="61F30968"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43BCC7A7"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26.33±2.95</w:t>
            </w:r>
            <w:r w:rsidRPr="00930AA5">
              <w:rPr>
                <w:rFonts w:ascii="Arial" w:hAnsi="Arial" w:cs="Arial"/>
                <w:sz w:val="20"/>
                <w:szCs w:val="20"/>
                <w:vertAlign w:val="superscript"/>
              </w:rPr>
              <w:t>ab</w:t>
            </w:r>
          </w:p>
        </w:tc>
        <w:tc>
          <w:tcPr>
            <w:tcW w:w="1418" w:type="dxa"/>
            <w:vAlign w:val="center"/>
          </w:tcPr>
          <w:p w14:paraId="3C44289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25.67</w:t>
            </w:r>
            <w:r w:rsidRPr="00930AA5">
              <w:rPr>
                <w:rFonts w:ascii="Arial" w:hAnsi="Arial" w:cs="Arial"/>
                <w:spacing w:val="-5"/>
                <w:sz w:val="20"/>
                <w:szCs w:val="20"/>
              </w:rPr>
              <w:t>±</w:t>
            </w:r>
            <w:r w:rsidRPr="00930AA5">
              <w:rPr>
                <w:rFonts w:ascii="Arial" w:hAnsi="Arial" w:cs="Arial"/>
                <w:sz w:val="20"/>
                <w:szCs w:val="20"/>
              </w:rPr>
              <w:t>2.79</w:t>
            </w:r>
            <w:r w:rsidRPr="00930AA5">
              <w:rPr>
                <w:rFonts w:ascii="Arial" w:hAnsi="Arial" w:cs="Arial"/>
                <w:sz w:val="20"/>
                <w:szCs w:val="20"/>
                <w:vertAlign w:val="superscript"/>
              </w:rPr>
              <w:t>b</w:t>
            </w:r>
          </w:p>
        </w:tc>
        <w:tc>
          <w:tcPr>
            <w:tcW w:w="1559" w:type="dxa"/>
            <w:vAlign w:val="center"/>
          </w:tcPr>
          <w:p w14:paraId="1DD5D0F2"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22.67±3.98</w:t>
            </w:r>
            <w:r w:rsidRPr="00930AA5">
              <w:rPr>
                <w:rFonts w:ascii="Arial" w:hAnsi="Arial" w:cs="Arial"/>
                <w:sz w:val="20"/>
                <w:szCs w:val="20"/>
                <w:vertAlign w:val="superscript"/>
              </w:rPr>
              <w:t>ab</w:t>
            </w:r>
          </w:p>
        </w:tc>
        <w:tc>
          <w:tcPr>
            <w:tcW w:w="1701" w:type="dxa"/>
            <w:vAlign w:val="center"/>
          </w:tcPr>
          <w:p w14:paraId="2EBD8E3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24.83</w:t>
            </w:r>
            <w:r w:rsidRPr="00930AA5">
              <w:rPr>
                <w:rFonts w:ascii="Arial" w:hAnsi="Arial" w:cs="Arial"/>
                <w:spacing w:val="-4"/>
                <w:sz w:val="20"/>
                <w:szCs w:val="20"/>
              </w:rPr>
              <w:t>±</w:t>
            </w:r>
            <w:r w:rsidRPr="00930AA5">
              <w:rPr>
                <w:rFonts w:ascii="Arial" w:hAnsi="Arial" w:cs="Arial"/>
                <w:sz w:val="20"/>
                <w:szCs w:val="20"/>
              </w:rPr>
              <w:t>3.18</w:t>
            </w:r>
          </w:p>
        </w:tc>
      </w:tr>
      <w:tr w:rsidR="00B33A51" w:rsidRPr="00930AA5" w14:paraId="1442F9EC" w14:textId="77777777" w:rsidTr="00B33A51">
        <w:tc>
          <w:tcPr>
            <w:tcW w:w="2155" w:type="dxa"/>
            <w:vMerge/>
            <w:vAlign w:val="center"/>
          </w:tcPr>
          <w:p w14:paraId="203C5271" w14:textId="77777777" w:rsidR="00B33A51" w:rsidRPr="00930AA5" w:rsidRDefault="00B33A51" w:rsidP="00CC1BD2">
            <w:pPr>
              <w:jc w:val="both"/>
              <w:rPr>
                <w:rFonts w:ascii="Arial" w:hAnsi="Arial" w:cs="Arial"/>
                <w:b/>
                <w:bCs/>
                <w:sz w:val="20"/>
                <w:szCs w:val="20"/>
              </w:rPr>
            </w:pPr>
          </w:p>
        </w:tc>
        <w:tc>
          <w:tcPr>
            <w:tcW w:w="1560" w:type="dxa"/>
            <w:vAlign w:val="center"/>
          </w:tcPr>
          <w:p w14:paraId="45338301"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6435A1EA"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20.67±</w:t>
            </w:r>
            <w:r w:rsidRPr="00930AA5">
              <w:rPr>
                <w:rFonts w:ascii="Arial" w:hAnsi="Arial" w:cs="Arial"/>
                <w:spacing w:val="-57"/>
                <w:sz w:val="20"/>
                <w:szCs w:val="20"/>
              </w:rPr>
              <w:t xml:space="preserve"> </w:t>
            </w:r>
            <w:r w:rsidRPr="00930AA5">
              <w:rPr>
                <w:rFonts w:ascii="Arial" w:hAnsi="Arial" w:cs="Arial"/>
                <w:sz w:val="20"/>
                <w:szCs w:val="20"/>
              </w:rPr>
              <w:t>3.01</w:t>
            </w:r>
            <w:r w:rsidRPr="00930AA5">
              <w:rPr>
                <w:rFonts w:ascii="Arial" w:hAnsi="Arial" w:cs="Arial"/>
                <w:sz w:val="20"/>
                <w:szCs w:val="20"/>
                <w:vertAlign w:val="superscript"/>
              </w:rPr>
              <w:t>ab</w:t>
            </w:r>
          </w:p>
        </w:tc>
        <w:tc>
          <w:tcPr>
            <w:tcW w:w="1418" w:type="dxa"/>
            <w:vAlign w:val="center"/>
          </w:tcPr>
          <w:p w14:paraId="78918511"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24.17</w:t>
            </w:r>
            <w:r w:rsidRPr="00930AA5">
              <w:rPr>
                <w:rFonts w:ascii="Arial" w:hAnsi="Arial" w:cs="Arial"/>
                <w:spacing w:val="-5"/>
                <w:sz w:val="20"/>
                <w:szCs w:val="20"/>
              </w:rPr>
              <w:t>±</w:t>
            </w:r>
            <w:r w:rsidRPr="00930AA5">
              <w:rPr>
                <w:rFonts w:ascii="Arial" w:hAnsi="Arial" w:cs="Arial"/>
                <w:sz w:val="20"/>
                <w:szCs w:val="20"/>
              </w:rPr>
              <w:t>3.36</w:t>
            </w:r>
            <w:r w:rsidRPr="00930AA5">
              <w:rPr>
                <w:rFonts w:ascii="Arial" w:hAnsi="Arial" w:cs="Arial"/>
                <w:sz w:val="20"/>
                <w:szCs w:val="20"/>
                <w:vertAlign w:val="superscript"/>
              </w:rPr>
              <w:t>b</w:t>
            </w:r>
          </w:p>
        </w:tc>
        <w:tc>
          <w:tcPr>
            <w:tcW w:w="1559" w:type="dxa"/>
            <w:vAlign w:val="center"/>
          </w:tcPr>
          <w:p w14:paraId="01AACF12"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21.17</w:t>
            </w:r>
            <w:r w:rsidRPr="00930AA5">
              <w:rPr>
                <w:rFonts w:ascii="Arial" w:hAnsi="Arial" w:cs="Arial"/>
                <w:spacing w:val="31"/>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1.97</w:t>
            </w:r>
            <w:r w:rsidRPr="00930AA5">
              <w:rPr>
                <w:rFonts w:ascii="Arial" w:hAnsi="Arial" w:cs="Arial"/>
                <w:sz w:val="20"/>
                <w:szCs w:val="20"/>
                <w:vertAlign w:val="superscript"/>
              </w:rPr>
              <w:t>b</w:t>
            </w:r>
          </w:p>
        </w:tc>
        <w:tc>
          <w:tcPr>
            <w:tcW w:w="1701" w:type="dxa"/>
            <w:vAlign w:val="center"/>
          </w:tcPr>
          <w:p w14:paraId="10D69C9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25.50</w:t>
            </w:r>
            <w:r w:rsidRPr="00930AA5">
              <w:rPr>
                <w:rFonts w:ascii="Arial" w:hAnsi="Arial" w:cs="Arial"/>
                <w:spacing w:val="-4"/>
                <w:sz w:val="20"/>
                <w:szCs w:val="20"/>
              </w:rPr>
              <w:t>±</w:t>
            </w:r>
            <w:r w:rsidRPr="00930AA5">
              <w:rPr>
                <w:rFonts w:ascii="Arial" w:hAnsi="Arial" w:cs="Arial"/>
                <w:sz w:val="20"/>
                <w:szCs w:val="20"/>
              </w:rPr>
              <w:t>3.62</w:t>
            </w:r>
          </w:p>
        </w:tc>
      </w:tr>
      <w:tr w:rsidR="00B33A51" w:rsidRPr="00930AA5" w14:paraId="6FCDE5A7" w14:textId="77777777" w:rsidTr="00B33A51">
        <w:tc>
          <w:tcPr>
            <w:tcW w:w="2155" w:type="dxa"/>
            <w:vMerge/>
            <w:vAlign w:val="center"/>
          </w:tcPr>
          <w:p w14:paraId="687A96C4" w14:textId="77777777" w:rsidR="00B33A51" w:rsidRPr="00930AA5" w:rsidRDefault="00B33A51" w:rsidP="00CC1BD2">
            <w:pPr>
              <w:jc w:val="both"/>
              <w:rPr>
                <w:rFonts w:ascii="Arial" w:hAnsi="Arial" w:cs="Arial"/>
                <w:b/>
                <w:bCs/>
                <w:sz w:val="20"/>
                <w:szCs w:val="20"/>
              </w:rPr>
            </w:pPr>
          </w:p>
        </w:tc>
        <w:tc>
          <w:tcPr>
            <w:tcW w:w="1560" w:type="dxa"/>
            <w:vAlign w:val="center"/>
          </w:tcPr>
          <w:p w14:paraId="41F6DAB5"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3631351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21.00</w:t>
            </w:r>
            <w:r w:rsidRPr="00930AA5">
              <w:rPr>
                <w:rFonts w:ascii="Arial" w:hAnsi="Arial" w:cs="Arial"/>
                <w:spacing w:val="19"/>
                <w:sz w:val="20"/>
                <w:szCs w:val="20"/>
              </w:rPr>
              <w:t xml:space="preserve"> </w:t>
            </w:r>
            <w:r w:rsidRPr="00930AA5">
              <w:rPr>
                <w:rFonts w:ascii="Arial" w:hAnsi="Arial" w:cs="Arial"/>
                <w:sz w:val="20"/>
                <w:szCs w:val="20"/>
              </w:rPr>
              <w:t>±2.66</w:t>
            </w:r>
            <w:r w:rsidRPr="00930AA5">
              <w:rPr>
                <w:rFonts w:ascii="Arial" w:hAnsi="Arial" w:cs="Arial"/>
                <w:sz w:val="20"/>
                <w:szCs w:val="20"/>
                <w:vertAlign w:val="superscript"/>
              </w:rPr>
              <w:t>b</w:t>
            </w:r>
          </w:p>
        </w:tc>
        <w:tc>
          <w:tcPr>
            <w:tcW w:w="1418" w:type="dxa"/>
            <w:vAlign w:val="center"/>
          </w:tcPr>
          <w:p w14:paraId="18CF4778"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22.17±2.34</w:t>
            </w:r>
            <w:r w:rsidRPr="00930AA5">
              <w:rPr>
                <w:rFonts w:ascii="Arial" w:hAnsi="Arial" w:cs="Arial"/>
                <w:sz w:val="20"/>
                <w:szCs w:val="20"/>
                <w:vertAlign w:val="superscript"/>
              </w:rPr>
              <w:t>b</w:t>
            </w:r>
          </w:p>
        </w:tc>
        <w:tc>
          <w:tcPr>
            <w:tcW w:w="1559" w:type="dxa"/>
            <w:vAlign w:val="center"/>
          </w:tcPr>
          <w:p w14:paraId="62F58754"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21.83±0.91</w:t>
            </w:r>
            <w:r w:rsidRPr="00930AA5">
              <w:rPr>
                <w:rFonts w:ascii="Arial" w:hAnsi="Arial" w:cs="Arial"/>
                <w:sz w:val="20"/>
                <w:szCs w:val="20"/>
                <w:vertAlign w:val="superscript"/>
              </w:rPr>
              <w:t>b</w:t>
            </w:r>
          </w:p>
        </w:tc>
        <w:tc>
          <w:tcPr>
            <w:tcW w:w="1701" w:type="dxa"/>
            <w:vAlign w:val="center"/>
          </w:tcPr>
          <w:p w14:paraId="00559F53"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23.17±3.48</w:t>
            </w:r>
          </w:p>
        </w:tc>
      </w:tr>
      <w:tr w:rsidR="00B33A51" w:rsidRPr="00930AA5" w14:paraId="6ECC708E" w14:textId="77777777" w:rsidTr="00B33A51">
        <w:tc>
          <w:tcPr>
            <w:tcW w:w="2155" w:type="dxa"/>
            <w:vMerge w:val="restart"/>
            <w:vAlign w:val="center"/>
          </w:tcPr>
          <w:p w14:paraId="48F021D8" w14:textId="77777777" w:rsidR="00B33A51" w:rsidRPr="00930AA5" w:rsidRDefault="00B33A51" w:rsidP="00B33A51">
            <w:pPr>
              <w:ind w:right="-107"/>
              <w:rPr>
                <w:rFonts w:ascii="Arial" w:hAnsi="Arial" w:cs="Arial"/>
                <w:b/>
                <w:bCs/>
                <w:sz w:val="20"/>
                <w:szCs w:val="20"/>
              </w:rPr>
            </w:pPr>
            <w:r w:rsidRPr="00930AA5">
              <w:rPr>
                <w:rFonts w:ascii="Arial" w:hAnsi="Arial" w:cs="Arial"/>
                <w:sz w:val="20"/>
                <w:szCs w:val="20"/>
              </w:rPr>
              <w:t>Rectal temperature (°C)</w:t>
            </w:r>
          </w:p>
        </w:tc>
        <w:tc>
          <w:tcPr>
            <w:tcW w:w="1560" w:type="dxa"/>
            <w:vAlign w:val="center"/>
          </w:tcPr>
          <w:p w14:paraId="3F4F2C2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5B5E392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38.98</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0.22</w:t>
            </w:r>
            <w:r w:rsidRPr="00930AA5">
              <w:rPr>
                <w:rFonts w:ascii="Arial" w:hAnsi="Arial" w:cs="Arial"/>
                <w:sz w:val="20"/>
                <w:szCs w:val="20"/>
                <w:vertAlign w:val="superscript"/>
              </w:rPr>
              <w:t>a</w:t>
            </w:r>
          </w:p>
        </w:tc>
        <w:tc>
          <w:tcPr>
            <w:tcW w:w="1418" w:type="dxa"/>
            <w:vAlign w:val="center"/>
          </w:tcPr>
          <w:p w14:paraId="48C3443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38.88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0.26</w:t>
            </w:r>
            <w:r w:rsidRPr="00930AA5">
              <w:rPr>
                <w:rFonts w:ascii="Arial" w:hAnsi="Arial" w:cs="Arial"/>
                <w:sz w:val="20"/>
                <w:szCs w:val="20"/>
                <w:vertAlign w:val="superscript"/>
              </w:rPr>
              <w:t>a</w:t>
            </w:r>
          </w:p>
        </w:tc>
        <w:tc>
          <w:tcPr>
            <w:tcW w:w="1559" w:type="dxa"/>
            <w:vAlign w:val="center"/>
          </w:tcPr>
          <w:p w14:paraId="061DC569"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39.11</w:t>
            </w:r>
            <w:r w:rsidRPr="00930AA5">
              <w:rPr>
                <w:rFonts w:ascii="Arial" w:hAnsi="Arial" w:cs="Arial"/>
                <w:sz w:val="20"/>
                <w:szCs w:val="20"/>
              </w:rPr>
              <w:tab/>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0.20</w:t>
            </w:r>
            <w:r w:rsidRPr="00930AA5">
              <w:rPr>
                <w:rFonts w:ascii="Arial" w:hAnsi="Arial" w:cs="Arial"/>
                <w:sz w:val="20"/>
                <w:szCs w:val="20"/>
                <w:vertAlign w:val="superscript"/>
              </w:rPr>
              <w:t>a</w:t>
            </w:r>
          </w:p>
        </w:tc>
        <w:tc>
          <w:tcPr>
            <w:tcW w:w="1701" w:type="dxa"/>
            <w:vAlign w:val="center"/>
          </w:tcPr>
          <w:p w14:paraId="3F2AFA2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38.78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0.20</w:t>
            </w:r>
            <w:r w:rsidRPr="00930AA5">
              <w:rPr>
                <w:rFonts w:ascii="Arial" w:hAnsi="Arial" w:cs="Arial"/>
                <w:sz w:val="20"/>
                <w:szCs w:val="20"/>
                <w:vertAlign w:val="superscript"/>
              </w:rPr>
              <w:t>a</w:t>
            </w:r>
          </w:p>
        </w:tc>
      </w:tr>
      <w:tr w:rsidR="00B33A51" w:rsidRPr="00930AA5" w14:paraId="021460CB" w14:textId="77777777" w:rsidTr="00B33A51">
        <w:tc>
          <w:tcPr>
            <w:tcW w:w="2155" w:type="dxa"/>
            <w:vMerge/>
            <w:vAlign w:val="center"/>
          </w:tcPr>
          <w:p w14:paraId="3406DA1E" w14:textId="77777777" w:rsidR="00B33A51" w:rsidRPr="00930AA5" w:rsidRDefault="00B33A51" w:rsidP="00CC1BD2">
            <w:pPr>
              <w:jc w:val="both"/>
              <w:rPr>
                <w:rFonts w:ascii="Arial" w:hAnsi="Arial" w:cs="Arial"/>
                <w:b/>
                <w:bCs/>
                <w:sz w:val="20"/>
                <w:szCs w:val="20"/>
              </w:rPr>
            </w:pPr>
          </w:p>
        </w:tc>
        <w:tc>
          <w:tcPr>
            <w:tcW w:w="1560" w:type="dxa"/>
            <w:vAlign w:val="center"/>
          </w:tcPr>
          <w:p w14:paraId="05EA8559"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110A4FA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38.00</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0.12</w:t>
            </w:r>
            <w:r w:rsidRPr="00930AA5">
              <w:rPr>
                <w:rFonts w:ascii="Arial" w:hAnsi="Arial" w:cs="Arial"/>
                <w:sz w:val="20"/>
                <w:szCs w:val="20"/>
                <w:vertAlign w:val="superscript"/>
              </w:rPr>
              <w:t>b</w:t>
            </w:r>
          </w:p>
        </w:tc>
        <w:tc>
          <w:tcPr>
            <w:tcW w:w="1418" w:type="dxa"/>
            <w:vAlign w:val="center"/>
          </w:tcPr>
          <w:p w14:paraId="539E3C24"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b</w:t>
            </w:r>
          </w:p>
        </w:tc>
        <w:tc>
          <w:tcPr>
            <w:tcW w:w="1559" w:type="dxa"/>
            <w:vAlign w:val="center"/>
          </w:tcPr>
          <w:p w14:paraId="78760AB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38.13</w:t>
            </w:r>
            <w:r w:rsidRPr="00930AA5">
              <w:rPr>
                <w:rFonts w:ascii="Arial" w:hAnsi="Arial" w:cs="Arial"/>
                <w:sz w:val="20"/>
                <w:szCs w:val="20"/>
              </w:rPr>
              <w:tab/>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0.34</w:t>
            </w:r>
            <w:r w:rsidRPr="00930AA5">
              <w:rPr>
                <w:rFonts w:ascii="Arial" w:hAnsi="Arial" w:cs="Arial"/>
                <w:sz w:val="20"/>
                <w:szCs w:val="20"/>
                <w:vertAlign w:val="superscript"/>
              </w:rPr>
              <w:t>a</w:t>
            </w:r>
          </w:p>
        </w:tc>
        <w:tc>
          <w:tcPr>
            <w:tcW w:w="1701" w:type="dxa"/>
            <w:vAlign w:val="center"/>
          </w:tcPr>
          <w:p w14:paraId="63850B6E"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37.70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0.26</w:t>
            </w:r>
            <w:r w:rsidRPr="00930AA5">
              <w:rPr>
                <w:rFonts w:ascii="Arial" w:hAnsi="Arial" w:cs="Arial"/>
                <w:sz w:val="20"/>
                <w:szCs w:val="20"/>
                <w:vertAlign w:val="superscript"/>
              </w:rPr>
              <w:t>b</w:t>
            </w:r>
          </w:p>
        </w:tc>
      </w:tr>
      <w:tr w:rsidR="00B33A51" w:rsidRPr="00930AA5" w14:paraId="63F4BF33" w14:textId="77777777" w:rsidTr="00B33A51">
        <w:tc>
          <w:tcPr>
            <w:tcW w:w="2155" w:type="dxa"/>
            <w:vMerge/>
            <w:vAlign w:val="center"/>
          </w:tcPr>
          <w:p w14:paraId="62D1F973" w14:textId="77777777" w:rsidR="00B33A51" w:rsidRPr="00930AA5" w:rsidRDefault="00B33A51" w:rsidP="00CC1BD2">
            <w:pPr>
              <w:jc w:val="both"/>
              <w:rPr>
                <w:rFonts w:ascii="Arial" w:hAnsi="Arial" w:cs="Arial"/>
                <w:b/>
                <w:bCs/>
                <w:sz w:val="20"/>
                <w:szCs w:val="20"/>
              </w:rPr>
            </w:pPr>
          </w:p>
        </w:tc>
        <w:tc>
          <w:tcPr>
            <w:tcW w:w="1560" w:type="dxa"/>
            <w:vAlign w:val="center"/>
          </w:tcPr>
          <w:p w14:paraId="2C5BA957"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537C430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37.65</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0.16</w:t>
            </w:r>
            <w:r w:rsidRPr="00930AA5">
              <w:rPr>
                <w:rFonts w:ascii="Arial" w:hAnsi="Arial" w:cs="Arial"/>
                <w:sz w:val="20"/>
                <w:szCs w:val="20"/>
                <w:vertAlign w:val="superscript"/>
              </w:rPr>
              <w:t>c</w:t>
            </w:r>
          </w:p>
        </w:tc>
        <w:tc>
          <w:tcPr>
            <w:tcW w:w="1418" w:type="dxa"/>
            <w:vAlign w:val="center"/>
          </w:tcPr>
          <w:p w14:paraId="61251865"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37.92</w:t>
            </w:r>
            <w:r w:rsidRPr="00930AA5">
              <w:rPr>
                <w:rFonts w:ascii="Arial" w:hAnsi="Arial" w:cs="Arial"/>
                <w:spacing w:val="-4"/>
                <w:sz w:val="20"/>
                <w:szCs w:val="20"/>
              </w:rPr>
              <w:t>±</w:t>
            </w:r>
            <w:r w:rsidRPr="00930AA5">
              <w:rPr>
                <w:rFonts w:ascii="Arial" w:hAnsi="Arial" w:cs="Arial"/>
                <w:sz w:val="20"/>
                <w:szCs w:val="20"/>
              </w:rPr>
              <w:t>0.29</w:t>
            </w:r>
            <w:r w:rsidRPr="00930AA5">
              <w:rPr>
                <w:rFonts w:ascii="Arial" w:hAnsi="Arial" w:cs="Arial"/>
                <w:sz w:val="20"/>
                <w:szCs w:val="20"/>
                <w:vertAlign w:val="superscript"/>
              </w:rPr>
              <w:t>c</w:t>
            </w:r>
          </w:p>
        </w:tc>
        <w:tc>
          <w:tcPr>
            <w:tcW w:w="1559" w:type="dxa"/>
            <w:vAlign w:val="center"/>
          </w:tcPr>
          <w:p w14:paraId="6725D04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37.68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0.40</w:t>
            </w:r>
            <w:r w:rsidRPr="00930AA5">
              <w:rPr>
                <w:rFonts w:ascii="Arial" w:hAnsi="Arial" w:cs="Arial"/>
                <w:sz w:val="20"/>
                <w:szCs w:val="20"/>
                <w:vertAlign w:val="superscript"/>
              </w:rPr>
              <w:t>b</w:t>
            </w:r>
          </w:p>
        </w:tc>
        <w:tc>
          <w:tcPr>
            <w:tcW w:w="1701" w:type="dxa"/>
            <w:vAlign w:val="center"/>
          </w:tcPr>
          <w:p w14:paraId="30B3273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37.14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0.32</w:t>
            </w:r>
            <w:r w:rsidRPr="00930AA5">
              <w:rPr>
                <w:rFonts w:ascii="Arial" w:hAnsi="Arial" w:cs="Arial"/>
                <w:sz w:val="20"/>
                <w:szCs w:val="20"/>
                <w:vertAlign w:val="superscript"/>
              </w:rPr>
              <w:t>c</w:t>
            </w:r>
          </w:p>
        </w:tc>
      </w:tr>
      <w:tr w:rsidR="00B33A51" w:rsidRPr="00930AA5" w14:paraId="20870CD3" w14:textId="77777777" w:rsidTr="00B33A51">
        <w:tc>
          <w:tcPr>
            <w:tcW w:w="2155" w:type="dxa"/>
            <w:vMerge/>
            <w:vAlign w:val="center"/>
          </w:tcPr>
          <w:p w14:paraId="3F57ED48" w14:textId="77777777" w:rsidR="00B33A51" w:rsidRPr="00930AA5" w:rsidRDefault="00B33A51" w:rsidP="00CC1BD2">
            <w:pPr>
              <w:jc w:val="both"/>
              <w:rPr>
                <w:rFonts w:ascii="Arial" w:hAnsi="Arial" w:cs="Arial"/>
                <w:b/>
                <w:bCs/>
                <w:sz w:val="20"/>
                <w:szCs w:val="20"/>
              </w:rPr>
            </w:pPr>
          </w:p>
        </w:tc>
        <w:tc>
          <w:tcPr>
            <w:tcW w:w="1560" w:type="dxa"/>
            <w:vAlign w:val="center"/>
          </w:tcPr>
          <w:p w14:paraId="2B36B042"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6C14AA4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37.64</w:t>
            </w:r>
            <w:r w:rsidRPr="00930AA5">
              <w:rPr>
                <w:rFonts w:ascii="Arial" w:hAnsi="Arial" w:cs="Arial"/>
                <w:spacing w:val="29"/>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0.22</w:t>
            </w:r>
            <w:r w:rsidRPr="00930AA5">
              <w:rPr>
                <w:rFonts w:ascii="Arial" w:hAnsi="Arial" w:cs="Arial"/>
                <w:sz w:val="20"/>
                <w:szCs w:val="20"/>
                <w:vertAlign w:val="superscript"/>
              </w:rPr>
              <w:t>c</w:t>
            </w:r>
          </w:p>
        </w:tc>
        <w:tc>
          <w:tcPr>
            <w:tcW w:w="1418" w:type="dxa"/>
            <w:vAlign w:val="center"/>
          </w:tcPr>
          <w:p w14:paraId="6FD5E2A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37.32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d</w:t>
            </w:r>
          </w:p>
        </w:tc>
        <w:tc>
          <w:tcPr>
            <w:tcW w:w="1559" w:type="dxa"/>
            <w:vAlign w:val="center"/>
          </w:tcPr>
          <w:p w14:paraId="7B65E22F"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36.81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0.58</w:t>
            </w:r>
            <w:r w:rsidRPr="00930AA5">
              <w:rPr>
                <w:rFonts w:ascii="Arial" w:hAnsi="Arial" w:cs="Arial"/>
                <w:sz w:val="20"/>
                <w:szCs w:val="20"/>
                <w:vertAlign w:val="superscript"/>
              </w:rPr>
              <w:t>c</w:t>
            </w:r>
          </w:p>
        </w:tc>
        <w:tc>
          <w:tcPr>
            <w:tcW w:w="1701" w:type="dxa"/>
            <w:vAlign w:val="center"/>
          </w:tcPr>
          <w:p w14:paraId="0EA30F1A"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36.43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c</w:t>
            </w:r>
          </w:p>
        </w:tc>
      </w:tr>
      <w:tr w:rsidR="00B33A51" w:rsidRPr="00930AA5" w14:paraId="7F0EEE36" w14:textId="77777777" w:rsidTr="00B33A51">
        <w:tc>
          <w:tcPr>
            <w:tcW w:w="2155" w:type="dxa"/>
            <w:vMerge w:val="restart"/>
            <w:vAlign w:val="center"/>
          </w:tcPr>
          <w:p w14:paraId="7803ACDA" w14:textId="77777777" w:rsidR="00B33A51" w:rsidRPr="00930AA5" w:rsidRDefault="00B33A51" w:rsidP="00CC1BD2">
            <w:pPr>
              <w:ind w:right="-107"/>
              <w:rPr>
                <w:rFonts w:ascii="Arial" w:hAnsi="Arial" w:cs="Arial"/>
                <w:b/>
                <w:bCs/>
                <w:sz w:val="20"/>
                <w:szCs w:val="20"/>
              </w:rPr>
            </w:pPr>
            <w:r w:rsidRPr="00930AA5">
              <w:rPr>
                <w:rFonts w:ascii="Arial" w:hAnsi="Arial" w:cs="Arial"/>
                <w:sz w:val="20"/>
                <w:szCs w:val="20"/>
              </w:rPr>
              <w:t>Capillary refill time(s)</w:t>
            </w:r>
          </w:p>
        </w:tc>
        <w:tc>
          <w:tcPr>
            <w:tcW w:w="1560" w:type="dxa"/>
            <w:vAlign w:val="center"/>
          </w:tcPr>
          <w:p w14:paraId="400B1BD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053899B9" w14:textId="77777777" w:rsidR="00B33A51" w:rsidRPr="00930AA5" w:rsidRDefault="00B33A51" w:rsidP="00CC1BD2">
            <w:pPr>
              <w:pStyle w:val="TableParagraph"/>
              <w:widowControl/>
              <w:tabs>
                <w:tab w:val="left" w:pos="360"/>
                <w:tab w:val="left" w:pos="540"/>
                <w:tab w:val="left" w:pos="720"/>
                <w:tab w:val="left" w:pos="900"/>
              </w:tabs>
              <w:ind w:left="0"/>
              <w:rPr>
                <w:rFonts w:ascii="Arial" w:hAnsi="Arial" w:cs="Arial"/>
                <w:sz w:val="20"/>
                <w:szCs w:val="20"/>
              </w:rPr>
            </w:pPr>
            <w:r w:rsidRPr="00930AA5">
              <w:rPr>
                <w:rFonts w:ascii="Arial" w:hAnsi="Arial" w:cs="Arial"/>
                <w:sz w:val="20"/>
                <w:szCs w:val="20"/>
              </w:rPr>
              <w:t xml:space="preserve">1.00±0 </w:t>
            </w:r>
            <w:r w:rsidRPr="00930AA5">
              <w:rPr>
                <w:rFonts w:ascii="Arial" w:hAnsi="Arial" w:cs="Arial"/>
                <w:sz w:val="20"/>
                <w:szCs w:val="20"/>
                <w:vertAlign w:val="superscript"/>
              </w:rPr>
              <w:t>Abb</w:t>
            </w:r>
          </w:p>
        </w:tc>
        <w:tc>
          <w:tcPr>
            <w:tcW w:w="1418" w:type="dxa"/>
            <w:vAlign w:val="center"/>
          </w:tcPr>
          <w:p w14:paraId="676DF6A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0.07</w:t>
            </w:r>
            <w:r w:rsidRPr="00930AA5">
              <w:rPr>
                <w:rFonts w:ascii="Arial" w:hAnsi="Arial" w:cs="Arial"/>
                <w:sz w:val="20"/>
                <w:szCs w:val="20"/>
                <w:vertAlign w:val="superscript"/>
              </w:rPr>
              <w:t>ABb</w:t>
            </w:r>
          </w:p>
        </w:tc>
        <w:tc>
          <w:tcPr>
            <w:tcW w:w="1559" w:type="dxa"/>
            <w:vAlign w:val="center"/>
          </w:tcPr>
          <w:p w14:paraId="009CDB43"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0.05</w:t>
            </w:r>
            <w:r w:rsidRPr="00930AA5">
              <w:rPr>
                <w:rFonts w:ascii="Arial" w:hAnsi="Arial" w:cs="Arial"/>
                <w:sz w:val="20"/>
                <w:szCs w:val="20"/>
                <w:vertAlign w:val="superscript"/>
              </w:rPr>
              <w:t>Ab</w:t>
            </w:r>
          </w:p>
        </w:tc>
        <w:tc>
          <w:tcPr>
            <w:tcW w:w="1701" w:type="dxa"/>
            <w:vAlign w:val="center"/>
          </w:tcPr>
          <w:p w14:paraId="1C94445A" w14:textId="77777777" w:rsidR="00B33A51" w:rsidRPr="00930AA5" w:rsidRDefault="00B33A51" w:rsidP="00CC1BD2">
            <w:pPr>
              <w:pStyle w:val="TableParagraph"/>
              <w:widowControl/>
              <w:tabs>
                <w:tab w:val="left" w:pos="360"/>
                <w:tab w:val="left" w:pos="540"/>
                <w:tab w:val="left" w:pos="720"/>
                <w:tab w:val="left" w:pos="900"/>
                <w:tab w:val="left" w:pos="947"/>
              </w:tabs>
              <w:ind w:left="0"/>
              <w:rPr>
                <w:rFonts w:ascii="Arial" w:hAnsi="Arial" w:cs="Arial"/>
                <w:sz w:val="20"/>
                <w:szCs w:val="20"/>
              </w:rPr>
            </w:pPr>
            <w:r w:rsidRPr="00930AA5">
              <w:rPr>
                <w:rFonts w:ascii="Arial" w:hAnsi="Arial" w:cs="Arial"/>
                <w:sz w:val="20"/>
                <w:szCs w:val="20"/>
              </w:rPr>
              <w:t xml:space="preserve">1.00 ±0 </w:t>
            </w:r>
            <w:r w:rsidRPr="00930AA5">
              <w:rPr>
                <w:rFonts w:ascii="Arial" w:hAnsi="Arial" w:cs="Arial"/>
                <w:sz w:val="20"/>
                <w:szCs w:val="20"/>
                <w:vertAlign w:val="superscript"/>
              </w:rPr>
              <w:t>Abb</w:t>
            </w:r>
            <w:r w:rsidRPr="00930AA5">
              <w:rPr>
                <w:rFonts w:ascii="Arial" w:hAnsi="Arial" w:cs="Arial"/>
                <w:position w:val="-8"/>
                <w:sz w:val="20"/>
                <w:szCs w:val="20"/>
              </w:rPr>
              <w:t xml:space="preserve"> </w:t>
            </w:r>
          </w:p>
        </w:tc>
      </w:tr>
      <w:tr w:rsidR="00B33A51" w:rsidRPr="00930AA5" w14:paraId="1F1BE0E6" w14:textId="77777777" w:rsidTr="00B33A51">
        <w:tc>
          <w:tcPr>
            <w:tcW w:w="2155" w:type="dxa"/>
            <w:vMerge/>
            <w:vAlign w:val="center"/>
          </w:tcPr>
          <w:p w14:paraId="7AD577D3" w14:textId="77777777" w:rsidR="00B33A51" w:rsidRPr="00930AA5" w:rsidRDefault="00B33A51" w:rsidP="00CC1BD2">
            <w:pPr>
              <w:jc w:val="both"/>
              <w:rPr>
                <w:rFonts w:ascii="Arial" w:hAnsi="Arial" w:cs="Arial"/>
                <w:b/>
                <w:bCs/>
                <w:sz w:val="20"/>
                <w:szCs w:val="20"/>
              </w:rPr>
            </w:pPr>
          </w:p>
        </w:tc>
        <w:tc>
          <w:tcPr>
            <w:tcW w:w="1560" w:type="dxa"/>
            <w:vAlign w:val="center"/>
          </w:tcPr>
          <w:p w14:paraId="6A62D8F4"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6D29F9D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1.80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0.06</w:t>
            </w:r>
            <w:r w:rsidRPr="00930AA5">
              <w:rPr>
                <w:rFonts w:ascii="Arial" w:hAnsi="Arial" w:cs="Arial"/>
                <w:sz w:val="20"/>
                <w:szCs w:val="20"/>
                <w:vertAlign w:val="superscript"/>
              </w:rPr>
              <w:t>Aa</w:t>
            </w:r>
          </w:p>
        </w:tc>
        <w:tc>
          <w:tcPr>
            <w:tcW w:w="1418" w:type="dxa"/>
            <w:vAlign w:val="center"/>
          </w:tcPr>
          <w:p w14:paraId="7E633201"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1.65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0.07</w:t>
            </w:r>
            <w:r w:rsidRPr="00930AA5">
              <w:rPr>
                <w:rFonts w:ascii="Arial" w:hAnsi="Arial" w:cs="Arial"/>
                <w:sz w:val="20"/>
                <w:szCs w:val="20"/>
                <w:vertAlign w:val="superscript"/>
              </w:rPr>
              <w:t>Aa</w:t>
            </w:r>
          </w:p>
        </w:tc>
        <w:tc>
          <w:tcPr>
            <w:tcW w:w="1559" w:type="dxa"/>
            <w:vAlign w:val="center"/>
          </w:tcPr>
          <w:p w14:paraId="3E823C7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1.70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Aa</w:t>
            </w:r>
          </w:p>
        </w:tc>
        <w:tc>
          <w:tcPr>
            <w:tcW w:w="1701" w:type="dxa"/>
            <w:vAlign w:val="center"/>
          </w:tcPr>
          <w:p w14:paraId="25573F15"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1.35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0.10</w:t>
            </w:r>
            <w:r w:rsidRPr="00930AA5">
              <w:rPr>
                <w:rFonts w:ascii="Arial" w:hAnsi="Arial" w:cs="Arial"/>
                <w:sz w:val="20"/>
                <w:szCs w:val="20"/>
                <w:vertAlign w:val="superscript"/>
              </w:rPr>
              <w:t>Ba</w:t>
            </w:r>
          </w:p>
        </w:tc>
      </w:tr>
      <w:tr w:rsidR="00B33A51" w:rsidRPr="00930AA5" w14:paraId="4DD679BC" w14:textId="77777777" w:rsidTr="00B33A51">
        <w:tc>
          <w:tcPr>
            <w:tcW w:w="2155" w:type="dxa"/>
            <w:vMerge/>
            <w:vAlign w:val="center"/>
          </w:tcPr>
          <w:p w14:paraId="0B8F89FC" w14:textId="77777777" w:rsidR="00B33A51" w:rsidRPr="00930AA5" w:rsidRDefault="00B33A51" w:rsidP="00CC1BD2">
            <w:pPr>
              <w:jc w:val="both"/>
              <w:rPr>
                <w:rFonts w:ascii="Arial" w:hAnsi="Arial" w:cs="Arial"/>
                <w:b/>
                <w:bCs/>
                <w:sz w:val="20"/>
                <w:szCs w:val="20"/>
              </w:rPr>
            </w:pPr>
          </w:p>
        </w:tc>
        <w:tc>
          <w:tcPr>
            <w:tcW w:w="1560" w:type="dxa"/>
            <w:vAlign w:val="center"/>
          </w:tcPr>
          <w:p w14:paraId="1CAD4564"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3E4BD3B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0.08</w:t>
            </w:r>
            <w:r w:rsidRPr="00930AA5">
              <w:rPr>
                <w:rFonts w:ascii="Arial" w:hAnsi="Arial" w:cs="Arial"/>
                <w:sz w:val="20"/>
                <w:szCs w:val="20"/>
                <w:vertAlign w:val="superscript"/>
              </w:rPr>
              <w:t>Aa</w:t>
            </w:r>
          </w:p>
        </w:tc>
        <w:tc>
          <w:tcPr>
            <w:tcW w:w="1418" w:type="dxa"/>
            <w:vAlign w:val="center"/>
          </w:tcPr>
          <w:p w14:paraId="7E04CFEA"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0.05</w:t>
            </w:r>
            <w:r w:rsidRPr="00930AA5">
              <w:rPr>
                <w:rFonts w:ascii="Arial" w:hAnsi="Arial" w:cs="Arial"/>
                <w:sz w:val="20"/>
                <w:szCs w:val="20"/>
                <w:vertAlign w:val="superscript"/>
              </w:rPr>
              <w:t>Aa</w:t>
            </w:r>
          </w:p>
        </w:tc>
        <w:tc>
          <w:tcPr>
            <w:tcW w:w="1559" w:type="dxa"/>
            <w:vAlign w:val="center"/>
          </w:tcPr>
          <w:p w14:paraId="19A94111"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Aa</w:t>
            </w:r>
          </w:p>
        </w:tc>
        <w:tc>
          <w:tcPr>
            <w:tcW w:w="1701" w:type="dxa"/>
            <w:vAlign w:val="center"/>
          </w:tcPr>
          <w:p w14:paraId="0D31E2C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1.35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0.10</w:t>
            </w:r>
            <w:r w:rsidRPr="00930AA5">
              <w:rPr>
                <w:rFonts w:ascii="Arial" w:hAnsi="Arial" w:cs="Arial"/>
                <w:sz w:val="20"/>
                <w:szCs w:val="20"/>
                <w:vertAlign w:val="superscript"/>
              </w:rPr>
              <w:t>Ba</w:t>
            </w:r>
          </w:p>
        </w:tc>
      </w:tr>
      <w:tr w:rsidR="00B33A51" w:rsidRPr="00930AA5" w14:paraId="09640CE1" w14:textId="77777777" w:rsidTr="00B33A51">
        <w:tc>
          <w:tcPr>
            <w:tcW w:w="2155" w:type="dxa"/>
            <w:vMerge/>
            <w:vAlign w:val="center"/>
          </w:tcPr>
          <w:p w14:paraId="38090208" w14:textId="77777777" w:rsidR="00B33A51" w:rsidRPr="00930AA5" w:rsidRDefault="00B33A51" w:rsidP="00CC1BD2">
            <w:pPr>
              <w:jc w:val="both"/>
              <w:rPr>
                <w:rFonts w:ascii="Arial" w:hAnsi="Arial" w:cs="Arial"/>
                <w:b/>
                <w:bCs/>
                <w:sz w:val="20"/>
                <w:szCs w:val="20"/>
              </w:rPr>
            </w:pPr>
          </w:p>
        </w:tc>
        <w:tc>
          <w:tcPr>
            <w:tcW w:w="1560" w:type="dxa"/>
            <w:vAlign w:val="center"/>
          </w:tcPr>
          <w:p w14:paraId="4C9FB37D"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25B5A04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1.80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0.06</w:t>
            </w:r>
            <w:r w:rsidRPr="00930AA5">
              <w:rPr>
                <w:rFonts w:ascii="Arial" w:hAnsi="Arial" w:cs="Arial"/>
                <w:sz w:val="20"/>
                <w:szCs w:val="20"/>
                <w:vertAlign w:val="superscript"/>
              </w:rPr>
              <w:t>Aa</w:t>
            </w:r>
          </w:p>
        </w:tc>
        <w:tc>
          <w:tcPr>
            <w:tcW w:w="1418" w:type="dxa"/>
            <w:vAlign w:val="center"/>
          </w:tcPr>
          <w:p w14:paraId="43D34DF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0.09</w:t>
            </w:r>
            <w:r w:rsidRPr="00930AA5">
              <w:rPr>
                <w:rFonts w:ascii="Arial" w:hAnsi="Arial" w:cs="Arial"/>
                <w:sz w:val="20"/>
                <w:szCs w:val="20"/>
                <w:vertAlign w:val="superscript"/>
              </w:rPr>
              <w:t>Aa</w:t>
            </w:r>
          </w:p>
        </w:tc>
        <w:tc>
          <w:tcPr>
            <w:tcW w:w="1559" w:type="dxa"/>
            <w:vAlign w:val="center"/>
          </w:tcPr>
          <w:p w14:paraId="1C61D139"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1.82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0.12</w:t>
            </w:r>
            <w:r w:rsidRPr="00930AA5">
              <w:rPr>
                <w:rFonts w:ascii="Arial" w:hAnsi="Arial" w:cs="Arial"/>
                <w:sz w:val="20"/>
                <w:szCs w:val="20"/>
                <w:vertAlign w:val="superscript"/>
              </w:rPr>
              <w:t>Aa</w:t>
            </w:r>
          </w:p>
        </w:tc>
        <w:tc>
          <w:tcPr>
            <w:tcW w:w="1701" w:type="dxa"/>
            <w:vAlign w:val="center"/>
          </w:tcPr>
          <w:p w14:paraId="6FA433C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1.40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0.04</w:t>
            </w:r>
            <w:r w:rsidRPr="00930AA5">
              <w:rPr>
                <w:rFonts w:ascii="Arial" w:hAnsi="Arial" w:cs="Arial"/>
                <w:sz w:val="20"/>
                <w:szCs w:val="20"/>
                <w:vertAlign w:val="superscript"/>
              </w:rPr>
              <w:t>Ba</w:t>
            </w:r>
          </w:p>
        </w:tc>
      </w:tr>
      <w:tr w:rsidR="00B33A51" w:rsidRPr="00930AA5" w14:paraId="49E08FE3" w14:textId="77777777" w:rsidTr="00B33A51">
        <w:tc>
          <w:tcPr>
            <w:tcW w:w="2155" w:type="dxa"/>
            <w:vMerge w:val="restart"/>
            <w:vAlign w:val="center"/>
          </w:tcPr>
          <w:p w14:paraId="5E4EB947"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SpO</w:t>
            </w:r>
            <w:r w:rsidRPr="00930AA5">
              <w:rPr>
                <w:rFonts w:ascii="Cambria Math" w:hAnsi="Cambria Math" w:cs="Cambria Math"/>
                <w:sz w:val="20"/>
                <w:szCs w:val="20"/>
              </w:rPr>
              <w:t>₂</w:t>
            </w:r>
            <w:r w:rsidRPr="00930AA5">
              <w:rPr>
                <w:rFonts w:ascii="Arial" w:hAnsi="Arial" w:cs="Arial"/>
                <w:sz w:val="20"/>
                <w:szCs w:val="20"/>
              </w:rPr>
              <w:t xml:space="preserve"> (%)</w:t>
            </w:r>
          </w:p>
        </w:tc>
        <w:tc>
          <w:tcPr>
            <w:tcW w:w="1560" w:type="dxa"/>
            <w:vAlign w:val="center"/>
          </w:tcPr>
          <w:p w14:paraId="0D26B2B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20A2A265"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95.00</w:t>
            </w:r>
            <w:r w:rsidRPr="00930AA5">
              <w:rPr>
                <w:rFonts w:ascii="Arial" w:hAnsi="Arial" w:cs="Arial"/>
                <w:spacing w:val="-4"/>
                <w:sz w:val="20"/>
                <w:szCs w:val="20"/>
              </w:rPr>
              <w:t>±</w:t>
            </w:r>
            <w:r w:rsidRPr="00930AA5">
              <w:rPr>
                <w:rFonts w:ascii="Arial" w:hAnsi="Arial" w:cs="Arial"/>
                <w:sz w:val="20"/>
                <w:szCs w:val="20"/>
              </w:rPr>
              <w:t>0.45</w:t>
            </w:r>
            <w:r w:rsidRPr="00930AA5">
              <w:rPr>
                <w:rFonts w:ascii="Arial" w:hAnsi="Arial" w:cs="Arial"/>
                <w:sz w:val="20"/>
                <w:szCs w:val="20"/>
                <w:vertAlign w:val="superscript"/>
              </w:rPr>
              <w:t>C</w:t>
            </w:r>
          </w:p>
        </w:tc>
        <w:tc>
          <w:tcPr>
            <w:tcW w:w="1418" w:type="dxa"/>
            <w:vAlign w:val="center"/>
          </w:tcPr>
          <w:p w14:paraId="1A3CD1F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96.67</w:t>
            </w:r>
            <w:r w:rsidRPr="00930AA5">
              <w:rPr>
                <w:rFonts w:ascii="Arial" w:hAnsi="Arial" w:cs="Arial"/>
                <w:spacing w:val="-4"/>
                <w:sz w:val="20"/>
                <w:szCs w:val="20"/>
              </w:rPr>
              <w:t>±</w:t>
            </w:r>
            <w:r w:rsidRPr="00930AA5">
              <w:rPr>
                <w:rFonts w:ascii="Arial" w:hAnsi="Arial" w:cs="Arial"/>
                <w:sz w:val="20"/>
                <w:szCs w:val="20"/>
              </w:rPr>
              <w:t>0.56</w:t>
            </w:r>
            <w:r w:rsidRPr="00930AA5">
              <w:rPr>
                <w:rFonts w:ascii="Arial" w:hAnsi="Arial" w:cs="Arial"/>
                <w:sz w:val="20"/>
                <w:szCs w:val="20"/>
                <w:vertAlign w:val="superscript"/>
              </w:rPr>
              <w:t>bB</w:t>
            </w:r>
          </w:p>
        </w:tc>
        <w:tc>
          <w:tcPr>
            <w:tcW w:w="1559" w:type="dxa"/>
            <w:vAlign w:val="center"/>
          </w:tcPr>
          <w:p w14:paraId="2A4F98F8"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95.67</w:t>
            </w:r>
            <w:r w:rsidRPr="00930AA5">
              <w:rPr>
                <w:rFonts w:ascii="Arial" w:hAnsi="Arial" w:cs="Arial"/>
                <w:spacing w:val="-4"/>
                <w:sz w:val="20"/>
                <w:szCs w:val="20"/>
              </w:rPr>
              <w:t>±</w:t>
            </w:r>
            <w:r w:rsidRPr="00930AA5">
              <w:rPr>
                <w:rFonts w:ascii="Arial" w:hAnsi="Arial" w:cs="Arial"/>
                <w:sz w:val="20"/>
                <w:szCs w:val="20"/>
              </w:rPr>
              <w:t>0.49</w:t>
            </w:r>
            <w:r w:rsidRPr="00930AA5">
              <w:rPr>
                <w:rFonts w:ascii="Arial" w:hAnsi="Arial" w:cs="Arial"/>
                <w:sz w:val="20"/>
                <w:szCs w:val="20"/>
                <w:vertAlign w:val="superscript"/>
              </w:rPr>
              <w:t>bBC</w:t>
            </w:r>
          </w:p>
        </w:tc>
        <w:tc>
          <w:tcPr>
            <w:tcW w:w="1701" w:type="dxa"/>
            <w:vAlign w:val="center"/>
          </w:tcPr>
          <w:p w14:paraId="4AAC2A53"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98.67</w:t>
            </w:r>
            <w:r w:rsidRPr="00930AA5">
              <w:rPr>
                <w:rFonts w:ascii="Arial" w:hAnsi="Arial" w:cs="Arial"/>
                <w:spacing w:val="-4"/>
                <w:sz w:val="20"/>
                <w:szCs w:val="20"/>
              </w:rPr>
              <w:t>±</w:t>
            </w:r>
            <w:r w:rsidRPr="00930AA5">
              <w:rPr>
                <w:rFonts w:ascii="Arial" w:hAnsi="Arial" w:cs="Arial"/>
                <w:sz w:val="20"/>
                <w:szCs w:val="20"/>
              </w:rPr>
              <w:t>0.61</w:t>
            </w:r>
            <w:r w:rsidRPr="00930AA5">
              <w:rPr>
                <w:rFonts w:ascii="Arial" w:hAnsi="Arial" w:cs="Arial"/>
                <w:sz w:val="20"/>
                <w:szCs w:val="20"/>
                <w:vertAlign w:val="superscript"/>
              </w:rPr>
              <w:t>A</w:t>
            </w:r>
          </w:p>
        </w:tc>
      </w:tr>
      <w:tr w:rsidR="00B33A51" w:rsidRPr="00930AA5" w14:paraId="20C3EAFD" w14:textId="77777777" w:rsidTr="00B33A51">
        <w:tc>
          <w:tcPr>
            <w:tcW w:w="2155" w:type="dxa"/>
            <w:vMerge/>
            <w:vAlign w:val="center"/>
          </w:tcPr>
          <w:p w14:paraId="46FCDA38" w14:textId="77777777" w:rsidR="00B33A51" w:rsidRPr="00930AA5" w:rsidRDefault="00B33A51" w:rsidP="00CC1BD2">
            <w:pPr>
              <w:jc w:val="both"/>
              <w:rPr>
                <w:rFonts w:ascii="Arial" w:hAnsi="Arial" w:cs="Arial"/>
                <w:b/>
                <w:bCs/>
                <w:sz w:val="20"/>
                <w:szCs w:val="20"/>
              </w:rPr>
            </w:pPr>
          </w:p>
        </w:tc>
        <w:tc>
          <w:tcPr>
            <w:tcW w:w="1560" w:type="dxa"/>
            <w:vAlign w:val="center"/>
          </w:tcPr>
          <w:p w14:paraId="6D4C7F9E"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2AC8B21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95.67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0.99</w:t>
            </w:r>
          </w:p>
        </w:tc>
        <w:tc>
          <w:tcPr>
            <w:tcW w:w="1418" w:type="dxa"/>
            <w:vAlign w:val="center"/>
          </w:tcPr>
          <w:p w14:paraId="70658A40"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96.00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0.82</w:t>
            </w:r>
            <w:r w:rsidRPr="00930AA5">
              <w:rPr>
                <w:rFonts w:ascii="Arial" w:hAnsi="Arial" w:cs="Arial"/>
                <w:sz w:val="20"/>
                <w:szCs w:val="20"/>
                <w:vertAlign w:val="superscript"/>
              </w:rPr>
              <w:t>b</w:t>
            </w:r>
          </w:p>
        </w:tc>
        <w:tc>
          <w:tcPr>
            <w:tcW w:w="1559" w:type="dxa"/>
            <w:vAlign w:val="center"/>
          </w:tcPr>
          <w:p w14:paraId="0275AE4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96.17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0.40</w:t>
            </w:r>
            <w:r w:rsidRPr="00930AA5">
              <w:rPr>
                <w:rFonts w:ascii="Arial" w:hAnsi="Arial" w:cs="Arial"/>
                <w:sz w:val="20"/>
                <w:szCs w:val="20"/>
                <w:vertAlign w:val="superscript"/>
              </w:rPr>
              <w:t>b</w:t>
            </w:r>
          </w:p>
        </w:tc>
        <w:tc>
          <w:tcPr>
            <w:tcW w:w="1701" w:type="dxa"/>
            <w:vAlign w:val="center"/>
          </w:tcPr>
          <w:p w14:paraId="77AC1C3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0.76</w:t>
            </w:r>
          </w:p>
        </w:tc>
      </w:tr>
      <w:tr w:rsidR="00B33A51" w:rsidRPr="00930AA5" w14:paraId="14C20AEE" w14:textId="77777777" w:rsidTr="00B33A51">
        <w:tc>
          <w:tcPr>
            <w:tcW w:w="2155" w:type="dxa"/>
            <w:vMerge/>
            <w:vAlign w:val="center"/>
          </w:tcPr>
          <w:p w14:paraId="171AB784" w14:textId="77777777" w:rsidR="00B33A51" w:rsidRPr="00930AA5" w:rsidRDefault="00B33A51" w:rsidP="00CC1BD2">
            <w:pPr>
              <w:jc w:val="both"/>
              <w:rPr>
                <w:rFonts w:ascii="Arial" w:hAnsi="Arial" w:cs="Arial"/>
                <w:b/>
                <w:bCs/>
                <w:sz w:val="20"/>
                <w:szCs w:val="20"/>
              </w:rPr>
            </w:pPr>
          </w:p>
        </w:tc>
        <w:tc>
          <w:tcPr>
            <w:tcW w:w="1560" w:type="dxa"/>
            <w:vAlign w:val="center"/>
          </w:tcPr>
          <w:p w14:paraId="76FF00FE"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Maintenance</w:t>
            </w:r>
          </w:p>
        </w:tc>
        <w:tc>
          <w:tcPr>
            <w:tcW w:w="1417" w:type="dxa"/>
            <w:vAlign w:val="center"/>
          </w:tcPr>
          <w:p w14:paraId="2FD5F96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96.00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1.00</w:t>
            </w:r>
          </w:p>
        </w:tc>
        <w:tc>
          <w:tcPr>
            <w:tcW w:w="1418" w:type="dxa"/>
            <w:vAlign w:val="center"/>
          </w:tcPr>
          <w:p w14:paraId="3ECD91E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0.65</w:t>
            </w:r>
            <w:r w:rsidRPr="00930AA5">
              <w:rPr>
                <w:rFonts w:ascii="Arial" w:hAnsi="Arial" w:cs="Arial"/>
                <w:sz w:val="20"/>
                <w:szCs w:val="20"/>
                <w:vertAlign w:val="superscript"/>
              </w:rPr>
              <w:t>a</w:t>
            </w:r>
          </w:p>
        </w:tc>
        <w:tc>
          <w:tcPr>
            <w:tcW w:w="1559" w:type="dxa"/>
            <w:vAlign w:val="center"/>
          </w:tcPr>
          <w:p w14:paraId="6F630835"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96.67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0.42</w:t>
            </w:r>
            <w:r w:rsidRPr="00930AA5">
              <w:rPr>
                <w:rFonts w:ascii="Arial" w:hAnsi="Arial" w:cs="Arial"/>
                <w:sz w:val="20"/>
                <w:szCs w:val="20"/>
                <w:vertAlign w:val="superscript"/>
              </w:rPr>
              <w:t>b</w:t>
            </w:r>
          </w:p>
        </w:tc>
        <w:tc>
          <w:tcPr>
            <w:tcW w:w="1701" w:type="dxa"/>
            <w:vAlign w:val="center"/>
          </w:tcPr>
          <w:p w14:paraId="453EC96C"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98.33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1.09</w:t>
            </w:r>
          </w:p>
        </w:tc>
      </w:tr>
      <w:tr w:rsidR="00B33A51" w:rsidRPr="00930AA5" w14:paraId="3AC1AA90" w14:textId="77777777" w:rsidTr="00B33A51">
        <w:tc>
          <w:tcPr>
            <w:tcW w:w="2155" w:type="dxa"/>
            <w:vMerge/>
            <w:vAlign w:val="center"/>
          </w:tcPr>
          <w:p w14:paraId="732A0601" w14:textId="77777777" w:rsidR="00B33A51" w:rsidRPr="00930AA5" w:rsidRDefault="00B33A51" w:rsidP="00CC1BD2">
            <w:pPr>
              <w:jc w:val="both"/>
              <w:rPr>
                <w:rFonts w:ascii="Arial" w:hAnsi="Arial" w:cs="Arial"/>
                <w:b/>
                <w:bCs/>
                <w:sz w:val="20"/>
                <w:szCs w:val="20"/>
              </w:rPr>
            </w:pPr>
          </w:p>
        </w:tc>
        <w:tc>
          <w:tcPr>
            <w:tcW w:w="1560" w:type="dxa"/>
            <w:vAlign w:val="center"/>
          </w:tcPr>
          <w:p w14:paraId="2E354163"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4C1A3188"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98.17</w:t>
            </w:r>
            <w:r w:rsidRPr="00930AA5">
              <w:rPr>
                <w:rFonts w:ascii="Arial" w:hAnsi="Arial" w:cs="Arial"/>
                <w:spacing w:val="-4"/>
                <w:sz w:val="20"/>
                <w:szCs w:val="20"/>
              </w:rPr>
              <w:t>±</w:t>
            </w:r>
            <w:r w:rsidRPr="00930AA5">
              <w:rPr>
                <w:rFonts w:ascii="Arial" w:hAnsi="Arial" w:cs="Arial"/>
                <w:sz w:val="20"/>
                <w:szCs w:val="20"/>
              </w:rPr>
              <w:t>0.79</w:t>
            </w:r>
          </w:p>
        </w:tc>
        <w:tc>
          <w:tcPr>
            <w:tcW w:w="1418" w:type="dxa"/>
            <w:vAlign w:val="center"/>
          </w:tcPr>
          <w:p w14:paraId="23EAFB96"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98.67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0.61</w:t>
            </w:r>
            <w:r w:rsidRPr="00930AA5">
              <w:rPr>
                <w:rFonts w:ascii="Arial" w:hAnsi="Arial" w:cs="Arial"/>
                <w:sz w:val="20"/>
                <w:szCs w:val="20"/>
                <w:vertAlign w:val="superscript"/>
              </w:rPr>
              <w:t>a</w:t>
            </w:r>
          </w:p>
        </w:tc>
        <w:tc>
          <w:tcPr>
            <w:tcW w:w="1559" w:type="dxa"/>
            <w:vAlign w:val="center"/>
          </w:tcPr>
          <w:p w14:paraId="08C2606B"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99.33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0.33</w:t>
            </w:r>
            <w:r w:rsidRPr="00930AA5">
              <w:rPr>
                <w:rFonts w:ascii="Arial" w:hAnsi="Arial" w:cs="Arial"/>
                <w:sz w:val="20"/>
                <w:szCs w:val="20"/>
                <w:vertAlign w:val="superscript"/>
              </w:rPr>
              <w:t>a</w:t>
            </w:r>
          </w:p>
        </w:tc>
        <w:tc>
          <w:tcPr>
            <w:tcW w:w="1701" w:type="dxa"/>
            <w:vAlign w:val="center"/>
          </w:tcPr>
          <w:p w14:paraId="23F9A1D2" w14:textId="77777777" w:rsidR="00B33A51" w:rsidRPr="00930AA5" w:rsidRDefault="00B33A51" w:rsidP="00CC1BD2">
            <w:pPr>
              <w:jc w:val="both"/>
              <w:rPr>
                <w:rFonts w:ascii="Arial" w:hAnsi="Arial" w:cs="Arial"/>
                <w:b/>
                <w:bCs/>
                <w:sz w:val="20"/>
                <w:szCs w:val="20"/>
              </w:rPr>
            </w:pPr>
            <w:r w:rsidRPr="00930AA5">
              <w:rPr>
                <w:rFonts w:ascii="Arial" w:hAnsi="Arial" w:cs="Arial"/>
                <w:sz w:val="20"/>
                <w:szCs w:val="20"/>
              </w:rPr>
              <w:t>99.17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0.48</w:t>
            </w:r>
          </w:p>
        </w:tc>
      </w:tr>
    </w:tbl>
    <w:p w14:paraId="32B935C6" w14:textId="77777777" w:rsidR="00EC132A" w:rsidRPr="00930AA5" w:rsidRDefault="00EC132A" w:rsidP="00EC132A">
      <w:pPr>
        <w:jc w:val="both"/>
        <w:rPr>
          <w:rFonts w:ascii="Arial" w:hAnsi="Arial" w:cs="Arial"/>
          <w:i/>
          <w:iCs/>
        </w:rPr>
      </w:pPr>
      <w:r w:rsidRPr="00930AA5">
        <w:rPr>
          <w:rFonts w:ascii="Arial" w:hAnsi="Arial" w:cs="Arial"/>
        </w:rPr>
        <w:t>Footnotes:</w:t>
      </w:r>
      <w:r w:rsidRPr="00930AA5">
        <w:rPr>
          <w:rFonts w:ascii="Arial" w:hAnsi="Arial" w:cs="Arial"/>
          <w:b/>
          <w:bCs/>
        </w:rPr>
        <w:t xml:space="preserve"> </w:t>
      </w:r>
      <w:r w:rsidRPr="00930AA5">
        <w:rPr>
          <w:rFonts w:ascii="Arial" w:hAnsi="Arial" w:cs="Arial"/>
          <w:i/>
          <w:iCs/>
        </w:rPr>
        <w:t>Values expressed as mean ± SE.</w:t>
      </w:r>
    </w:p>
    <w:p w14:paraId="23B520CB" w14:textId="77777777" w:rsidR="00B33A51" w:rsidRDefault="00EC132A" w:rsidP="0054541B">
      <w:pPr>
        <w:jc w:val="both"/>
        <w:rPr>
          <w:rFonts w:ascii="Arial" w:hAnsi="Arial" w:cs="Arial"/>
          <w:i/>
          <w:iCs/>
        </w:rPr>
      </w:pPr>
      <w:r w:rsidRPr="00930AA5">
        <w:rPr>
          <w:rFonts w:ascii="Arial" w:hAnsi="Arial" w:cs="Arial"/>
          <w:i/>
          <w:iCs/>
        </w:rPr>
        <w:t>Superscripts (a, b, c) within a column indicate significant intragroup differences (P &lt; 0.05).</w:t>
      </w:r>
    </w:p>
    <w:p w14:paraId="0650B025" w14:textId="76B7E1B0" w:rsidR="00EC132A" w:rsidRPr="00930AA5" w:rsidRDefault="00EC132A" w:rsidP="0054541B">
      <w:pPr>
        <w:jc w:val="both"/>
        <w:rPr>
          <w:rFonts w:ascii="Arial" w:hAnsi="Arial" w:cs="Arial"/>
          <w:i/>
          <w:iCs/>
        </w:rPr>
      </w:pPr>
      <w:r w:rsidRPr="00930AA5">
        <w:rPr>
          <w:rFonts w:ascii="Arial" w:hAnsi="Arial" w:cs="Arial"/>
          <w:i/>
          <w:iCs/>
        </w:rPr>
        <w:lastRenderedPageBreak/>
        <w:t>Symbols (*, #) indicate significant intergroup differences (P &lt; 0.05).</w:t>
      </w:r>
    </w:p>
    <w:p w14:paraId="33E2980C" w14:textId="77777777" w:rsidR="00CE76E7" w:rsidRPr="00930AA5" w:rsidRDefault="00CE76E7" w:rsidP="008A2C19">
      <w:pPr>
        <w:ind w:firstLine="567"/>
        <w:jc w:val="both"/>
        <w:rPr>
          <w:rFonts w:ascii="Arial" w:hAnsi="Arial" w:cs="Arial"/>
        </w:rPr>
      </w:pPr>
    </w:p>
    <w:p w14:paraId="058C4A0C" w14:textId="0388D867" w:rsidR="008A2C19" w:rsidRPr="00930AA5" w:rsidRDefault="008A2C19" w:rsidP="00CE76E7">
      <w:pPr>
        <w:ind w:firstLine="567"/>
        <w:jc w:val="both"/>
        <w:rPr>
          <w:rFonts w:ascii="Arial" w:hAnsi="Arial" w:cs="Arial"/>
        </w:rPr>
      </w:pPr>
      <w:r w:rsidRPr="00930AA5">
        <w:rPr>
          <w:rFonts w:ascii="Arial" w:hAnsi="Arial" w:cs="Arial"/>
        </w:rPr>
        <w:t xml:space="preserve">The total leucocyte count decreased significantly after induction </w:t>
      </w:r>
      <w:r w:rsidR="00EC132A" w:rsidRPr="00930AA5">
        <w:rPr>
          <w:rFonts w:ascii="Arial" w:hAnsi="Arial" w:cs="Arial"/>
        </w:rPr>
        <w:t xml:space="preserve">in Groups I, III and IV (P &lt; 0.05), while Group II exhibited a non-significant reduction. This </w:t>
      </w:r>
      <w:r w:rsidRPr="00930AA5">
        <w:rPr>
          <w:rFonts w:ascii="Arial" w:hAnsi="Arial" w:cs="Arial"/>
        </w:rPr>
        <w:t xml:space="preserve">finding attributed to the redistribution of leukocytes into splenic and marginal pools secondary to reduced sympathetic activity during </w:t>
      </w:r>
      <w:proofErr w:type="spellStart"/>
      <w:r w:rsidRPr="00930AA5">
        <w:rPr>
          <w:rFonts w:ascii="Arial" w:hAnsi="Arial" w:cs="Arial"/>
        </w:rPr>
        <w:t>anaesthesia</w:t>
      </w:r>
      <w:proofErr w:type="spellEnd"/>
      <w:r w:rsidRPr="00930AA5">
        <w:rPr>
          <w:rFonts w:ascii="Arial" w:hAnsi="Arial" w:cs="Arial"/>
        </w:rPr>
        <w:t xml:space="preserve"> (Singh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2013; Jiang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2014). Despite statistical significance, all values remained within physiological ranges, indicating no clinical immunosuppression.</w:t>
      </w:r>
    </w:p>
    <w:p w14:paraId="3B5511EE" w14:textId="0B3BAAF8" w:rsidR="008A2C19" w:rsidRPr="00930AA5" w:rsidRDefault="00EC132A" w:rsidP="00CE76E7">
      <w:pPr>
        <w:ind w:firstLine="567"/>
        <w:jc w:val="both"/>
        <w:rPr>
          <w:rFonts w:ascii="Arial" w:hAnsi="Arial" w:cs="Arial"/>
        </w:rPr>
      </w:pPr>
      <w:r w:rsidRPr="00930AA5">
        <w:rPr>
          <w:rFonts w:ascii="Arial" w:hAnsi="Arial" w:cs="Arial"/>
        </w:rPr>
        <w:t xml:space="preserve">A significant decrease in TEC was observed after induction in Groups I and IV (P &lt; 0.01), while Groups II and III showed non-significant reductions. TEC values remained stable thereafter and within physiological limits. </w:t>
      </w:r>
      <w:proofErr w:type="spellStart"/>
      <w:r w:rsidRPr="00930AA5">
        <w:rPr>
          <w:rFonts w:ascii="Arial" w:hAnsi="Arial" w:cs="Arial"/>
        </w:rPr>
        <w:t>Haemoglobin</w:t>
      </w:r>
      <w:proofErr w:type="spellEnd"/>
      <w:r w:rsidRPr="00930AA5">
        <w:rPr>
          <w:rFonts w:ascii="Arial" w:hAnsi="Arial" w:cs="Arial"/>
        </w:rPr>
        <w:t xml:space="preserve"> concentration decreased significantly following induction in all groups (P &lt; 0.05) and remained lower during recovery. No significant differences were detected between groups at corresponding time points.</w:t>
      </w:r>
      <w:r w:rsidR="00BF731B" w:rsidRPr="00930AA5">
        <w:rPr>
          <w:rFonts w:ascii="Arial" w:hAnsi="Arial" w:cs="Arial"/>
        </w:rPr>
        <w:t xml:space="preserve"> </w:t>
      </w:r>
      <w:r w:rsidRPr="00930AA5">
        <w:rPr>
          <w:rFonts w:ascii="Arial" w:hAnsi="Arial" w:cs="Arial"/>
        </w:rPr>
        <w:t xml:space="preserve">Packed cell volume declined after induction in all groups. The reduction was statistically significant in Groups II and IV (P &lt; 0.05), whereas Groups I and III exhibited non-significant decreases. PCV values remained within normal physiological </w:t>
      </w:r>
      <w:r w:rsidR="009F60FA" w:rsidRPr="00930AA5">
        <w:rPr>
          <w:rFonts w:ascii="Arial" w:hAnsi="Arial" w:cs="Arial"/>
        </w:rPr>
        <w:t>limits. These</w:t>
      </w:r>
      <w:r w:rsidR="008A2C19" w:rsidRPr="00930AA5">
        <w:rPr>
          <w:rFonts w:ascii="Arial" w:hAnsi="Arial" w:cs="Arial"/>
        </w:rPr>
        <w:t xml:space="preserve"> changes are commonly attributed to splenic sequestration of erythrocytes and </w:t>
      </w:r>
      <w:proofErr w:type="spellStart"/>
      <w:r w:rsidR="008A2C19" w:rsidRPr="00930AA5">
        <w:rPr>
          <w:rFonts w:ascii="Arial" w:hAnsi="Arial" w:cs="Arial"/>
        </w:rPr>
        <w:t>haemodilution</w:t>
      </w:r>
      <w:proofErr w:type="spellEnd"/>
      <w:r w:rsidR="008A2C19" w:rsidRPr="00930AA5">
        <w:rPr>
          <w:rFonts w:ascii="Arial" w:hAnsi="Arial" w:cs="Arial"/>
        </w:rPr>
        <w:t xml:space="preserve"> during </w:t>
      </w:r>
      <w:proofErr w:type="spellStart"/>
      <w:r w:rsidR="008A2C19" w:rsidRPr="00930AA5">
        <w:rPr>
          <w:rFonts w:ascii="Arial" w:hAnsi="Arial" w:cs="Arial"/>
        </w:rPr>
        <w:t>anaesthesia</w:t>
      </w:r>
      <w:proofErr w:type="spellEnd"/>
      <w:r w:rsidR="008A2C19" w:rsidRPr="00930AA5">
        <w:rPr>
          <w:rFonts w:ascii="Arial" w:hAnsi="Arial" w:cs="Arial"/>
        </w:rPr>
        <w:t xml:space="preserve"> (Jiang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2014; Kumar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2018). Importantly, all </w:t>
      </w:r>
      <w:proofErr w:type="spellStart"/>
      <w:r w:rsidR="008A2C19" w:rsidRPr="00930AA5">
        <w:rPr>
          <w:rFonts w:ascii="Arial" w:hAnsi="Arial" w:cs="Arial"/>
        </w:rPr>
        <w:t>haematological</w:t>
      </w:r>
      <w:proofErr w:type="spellEnd"/>
      <w:r w:rsidR="008A2C19" w:rsidRPr="00930AA5">
        <w:rPr>
          <w:rFonts w:ascii="Arial" w:hAnsi="Arial" w:cs="Arial"/>
        </w:rPr>
        <w:t xml:space="preserve"> values remained within normal physiological limits. No adverse clinical events were observed in any group, and recovery was smooth across all protocols. Faster recovery observed in PIVA groups can be attributed to the low blood–gas solubility and minimal hepatic metabolism of isoflurane (</w:t>
      </w:r>
      <w:proofErr w:type="spellStart"/>
      <w:r w:rsidR="008A2C19" w:rsidRPr="00930AA5">
        <w:rPr>
          <w:rFonts w:ascii="Arial" w:hAnsi="Arial" w:cs="Arial"/>
        </w:rPr>
        <w:t>Onmaz</w:t>
      </w:r>
      <w:proofErr w:type="spellEnd"/>
      <w:r w:rsidR="008A2C19" w:rsidRPr="00930AA5">
        <w:rPr>
          <w:rFonts w:ascii="Arial" w:hAnsi="Arial" w:cs="Arial"/>
        </w:rPr>
        <w:t xml:space="preserve">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2009; Lin </w:t>
      </w:r>
      <w:r w:rsidR="00FA7183" w:rsidRPr="00930AA5">
        <w:rPr>
          <w:rFonts w:ascii="Arial" w:hAnsi="Arial" w:cs="Arial"/>
          <w:i/>
          <w:iCs/>
        </w:rPr>
        <w:t>et al.</w:t>
      </w:r>
      <w:r w:rsidR="008A2C19" w:rsidRPr="00930AA5">
        <w:rPr>
          <w:rFonts w:ascii="Arial" w:hAnsi="Arial" w:cs="Arial"/>
          <w:i/>
          <w:iCs/>
        </w:rPr>
        <w:t>,</w:t>
      </w:r>
      <w:r w:rsidR="008A2C19" w:rsidRPr="00930AA5">
        <w:rPr>
          <w:rFonts w:ascii="Arial" w:hAnsi="Arial" w:cs="Arial"/>
        </w:rPr>
        <w:t xml:space="preserve"> 2012). Similarly, rapid recovery following cessation of CRI in TIVA groups supports earlier reports that continuous infusion allows predictable decline in plasma drug concentration (Ibrahim, 2017). </w:t>
      </w:r>
    </w:p>
    <w:p w14:paraId="6A7F1316" w14:textId="77777777" w:rsidR="006C1956" w:rsidRPr="00930AA5" w:rsidRDefault="006C1956" w:rsidP="008A2C19">
      <w:pPr>
        <w:ind w:firstLine="567"/>
        <w:jc w:val="both"/>
        <w:rPr>
          <w:rFonts w:ascii="Arial" w:hAnsi="Arial" w:cs="Arial"/>
        </w:rPr>
      </w:pPr>
    </w:p>
    <w:p w14:paraId="50A084B4" w14:textId="77777777" w:rsidR="006C1956" w:rsidRPr="00930AA5" w:rsidRDefault="006C1956" w:rsidP="006C1956">
      <w:pPr>
        <w:jc w:val="both"/>
        <w:rPr>
          <w:rFonts w:ascii="Arial" w:hAnsi="Arial" w:cs="Arial"/>
          <w:b/>
          <w:bCs/>
        </w:rPr>
      </w:pPr>
      <w:r w:rsidRPr="00930AA5">
        <w:rPr>
          <w:rFonts w:ascii="Arial" w:hAnsi="Arial" w:cs="Arial"/>
          <w:b/>
          <w:bCs/>
        </w:rPr>
        <w:t xml:space="preserve">Table 3. </w:t>
      </w:r>
      <w:proofErr w:type="spellStart"/>
      <w:r w:rsidRPr="00930AA5">
        <w:rPr>
          <w:rFonts w:ascii="Arial" w:hAnsi="Arial" w:cs="Arial"/>
          <w:b/>
          <w:bCs/>
        </w:rPr>
        <w:t>Haematological</w:t>
      </w:r>
      <w:proofErr w:type="spellEnd"/>
      <w:r w:rsidRPr="00930AA5">
        <w:rPr>
          <w:rFonts w:ascii="Arial" w:hAnsi="Arial" w:cs="Arial"/>
          <w:b/>
          <w:bCs/>
        </w:rPr>
        <w:t xml:space="preserve"> parameters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390FD11F" w14:textId="77777777" w:rsidR="006C1956" w:rsidRPr="00930AA5" w:rsidRDefault="006C1956" w:rsidP="006C1956">
      <w:pPr>
        <w:jc w:val="both"/>
        <w:rPr>
          <w:rFonts w:ascii="Arial" w:hAnsi="Arial" w:cs="Arial"/>
          <w:b/>
          <w:bCs/>
        </w:rPr>
      </w:pPr>
    </w:p>
    <w:tbl>
      <w:tblPr>
        <w:tblStyle w:val="TableGrid"/>
        <w:tblW w:w="0" w:type="auto"/>
        <w:tblInd w:w="108" w:type="dxa"/>
        <w:tblLook w:val="04A0" w:firstRow="1" w:lastRow="0" w:firstColumn="1" w:lastColumn="0" w:noHBand="0" w:noVBand="1"/>
      </w:tblPr>
      <w:tblGrid>
        <w:gridCol w:w="2155"/>
        <w:gridCol w:w="1560"/>
        <w:gridCol w:w="1417"/>
        <w:gridCol w:w="1418"/>
        <w:gridCol w:w="1559"/>
        <w:gridCol w:w="1701"/>
      </w:tblGrid>
      <w:tr w:rsidR="006C1956" w:rsidRPr="00930AA5" w14:paraId="19924DFD" w14:textId="77777777" w:rsidTr="008C349D">
        <w:tc>
          <w:tcPr>
            <w:tcW w:w="2155" w:type="dxa"/>
            <w:vAlign w:val="center"/>
          </w:tcPr>
          <w:p w14:paraId="2ED66309"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Parameter</w:t>
            </w:r>
          </w:p>
        </w:tc>
        <w:tc>
          <w:tcPr>
            <w:tcW w:w="1560" w:type="dxa"/>
            <w:vAlign w:val="center"/>
          </w:tcPr>
          <w:p w14:paraId="71A222C3"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Time point</w:t>
            </w:r>
          </w:p>
        </w:tc>
        <w:tc>
          <w:tcPr>
            <w:tcW w:w="1417" w:type="dxa"/>
            <w:vAlign w:val="center"/>
          </w:tcPr>
          <w:p w14:paraId="741C9284"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w:t>
            </w:r>
          </w:p>
        </w:tc>
        <w:tc>
          <w:tcPr>
            <w:tcW w:w="1418" w:type="dxa"/>
            <w:vAlign w:val="center"/>
          </w:tcPr>
          <w:p w14:paraId="072DBF94"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w:t>
            </w:r>
          </w:p>
        </w:tc>
        <w:tc>
          <w:tcPr>
            <w:tcW w:w="1559" w:type="dxa"/>
            <w:vAlign w:val="center"/>
          </w:tcPr>
          <w:p w14:paraId="011B3A5B"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III</w:t>
            </w:r>
          </w:p>
        </w:tc>
        <w:tc>
          <w:tcPr>
            <w:tcW w:w="1701" w:type="dxa"/>
            <w:vAlign w:val="center"/>
          </w:tcPr>
          <w:p w14:paraId="0C9A6145"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IV</w:t>
            </w:r>
          </w:p>
        </w:tc>
      </w:tr>
      <w:tr w:rsidR="008C349D" w:rsidRPr="00930AA5" w14:paraId="5ADC74D9" w14:textId="77777777" w:rsidTr="008C349D">
        <w:tc>
          <w:tcPr>
            <w:tcW w:w="2155" w:type="dxa"/>
            <w:vMerge w:val="restart"/>
            <w:vAlign w:val="center"/>
          </w:tcPr>
          <w:p w14:paraId="1CC6B18D" w14:textId="77777777" w:rsidR="008C349D" w:rsidRPr="00930AA5" w:rsidRDefault="008C349D" w:rsidP="00CC1BD2">
            <w:pPr>
              <w:rPr>
                <w:rFonts w:ascii="Arial" w:hAnsi="Arial" w:cs="Arial"/>
                <w:b/>
                <w:bCs/>
                <w:sz w:val="20"/>
                <w:szCs w:val="20"/>
              </w:rPr>
            </w:pPr>
            <w:r w:rsidRPr="00930AA5">
              <w:rPr>
                <w:rFonts w:ascii="Arial" w:hAnsi="Arial" w:cs="Arial"/>
                <w:sz w:val="20"/>
                <w:szCs w:val="20"/>
              </w:rPr>
              <w:t>Total erythrocyte count (×10⁶/µL)</w:t>
            </w:r>
          </w:p>
        </w:tc>
        <w:tc>
          <w:tcPr>
            <w:tcW w:w="1560" w:type="dxa"/>
            <w:vAlign w:val="center"/>
          </w:tcPr>
          <w:p w14:paraId="0D9626C2"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5459A8F8"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15.66</w:t>
            </w:r>
            <w:r w:rsidRPr="00930AA5">
              <w:rPr>
                <w:rFonts w:ascii="Arial" w:hAnsi="Arial" w:cs="Arial"/>
                <w:spacing w:val="-4"/>
                <w:sz w:val="20"/>
                <w:szCs w:val="20"/>
              </w:rPr>
              <w:t>±</w:t>
            </w:r>
            <w:r w:rsidRPr="00930AA5">
              <w:rPr>
                <w:rFonts w:ascii="Arial" w:hAnsi="Arial" w:cs="Arial"/>
                <w:sz w:val="20"/>
                <w:szCs w:val="20"/>
              </w:rPr>
              <w:t>1.00</w:t>
            </w:r>
            <w:r w:rsidRPr="00930AA5">
              <w:rPr>
                <w:rFonts w:ascii="Arial" w:hAnsi="Arial" w:cs="Arial"/>
                <w:sz w:val="20"/>
                <w:szCs w:val="20"/>
                <w:vertAlign w:val="superscript"/>
              </w:rPr>
              <w:t>a</w:t>
            </w:r>
          </w:p>
        </w:tc>
        <w:tc>
          <w:tcPr>
            <w:tcW w:w="1418" w:type="dxa"/>
            <w:vAlign w:val="center"/>
          </w:tcPr>
          <w:p w14:paraId="0EB4150A"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17.09</w:t>
            </w:r>
            <w:r w:rsidRPr="00930AA5">
              <w:rPr>
                <w:rFonts w:ascii="Arial" w:hAnsi="Arial" w:cs="Arial"/>
                <w:spacing w:val="-4"/>
                <w:sz w:val="20"/>
                <w:szCs w:val="20"/>
              </w:rPr>
              <w:t>±</w:t>
            </w:r>
            <w:r w:rsidRPr="00930AA5">
              <w:rPr>
                <w:rFonts w:ascii="Arial" w:hAnsi="Arial" w:cs="Arial"/>
                <w:sz w:val="20"/>
                <w:szCs w:val="20"/>
              </w:rPr>
              <w:t>0.81</w:t>
            </w:r>
          </w:p>
        </w:tc>
        <w:tc>
          <w:tcPr>
            <w:tcW w:w="1559" w:type="dxa"/>
            <w:vAlign w:val="center"/>
          </w:tcPr>
          <w:p w14:paraId="2D97E1D2"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17.46</w:t>
            </w:r>
            <w:r w:rsidRPr="00930AA5">
              <w:rPr>
                <w:rFonts w:ascii="Arial" w:hAnsi="Arial" w:cs="Arial"/>
                <w:spacing w:val="-4"/>
                <w:sz w:val="20"/>
                <w:szCs w:val="20"/>
              </w:rPr>
              <w:t>±</w:t>
            </w:r>
            <w:r w:rsidRPr="00930AA5">
              <w:rPr>
                <w:rFonts w:ascii="Arial" w:hAnsi="Arial" w:cs="Arial"/>
                <w:sz w:val="20"/>
                <w:szCs w:val="20"/>
              </w:rPr>
              <w:t>1.18</w:t>
            </w:r>
          </w:p>
        </w:tc>
        <w:tc>
          <w:tcPr>
            <w:tcW w:w="1701" w:type="dxa"/>
            <w:vAlign w:val="center"/>
          </w:tcPr>
          <w:p w14:paraId="36BF102E"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16.73</w:t>
            </w:r>
            <w:r w:rsidRPr="00930AA5">
              <w:rPr>
                <w:rFonts w:ascii="Arial" w:hAnsi="Arial" w:cs="Arial"/>
                <w:spacing w:val="-4"/>
                <w:sz w:val="20"/>
                <w:szCs w:val="20"/>
              </w:rPr>
              <w:t>±</w:t>
            </w:r>
            <w:r w:rsidRPr="00930AA5">
              <w:rPr>
                <w:rFonts w:ascii="Arial" w:hAnsi="Arial" w:cs="Arial"/>
                <w:sz w:val="20"/>
                <w:szCs w:val="20"/>
              </w:rPr>
              <w:t>1.82</w:t>
            </w:r>
            <w:r w:rsidRPr="00930AA5">
              <w:rPr>
                <w:rFonts w:ascii="Arial" w:hAnsi="Arial" w:cs="Arial"/>
                <w:sz w:val="20"/>
                <w:szCs w:val="20"/>
                <w:vertAlign w:val="superscript"/>
              </w:rPr>
              <w:t>a</w:t>
            </w:r>
          </w:p>
        </w:tc>
      </w:tr>
      <w:tr w:rsidR="008C349D" w:rsidRPr="00930AA5" w14:paraId="27879138" w14:textId="77777777" w:rsidTr="008C349D">
        <w:tc>
          <w:tcPr>
            <w:tcW w:w="2155" w:type="dxa"/>
            <w:vMerge/>
            <w:vAlign w:val="center"/>
          </w:tcPr>
          <w:p w14:paraId="567B9541" w14:textId="77777777" w:rsidR="008C349D" w:rsidRPr="00930AA5" w:rsidRDefault="008C349D" w:rsidP="00CC1BD2">
            <w:pPr>
              <w:rPr>
                <w:rFonts w:ascii="Arial" w:hAnsi="Arial" w:cs="Arial"/>
                <w:b/>
                <w:bCs/>
                <w:sz w:val="20"/>
                <w:szCs w:val="20"/>
              </w:rPr>
            </w:pPr>
          </w:p>
        </w:tc>
        <w:tc>
          <w:tcPr>
            <w:tcW w:w="1560" w:type="dxa"/>
            <w:vAlign w:val="center"/>
          </w:tcPr>
          <w:p w14:paraId="5E19B215"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1AD1B6CF"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13.29</w:t>
            </w:r>
            <w:r w:rsidRPr="00930AA5">
              <w:rPr>
                <w:rFonts w:ascii="Arial" w:hAnsi="Arial" w:cs="Arial"/>
                <w:spacing w:val="-4"/>
                <w:sz w:val="20"/>
                <w:szCs w:val="20"/>
              </w:rPr>
              <w:t>±</w:t>
            </w:r>
            <w:r w:rsidRPr="00930AA5">
              <w:rPr>
                <w:rFonts w:ascii="Arial" w:hAnsi="Arial" w:cs="Arial"/>
                <w:sz w:val="20"/>
                <w:szCs w:val="20"/>
              </w:rPr>
              <w:t>1.31</w:t>
            </w:r>
            <w:r w:rsidRPr="00930AA5">
              <w:rPr>
                <w:rFonts w:ascii="Arial" w:hAnsi="Arial" w:cs="Arial"/>
                <w:sz w:val="20"/>
                <w:szCs w:val="20"/>
                <w:vertAlign w:val="superscript"/>
              </w:rPr>
              <w:t>b</w:t>
            </w:r>
          </w:p>
        </w:tc>
        <w:tc>
          <w:tcPr>
            <w:tcW w:w="1418" w:type="dxa"/>
            <w:vAlign w:val="center"/>
          </w:tcPr>
          <w:p w14:paraId="7A5EDB3E"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15.33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0.58</w:t>
            </w:r>
          </w:p>
        </w:tc>
        <w:tc>
          <w:tcPr>
            <w:tcW w:w="1559" w:type="dxa"/>
            <w:vAlign w:val="center"/>
          </w:tcPr>
          <w:p w14:paraId="240DD4A2"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15.24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1.9</w:t>
            </w:r>
          </w:p>
        </w:tc>
        <w:tc>
          <w:tcPr>
            <w:tcW w:w="1701" w:type="dxa"/>
            <w:vAlign w:val="center"/>
          </w:tcPr>
          <w:p w14:paraId="41A30F1D"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14.53</w:t>
            </w:r>
            <w:r w:rsidRPr="00930AA5">
              <w:rPr>
                <w:rFonts w:ascii="Arial" w:hAnsi="Arial" w:cs="Arial"/>
                <w:spacing w:val="-4"/>
                <w:sz w:val="20"/>
                <w:szCs w:val="20"/>
              </w:rPr>
              <w:t>±</w:t>
            </w:r>
            <w:r w:rsidRPr="00930AA5">
              <w:rPr>
                <w:rFonts w:ascii="Arial" w:hAnsi="Arial" w:cs="Arial"/>
                <w:sz w:val="20"/>
                <w:szCs w:val="20"/>
              </w:rPr>
              <w:t>1.21</w:t>
            </w:r>
            <w:r w:rsidRPr="00930AA5">
              <w:rPr>
                <w:rFonts w:ascii="Arial" w:hAnsi="Arial" w:cs="Arial"/>
                <w:sz w:val="20"/>
                <w:szCs w:val="20"/>
                <w:vertAlign w:val="superscript"/>
              </w:rPr>
              <w:t>b</w:t>
            </w:r>
          </w:p>
        </w:tc>
      </w:tr>
      <w:tr w:rsidR="008C349D" w:rsidRPr="00930AA5" w14:paraId="012D7DC0" w14:textId="77777777" w:rsidTr="008C349D">
        <w:tc>
          <w:tcPr>
            <w:tcW w:w="2155" w:type="dxa"/>
            <w:vMerge/>
            <w:vAlign w:val="center"/>
          </w:tcPr>
          <w:p w14:paraId="16DAE857" w14:textId="77777777" w:rsidR="008C349D" w:rsidRPr="00930AA5" w:rsidRDefault="008C349D" w:rsidP="00CC1BD2">
            <w:pPr>
              <w:rPr>
                <w:rFonts w:ascii="Arial" w:hAnsi="Arial" w:cs="Arial"/>
                <w:b/>
                <w:bCs/>
                <w:sz w:val="20"/>
                <w:szCs w:val="20"/>
              </w:rPr>
            </w:pPr>
          </w:p>
        </w:tc>
        <w:tc>
          <w:tcPr>
            <w:tcW w:w="1560" w:type="dxa"/>
            <w:vAlign w:val="center"/>
          </w:tcPr>
          <w:p w14:paraId="671000A9"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6BF62FEE"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13.83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1.27</w:t>
            </w:r>
            <w:r w:rsidRPr="00930AA5">
              <w:rPr>
                <w:rFonts w:ascii="Arial" w:hAnsi="Arial" w:cs="Arial"/>
                <w:sz w:val="20"/>
                <w:szCs w:val="20"/>
                <w:vertAlign w:val="superscript"/>
              </w:rPr>
              <w:t>b</w:t>
            </w:r>
          </w:p>
        </w:tc>
        <w:tc>
          <w:tcPr>
            <w:tcW w:w="1418" w:type="dxa"/>
            <w:vAlign w:val="center"/>
          </w:tcPr>
          <w:p w14:paraId="5E99A3D0"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13.98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1.5</w:t>
            </w:r>
          </w:p>
        </w:tc>
        <w:tc>
          <w:tcPr>
            <w:tcW w:w="1559" w:type="dxa"/>
            <w:vAlign w:val="center"/>
          </w:tcPr>
          <w:p w14:paraId="472E4132"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15.99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1.72</w:t>
            </w:r>
          </w:p>
        </w:tc>
        <w:tc>
          <w:tcPr>
            <w:tcW w:w="1701" w:type="dxa"/>
            <w:vAlign w:val="center"/>
          </w:tcPr>
          <w:p w14:paraId="548804D0"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14.08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1.92</w:t>
            </w:r>
            <w:r w:rsidRPr="00930AA5">
              <w:rPr>
                <w:rFonts w:ascii="Arial" w:hAnsi="Arial" w:cs="Arial"/>
                <w:sz w:val="20"/>
                <w:szCs w:val="20"/>
                <w:vertAlign w:val="superscript"/>
              </w:rPr>
              <w:t>b</w:t>
            </w:r>
          </w:p>
        </w:tc>
      </w:tr>
      <w:tr w:rsidR="008C349D" w:rsidRPr="00930AA5" w14:paraId="2552B0B9" w14:textId="77777777" w:rsidTr="008C349D">
        <w:tc>
          <w:tcPr>
            <w:tcW w:w="2155" w:type="dxa"/>
            <w:vMerge w:val="restart"/>
            <w:vAlign w:val="center"/>
          </w:tcPr>
          <w:p w14:paraId="493DEE97" w14:textId="77777777" w:rsidR="008C349D" w:rsidRPr="00930AA5" w:rsidRDefault="008C349D" w:rsidP="00CC1BD2">
            <w:pPr>
              <w:rPr>
                <w:rFonts w:ascii="Arial" w:hAnsi="Arial" w:cs="Arial"/>
                <w:b/>
                <w:bCs/>
                <w:sz w:val="20"/>
                <w:szCs w:val="20"/>
              </w:rPr>
            </w:pPr>
            <w:proofErr w:type="spellStart"/>
            <w:r w:rsidRPr="00930AA5">
              <w:rPr>
                <w:rFonts w:ascii="Arial" w:hAnsi="Arial" w:cs="Arial"/>
                <w:sz w:val="20"/>
                <w:szCs w:val="20"/>
              </w:rPr>
              <w:t>Haemoglobin</w:t>
            </w:r>
            <w:proofErr w:type="spellEnd"/>
            <w:r w:rsidRPr="00930AA5">
              <w:rPr>
                <w:rFonts w:ascii="Arial" w:hAnsi="Arial" w:cs="Arial"/>
                <w:sz w:val="20"/>
                <w:szCs w:val="20"/>
              </w:rPr>
              <w:t xml:space="preserve"> (g/dL)</w:t>
            </w:r>
          </w:p>
        </w:tc>
        <w:tc>
          <w:tcPr>
            <w:tcW w:w="1560" w:type="dxa"/>
            <w:vAlign w:val="center"/>
          </w:tcPr>
          <w:p w14:paraId="67F6E767"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061849D7"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10.33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0.26</w:t>
            </w:r>
            <w:r w:rsidRPr="00930AA5">
              <w:rPr>
                <w:rFonts w:ascii="Arial" w:hAnsi="Arial" w:cs="Arial"/>
                <w:sz w:val="20"/>
                <w:szCs w:val="20"/>
                <w:vertAlign w:val="superscript"/>
              </w:rPr>
              <w:t>a</w:t>
            </w:r>
          </w:p>
        </w:tc>
        <w:tc>
          <w:tcPr>
            <w:tcW w:w="1418" w:type="dxa"/>
            <w:vAlign w:val="center"/>
          </w:tcPr>
          <w:p w14:paraId="6CD57466"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11.18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.74</w:t>
            </w:r>
            <w:r w:rsidRPr="00930AA5">
              <w:rPr>
                <w:rFonts w:ascii="Arial" w:hAnsi="Arial" w:cs="Arial"/>
                <w:sz w:val="20"/>
                <w:szCs w:val="20"/>
                <w:vertAlign w:val="superscript"/>
              </w:rPr>
              <w:t>a</w:t>
            </w:r>
          </w:p>
        </w:tc>
        <w:tc>
          <w:tcPr>
            <w:tcW w:w="1559" w:type="dxa"/>
            <w:vAlign w:val="center"/>
          </w:tcPr>
          <w:p w14:paraId="53DF6F34"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10.62</w:t>
            </w:r>
            <w:r w:rsidRPr="00930AA5">
              <w:rPr>
                <w:rFonts w:ascii="Arial" w:hAnsi="Arial" w:cs="Arial"/>
                <w:spacing w:val="-4"/>
                <w:sz w:val="20"/>
                <w:szCs w:val="20"/>
              </w:rPr>
              <w:t>±</w:t>
            </w:r>
            <w:r w:rsidRPr="00930AA5">
              <w:rPr>
                <w:rFonts w:ascii="Arial" w:hAnsi="Arial" w:cs="Arial"/>
                <w:sz w:val="20"/>
                <w:szCs w:val="20"/>
              </w:rPr>
              <w:t>0.92</w:t>
            </w:r>
            <w:r w:rsidRPr="00930AA5">
              <w:rPr>
                <w:rFonts w:ascii="Arial" w:hAnsi="Arial" w:cs="Arial"/>
                <w:sz w:val="20"/>
                <w:szCs w:val="20"/>
                <w:vertAlign w:val="superscript"/>
              </w:rPr>
              <w:t>a</w:t>
            </w:r>
          </w:p>
        </w:tc>
        <w:tc>
          <w:tcPr>
            <w:tcW w:w="1701" w:type="dxa"/>
            <w:vAlign w:val="center"/>
          </w:tcPr>
          <w:p w14:paraId="3DBA0B5C"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9.95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0.45</w:t>
            </w:r>
            <w:r w:rsidRPr="00930AA5">
              <w:rPr>
                <w:rFonts w:ascii="Arial" w:hAnsi="Arial" w:cs="Arial"/>
                <w:sz w:val="20"/>
                <w:szCs w:val="20"/>
                <w:vertAlign w:val="superscript"/>
              </w:rPr>
              <w:t>a</w:t>
            </w:r>
          </w:p>
        </w:tc>
      </w:tr>
      <w:tr w:rsidR="008C349D" w:rsidRPr="00930AA5" w14:paraId="46EA0A95" w14:textId="77777777" w:rsidTr="008C349D">
        <w:tc>
          <w:tcPr>
            <w:tcW w:w="2155" w:type="dxa"/>
            <w:vMerge/>
            <w:vAlign w:val="center"/>
          </w:tcPr>
          <w:p w14:paraId="70527D0D" w14:textId="77777777" w:rsidR="008C349D" w:rsidRPr="00930AA5" w:rsidRDefault="008C349D" w:rsidP="00CC1BD2">
            <w:pPr>
              <w:rPr>
                <w:rFonts w:ascii="Arial" w:hAnsi="Arial" w:cs="Arial"/>
                <w:b/>
                <w:bCs/>
                <w:sz w:val="20"/>
                <w:szCs w:val="20"/>
              </w:rPr>
            </w:pPr>
          </w:p>
        </w:tc>
        <w:tc>
          <w:tcPr>
            <w:tcW w:w="1560" w:type="dxa"/>
            <w:vAlign w:val="center"/>
          </w:tcPr>
          <w:p w14:paraId="27943F61"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7D503630"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8.85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0.29</w:t>
            </w:r>
            <w:r w:rsidRPr="00930AA5">
              <w:rPr>
                <w:rFonts w:ascii="Arial" w:hAnsi="Arial" w:cs="Arial"/>
                <w:sz w:val="20"/>
                <w:szCs w:val="20"/>
                <w:vertAlign w:val="superscript"/>
              </w:rPr>
              <w:t>b</w:t>
            </w:r>
          </w:p>
        </w:tc>
        <w:tc>
          <w:tcPr>
            <w:tcW w:w="1418" w:type="dxa"/>
            <w:vAlign w:val="center"/>
          </w:tcPr>
          <w:p w14:paraId="093BDA5C"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9.87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0.96</w:t>
            </w:r>
            <w:r w:rsidRPr="00930AA5">
              <w:rPr>
                <w:rFonts w:ascii="Arial" w:hAnsi="Arial" w:cs="Arial"/>
                <w:sz w:val="20"/>
                <w:szCs w:val="20"/>
                <w:vertAlign w:val="superscript"/>
              </w:rPr>
              <w:t>b</w:t>
            </w:r>
          </w:p>
        </w:tc>
        <w:tc>
          <w:tcPr>
            <w:tcW w:w="1559" w:type="dxa"/>
            <w:vAlign w:val="center"/>
          </w:tcPr>
          <w:p w14:paraId="5834A5E8"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9.15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1.31</w:t>
            </w:r>
            <w:r w:rsidRPr="00930AA5">
              <w:rPr>
                <w:rFonts w:ascii="Arial" w:hAnsi="Arial" w:cs="Arial"/>
                <w:sz w:val="20"/>
                <w:szCs w:val="20"/>
                <w:vertAlign w:val="superscript"/>
              </w:rPr>
              <w:t>b</w:t>
            </w:r>
          </w:p>
        </w:tc>
        <w:tc>
          <w:tcPr>
            <w:tcW w:w="1701" w:type="dxa"/>
            <w:vAlign w:val="center"/>
          </w:tcPr>
          <w:p w14:paraId="76CD8EBE"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8.15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0.43</w:t>
            </w:r>
            <w:r w:rsidRPr="00930AA5">
              <w:rPr>
                <w:rFonts w:ascii="Arial" w:hAnsi="Arial" w:cs="Arial"/>
                <w:sz w:val="20"/>
                <w:szCs w:val="20"/>
                <w:vertAlign w:val="superscript"/>
              </w:rPr>
              <w:t>b</w:t>
            </w:r>
          </w:p>
        </w:tc>
      </w:tr>
      <w:tr w:rsidR="008C349D" w:rsidRPr="00930AA5" w14:paraId="76AC0604" w14:textId="77777777" w:rsidTr="008C349D">
        <w:tc>
          <w:tcPr>
            <w:tcW w:w="2155" w:type="dxa"/>
            <w:vMerge/>
            <w:vAlign w:val="center"/>
          </w:tcPr>
          <w:p w14:paraId="1BA4BDD6" w14:textId="77777777" w:rsidR="008C349D" w:rsidRPr="00930AA5" w:rsidRDefault="008C349D" w:rsidP="00CC1BD2">
            <w:pPr>
              <w:rPr>
                <w:rFonts w:ascii="Arial" w:hAnsi="Arial" w:cs="Arial"/>
                <w:b/>
                <w:bCs/>
                <w:sz w:val="20"/>
                <w:szCs w:val="20"/>
              </w:rPr>
            </w:pPr>
          </w:p>
        </w:tc>
        <w:tc>
          <w:tcPr>
            <w:tcW w:w="1560" w:type="dxa"/>
            <w:vAlign w:val="center"/>
          </w:tcPr>
          <w:p w14:paraId="1A138E11"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7B3DD50C"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8.32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b</w:t>
            </w:r>
          </w:p>
        </w:tc>
        <w:tc>
          <w:tcPr>
            <w:tcW w:w="1418" w:type="dxa"/>
            <w:vAlign w:val="center"/>
          </w:tcPr>
          <w:p w14:paraId="0E233A61"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9.73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1.15</w:t>
            </w:r>
            <w:r w:rsidRPr="00930AA5">
              <w:rPr>
                <w:rFonts w:ascii="Arial" w:hAnsi="Arial" w:cs="Arial"/>
                <w:sz w:val="20"/>
                <w:szCs w:val="20"/>
                <w:vertAlign w:val="superscript"/>
              </w:rPr>
              <w:t>b</w:t>
            </w:r>
          </w:p>
        </w:tc>
        <w:tc>
          <w:tcPr>
            <w:tcW w:w="1559" w:type="dxa"/>
            <w:vAlign w:val="center"/>
          </w:tcPr>
          <w:p w14:paraId="78834904"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9.73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1.15</w:t>
            </w:r>
            <w:r w:rsidRPr="00930AA5">
              <w:rPr>
                <w:rFonts w:ascii="Arial" w:hAnsi="Arial" w:cs="Arial"/>
                <w:sz w:val="20"/>
                <w:szCs w:val="20"/>
                <w:vertAlign w:val="superscript"/>
              </w:rPr>
              <w:t>ab</w:t>
            </w:r>
          </w:p>
        </w:tc>
        <w:tc>
          <w:tcPr>
            <w:tcW w:w="1701" w:type="dxa"/>
            <w:vAlign w:val="center"/>
          </w:tcPr>
          <w:p w14:paraId="5F951DFB"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8.28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0.17</w:t>
            </w:r>
            <w:r w:rsidRPr="00930AA5">
              <w:rPr>
                <w:rFonts w:ascii="Arial" w:hAnsi="Arial" w:cs="Arial"/>
                <w:sz w:val="20"/>
                <w:szCs w:val="20"/>
                <w:vertAlign w:val="superscript"/>
              </w:rPr>
              <w:t>b</w:t>
            </w:r>
          </w:p>
        </w:tc>
      </w:tr>
      <w:tr w:rsidR="008C349D" w:rsidRPr="00930AA5" w14:paraId="28C09790" w14:textId="77777777" w:rsidTr="008C349D">
        <w:tc>
          <w:tcPr>
            <w:tcW w:w="2155" w:type="dxa"/>
            <w:vMerge w:val="restart"/>
            <w:vAlign w:val="center"/>
          </w:tcPr>
          <w:p w14:paraId="406FAD81" w14:textId="77777777" w:rsidR="008C349D" w:rsidRPr="00930AA5" w:rsidRDefault="008C349D" w:rsidP="00CC1BD2">
            <w:pPr>
              <w:rPr>
                <w:rFonts w:ascii="Arial" w:hAnsi="Arial" w:cs="Arial"/>
                <w:b/>
                <w:bCs/>
                <w:sz w:val="20"/>
                <w:szCs w:val="20"/>
              </w:rPr>
            </w:pPr>
            <w:r w:rsidRPr="00930AA5">
              <w:rPr>
                <w:rFonts w:ascii="Arial" w:hAnsi="Arial" w:cs="Arial"/>
                <w:sz w:val="20"/>
                <w:szCs w:val="20"/>
              </w:rPr>
              <w:t>Packed cell volume (%)</w:t>
            </w:r>
          </w:p>
        </w:tc>
        <w:tc>
          <w:tcPr>
            <w:tcW w:w="1560" w:type="dxa"/>
            <w:vAlign w:val="center"/>
          </w:tcPr>
          <w:p w14:paraId="176016FE"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5C5EBBAE"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30.12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2.36</w:t>
            </w:r>
          </w:p>
        </w:tc>
        <w:tc>
          <w:tcPr>
            <w:tcW w:w="1418" w:type="dxa"/>
            <w:vAlign w:val="center"/>
          </w:tcPr>
          <w:p w14:paraId="3952DEE6"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31.37</w:t>
            </w:r>
            <w:r w:rsidRPr="00930AA5">
              <w:rPr>
                <w:rFonts w:ascii="Arial" w:hAnsi="Arial" w:cs="Arial"/>
                <w:spacing w:val="-4"/>
                <w:sz w:val="20"/>
                <w:szCs w:val="20"/>
              </w:rPr>
              <w:t>±</w:t>
            </w:r>
            <w:r w:rsidRPr="00930AA5">
              <w:rPr>
                <w:rFonts w:ascii="Arial" w:hAnsi="Arial" w:cs="Arial"/>
                <w:sz w:val="20"/>
                <w:szCs w:val="20"/>
              </w:rPr>
              <w:t>2.97</w:t>
            </w:r>
            <w:r w:rsidRPr="00930AA5">
              <w:rPr>
                <w:rFonts w:ascii="Arial" w:hAnsi="Arial" w:cs="Arial"/>
                <w:sz w:val="20"/>
                <w:szCs w:val="20"/>
                <w:vertAlign w:val="superscript"/>
              </w:rPr>
              <w:t>a</w:t>
            </w:r>
          </w:p>
        </w:tc>
        <w:tc>
          <w:tcPr>
            <w:tcW w:w="1559" w:type="dxa"/>
            <w:vAlign w:val="center"/>
          </w:tcPr>
          <w:p w14:paraId="3B3DEB7B"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31.10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3.09</w:t>
            </w:r>
          </w:p>
        </w:tc>
        <w:tc>
          <w:tcPr>
            <w:tcW w:w="1701" w:type="dxa"/>
            <w:vAlign w:val="center"/>
          </w:tcPr>
          <w:p w14:paraId="517FA3ED"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32.70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4.1</w:t>
            </w:r>
            <w:r w:rsidRPr="00930AA5">
              <w:rPr>
                <w:rFonts w:ascii="Arial" w:hAnsi="Arial" w:cs="Arial"/>
                <w:sz w:val="20"/>
                <w:szCs w:val="20"/>
                <w:vertAlign w:val="superscript"/>
              </w:rPr>
              <w:t>a</w:t>
            </w:r>
          </w:p>
        </w:tc>
      </w:tr>
      <w:tr w:rsidR="008C349D" w:rsidRPr="00930AA5" w14:paraId="4AD71967" w14:textId="77777777" w:rsidTr="008C349D">
        <w:tc>
          <w:tcPr>
            <w:tcW w:w="2155" w:type="dxa"/>
            <w:vMerge/>
            <w:vAlign w:val="center"/>
          </w:tcPr>
          <w:p w14:paraId="7F832854" w14:textId="77777777" w:rsidR="008C349D" w:rsidRPr="00930AA5" w:rsidRDefault="008C349D" w:rsidP="00CC1BD2">
            <w:pPr>
              <w:rPr>
                <w:rFonts w:ascii="Arial" w:hAnsi="Arial" w:cs="Arial"/>
                <w:b/>
                <w:bCs/>
                <w:sz w:val="20"/>
                <w:szCs w:val="20"/>
              </w:rPr>
            </w:pPr>
          </w:p>
        </w:tc>
        <w:tc>
          <w:tcPr>
            <w:tcW w:w="1560" w:type="dxa"/>
            <w:vAlign w:val="center"/>
          </w:tcPr>
          <w:p w14:paraId="65AF277C"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0B8A9B63"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26.90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2.22</w:t>
            </w:r>
          </w:p>
        </w:tc>
        <w:tc>
          <w:tcPr>
            <w:tcW w:w="1418" w:type="dxa"/>
            <w:vAlign w:val="center"/>
          </w:tcPr>
          <w:p w14:paraId="5F77E88C"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28.25</w:t>
            </w:r>
            <w:r w:rsidRPr="00930AA5">
              <w:rPr>
                <w:rFonts w:ascii="Arial" w:hAnsi="Arial" w:cs="Arial"/>
                <w:spacing w:val="-4"/>
                <w:sz w:val="20"/>
                <w:szCs w:val="20"/>
              </w:rPr>
              <w:t>±</w:t>
            </w:r>
            <w:r w:rsidRPr="00930AA5">
              <w:rPr>
                <w:rFonts w:ascii="Arial" w:hAnsi="Arial" w:cs="Arial"/>
                <w:sz w:val="20"/>
                <w:szCs w:val="20"/>
              </w:rPr>
              <w:t>2.96</w:t>
            </w:r>
            <w:r w:rsidRPr="00930AA5">
              <w:rPr>
                <w:rFonts w:ascii="Arial" w:hAnsi="Arial" w:cs="Arial"/>
                <w:sz w:val="20"/>
                <w:szCs w:val="20"/>
                <w:vertAlign w:val="superscript"/>
              </w:rPr>
              <w:t>b</w:t>
            </w:r>
          </w:p>
        </w:tc>
        <w:tc>
          <w:tcPr>
            <w:tcW w:w="1559" w:type="dxa"/>
            <w:vAlign w:val="center"/>
          </w:tcPr>
          <w:p w14:paraId="16213CEC"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27.08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4.4</w:t>
            </w:r>
            <w:r w:rsidRPr="00930AA5">
              <w:rPr>
                <w:rFonts w:ascii="Arial" w:hAnsi="Arial" w:cs="Arial"/>
                <w:sz w:val="20"/>
                <w:szCs w:val="20"/>
                <w:vertAlign w:val="superscript"/>
              </w:rPr>
              <w:t>b</w:t>
            </w:r>
          </w:p>
        </w:tc>
        <w:tc>
          <w:tcPr>
            <w:tcW w:w="1701" w:type="dxa"/>
            <w:vAlign w:val="center"/>
          </w:tcPr>
          <w:p w14:paraId="142AD918"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27.78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3.32</w:t>
            </w:r>
            <w:r w:rsidRPr="00930AA5">
              <w:rPr>
                <w:rFonts w:ascii="Arial" w:hAnsi="Arial" w:cs="Arial"/>
                <w:sz w:val="20"/>
                <w:szCs w:val="20"/>
                <w:vertAlign w:val="superscript"/>
              </w:rPr>
              <w:t>b</w:t>
            </w:r>
          </w:p>
        </w:tc>
      </w:tr>
      <w:tr w:rsidR="008C349D" w:rsidRPr="00930AA5" w14:paraId="7D761493" w14:textId="77777777" w:rsidTr="008C349D">
        <w:tc>
          <w:tcPr>
            <w:tcW w:w="2155" w:type="dxa"/>
            <w:vMerge/>
            <w:vAlign w:val="center"/>
          </w:tcPr>
          <w:p w14:paraId="38F65A49" w14:textId="77777777" w:rsidR="008C349D" w:rsidRPr="00930AA5" w:rsidRDefault="008C349D" w:rsidP="00CC1BD2">
            <w:pPr>
              <w:rPr>
                <w:rFonts w:ascii="Arial" w:hAnsi="Arial" w:cs="Arial"/>
                <w:b/>
                <w:bCs/>
                <w:sz w:val="20"/>
                <w:szCs w:val="20"/>
              </w:rPr>
            </w:pPr>
          </w:p>
        </w:tc>
        <w:tc>
          <w:tcPr>
            <w:tcW w:w="1560" w:type="dxa"/>
            <w:vAlign w:val="center"/>
          </w:tcPr>
          <w:p w14:paraId="5DF28280"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3B855C7D"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25.58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1.94</w:t>
            </w:r>
          </w:p>
        </w:tc>
        <w:tc>
          <w:tcPr>
            <w:tcW w:w="1418" w:type="dxa"/>
            <w:vAlign w:val="center"/>
          </w:tcPr>
          <w:p w14:paraId="063A0825"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26.62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2.83</w:t>
            </w:r>
            <w:r w:rsidRPr="00930AA5">
              <w:rPr>
                <w:rFonts w:ascii="Arial" w:hAnsi="Arial" w:cs="Arial"/>
                <w:sz w:val="20"/>
                <w:szCs w:val="20"/>
                <w:vertAlign w:val="superscript"/>
              </w:rPr>
              <w:t>b</w:t>
            </w:r>
          </w:p>
        </w:tc>
        <w:tc>
          <w:tcPr>
            <w:tcW w:w="1559" w:type="dxa"/>
            <w:vAlign w:val="center"/>
          </w:tcPr>
          <w:p w14:paraId="7B573A05"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28.38</w:t>
            </w:r>
            <w:r w:rsidRPr="00930AA5">
              <w:rPr>
                <w:rFonts w:ascii="Arial" w:hAnsi="Arial" w:cs="Arial"/>
                <w:spacing w:val="-4"/>
                <w:sz w:val="20"/>
                <w:szCs w:val="20"/>
              </w:rPr>
              <w:t>±</w:t>
            </w:r>
            <w:r w:rsidRPr="00930AA5">
              <w:rPr>
                <w:rFonts w:ascii="Arial" w:hAnsi="Arial" w:cs="Arial"/>
                <w:sz w:val="20"/>
                <w:szCs w:val="20"/>
              </w:rPr>
              <w:t>4.09</w:t>
            </w:r>
            <w:r w:rsidRPr="00930AA5">
              <w:rPr>
                <w:rFonts w:ascii="Arial" w:hAnsi="Arial" w:cs="Arial"/>
                <w:sz w:val="20"/>
                <w:szCs w:val="20"/>
                <w:vertAlign w:val="superscript"/>
              </w:rPr>
              <w:t>b</w:t>
            </w:r>
          </w:p>
        </w:tc>
        <w:tc>
          <w:tcPr>
            <w:tcW w:w="1701" w:type="dxa"/>
            <w:vAlign w:val="center"/>
          </w:tcPr>
          <w:p w14:paraId="5C59D610"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27.82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4.28</w:t>
            </w:r>
            <w:r w:rsidRPr="00930AA5">
              <w:rPr>
                <w:rFonts w:ascii="Arial" w:hAnsi="Arial" w:cs="Arial"/>
                <w:sz w:val="20"/>
                <w:szCs w:val="20"/>
                <w:vertAlign w:val="superscript"/>
              </w:rPr>
              <w:t>b</w:t>
            </w:r>
          </w:p>
        </w:tc>
      </w:tr>
      <w:tr w:rsidR="008C349D" w:rsidRPr="00930AA5" w14:paraId="59213793" w14:textId="77777777" w:rsidTr="008C349D">
        <w:tc>
          <w:tcPr>
            <w:tcW w:w="2155" w:type="dxa"/>
            <w:vMerge w:val="restart"/>
            <w:vAlign w:val="center"/>
          </w:tcPr>
          <w:p w14:paraId="360059C4" w14:textId="77777777" w:rsidR="008C349D" w:rsidRPr="00930AA5" w:rsidRDefault="008C349D" w:rsidP="00CC1BD2">
            <w:pPr>
              <w:rPr>
                <w:rFonts w:ascii="Arial" w:hAnsi="Arial" w:cs="Arial"/>
                <w:b/>
                <w:bCs/>
                <w:sz w:val="20"/>
                <w:szCs w:val="20"/>
              </w:rPr>
            </w:pPr>
            <w:r w:rsidRPr="00930AA5">
              <w:rPr>
                <w:rFonts w:ascii="Arial" w:hAnsi="Arial" w:cs="Arial"/>
                <w:sz w:val="20"/>
                <w:szCs w:val="20"/>
              </w:rPr>
              <w:t>Total leucocyte count (×10³/µL)</w:t>
            </w:r>
          </w:p>
        </w:tc>
        <w:tc>
          <w:tcPr>
            <w:tcW w:w="1560" w:type="dxa"/>
            <w:vAlign w:val="center"/>
          </w:tcPr>
          <w:p w14:paraId="4680928A"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4D8285E8"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8.88±1.25</w:t>
            </w:r>
            <w:r w:rsidRPr="00930AA5">
              <w:rPr>
                <w:rFonts w:ascii="Arial" w:hAnsi="Arial" w:cs="Arial"/>
                <w:sz w:val="20"/>
                <w:szCs w:val="20"/>
                <w:vertAlign w:val="superscript"/>
              </w:rPr>
              <w:t>a</w:t>
            </w:r>
          </w:p>
        </w:tc>
        <w:tc>
          <w:tcPr>
            <w:tcW w:w="1418" w:type="dxa"/>
            <w:vAlign w:val="center"/>
          </w:tcPr>
          <w:p w14:paraId="235803F4"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9.22±1.54</w:t>
            </w:r>
          </w:p>
        </w:tc>
        <w:tc>
          <w:tcPr>
            <w:tcW w:w="1559" w:type="dxa"/>
            <w:vAlign w:val="center"/>
          </w:tcPr>
          <w:p w14:paraId="029C65FC"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8.37±1.28</w:t>
            </w:r>
            <w:r w:rsidRPr="00930AA5">
              <w:rPr>
                <w:rFonts w:ascii="Arial" w:hAnsi="Arial" w:cs="Arial"/>
                <w:sz w:val="20"/>
                <w:szCs w:val="20"/>
                <w:vertAlign w:val="superscript"/>
              </w:rPr>
              <w:t>a</w:t>
            </w:r>
          </w:p>
        </w:tc>
        <w:tc>
          <w:tcPr>
            <w:tcW w:w="1701" w:type="dxa"/>
            <w:vAlign w:val="center"/>
          </w:tcPr>
          <w:p w14:paraId="45012CD1"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10.02±0.74</w:t>
            </w:r>
            <w:r w:rsidRPr="00930AA5">
              <w:rPr>
                <w:rFonts w:ascii="Arial" w:hAnsi="Arial" w:cs="Arial"/>
                <w:sz w:val="20"/>
                <w:szCs w:val="20"/>
                <w:vertAlign w:val="superscript"/>
              </w:rPr>
              <w:t>a</w:t>
            </w:r>
          </w:p>
        </w:tc>
      </w:tr>
      <w:tr w:rsidR="008C349D" w:rsidRPr="00930AA5" w14:paraId="22BBE2AE" w14:textId="77777777" w:rsidTr="008C349D">
        <w:tc>
          <w:tcPr>
            <w:tcW w:w="2155" w:type="dxa"/>
            <w:vMerge/>
            <w:vAlign w:val="center"/>
          </w:tcPr>
          <w:p w14:paraId="6A5DF797" w14:textId="77777777" w:rsidR="008C349D" w:rsidRPr="00930AA5" w:rsidRDefault="008C349D" w:rsidP="00CC1BD2">
            <w:pPr>
              <w:jc w:val="both"/>
              <w:rPr>
                <w:rFonts w:ascii="Arial" w:hAnsi="Arial" w:cs="Arial"/>
                <w:b/>
                <w:bCs/>
                <w:sz w:val="20"/>
                <w:szCs w:val="20"/>
              </w:rPr>
            </w:pPr>
          </w:p>
        </w:tc>
        <w:tc>
          <w:tcPr>
            <w:tcW w:w="1560" w:type="dxa"/>
            <w:vAlign w:val="center"/>
          </w:tcPr>
          <w:p w14:paraId="31F038FE"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67C739A5"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6.62±0.81</w:t>
            </w:r>
            <w:r w:rsidRPr="00930AA5">
              <w:rPr>
                <w:rFonts w:ascii="Arial" w:hAnsi="Arial" w:cs="Arial"/>
                <w:sz w:val="20"/>
                <w:szCs w:val="20"/>
                <w:vertAlign w:val="superscript"/>
              </w:rPr>
              <w:t>b</w:t>
            </w:r>
          </w:p>
        </w:tc>
        <w:tc>
          <w:tcPr>
            <w:tcW w:w="1418" w:type="dxa"/>
            <w:vAlign w:val="center"/>
          </w:tcPr>
          <w:p w14:paraId="60FB52D2"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7.23±0.99</w:t>
            </w:r>
          </w:p>
        </w:tc>
        <w:tc>
          <w:tcPr>
            <w:tcW w:w="1559" w:type="dxa"/>
            <w:vAlign w:val="center"/>
          </w:tcPr>
          <w:p w14:paraId="24A52100"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6.73±0.99</w:t>
            </w:r>
            <w:r w:rsidRPr="00930AA5">
              <w:rPr>
                <w:rFonts w:ascii="Arial" w:hAnsi="Arial" w:cs="Arial"/>
                <w:sz w:val="20"/>
                <w:szCs w:val="20"/>
                <w:vertAlign w:val="superscript"/>
              </w:rPr>
              <w:t>b</w:t>
            </w:r>
          </w:p>
        </w:tc>
        <w:tc>
          <w:tcPr>
            <w:tcW w:w="1701" w:type="dxa"/>
            <w:vAlign w:val="center"/>
          </w:tcPr>
          <w:p w14:paraId="6DEFC740"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8.18± 0.98</w:t>
            </w:r>
            <w:r w:rsidRPr="00930AA5">
              <w:rPr>
                <w:rFonts w:ascii="Arial" w:hAnsi="Arial" w:cs="Arial"/>
                <w:sz w:val="20"/>
                <w:szCs w:val="20"/>
                <w:vertAlign w:val="superscript"/>
              </w:rPr>
              <w:t>b</w:t>
            </w:r>
          </w:p>
        </w:tc>
      </w:tr>
      <w:tr w:rsidR="008C349D" w:rsidRPr="00930AA5" w14:paraId="53941400" w14:textId="77777777" w:rsidTr="008C349D">
        <w:tc>
          <w:tcPr>
            <w:tcW w:w="2155" w:type="dxa"/>
            <w:vMerge/>
            <w:vAlign w:val="center"/>
          </w:tcPr>
          <w:p w14:paraId="1CF3ED94" w14:textId="77777777" w:rsidR="008C349D" w:rsidRPr="00930AA5" w:rsidRDefault="008C349D" w:rsidP="00CC1BD2">
            <w:pPr>
              <w:jc w:val="both"/>
              <w:rPr>
                <w:rFonts w:ascii="Arial" w:hAnsi="Arial" w:cs="Arial"/>
                <w:b/>
                <w:bCs/>
                <w:sz w:val="20"/>
                <w:szCs w:val="20"/>
              </w:rPr>
            </w:pPr>
          </w:p>
        </w:tc>
        <w:tc>
          <w:tcPr>
            <w:tcW w:w="1560" w:type="dxa"/>
            <w:vAlign w:val="center"/>
          </w:tcPr>
          <w:p w14:paraId="54EDFB5D"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48D10C41"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6.73±1.23</w:t>
            </w:r>
            <w:r w:rsidRPr="00930AA5">
              <w:rPr>
                <w:rFonts w:ascii="Arial" w:hAnsi="Arial" w:cs="Arial"/>
                <w:sz w:val="20"/>
                <w:szCs w:val="20"/>
                <w:vertAlign w:val="superscript"/>
              </w:rPr>
              <w:t>ab</w:t>
            </w:r>
          </w:p>
        </w:tc>
        <w:tc>
          <w:tcPr>
            <w:tcW w:w="1418" w:type="dxa"/>
            <w:vAlign w:val="center"/>
          </w:tcPr>
          <w:p w14:paraId="16D001EB"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7.28±1.20</w:t>
            </w:r>
          </w:p>
        </w:tc>
        <w:tc>
          <w:tcPr>
            <w:tcW w:w="1559" w:type="dxa"/>
            <w:vAlign w:val="center"/>
          </w:tcPr>
          <w:p w14:paraId="44E641DA"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6.87±1.19</w:t>
            </w:r>
            <w:r w:rsidRPr="00930AA5">
              <w:rPr>
                <w:rFonts w:ascii="Arial" w:hAnsi="Arial" w:cs="Arial"/>
                <w:sz w:val="20"/>
                <w:szCs w:val="20"/>
                <w:vertAlign w:val="superscript"/>
              </w:rPr>
              <w:t>b</w:t>
            </w:r>
          </w:p>
        </w:tc>
        <w:tc>
          <w:tcPr>
            <w:tcW w:w="1701" w:type="dxa"/>
            <w:vAlign w:val="center"/>
          </w:tcPr>
          <w:p w14:paraId="50792BD9" w14:textId="77777777" w:rsidR="008C349D" w:rsidRPr="00930AA5" w:rsidRDefault="008C349D" w:rsidP="00CC1BD2">
            <w:pPr>
              <w:jc w:val="both"/>
              <w:rPr>
                <w:rFonts w:ascii="Arial" w:hAnsi="Arial" w:cs="Arial"/>
                <w:b/>
                <w:bCs/>
                <w:sz w:val="20"/>
                <w:szCs w:val="20"/>
              </w:rPr>
            </w:pPr>
            <w:r w:rsidRPr="00930AA5">
              <w:rPr>
                <w:rFonts w:ascii="Arial" w:hAnsi="Arial" w:cs="Arial"/>
                <w:sz w:val="20"/>
                <w:szCs w:val="20"/>
              </w:rPr>
              <w:t>6.45±1.18</w:t>
            </w:r>
            <w:r w:rsidRPr="00930AA5">
              <w:rPr>
                <w:rFonts w:ascii="Arial" w:hAnsi="Arial" w:cs="Arial"/>
                <w:sz w:val="20"/>
                <w:szCs w:val="20"/>
                <w:vertAlign w:val="superscript"/>
              </w:rPr>
              <w:t>b</w:t>
            </w:r>
          </w:p>
        </w:tc>
      </w:tr>
    </w:tbl>
    <w:p w14:paraId="72D01A9D" w14:textId="77777777" w:rsidR="006C1956" w:rsidRPr="00930AA5" w:rsidRDefault="006C1956" w:rsidP="006C1956">
      <w:pPr>
        <w:jc w:val="both"/>
        <w:rPr>
          <w:rFonts w:ascii="Arial" w:hAnsi="Arial" w:cs="Arial"/>
        </w:rPr>
      </w:pPr>
    </w:p>
    <w:p w14:paraId="08F46DFE" w14:textId="77777777" w:rsidR="006C1956" w:rsidRPr="00930AA5" w:rsidRDefault="006C1956" w:rsidP="008A2C19">
      <w:pPr>
        <w:ind w:firstLine="567"/>
        <w:jc w:val="both"/>
        <w:rPr>
          <w:rFonts w:ascii="Arial" w:hAnsi="Arial" w:cs="Arial"/>
        </w:rPr>
      </w:pPr>
    </w:p>
    <w:p w14:paraId="7474A36F" w14:textId="1AC9AEC9" w:rsidR="006C1956" w:rsidRPr="00930AA5" w:rsidRDefault="006C1956" w:rsidP="006C1956">
      <w:pPr>
        <w:ind w:firstLine="567"/>
        <w:jc w:val="both"/>
        <w:rPr>
          <w:rFonts w:ascii="Arial" w:hAnsi="Arial" w:cs="Arial"/>
        </w:rPr>
      </w:pPr>
      <w:r w:rsidRPr="00930AA5">
        <w:rPr>
          <w:rFonts w:ascii="Arial" w:hAnsi="Arial" w:cs="Arial"/>
        </w:rPr>
        <w:t>Lymphocytes shown a mild, non-significant decrease was observed after induction in all groups, with values returning towards baseline during recovery. The transient decrease in lymphocyte count observed across groups may reflect stress-related corticosteroid release, as reported earlier in goats and dogs administered α</w:t>
      </w:r>
      <w:r w:rsidRPr="00930AA5">
        <w:rPr>
          <w:rFonts w:ascii="Cambria Math" w:hAnsi="Cambria Math" w:cs="Cambria Math"/>
        </w:rPr>
        <w:t>₂</w:t>
      </w:r>
      <w:r w:rsidRPr="00930AA5">
        <w:rPr>
          <w:rFonts w:ascii="Arial" w:hAnsi="Arial" w:cs="Arial"/>
        </w:rPr>
        <w:t>-agonists (</w:t>
      </w:r>
      <w:proofErr w:type="spellStart"/>
      <w:r w:rsidRPr="00930AA5">
        <w:rPr>
          <w:rFonts w:ascii="Arial" w:hAnsi="Arial" w:cs="Arial"/>
        </w:rPr>
        <w:t>Zlateva</w:t>
      </w:r>
      <w:proofErr w:type="spellEnd"/>
      <w:r w:rsidRPr="00930AA5">
        <w:rPr>
          <w:rFonts w:ascii="Arial" w:hAnsi="Arial" w:cs="Arial"/>
        </w:rPr>
        <w:t xml:space="preserve"> and </w:t>
      </w:r>
      <w:proofErr w:type="spellStart"/>
      <w:r w:rsidRPr="00930AA5">
        <w:rPr>
          <w:rFonts w:ascii="Arial" w:hAnsi="Arial" w:cs="Arial"/>
        </w:rPr>
        <w:t>Merinov</w:t>
      </w:r>
      <w:proofErr w:type="spellEnd"/>
      <w:r w:rsidRPr="00930AA5">
        <w:rPr>
          <w:rFonts w:ascii="Arial" w:hAnsi="Arial" w:cs="Arial"/>
        </w:rPr>
        <w:t xml:space="preserve">, 2015; Kumar </w:t>
      </w:r>
      <w:r w:rsidR="00FA7183" w:rsidRPr="00930AA5">
        <w:rPr>
          <w:rFonts w:ascii="Arial" w:hAnsi="Arial" w:cs="Arial"/>
          <w:i/>
          <w:iCs/>
        </w:rPr>
        <w:t>et al.</w:t>
      </w:r>
      <w:r w:rsidRPr="00930AA5">
        <w:rPr>
          <w:rFonts w:ascii="Arial" w:hAnsi="Arial" w:cs="Arial"/>
          <w:i/>
          <w:iCs/>
        </w:rPr>
        <w:t>,</w:t>
      </w:r>
      <w:r w:rsidRPr="00930AA5">
        <w:rPr>
          <w:rFonts w:ascii="Arial" w:hAnsi="Arial" w:cs="Arial"/>
        </w:rPr>
        <w:t xml:space="preserve"> 2018). Monocytes in Group I showed a transient but significant increase at 10 minutes post-induction (P &lt; 0.05), which </w:t>
      </w:r>
      <w:proofErr w:type="spellStart"/>
      <w:r w:rsidRPr="00930AA5">
        <w:rPr>
          <w:rFonts w:ascii="Arial" w:hAnsi="Arial" w:cs="Arial"/>
        </w:rPr>
        <w:t>normalised</w:t>
      </w:r>
      <w:proofErr w:type="spellEnd"/>
      <w:r w:rsidRPr="00930AA5">
        <w:rPr>
          <w:rFonts w:ascii="Arial" w:hAnsi="Arial" w:cs="Arial"/>
        </w:rPr>
        <w:t xml:space="preserve"> during recovery. The temporary increase in monocyte count in the xylazine-butorphanol group is consistent with α-adrenergic stimulation described by </w:t>
      </w:r>
      <w:proofErr w:type="spellStart"/>
      <w:r w:rsidRPr="00930AA5">
        <w:rPr>
          <w:rFonts w:ascii="Arial" w:hAnsi="Arial" w:cs="Arial"/>
        </w:rPr>
        <w:t>Rajankutty</w:t>
      </w:r>
      <w:proofErr w:type="spellEnd"/>
      <w:r w:rsidRPr="00930AA5">
        <w:rPr>
          <w:rFonts w:ascii="Arial" w:hAnsi="Arial" w:cs="Arial"/>
        </w:rPr>
        <w:t xml:space="preserve"> (1995). Other groups exhibited non-significant variations. A non-significant increase in Granulocytes was noted following induction across all groups, with no intergroup differences.</w:t>
      </w:r>
    </w:p>
    <w:p w14:paraId="39AEBC88" w14:textId="77777777" w:rsidR="006C1956" w:rsidRPr="00930AA5" w:rsidRDefault="006C1956" w:rsidP="006C1956">
      <w:pPr>
        <w:jc w:val="both"/>
        <w:rPr>
          <w:rFonts w:ascii="Arial" w:hAnsi="Arial" w:cs="Arial"/>
        </w:rPr>
      </w:pPr>
    </w:p>
    <w:p w14:paraId="7F8373C3" w14:textId="77777777" w:rsidR="006C1956" w:rsidRPr="00930AA5" w:rsidRDefault="006C1956" w:rsidP="006C1956">
      <w:pPr>
        <w:jc w:val="both"/>
        <w:rPr>
          <w:rFonts w:ascii="Arial" w:hAnsi="Arial" w:cs="Arial"/>
          <w:b/>
          <w:bCs/>
        </w:rPr>
      </w:pPr>
      <w:r w:rsidRPr="00930AA5">
        <w:rPr>
          <w:rFonts w:ascii="Arial" w:hAnsi="Arial" w:cs="Arial"/>
          <w:b/>
          <w:bCs/>
        </w:rPr>
        <w:t xml:space="preserve">Table 4. Differential leucocyte count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70FCEF2E" w14:textId="77777777" w:rsidR="006C1956" w:rsidRPr="00930AA5" w:rsidRDefault="006C1956" w:rsidP="006C1956">
      <w:pPr>
        <w:jc w:val="both"/>
        <w:rPr>
          <w:rFonts w:ascii="Arial" w:hAnsi="Arial" w:cs="Arial"/>
          <w:b/>
          <w:bCs/>
        </w:rPr>
      </w:pPr>
    </w:p>
    <w:tbl>
      <w:tblPr>
        <w:tblStyle w:val="TableGrid"/>
        <w:tblW w:w="0" w:type="auto"/>
        <w:tblLook w:val="04A0" w:firstRow="1" w:lastRow="0" w:firstColumn="1" w:lastColumn="0" w:noHBand="0" w:noVBand="1"/>
      </w:tblPr>
      <w:tblGrid>
        <w:gridCol w:w="2263"/>
        <w:gridCol w:w="1560"/>
        <w:gridCol w:w="1417"/>
        <w:gridCol w:w="1438"/>
        <w:gridCol w:w="1559"/>
        <w:gridCol w:w="1701"/>
      </w:tblGrid>
      <w:tr w:rsidR="006C1956" w:rsidRPr="00930AA5" w14:paraId="3FFD5AD3" w14:textId="77777777" w:rsidTr="004C6552">
        <w:tc>
          <w:tcPr>
            <w:tcW w:w="2263" w:type="dxa"/>
            <w:vAlign w:val="center"/>
          </w:tcPr>
          <w:p w14:paraId="3270B4EB"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Parameter</w:t>
            </w:r>
          </w:p>
        </w:tc>
        <w:tc>
          <w:tcPr>
            <w:tcW w:w="1560" w:type="dxa"/>
            <w:vAlign w:val="center"/>
          </w:tcPr>
          <w:p w14:paraId="28D962EE"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Time point</w:t>
            </w:r>
          </w:p>
        </w:tc>
        <w:tc>
          <w:tcPr>
            <w:tcW w:w="1417" w:type="dxa"/>
            <w:vAlign w:val="center"/>
          </w:tcPr>
          <w:p w14:paraId="36B509D8"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w:t>
            </w:r>
          </w:p>
        </w:tc>
        <w:tc>
          <w:tcPr>
            <w:tcW w:w="1438" w:type="dxa"/>
            <w:vAlign w:val="center"/>
          </w:tcPr>
          <w:p w14:paraId="5A4784F3"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w:t>
            </w:r>
          </w:p>
        </w:tc>
        <w:tc>
          <w:tcPr>
            <w:tcW w:w="1559" w:type="dxa"/>
            <w:vAlign w:val="center"/>
          </w:tcPr>
          <w:p w14:paraId="04C4442F"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III</w:t>
            </w:r>
          </w:p>
        </w:tc>
        <w:tc>
          <w:tcPr>
            <w:tcW w:w="1701" w:type="dxa"/>
            <w:vAlign w:val="center"/>
          </w:tcPr>
          <w:p w14:paraId="787873BF" w14:textId="77777777" w:rsidR="006C1956" w:rsidRPr="00930AA5" w:rsidRDefault="006C1956" w:rsidP="00CC1BD2">
            <w:pPr>
              <w:jc w:val="both"/>
              <w:rPr>
                <w:rFonts w:ascii="Arial" w:hAnsi="Arial" w:cs="Arial"/>
                <w:b/>
                <w:bCs/>
                <w:sz w:val="20"/>
                <w:szCs w:val="20"/>
              </w:rPr>
            </w:pPr>
            <w:r w:rsidRPr="00930AA5">
              <w:rPr>
                <w:rFonts w:ascii="Arial" w:hAnsi="Arial" w:cs="Arial"/>
                <w:b/>
                <w:bCs/>
                <w:sz w:val="20"/>
                <w:szCs w:val="20"/>
              </w:rPr>
              <w:t>Group IV</w:t>
            </w:r>
          </w:p>
        </w:tc>
      </w:tr>
      <w:tr w:rsidR="004C6552" w:rsidRPr="00930AA5" w14:paraId="41B052EA" w14:textId="77777777" w:rsidTr="004C6552">
        <w:trPr>
          <w:trHeight w:val="175"/>
        </w:trPr>
        <w:tc>
          <w:tcPr>
            <w:tcW w:w="2263" w:type="dxa"/>
            <w:vMerge w:val="restart"/>
            <w:vAlign w:val="center"/>
          </w:tcPr>
          <w:p w14:paraId="759234FA" w14:textId="77777777" w:rsidR="004C6552" w:rsidRPr="00930AA5" w:rsidRDefault="004C6552" w:rsidP="00CC1BD2">
            <w:pPr>
              <w:rPr>
                <w:rFonts w:ascii="Arial" w:hAnsi="Arial" w:cs="Arial"/>
                <w:sz w:val="20"/>
                <w:szCs w:val="20"/>
              </w:rPr>
            </w:pPr>
            <w:r w:rsidRPr="00930AA5">
              <w:rPr>
                <w:rFonts w:ascii="Arial" w:hAnsi="Arial" w:cs="Arial"/>
                <w:sz w:val="20"/>
                <w:szCs w:val="20"/>
              </w:rPr>
              <w:t>Lymphocytes (%)</w:t>
            </w:r>
          </w:p>
        </w:tc>
        <w:tc>
          <w:tcPr>
            <w:tcW w:w="1560" w:type="dxa"/>
            <w:vAlign w:val="center"/>
          </w:tcPr>
          <w:p w14:paraId="05076358"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077AD8A6"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68.12</w:t>
            </w:r>
            <w:r w:rsidRPr="00930AA5">
              <w:rPr>
                <w:rFonts w:ascii="Arial" w:hAnsi="Arial" w:cs="Arial"/>
                <w:spacing w:val="-4"/>
                <w:sz w:val="20"/>
                <w:szCs w:val="20"/>
              </w:rPr>
              <w:t>±</w:t>
            </w:r>
            <w:r w:rsidRPr="00930AA5">
              <w:rPr>
                <w:rFonts w:ascii="Arial" w:hAnsi="Arial" w:cs="Arial"/>
                <w:sz w:val="20"/>
                <w:szCs w:val="20"/>
              </w:rPr>
              <w:t>2.89</w:t>
            </w:r>
          </w:p>
        </w:tc>
        <w:tc>
          <w:tcPr>
            <w:tcW w:w="1438" w:type="dxa"/>
            <w:vAlign w:val="center"/>
          </w:tcPr>
          <w:p w14:paraId="0ED61C31"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68.8</w:t>
            </w:r>
            <w:r w:rsidRPr="00930AA5">
              <w:rPr>
                <w:rFonts w:ascii="Arial" w:hAnsi="Arial" w:cs="Arial"/>
                <w:spacing w:val="-4"/>
                <w:sz w:val="20"/>
                <w:szCs w:val="20"/>
              </w:rPr>
              <w:t>±</w:t>
            </w:r>
            <w:r w:rsidRPr="00930AA5">
              <w:rPr>
                <w:rFonts w:ascii="Arial" w:hAnsi="Arial" w:cs="Arial"/>
                <w:sz w:val="20"/>
                <w:szCs w:val="20"/>
              </w:rPr>
              <w:t>4.61</w:t>
            </w:r>
          </w:p>
        </w:tc>
        <w:tc>
          <w:tcPr>
            <w:tcW w:w="1559" w:type="dxa"/>
            <w:vAlign w:val="center"/>
          </w:tcPr>
          <w:p w14:paraId="47044D01"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70.00</w:t>
            </w:r>
            <w:r w:rsidRPr="00930AA5">
              <w:rPr>
                <w:rFonts w:ascii="Arial" w:hAnsi="Arial" w:cs="Arial"/>
                <w:spacing w:val="-4"/>
                <w:sz w:val="20"/>
                <w:szCs w:val="20"/>
              </w:rPr>
              <w:t>±</w:t>
            </w:r>
            <w:r w:rsidRPr="00930AA5">
              <w:rPr>
                <w:rFonts w:ascii="Arial" w:hAnsi="Arial" w:cs="Arial"/>
                <w:sz w:val="20"/>
                <w:szCs w:val="20"/>
              </w:rPr>
              <w:t>1.90</w:t>
            </w:r>
          </w:p>
        </w:tc>
        <w:tc>
          <w:tcPr>
            <w:tcW w:w="1701" w:type="dxa"/>
            <w:vAlign w:val="center"/>
          </w:tcPr>
          <w:p w14:paraId="0B0B0AF7"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67.65</w:t>
            </w:r>
            <w:r w:rsidRPr="00930AA5">
              <w:rPr>
                <w:rFonts w:ascii="Arial" w:hAnsi="Arial" w:cs="Arial"/>
                <w:spacing w:val="-4"/>
                <w:sz w:val="20"/>
                <w:szCs w:val="20"/>
              </w:rPr>
              <w:t>±</w:t>
            </w:r>
            <w:r w:rsidRPr="00930AA5">
              <w:rPr>
                <w:rFonts w:ascii="Arial" w:hAnsi="Arial" w:cs="Arial"/>
                <w:sz w:val="20"/>
                <w:szCs w:val="20"/>
              </w:rPr>
              <w:t>3.34</w:t>
            </w:r>
          </w:p>
        </w:tc>
      </w:tr>
      <w:tr w:rsidR="004C6552" w:rsidRPr="00930AA5" w14:paraId="1F4A1C37" w14:textId="77777777" w:rsidTr="004C6552">
        <w:tc>
          <w:tcPr>
            <w:tcW w:w="2263" w:type="dxa"/>
            <w:vMerge/>
            <w:vAlign w:val="center"/>
          </w:tcPr>
          <w:p w14:paraId="2469A2CB" w14:textId="77777777" w:rsidR="004C6552" w:rsidRPr="00930AA5" w:rsidRDefault="004C6552" w:rsidP="00CC1BD2">
            <w:pPr>
              <w:jc w:val="both"/>
              <w:rPr>
                <w:rFonts w:ascii="Arial" w:hAnsi="Arial" w:cs="Arial"/>
                <w:b/>
                <w:bCs/>
                <w:sz w:val="20"/>
                <w:szCs w:val="20"/>
              </w:rPr>
            </w:pPr>
          </w:p>
        </w:tc>
        <w:tc>
          <w:tcPr>
            <w:tcW w:w="1560" w:type="dxa"/>
            <w:vAlign w:val="center"/>
          </w:tcPr>
          <w:p w14:paraId="0396F9AD"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51F5109A"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63.12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3.85</w:t>
            </w:r>
          </w:p>
        </w:tc>
        <w:tc>
          <w:tcPr>
            <w:tcW w:w="1438" w:type="dxa"/>
            <w:vAlign w:val="center"/>
          </w:tcPr>
          <w:p w14:paraId="418ACAF9"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64.27</w:t>
            </w:r>
            <w:r w:rsidRPr="00930AA5">
              <w:rPr>
                <w:rFonts w:ascii="Arial" w:hAnsi="Arial" w:cs="Arial"/>
                <w:spacing w:val="-4"/>
                <w:sz w:val="20"/>
                <w:szCs w:val="20"/>
              </w:rPr>
              <w:t>±</w:t>
            </w:r>
            <w:r w:rsidRPr="00930AA5">
              <w:rPr>
                <w:rFonts w:ascii="Arial" w:hAnsi="Arial" w:cs="Arial"/>
                <w:sz w:val="20"/>
                <w:szCs w:val="20"/>
              </w:rPr>
              <w:t>4.93</w:t>
            </w:r>
          </w:p>
        </w:tc>
        <w:tc>
          <w:tcPr>
            <w:tcW w:w="1559" w:type="dxa"/>
            <w:vAlign w:val="center"/>
          </w:tcPr>
          <w:p w14:paraId="049982EF"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63.12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2.03</w:t>
            </w:r>
          </w:p>
        </w:tc>
        <w:tc>
          <w:tcPr>
            <w:tcW w:w="1701" w:type="dxa"/>
            <w:vAlign w:val="center"/>
          </w:tcPr>
          <w:p w14:paraId="1040C173"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66.23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6.61</w:t>
            </w:r>
          </w:p>
        </w:tc>
      </w:tr>
      <w:tr w:rsidR="004C6552" w:rsidRPr="00930AA5" w14:paraId="4F97CD19" w14:textId="77777777" w:rsidTr="004C6552">
        <w:tc>
          <w:tcPr>
            <w:tcW w:w="2263" w:type="dxa"/>
            <w:vMerge/>
            <w:vAlign w:val="center"/>
          </w:tcPr>
          <w:p w14:paraId="79292FBC" w14:textId="77777777" w:rsidR="004C6552" w:rsidRPr="00930AA5" w:rsidRDefault="004C6552" w:rsidP="00CC1BD2">
            <w:pPr>
              <w:jc w:val="both"/>
              <w:rPr>
                <w:rFonts w:ascii="Arial" w:hAnsi="Arial" w:cs="Arial"/>
                <w:b/>
                <w:bCs/>
                <w:sz w:val="20"/>
                <w:szCs w:val="20"/>
              </w:rPr>
            </w:pPr>
          </w:p>
        </w:tc>
        <w:tc>
          <w:tcPr>
            <w:tcW w:w="1560" w:type="dxa"/>
            <w:vAlign w:val="center"/>
          </w:tcPr>
          <w:p w14:paraId="3C19439F"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3043FC36"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65.73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3.82</w:t>
            </w:r>
          </w:p>
        </w:tc>
        <w:tc>
          <w:tcPr>
            <w:tcW w:w="1438" w:type="dxa"/>
            <w:vAlign w:val="center"/>
          </w:tcPr>
          <w:p w14:paraId="3B2F681A"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68.17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3.41</w:t>
            </w:r>
          </w:p>
        </w:tc>
        <w:tc>
          <w:tcPr>
            <w:tcW w:w="1559" w:type="dxa"/>
            <w:vAlign w:val="center"/>
          </w:tcPr>
          <w:p w14:paraId="24B98809"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66.67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2.34</w:t>
            </w:r>
          </w:p>
        </w:tc>
        <w:tc>
          <w:tcPr>
            <w:tcW w:w="1701" w:type="dxa"/>
            <w:vAlign w:val="center"/>
          </w:tcPr>
          <w:p w14:paraId="7CA48BE5"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67.27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4.75</w:t>
            </w:r>
          </w:p>
        </w:tc>
      </w:tr>
      <w:tr w:rsidR="004C6552" w:rsidRPr="00930AA5" w14:paraId="2E96783B" w14:textId="77777777" w:rsidTr="004C6552">
        <w:tc>
          <w:tcPr>
            <w:tcW w:w="2263" w:type="dxa"/>
            <w:vMerge w:val="restart"/>
            <w:vAlign w:val="center"/>
          </w:tcPr>
          <w:p w14:paraId="0DA40A22" w14:textId="77777777" w:rsidR="004C6552" w:rsidRPr="00930AA5" w:rsidRDefault="004C6552" w:rsidP="00CC1BD2">
            <w:pPr>
              <w:rPr>
                <w:rFonts w:ascii="Arial" w:hAnsi="Arial" w:cs="Arial"/>
                <w:b/>
                <w:bCs/>
                <w:sz w:val="20"/>
                <w:szCs w:val="20"/>
              </w:rPr>
            </w:pPr>
            <w:r w:rsidRPr="00930AA5">
              <w:rPr>
                <w:rFonts w:ascii="Arial" w:hAnsi="Arial" w:cs="Arial"/>
                <w:sz w:val="20"/>
                <w:szCs w:val="20"/>
              </w:rPr>
              <w:t>Monocytes (%)</w:t>
            </w:r>
          </w:p>
        </w:tc>
        <w:tc>
          <w:tcPr>
            <w:tcW w:w="1560" w:type="dxa"/>
            <w:vAlign w:val="center"/>
          </w:tcPr>
          <w:p w14:paraId="692569DB"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5B5AD68A"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3.87</w:t>
            </w:r>
            <w:r w:rsidRPr="00930AA5">
              <w:rPr>
                <w:rFonts w:ascii="Arial" w:hAnsi="Arial" w:cs="Arial"/>
                <w:spacing w:val="-4"/>
                <w:sz w:val="20"/>
                <w:szCs w:val="20"/>
              </w:rPr>
              <w:t>±</w:t>
            </w:r>
            <w:r w:rsidRPr="00930AA5">
              <w:rPr>
                <w:rFonts w:ascii="Arial" w:hAnsi="Arial" w:cs="Arial"/>
                <w:sz w:val="20"/>
                <w:szCs w:val="20"/>
              </w:rPr>
              <w:t>0.13</w:t>
            </w:r>
            <w:r w:rsidRPr="00930AA5">
              <w:rPr>
                <w:rFonts w:ascii="Arial" w:hAnsi="Arial" w:cs="Arial"/>
                <w:sz w:val="20"/>
                <w:szCs w:val="20"/>
                <w:vertAlign w:val="superscript"/>
              </w:rPr>
              <w:t>ab</w:t>
            </w:r>
          </w:p>
        </w:tc>
        <w:tc>
          <w:tcPr>
            <w:tcW w:w="1438" w:type="dxa"/>
            <w:vAlign w:val="center"/>
          </w:tcPr>
          <w:p w14:paraId="46E5601F"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4.38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0.64</w:t>
            </w:r>
          </w:p>
        </w:tc>
        <w:tc>
          <w:tcPr>
            <w:tcW w:w="1559" w:type="dxa"/>
            <w:vAlign w:val="center"/>
          </w:tcPr>
          <w:p w14:paraId="68A565FE"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3.4±0.76</w:t>
            </w:r>
          </w:p>
        </w:tc>
        <w:tc>
          <w:tcPr>
            <w:tcW w:w="1701" w:type="dxa"/>
            <w:vAlign w:val="center"/>
          </w:tcPr>
          <w:p w14:paraId="2C46AE38"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3.55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0.68</w:t>
            </w:r>
          </w:p>
        </w:tc>
      </w:tr>
      <w:tr w:rsidR="004C6552" w:rsidRPr="00930AA5" w14:paraId="7C3719FF" w14:textId="77777777" w:rsidTr="004C6552">
        <w:tc>
          <w:tcPr>
            <w:tcW w:w="2263" w:type="dxa"/>
            <w:vMerge/>
            <w:vAlign w:val="center"/>
          </w:tcPr>
          <w:p w14:paraId="5D8F39C3" w14:textId="77777777" w:rsidR="004C6552" w:rsidRPr="00930AA5" w:rsidRDefault="004C6552" w:rsidP="00CC1BD2">
            <w:pPr>
              <w:jc w:val="both"/>
              <w:rPr>
                <w:rFonts w:ascii="Arial" w:hAnsi="Arial" w:cs="Arial"/>
                <w:b/>
                <w:bCs/>
                <w:sz w:val="20"/>
                <w:szCs w:val="20"/>
              </w:rPr>
            </w:pPr>
          </w:p>
        </w:tc>
        <w:tc>
          <w:tcPr>
            <w:tcW w:w="1560" w:type="dxa"/>
            <w:vAlign w:val="center"/>
          </w:tcPr>
          <w:p w14:paraId="5AA7CEDF"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72B82377"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3.98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0.11</w:t>
            </w:r>
            <w:r w:rsidRPr="00930AA5">
              <w:rPr>
                <w:rFonts w:ascii="Arial" w:hAnsi="Arial" w:cs="Arial"/>
                <w:sz w:val="20"/>
                <w:szCs w:val="20"/>
                <w:vertAlign w:val="superscript"/>
              </w:rPr>
              <w:t>a</w:t>
            </w:r>
          </w:p>
        </w:tc>
        <w:tc>
          <w:tcPr>
            <w:tcW w:w="1438" w:type="dxa"/>
            <w:vAlign w:val="center"/>
          </w:tcPr>
          <w:p w14:paraId="1D357FFF"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4.77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0.84</w:t>
            </w:r>
          </w:p>
        </w:tc>
        <w:tc>
          <w:tcPr>
            <w:tcW w:w="1559" w:type="dxa"/>
            <w:vAlign w:val="center"/>
          </w:tcPr>
          <w:p w14:paraId="287C258A"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3.98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0.65</w:t>
            </w:r>
          </w:p>
        </w:tc>
        <w:tc>
          <w:tcPr>
            <w:tcW w:w="1701" w:type="dxa"/>
            <w:vAlign w:val="center"/>
          </w:tcPr>
          <w:p w14:paraId="3DB8F90C"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3.77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0.92</w:t>
            </w:r>
          </w:p>
        </w:tc>
      </w:tr>
      <w:tr w:rsidR="004C6552" w:rsidRPr="00930AA5" w14:paraId="250DC6CD" w14:textId="77777777" w:rsidTr="004C6552">
        <w:tc>
          <w:tcPr>
            <w:tcW w:w="2263" w:type="dxa"/>
            <w:vMerge/>
            <w:vAlign w:val="center"/>
          </w:tcPr>
          <w:p w14:paraId="68ED4744" w14:textId="77777777" w:rsidR="004C6552" w:rsidRPr="00930AA5" w:rsidRDefault="004C6552" w:rsidP="00CC1BD2">
            <w:pPr>
              <w:jc w:val="both"/>
              <w:rPr>
                <w:rFonts w:ascii="Arial" w:hAnsi="Arial" w:cs="Arial"/>
                <w:b/>
                <w:bCs/>
                <w:sz w:val="20"/>
                <w:szCs w:val="20"/>
              </w:rPr>
            </w:pPr>
          </w:p>
        </w:tc>
        <w:tc>
          <w:tcPr>
            <w:tcW w:w="1560" w:type="dxa"/>
            <w:vAlign w:val="center"/>
          </w:tcPr>
          <w:p w14:paraId="71D3F0D0"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6ACA5817"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3.78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0.12</w:t>
            </w:r>
            <w:r w:rsidRPr="00930AA5">
              <w:rPr>
                <w:rFonts w:ascii="Arial" w:hAnsi="Arial" w:cs="Arial"/>
                <w:sz w:val="20"/>
                <w:szCs w:val="20"/>
                <w:vertAlign w:val="superscript"/>
              </w:rPr>
              <w:t>b</w:t>
            </w:r>
          </w:p>
        </w:tc>
        <w:tc>
          <w:tcPr>
            <w:tcW w:w="1438" w:type="dxa"/>
            <w:vAlign w:val="center"/>
          </w:tcPr>
          <w:p w14:paraId="6FA2665C"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3.7±0.66</w:t>
            </w:r>
          </w:p>
        </w:tc>
        <w:tc>
          <w:tcPr>
            <w:tcW w:w="1559" w:type="dxa"/>
            <w:vAlign w:val="center"/>
          </w:tcPr>
          <w:p w14:paraId="443DC8F0"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w:t>
            </w:r>
          </w:p>
        </w:tc>
        <w:tc>
          <w:tcPr>
            <w:tcW w:w="1701" w:type="dxa"/>
            <w:vAlign w:val="center"/>
          </w:tcPr>
          <w:p w14:paraId="11528039"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3.27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0.63</w:t>
            </w:r>
          </w:p>
        </w:tc>
      </w:tr>
      <w:tr w:rsidR="004C6552" w:rsidRPr="00930AA5" w14:paraId="7B9846B1" w14:textId="77777777" w:rsidTr="004C6552">
        <w:tc>
          <w:tcPr>
            <w:tcW w:w="2263" w:type="dxa"/>
            <w:vMerge w:val="restart"/>
            <w:vAlign w:val="center"/>
          </w:tcPr>
          <w:p w14:paraId="1C9073E0"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Granulocytes (%)</w:t>
            </w:r>
          </w:p>
        </w:tc>
        <w:tc>
          <w:tcPr>
            <w:tcW w:w="1560" w:type="dxa"/>
            <w:vAlign w:val="center"/>
          </w:tcPr>
          <w:p w14:paraId="6CBA2433"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3C0BB1D6"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28.18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2.96</w:t>
            </w:r>
          </w:p>
        </w:tc>
        <w:tc>
          <w:tcPr>
            <w:tcW w:w="1438" w:type="dxa"/>
            <w:vAlign w:val="center"/>
          </w:tcPr>
          <w:p w14:paraId="27B23B95"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26.82±4.12</w:t>
            </w:r>
          </w:p>
        </w:tc>
        <w:tc>
          <w:tcPr>
            <w:tcW w:w="1559" w:type="dxa"/>
            <w:vAlign w:val="center"/>
          </w:tcPr>
          <w:p w14:paraId="7BA478A0"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26.6</w:t>
            </w:r>
            <w:r w:rsidRPr="00930AA5">
              <w:rPr>
                <w:rFonts w:ascii="Arial" w:hAnsi="Arial" w:cs="Arial"/>
                <w:spacing w:val="1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1.55</w:t>
            </w:r>
          </w:p>
        </w:tc>
        <w:tc>
          <w:tcPr>
            <w:tcW w:w="1701" w:type="dxa"/>
            <w:vAlign w:val="center"/>
          </w:tcPr>
          <w:p w14:paraId="6FB4867C"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28.8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3.12</w:t>
            </w:r>
          </w:p>
        </w:tc>
      </w:tr>
      <w:tr w:rsidR="004C6552" w:rsidRPr="00930AA5" w14:paraId="1A8046EC" w14:textId="77777777" w:rsidTr="004C6552">
        <w:tc>
          <w:tcPr>
            <w:tcW w:w="2263" w:type="dxa"/>
            <w:vMerge/>
            <w:vAlign w:val="center"/>
          </w:tcPr>
          <w:p w14:paraId="1BDCFA0D" w14:textId="77777777" w:rsidR="004C6552" w:rsidRPr="00930AA5" w:rsidRDefault="004C6552" w:rsidP="00CC1BD2">
            <w:pPr>
              <w:jc w:val="both"/>
              <w:rPr>
                <w:rFonts w:ascii="Arial" w:hAnsi="Arial" w:cs="Arial"/>
                <w:b/>
                <w:bCs/>
                <w:sz w:val="20"/>
                <w:szCs w:val="20"/>
              </w:rPr>
            </w:pPr>
          </w:p>
        </w:tc>
        <w:tc>
          <w:tcPr>
            <w:tcW w:w="1560" w:type="dxa"/>
            <w:vAlign w:val="center"/>
          </w:tcPr>
          <w:p w14:paraId="0771810B"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28703EF1"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32.90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3.88</w:t>
            </w:r>
          </w:p>
        </w:tc>
        <w:tc>
          <w:tcPr>
            <w:tcW w:w="1438" w:type="dxa"/>
            <w:vAlign w:val="center"/>
          </w:tcPr>
          <w:p w14:paraId="752B6303"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31.13 ± 4.5</w:t>
            </w:r>
          </w:p>
        </w:tc>
        <w:tc>
          <w:tcPr>
            <w:tcW w:w="1559" w:type="dxa"/>
            <w:vAlign w:val="center"/>
          </w:tcPr>
          <w:p w14:paraId="1C826486"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32.9</w:t>
            </w:r>
            <w:r w:rsidRPr="00930AA5">
              <w:rPr>
                <w:rFonts w:ascii="Arial" w:hAnsi="Arial" w:cs="Arial"/>
                <w:spacing w:val="1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2.60</w:t>
            </w:r>
          </w:p>
        </w:tc>
        <w:tc>
          <w:tcPr>
            <w:tcW w:w="1701" w:type="dxa"/>
            <w:vAlign w:val="center"/>
          </w:tcPr>
          <w:p w14:paraId="51573B06"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30±5.92</w:t>
            </w:r>
          </w:p>
        </w:tc>
      </w:tr>
      <w:tr w:rsidR="004C6552" w:rsidRPr="00930AA5" w14:paraId="6D01EE3B" w14:textId="77777777" w:rsidTr="004C6552">
        <w:tc>
          <w:tcPr>
            <w:tcW w:w="2263" w:type="dxa"/>
            <w:vMerge/>
            <w:vAlign w:val="center"/>
          </w:tcPr>
          <w:p w14:paraId="462D9B3C" w14:textId="77777777" w:rsidR="004C6552" w:rsidRPr="00930AA5" w:rsidRDefault="004C6552" w:rsidP="00CC1BD2">
            <w:pPr>
              <w:jc w:val="both"/>
              <w:rPr>
                <w:rFonts w:ascii="Arial" w:hAnsi="Arial" w:cs="Arial"/>
                <w:b/>
                <w:bCs/>
                <w:sz w:val="20"/>
                <w:szCs w:val="20"/>
              </w:rPr>
            </w:pPr>
          </w:p>
        </w:tc>
        <w:tc>
          <w:tcPr>
            <w:tcW w:w="1560" w:type="dxa"/>
            <w:vAlign w:val="center"/>
          </w:tcPr>
          <w:p w14:paraId="5EA91BEB"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18A0FF62"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30.48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3.82</w:t>
            </w:r>
          </w:p>
        </w:tc>
        <w:tc>
          <w:tcPr>
            <w:tcW w:w="1438" w:type="dxa"/>
            <w:vAlign w:val="center"/>
          </w:tcPr>
          <w:p w14:paraId="7372137D"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28.3 ± 3.3</w:t>
            </w:r>
          </w:p>
        </w:tc>
        <w:tc>
          <w:tcPr>
            <w:tcW w:w="1559" w:type="dxa"/>
            <w:vAlign w:val="center"/>
          </w:tcPr>
          <w:p w14:paraId="7A6287C9"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29.9</w:t>
            </w:r>
            <w:r w:rsidRPr="00930AA5">
              <w:rPr>
                <w:rFonts w:ascii="Arial" w:hAnsi="Arial" w:cs="Arial"/>
                <w:spacing w:val="14"/>
                <w:sz w:val="20"/>
                <w:szCs w:val="20"/>
              </w:rPr>
              <w:t xml:space="preserve"> </w:t>
            </w:r>
            <w:r w:rsidRPr="00930AA5">
              <w:rPr>
                <w:rFonts w:ascii="Arial" w:hAnsi="Arial" w:cs="Arial"/>
                <w:sz w:val="20"/>
                <w:szCs w:val="20"/>
              </w:rPr>
              <w:t>±</w:t>
            </w:r>
            <w:r w:rsidRPr="00930AA5">
              <w:rPr>
                <w:rFonts w:ascii="Arial" w:hAnsi="Arial" w:cs="Arial"/>
                <w:spacing w:val="-57"/>
                <w:sz w:val="20"/>
                <w:szCs w:val="20"/>
              </w:rPr>
              <w:t xml:space="preserve"> </w:t>
            </w:r>
            <w:r w:rsidRPr="00930AA5">
              <w:rPr>
                <w:rFonts w:ascii="Arial" w:hAnsi="Arial" w:cs="Arial"/>
                <w:sz w:val="20"/>
                <w:szCs w:val="20"/>
              </w:rPr>
              <w:t>2.47</w:t>
            </w:r>
          </w:p>
        </w:tc>
        <w:tc>
          <w:tcPr>
            <w:tcW w:w="1701" w:type="dxa"/>
            <w:vAlign w:val="center"/>
          </w:tcPr>
          <w:p w14:paraId="31002115" w14:textId="77777777" w:rsidR="004C6552" w:rsidRPr="00930AA5" w:rsidRDefault="004C6552" w:rsidP="00CC1BD2">
            <w:pPr>
              <w:jc w:val="both"/>
              <w:rPr>
                <w:rFonts w:ascii="Arial" w:hAnsi="Arial" w:cs="Arial"/>
                <w:b/>
                <w:bCs/>
                <w:sz w:val="20"/>
                <w:szCs w:val="20"/>
              </w:rPr>
            </w:pPr>
            <w:r w:rsidRPr="00930AA5">
              <w:rPr>
                <w:rFonts w:ascii="Arial" w:hAnsi="Arial" w:cs="Arial"/>
                <w:sz w:val="20"/>
                <w:szCs w:val="20"/>
              </w:rPr>
              <w:t>29.47±4.28</w:t>
            </w:r>
          </w:p>
        </w:tc>
      </w:tr>
    </w:tbl>
    <w:p w14:paraId="7E1D31D6" w14:textId="77777777" w:rsidR="006C1956" w:rsidRPr="00930AA5" w:rsidRDefault="006C1956" w:rsidP="006C1956">
      <w:pPr>
        <w:jc w:val="both"/>
        <w:rPr>
          <w:rFonts w:ascii="Arial" w:hAnsi="Arial" w:cs="Arial"/>
        </w:rPr>
      </w:pPr>
    </w:p>
    <w:p w14:paraId="6F2C0B0B" w14:textId="6B6A010B" w:rsidR="006647CC" w:rsidRPr="00930AA5" w:rsidRDefault="006647CC" w:rsidP="006647CC">
      <w:pPr>
        <w:rPr>
          <w:rFonts w:ascii="Arial" w:hAnsi="Arial" w:cs="Arial"/>
          <w:b/>
          <w:bCs/>
          <w:sz w:val="22"/>
          <w:szCs w:val="22"/>
        </w:rPr>
      </w:pPr>
      <w:r w:rsidRPr="00930AA5">
        <w:rPr>
          <w:rFonts w:ascii="Arial" w:hAnsi="Arial" w:cs="Arial"/>
          <w:b/>
          <w:bCs/>
          <w:sz w:val="22"/>
          <w:szCs w:val="22"/>
        </w:rPr>
        <w:t>3.</w:t>
      </w:r>
      <w:r w:rsidR="00B72F71" w:rsidRPr="00930AA5">
        <w:rPr>
          <w:rFonts w:ascii="Arial" w:hAnsi="Arial" w:cs="Arial"/>
          <w:b/>
          <w:bCs/>
          <w:sz w:val="22"/>
          <w:szCs w:val="22"/>
        </w:rPr>
        <w:t>3</w:t>
      </w:r>
      <w:r w:rsidRPr="00930AA5">
        <w:rPr>
          <w:rFonts w:ascii="Arial" w:hAnsi="Arial" w:cs="Arial"/>
          <w:b/>
          <w:bCs/>
          <w:sz w:val="22"/>
          <w:szCs w:val="22"/>
        </w:rPr>
        <w:t>. Serum biochemical Parameters</w:t>
      </w:r>
    </w:p>
    <w:p w14:paraId="335F672F" w14:textId="77777777" w:rsidR="00A37C7A" w:rsidRPr="00930AA5" w:rsidRDefault="00A37C7A" w:rsidP="006647CC">
      <w:pPr>
        <w:ind w:firstLine="567"/>
        <w:jc w:val="both"/>
        <w:rPr>
          <w:rFonts w:ascii="Arial" w:hAnsi="Arial" w:cs="Arial"/>
          <w:lang w:val="en-IN"/>
        </w:rPr>
      </w:pPr>
    </w:p>
    <w:p w14:paraId="74FBE6B9" w14:textId="66CBA43C" w:rsidR="00A37C7A" w:rsidRPr="00930AA5" w:rsidRDefault="00A37C7A" w:rsidP="00A37C7A">
      <w:pPr>
        <w:ind w:firstLine="567"/>
        <w:jc w:val="both"/>
        <w:rPr>
          <w:rFonts w:ascii="Arial" w:hAnsi="Arial" w:cs="Arial"/>
        </w:rPr>
      </w:pPr>
      <w:r w:rsidRPr="00930AA5">
        <w:rPr>
          <w:rFonts w:ascii="Arial" w:hAnsi="Arial" w:cs="Arial"/>
        </w:rPr>
        <w:lastRenderedPageBreak/>
        <w:t xml:space="preserve">Evaluation of serum biochemical parameters provides valuable insight into the systemic safety of </w:t>
      </w:r>
      <w:proofErr w:type="spellStart"/>
      <w:r w:rsidRPr="00930AA5">
        <w:rPr>
          <w:rFonts w:ascii="Arial" w:hAnsi="Arial" w:cs="Arial"/>
        </w:rPr>
        <w:t>anaesthetic</w:t>
      </w:r>
      <w:proofErr w:type="spellEnd"/>
      <w:r w:rsidRPr="00930AA5">
        <w:rPr>
          <w:rFonts w:ascii="Arial" w:hAnsi="Arial" w:cs="Arial"/>
        </w:rPr>
        <w:t xml:space="preserve"> protocols, particularly with respect to hepatic and renal function. In the present study, serum creatinine and blood urea nitrogen levels did not show any statistically significant variation within or between the groups at different time points, and all observed values remained within normal physiological limits. These findings indicate that neither total intravenous </w:t>
      </w:r>
      <w:proofErr w:type="spellStart"/>
      <w:r w:rsidRPr="00930AA5">
        <w:rPr>
          <w:rFonts w:ascii="Arial" w:hAnsi="Arial" w:cs="Arial"/>
        </w:rPr>
        <w:t>anaesthesia</w:t>
      </w:r>
      <w:proofErr w:type="spellEnd"/>
      <w:r w:rsidRPr="00930AA5">
        <w:rPr>
          <w:rFonts w:ascii="Arial" w:hAnsi="Arial" w:cs="Arial"/>
        </w:rPr>
        <w:t xml:space="preserve"> nor partial intravenous </w:t>
      </w:r>
      <w:proofErr w:type="spellStart"/>
      <w:r w:rsidRPr="00930AA5">
        <w:rPr>
          <w:rFonts w:ascii="Arial" w:hAnsi="Arial" w:cs="Arial"/>
        </w:rPr>
        <w:t>anaesthesia</w:t>
      </w:r>
      <w:proofErr w:type="spellEnd"/>
      <w:r w:rsidRPr="00930AA5">
        <w:rPr>
          <w:rFonts w:ascii="Arial" w:hAnsi="Arial" w:cs="Arial"/>
        </w:rPr>
        <w:t xml:space="preserve"> adversely affected renal perfusion or function in goats. Similar non-significant changes in serum creatinine and blood urea nitrogen have been reported following administration of xylazine-, dexmedetomidine- and tiletamine–zolazepam-based </w:t>
      </w:r>
      <w:proofErr w:type="spellStart"/>
      <w:r w:rsidRPr="00930AA5">
        <w:rPr>
          <w:rFonts w:ascii="Arial" w:hAnsi="Arial" w:cs="Arial"/>
        </w:rPr>
        <w:t>anaesthetic</w:t>
      </w:r>
      <w:proofErr w:type="spellEnd"/>
      <w:r w:rsidRPr="00930AA5">
        <w:rPr>
          <w:rFonts w:ascii="Arial" w:hAnsi="Arial" w:cs="Arial"/>
        </w:rPr>
        <w:t xml:space="preserve"> protocols in dogs, goats, sheep and rabbits (</w:t>
      </w:r>
      <w:proofErr w:type="spellStart"/>
      <w:r w:rsidRPr="00930AA5">
        <w:rPr>
          <w:rFonts w:ascii="Arial" w:hAnsi="Arial" w:cs="Arial"/>
        </w:rPr>
        <w:t>Rajankutty</w:t>
      </w:r>
      <w:proofErr w:type="spellEnd"/>
      <w:r w:rsidRPr="00930AA5">
        <w:rPr>
          <w:rFonts w:ascii="Arial" w:hAnsi="Arial" w:cs="Arial"/>
        </w:rPr>
        <w:t xml:space="preserve">, 1995; </w:t>
      </w:r>
      <w:proofErr w:type="spellStart"/>
      <w:r w:rsidRPr="00930AA5">
        <w:rPr>
          <w:rFonts w:ascii="Arial" w:hAnsi="Arial" w:cs="Arial"/>
        </w:rPr>
        <w:t>Samsuddi</w:t>
      </w:r>
      <w:proofErr w:type="spellEnd"/>
      <w:r w:rsidRPr="00930AA5">
        <w:rPr>
          <w:rFonts w:ascii="Arial" w:hAnsi="Arial" w:cs="Arial"/>
        </w:rPr>
        <w:t xml:space="preserve">, 2014; Anitha </w:t>
      </w:r>
      <w:r w:rsidR="00FA7183" w:rsidRPr="00930AA5">
        <w:rPr>
          <w:rFonts w:ascii="Arial" w:hAnsi="Arial" w:cs="Arial"/>
          <w:i/>
          <w:iCs/>
        </w:rPr>
        <w:t>et al.</w:t>
      </w:r>
      <w:r w:rsidRPr="00930AA5">
        <w:rPr>
          <w:rFonts w:ascii="Arial" w:hAnsi="Arial" w:cs="Arial"/>
        </w:rPr>
        <w:t xml:space="preserve">, 2018; Ragab </w:t>
      </w:r>
      <w:r w:rsidR="00FA7183" w:rsidRPr="00930AA5">
        <w:rPr>
          <w:rFonts w:ascii="Arial" w:hAnsi="Arial" w:cs="Arial"/>
          <w:i/>
          <w:iCs/>
        </w:rPr>
        <w:t>et al.</w:t>
      </w:r>
      <w:r w:rsidRPr="00930AA5">
        <w:rPr>
          <w:rFonts w:ascii="Arial" w:hAnsi="Arial" w:cs="Arial"/>
        </w:rPr>
        <w:t xml:space="preserve">, 2022). The absence of significant alterations in these parameters suggests that the evaluated protocols do not induce renal insufficiency, as also noted by Ragab </w:t>
      </w:r>
      <w:r w:rsidR="00FA7183" w:rsidRPr="00930AA5">
        <w:rPr>
          <w:rFonts w:ascii="Arial" w:hAnsi="Arial" w:cs="Arial"/>
          <w:i/>
          <w:iCs/>
        </w:rPr>
        <w:t>et al.</w:t>
      </w:r>
      <w:r w:rsidRPr="00930AA5">
        <w:rPr>
          <w:rFonts w:ascii="Arial" w:hAnsi="Arial" w:cs="Arial"/>
        </w:rPr>
        <w:t xml:space="preserve"> (2022).</w:t>
      </w:r>
    </w:p>
    <w:p w14:paraId="7ECF429C" w14:textId="495E8956" w:rsidR="00A37C7A" w:rsidRPr="00930AA5" w:rsidRDefault="00A37C7A" w:rsidP="00A37C7A">
      <w:pPr>
        <w:ind w:firstLine="567"/>
        <w:jc w:val="both"/>
        <w:rPr>
          <w:rFonts w:ascii="Arial" w:hAnsi="Arial" w:cs="Arial"/>
        </w:rPr>
      </w:pPr>
      <w:r w:rsidRPr="00930AA5">
        <w:rPr>
          <w:rFonts w:ascii="Arial" w:hAnsi="Arial" w:cs="Arial"/>
        </w:rPr>
        <w:t xml:space="preserve">Hepatic enzyme activities, including alanine aminotransferase and aspartate aminotransferase, did not differ significantly either within or between groups throughout the </w:t>
      </w:r>
      <w:proofErr w:type="spellStart"/>
      <w:r w:rsidRPr="00930AA5">
        <w:rPr>
          <w:rFonts w:ascii="Arial" w:hAnsi="Arial" w:cs="Arial"/>
        </w:rPr>
        <w:t>anaesthetic</w:t>
      </w:r>
      <w:proofErr w:type="spellEnd"/>
      <w:r w:rsidRPr="00930AA5">
        <w:rPr>
          <w:rFonts w:ascii="Arial" w:hAnsi="Arial" w:cs="Arial"/>
        </w:rPr>
        <w:t xml:space="preserve"> and recovery periods. Although mild, non-significant fluctuations were observed, all enzyme values remained within the normal physiological range. These observations are consistent with earlier reports indicating minimal hepatic stress following administration of xylazine, dexmedetomidine, tiletamine</w:t>
      </w:r>
      <w:r w:rsidR="00D76D6F" w:rsidRPr="00930AA5">
        <w:rPr>
          <w:rFonts w:ascii="Arial" w:hAnsi="Arial" w:cs="Arial"/>
        </w:rPr>
        <w:t>-</w:t>
      </w:r>
      <w:r w:rsidRPr="00930AA5">
        <w:rPr>
          <w:rFonts w:ascii="Arial" w:hAnsi="Arial" w:cs="Arial"/>
        </w:rPr>
        <w:t>zolazepam and isoflurane in various species (</w:t>
      </w:r>
      <w:proofErr w:type="spellStart"/>
      <w:r w:rsidRPr="00930AA5">
        <w:rPr>
          <w:rFonts w:ascii="Arial" w:hAnsi="Arial" w:cs="Arial"/>
        </w:rPr>
        <w:t>Rajankutty</w:t>
      </w:r>
      <w:proofErr w:type="spellEnd"/>
      <w:r w:rsidRPr="00930AA5">
        <w:rPr>
          <w:rFonts w:ascii="Arial" w:hAnsi="Arial" w:cs="Arial"/>
        </w:rPr>
        <w:t xml:space="preserve">, 1995; </w:t>
      </w:r>
      <w:proofErr w:type="spellStart"/>
      <w:r w:rsidRPr="00930AA5">
        <w:rPr>
          <w:rFonts w:ascii="Arial" w:hAnsi="Arial" w:cs="Arial"/>
        </w:rPr>
        <w:t>Samsuddi</w:t>
      </w:r>
      <w:proofErr w:type="spellEnd"/>
      <w:r w:rsidRPr="00930AA5">
        <w:rPr>
          <w:rFonts w:ascii="Arial" w:hAnsi="Arial" w:cs="Arial"/>
        </w:rPr>
        <w:t xml:space="preserve">, 2014; Anitha </w:t>
      </w:r>
      <w:r w:rsidR="00FA7183" w:rsidRPr="00930AA5">
        <w:rPr>
          <w:rFonts w:ascii="Arial" w:hAnsi="Arial" w:cs="Arial"/>
          <w:i/>
          <w:iCs/>
        </w:rPr>
        <w:t>et al.</w:t>
      </w:r>
      <w:r w:rsidRPr="00930AA5">
        <w:rPr>
          <w:rFonts w:ascii="Arial" w:hAnsi="Arial" w:cs="Arial"/>
        </w:rPr>
        <w:t xml:space="preserve">, 2018; Koli </w:t>
      </w:r>
      <w:r w:rsidR="00FA7183" w:rsidRPr="00930AA5">
        <w:rPr>
          <w:rFonts w:ascii="Arial" w:hAnsi="Arial" w:cs="Arial"/>
          <w:i/>
          <w:iCs/>
        </w:rPr>
        <w:t>et al.</w:t>
      </w:r>
      <w:r w:rsidRPr="00930AA5">
        <w:rPr>
          <w:rFonts w:ascii="Arial" w:hAnsi="Arial" w:cs="Arial"/>
        </w:rPr>
        <w:t xml:space="preserve">, 2021; Ragab </w:t>
      </w:r>
      <w:r w:rsidR="00FA7183" w:rsidRPr="00930AA5">
        <w:rPr>
          <w:rFonts w:ascii="Arial" w:hAnsi="Arial" w:cs="Arial"/>
          <w:i/>
          <w:iCs/>
        </w:rPr>
        <w:t>et al.</w:t>
      </w:r>
      <w:r w:rsidRPr="00930AA5">
        <w:rPr>
          <w:rFonts w:ascii="Arial" w:hAnsi="Arial" w:cs="Arial"/>
        </w:rPr>
        <w:t xml:space="preserve">, 2022). The absence of significant elevation in hepatic enzymes suggests that the </w:t>
      </w:r>
      <w:proofErr w:type="spellStart"/>
      <w:r w:rsidRPr="00930AA5">
        <w:rPr>
          <w:rFonts w:ascii="Arial" w:hAnsi="Arial" w:cs="Arial"/>
        </w:rPr>
        <w:t>anaesthetic</w:t>
      </w:r>
      <w:proofErr w:type="spellEnd"/>
      <w:r w:rsidRPr="00930AA5">
        <w:rPr>
          <w:rFonts w:ascii="Arial" w:hAnsi="Arial" w:cs="Arial"/>
        </w:rPr>
        <w:t xml:space="preserve"> combinations used did not exert deleterious effects on liver metabolism, as also reported by Verma </w:t>
      </w:r>
      <w:r w:rsidR="00FA7183" w:rsidRPr="00930AA5">
        <w:rPr>
          <w:rFonts w:ascii="Arial" w:hAnsi="Arial" w:cs="Arial"/>
          <w:i/>
          <w:iCs/>
        </w:rPr>
        <w:t>et al.</w:t>
      </w:r>
      <w:r w:rsidRPr="00930AA5">
        <w:rPr>
          <w:rFonts w:ascii="Arial" w:hAnsi="Arial" w:cs="Arial"/>
        </w:rPr>
        <w:t xml:space="preserve"> (2018).</w:t>
      </w:r>
    </w:p>
    <w:p w14:paraId="703B612A" w14:textId="4E835C29" w:rsidR="00A37C7A" w:rsidRPr="00930AA5" w:rsidRDefault="00A37C7A" w:rsidP="00A37C7A">
      <w:pPr>
        <w:ind w:firstLine="567"/>
        <w:jc w:val="both"/>
        <w:rPr>
          <w:rFonts w:ascii="Arial" w:hAnsi="Arial" w:cs="Arial"/>
        </w:rPr>
      </w:pPr>
      <w:r w:rsidRPr="00930AA5">
        <w:rPr>
          <w:rFonts w:ascii="Arial" w:hAnsi="Arial" w:cs="Arial"/>
        </w:rPr>
        <w:t xml:space="preserve">Total protein values showed a mild, non-significant decrease after induction of </w:t>
      </w:r>
      <w:proofErr w:type="spellStart"/>
      <w:r w:rsidRPr="00930AA5">
        <w:rPr>
          <w:rFonts w:ascii="Arial" w:hAnsi="Arial" w:cs="Arial"/>
        </w:rPr>
        <w:t>anaesthesia</w:t>
      </w:r>
      <w:proofErr w:type="spellEnd"/>
      <w:r w:rsidRPr="00930AA5">
        <w:rPr>
          <w:rFonts w:ascii="Arial" w:hAnsi="Arial" w:cs="Arial"/>
        </w:rPr>
        <w:t xml:space="preserve"> in all groups, with values returning towards baseline during recovery. Similar transient reductions in serum total protein have been attributed to </w:t>
      </w:r>
      <w:proofErr w:type="spellStart"/>
      <w:r w:rsidRPr="00930AA5">
        <w:rPr>
          <w:rFonts w:ascii="Arial" w:hAnsi="Arial" w:cs="Arial"/>
        </w:rPr>
        <w:t>haemodilution</w:t>
      </w:r>
      <w:proofErr w:type="spellEnd"/>
      <w:r w:rsidRPr="00930AA5">
        <w:rPr>
          <w:rFonts w:ascii="Arial" w:hAnsi="Arial" w:cs="Arial"/>
        </w:rPr>
        <w:t xml:space="preserve">, redistribution of body fluids, increased glucocorticoid release and altered protein metabolism during </w:t>
      </w:r>
      <w:proofErr w:type="spellStart"/>
      <w:r w:rsidRPr="00930AA5">
        <w:rPr>
          <w:rFonts w:ascii="Arial" w:hAnsi="Arial" w:cs="Arial"/>
        </w:rPr>
        <w:t>anaesthesia</w:t>
      </w:r>
      <w:proofErr w:type="spellEnd"/>
      <w:r w:rsidRPr="00930AA5">
        <w:rPr>
          <w:rFonts w:ascii="Arial" w:hAnsi="Arial" w:cs="Arial"/>
        </w:rPr>
        <w:t xml:space="preserve"> (</w:t>
      </w:r>
      <w:proofErr w:type="spellStart"/>
      <w:r w:rsidRPr="00930AA5">
        <w:rPr>
          <w:rFonts w:ascii="Arial" w:hAnsi="Arial" w:cs="Arial"/>
        </w:rPr>
        <w:t>Rajankutty</w:t>
      </w:r>
      <w:proofErr w:type="spellEnd"/>
      <w:r w:rsidRPr="00930AA5">
        <w:rPr>
          <w:rFonts w:ascii="Arial" w:hAnsi="Arial" w:cs="Arial"/>
        </w:rPr>
        <w:t xml:space="preserve">, 1995; Verma </w:t>
      </w:r>
      <w:r w:rsidR="00FA7183" w:rsidRPr="00930AA5">
        <w:rPr>
          <w:rFonts w:ascii="Arial" w:hAnsi="Arial" w:cs="Arial"/>
          <w:i/>
          <w:iCs/>
        </w:rPr>
        <w:t>et al.</w:t>
      </w:r>
      <w:r w:rsidRPr="00930AA5">
        <w:rPr>
          <w:rFonts w:ascii="Arial" w:hAnsi="Arial" w:cs="Arial"/>
        </w:rPr>
        <w:t xml:space="preserve">, 2018; Koli </w:t>
      </w:r>
      <w:r w:rsidR="00FA7183" w:rsidRPr="00930AA5">
        <w:rPr>
          <w:rFonts w:ascii="Arial" w:hAnsi="Arial" w:cs="Arial"/>
          <w:i/>
          <w:iCs/>
        </w:rPr>
        <w:t>et al.</w:t>
      </w:r>
      <w:r w:rsidRPr="00930AA5">
        <w:rPr>
          <w:rFonts w:ascii="Arial" w:hAnsi="Arial" w:cs="Arial"/>
        </w:rPr>
        <w:t>, 2021). However, as all values remained within normal physiological limits, these changes were considered clinically insignificant.</w:t>
      </w:r>
    </w:p>
    <w:p w14:paraId="310B8A42" w14:textId="27E14EC6" w:rsidR="00A37C7A" w:rsidRPr="00930AA5" w:rsidRDefault="00A37C7A" w:rsidP="00A37C7A">
      <w:pPr>
        <w:ind w:firstLine="567"/>
        <w:jc w:val="both"/>
        <w:rPr>
          <w:rFonts w:ascii="Arial" w:hAnsi="Arial" w:cs="Arial"/>
        </w:rPr>
      </w:pPr>
      <w:r w:rsidRPr="00930AA5">
        <w:rPr>
          <w:rFonts w:ascii="Arial" w:hAnsi="Arial" w:cs="Arial"/>
        </w:rPr>
        <w:t xml:space="preserve">Blood glucose concentration increased significantly following induction of </w:t>
      </w:r>
      <w:proofErr w:type="spellStart"/>
      <w:r w:rsidRPr="00930AA5">
        <w:rPr>
          <w:rFonts w:ascii="Arial" w:hAnsi="Arial" w:cs="Arial"/>
        </w:rPr>
        <w:t>anaesthesia</w:t>
      </w:r>
      <w:proofErr w:type="spellEnd"/>
      <w:r w:rsidRPr="00930AA5">
        <w:rPr>
          <w:rFonts w:ascii="Arial" w:hAnsi="Arial" w:cs="Arial"/>
        </w:rPr>
        <w:t xml:space="preserve"> in all four groups, with higher values recorded during recovery compared to baseline. </w:t>
      </w:r>
      <w:proofErr w:type="spellStart"/>
      <w:r w:rsidRPr="00930AA5">
        <w:rPr>
          <w:rFonts w:ascii="Arial" w:hAnsi="Arial" w:cs="Arial"/>
        </w:rPr>
        <w:t>Hyperglycaemia</w:t>
      </w:r>
      <w:proofErr w:type="spellEnd"/>
      <w:r w:rsidRPr="00930AA5">
        <w:rPr>
          <w:rFonts w:ascii="Arial" w:hAnsi="Arial" w:cs="Arial"/>
        </w:rPr>
        <w:t xml:space="preserve"> observed in the present study is consistent with previous reports in goats, buffaloes, calves and dogs receiving α</w:t>
      </w:r>
      <w:r w:rsidRPr="00930AA5">
        <w:rPr>
          <w:rFonts w:ascii="Cambria Math" w:hAnsi="Cambria Math" w:cs="Cambria Math"/>
        </w:rPr>
        <w:t>₂</w:t>
      </w:r>
      <w:r w:rsidRPr="00930AA5">
        <w:rPr>
          <w:rFonts w:ascii="Arial" w:hAnsi="Arial" w:cs="Arial"/>
        </w:rPr>
        <w:t xml:space="preserve">-adrenergic agonists and dissociative </w:t>
      </w:r>
      <w:proofErr w:type="spellStart"/>
      <w:r w:rsidRPr="00930AA5">
        <w:rPr>
          <w:rFonts w:ascii="Arial" w:hAnsi="Arial" w:cs="Arial"/>
        </w:rPr>
        <w:t>anaesthetic</w:t>
      </w:r>
      <w:proofErr w:type="spellEnd"/>
      <w:r w:rsidRPr="00930AA5">
        <w:rPr>
          <w:rFonts w:ascii="Arial" w:hAnsi="Arial" w:cs="Arial"/>
        </w:rPr>
        <w:t xml:space="preserve"> agents (Eichner </w:t>
      </w:r>
      <w:r w:rsidR="00FA7183" w:rsidRPr="00930AA5">
        <w:rPr>
          <w:rFonts w:ascii="Arial" w:hAnsi="Arial" w:cs="Arial"/>
          <w:i/>
          <w:iCs/>
        </w:rPr>
        <w:t>et al.</w:t>
      </w:r>
      <w:r w:rsidRPr="00930AA5">
        <w:rPr>
          <w:rFonts w:ascii="Arial" w:hAnsi="Arial" w:cs="Arial"/>
        </w:rPr>
        <w:t xml:space="preserve">, 1979; Singh </w:t>
      </w:r>
      <w:r w:rsidR="00FA7183" w:rsidRPr="00930AA5">
        <w:rPr>
          <w:rFonts w:ascii="Arial" w:hAnsi="Arial" w:cs="Arial"/>
          <w:i/>
          <w:iCs/>
        </w:rPr>
        <w:t>et al.</w:t>
      </w:r>
      <w:r w:rsidRPr="00930AA5">
        <w:rPr>
          <w:rFonts w:ascii="Arial" w:hAnsi="Arial" w:cs="Arial"/>
        </w:rPr>
        <w:t xml:space="preserve">, 2013; Kumar </w:t>
      </w:r>
      <w:r w:rsidR="00FA7183" w:rsidRPr="00930AA5">
        <w:rPr>
          <w:rFonts w:ascii="Arial" w:hAnsi="Arial" w:cs="Arial"/>
          <w:i/>
          <w:iCs/>
        </w:rPr>
        <w:t>et al.</w:t>
      </w:r>
      <w:r w:rsidRPr="00930AA5">
        <w:rPr>
          <w:rFonts w:ascii="Arial" w:hAnsi="Arial" w:cs="Arial"/>
        </w:rPr>
        <w:t xml:space="preserve">, 2014; Shah </w:t>
      </w:r>
      <w:r w:rsidR="00FA7183" w:rsidRPr="00930AA5">
        <w:rPr>
          <w:rFonts w:ascii="Arial" w:hAnsi="Arial" w:cs="Arial"/>
          <w:i/>
          <w:iCs/>
        </w:rPr>
        <w:t>et al.</w:t>
      </w:r>
      <w:r w:rsidRPr="00930AA5">
        <w:rPr>
          <w:rFonts w:ascii="Arial" w:hAnsi="Arial" w:cs="Arial"/>
        </w:rPr>
        <w:t xml:space="preserve">, 2016; Ragab </w:t>
      </w:r>
      <w:r w:rsidR="00FA7183" w:rsidRPr="00930AA5">
        <w:rPr>
          <w:rFonts w:ascii="Arial" w:hAnsi="Arial" w:cs="Arial"/>
          <w:i/>
          <w:iCs/>
        </w:rPr>
        <w:t>et al.</w:t>
      </w:r>
      <w:r w:rsidRPr="00930AA5">
        <w:rPr>
          <w:rFonts w:ascii="Arial" w:hAnsi="Arial" w:cs="Arial"/>
        </w:rPr>
        <w:t xml:space="preserve">, 2018). Xylazine and dexmedetomidine are known to reduce insulin secretion from pancreatic β-cells and increase glucagon release from α-cells, leading to elevated blood glucose levels (Anitha </w:t>
      </w:r>
      <w:r w:rsidR="00FA7183" w:rsidRPr="00930AA5">
        <w:rPr>
          <w:rFonts w:ascii="Arial" w:hAnsi="Arial" w:cs="Arial"/>
          <w:i/>
          <w:iCs/>
        </w:rPr>
        <w:t>et al.</w:t>
      </w:r>
      <w:r w:rsidRPr="00930AA5">
        <w:rPr>
          <w:rFonts w:ascii="Arial" w:hAnsi="Arial" w:cs="Arial"/>
        </w:rPr>
        <w:t xml:space="preserve">, 2018). Additionally, stress-related catecholamine release, impaired glucose </w:t>
      </w:r>
      <w:proofErr w:type="spellStart"/>
      <w:r w:rsidRPr="00930AA5">
        <w:rPr>
          <w:rFonts w:ascii="Arial" w:hAnsi="Arial" w:cs="Arial"/>
        </w:rPr>
        <w:t>utilisation</w:t>
      </w:r>
      <w:proofErr w:type="spellEnd"/>
      <w:r w:rsidRPr="00930AA5">
        <w:rPr>
          <w:rFonts w:ascii="Arial" w:hAnsi="Arial" w:cs="Arial"/>
        </w:rPr>
        <w:t xml:space="preserve"> and reduced metabolic demand due to muscle relaxation during </w:t>
      </w:r>
      <w:proofErr w:type="spellStart"/>
      <w:r w:rsidRPr="00930AA5">
        <w:rPr>
          <w:rFonts w:ascii="Arial" w:hAnsi="Arial" w:cs="Arial"/>
        </w:rPr>
        <w:t>anaesthesia</w:t>
      </w:r>
      <w:proofErr w:type="spellEnd"/>
      <w:r w:rsidRPr="00930AA5">
        <w:rPr>
          <w:rFonts w:ascii="Arial" w:hAnsi="Arial" w:cs="Arial"/>
        </w:rPr>
        <w:t xml:space="preserve"> may contribute to transient </w:t>
      </w:r>
      <w:proofErr w:type="spellStart"/>
      <w:r w:rsidRPr="00930AA5">
        <w:rPr>
          <w:rFonts w:ascii="Arial" w:hAnsi="Arial" w:cs="Arial"/>
        </w:rPr>
        <w:t>hyperglycaemia</w:t>
      </w:r>
      <w:proofErr w:type="spellEnd"/>
      <w:r w:rsidRPr="00930AA5">
        <w:rPr>
          <w:rFonts w:ascii="Arial" w:hAnsi="Arial" w:cs="Arial"/>
        </w:rPr>
        <w:t xml:space="preserve"> (Shah </w:t>
      </w:r>
      <w:r w:rsidR="00FA7183" w:rsidRPr="00930AA5">
        <w:rPr>
          <w:rFonts w:ascii="Arial" w:hAnsi="Arial" w:cs="Arial"/>
          <w:i/>
          <w:iCs/>
        </w:rPr>
        <w:t>et al.</w:t>
      </w:r>
      <w:r w:rsidRPr="00930AA5">
        <w:rPr>
          <w:rFonts w:ascii="Arial" w:hAnsi="Arial" w:cs="Arial"/>
        </w:rPr>
        <w:t>, 2016). Despite these changes, the observed glucose values were within acceptable physiological limits and did not indicate clinically relevant metabolic derangement.</w:t>
      </w:r>
    </w:p>
    <w:p w14:paraId="22C3E583" w14:textId="77777777" w:rsidR="00A37C7A" w:rsidRPr="00930AA5" w:rsidRDefault="00A37C7A" w:rsidP="00A37C7A">
      <w:pPr>
        <w:ind w:firstLine="567"/>
        <w:jc w:val="both"/>
        <w:rPr>
          <w:rFonts w:ascii="Arial" w:hAnsi="Arial" w:cs="Arial"/>
        </w:rPr>
      </w:pPr>
      <w:r w:rsidRPr="00930AA5">
        <w:rPr>
          <w:rFonts w:ascii="Arial" w:hAnsi="Arial" w:cs="Arial"/>
        </w:rPr>
        <w:t xml:space="preserve">Overall, the biochemical findings of the present study demonstrate that premedication with xylazine–butorphanol or dexmedetomidine–butorphanol, followed by tiletamine–zolazepam induction and maintenance under either TIVA or PIVA, does not produce clinically significant alterations in renal or hepatic biochemical parameters in goats. The transient changes observed were reversible and within physiological limits, supporting the systemic safety of these </w:t>
      </w:r>
      <w:proofErr w:type="spellStart"/>
      <w:r w:rsidRPr="00930AA5">
        <w:rPr>
          <w:rFonts w:ascii="Arial" w:hAnsi="Arial" w:cs="Arial"/>
        </w:rPr>
        <w:t>anaesthetic</w:t>
      </w:r>
      <w:proofErr w:type="spellEnd"/>
      <w:r w:rsidRPr="00930AA5">
        <w:rPr>
          <w:rFonts w:ascii="Arial" w:hAnsi="Arial" w:cs="Arial"/>
        </w:rPr>
        <w:t xml:space="preserve"> protocols for routine surgical procedures.</w:t>
      </w:r>
    </w:p>
    <w:p w14:paraId="2EB6531F" w14:textId="77777777" w:rsidR="00A37C7A" w:rsidRPr="00930AA5" w:rsidRDefault="00A37C7A" w:rsidP="006647CC">
      <w:pPr>
        <w:ind w:firstLine="567"/>
        <w:jc w:val="both"/>
        <w:rPr>
          <w:rFonts w:ascii="Arial" w:hAnsi="Arial" w:cs="Arial"/>
          <w:lang w:val="en-IN"/>
        </w:rPr>
      </w:pPr>
    </w:p>
    <w:p w14:paraId="483C91A6" w14:textId="77777777" w:rsidR="00B72F71" w:rsidRPr="00930AA5" w:rsidRDefault="00B72F71" w:rsidP="00B72F71">
      <w:pPr>
        <w:jc w:val="both"/>
        <w:rPr>
          <w:rFonts w:ascii="Arial" w:hAnsi="Arial" w:cs="Arial"/>
          <w:b/>
          <w:bCs/>
        </w:rPr>
      </w:pPr>
      <w:r w:rsidRPr="00930AA5">
        <w:rPr>
          <w:rFonts w:ascii="Arial" w:hAnsi="Arial" w:cs="Arial"/>
          <w:b/>
          <w:bCs/>
        </w:rPr>
        <w:t xml:space="preserve">Table 5. Serum biochemical parameters (mean ± SE) in goats under different </w:t>
      </w:r>
      <w:proofErr w:type="spellStart"/>
      <w:r w:rsidRPr="00930AA5">
        <w:rPr>
          <w:rFonts w:ascii="Arial" w:hAnsi="Arial" w:cs="Arial"/>
          <w:b/>
          <w:bCs/>
        </w:rPr>
        <w:t>anaesthetic</w:t>
      </w:r>
      <w:proofErr w:type="spellEnd"/>
      <w:r w:rsidRPr="00930AA5">
        <w:rPr>
          <w:rFonts w:ascii="Arial" w:hAnsi="Arial" w:cs="Arial"/>
          <w:b/>
          <w:bCs/>
        </w:rPr>
        <w:t xml:space="preserve"> protocols</w:t>
      </w:r>
    </w:p>
    <w:p w14:paraId="405817B4" w14:textId="77777777" w:rsidR="00A37C7A" w:rsidRPr="00930AA5" w:rsidRDefault="00A37C7A" w:rsidP="00B72F71">
      <w:pPr>
        <w:jc w:val="both"/>
        <w:rPr>
          <w:rFonts w:ascii="Arial" w:hAnsi="Arial" w:cs="Arial"/>
          <w:b/>
          <w:bCs/>
        </w:rPr>
      </w:pPr>
    </w:p>
    <w:tbl>
      <w:tblPr>
        <w:tblStyle w:val="TableGrid"/>
        <w:tblW w:w="0" w:type="auto"/>
        <w:tblInd w:w="108" w:type="dxa"/>
        <w:tblLook w:val="04A0" w:firstRow="1" w:lastRow="0" w:firstColumn="1" w:lastColumn="0" w:noHBand="0" w:noVBand="1"/>
      </w:tblPr>
      <w:tblGrid>
        <w:gridCol w:w="2155"/>
        <w:gridCol w:w="1560"/>
        <w:gridCol w:w="1417"/>
        <w:gridCol w:w="1507"/>
        <w:gridCol w:w="1507"/>
        <w:gridCol w:w="1664"/>
      </w:tblGrid>
      <w:tr w:rsidR="00413C1E" w:rsidRPr="00930AA5" w14:paraId="1877508D" w14:textId="77777777" w:rsidTr="00413C1E">
        <w:tc>
          <w:tcPr>
            <w:tcW w:w="2155" w:type="dxa"/>
            <w:vAlign w:val="center"/>
          </w:tcPr>
          <w:p w14:paraId="56AC796D"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Parameter</w:t>
            </w:r>
          </w:p>
        </w:tc>
        <w:tc>
          <w:tcPr>
            <w:tcW w:w="1560" w:type="dxa"/>
            <w:vAlign w:val="center"/>
          </w:tcPr>
          <w:p w14:paraId="31BB288F"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Time point</w:t>
            </w:r>
          </w:p>
        </w:tc>
        <w:tc>
          <w:tcPr>
            <w:tcW w:w="1417" w:type="dxa"/>
            <w:vAlign w:val="center"/>
          </w:tcPr>
          <w:p w14:paraId="740FC73E"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w:t>
            </w:r>
          </w:p>
        </w:tc>
        <w:tc>
          <w:tcPr>
            <w:tcW w:w="1507" w:type="dxa"/>
            <w:vAlign w:val="center"/>
          </w:tcPr>
          <w:p w14:paraId="1C5B98CD"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II</w:t>
            </w:r>
          </w:p>
        </w:tc>
        <w:tc>
          <w:tcPr>
            <w:tcW w:w="1507" w:type="dxa"/>
            <w:vAlign w:val="center"/>
          </w:tcPr>
          <w:p w14:paraId="0101ACF2"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III</w:t>
            </w:r>
          </w:p>
        </w:tc>
        <w:tc>
          <w:tcPr>
            <w:tcW w:w="1664" w:type="dxa"/>
            <w:vAlign w:val="center"/>
          </w:tcPr>
          <w:p w14:paraId="3854636E"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 IV</w:t>
            </w:r>
          </w:p>
        </w:tc>
      </w:tr>
      <w:tr w:rsidR="00413C1E" w:rsidRPr="00930AA5" w14:paraId="11F61541" w14:textId="77777777" w:rsidTr="00413C1E">
        <w:trPr>
          <w:trHeight w:val="175"/>
        </w:trPr>
        <w:tc>
          <w:tcPr>
            <w:tcW w:w="2155" w:type="dxa"/>
            <w:vMerge w:val="restart"/>
            <w:vAlign w:val="center"/>
          </w:tcPr>
          <w:p w14:paraId="3459EB25" w14:textId="77777777" w:rsidR="00335FC4" w:rsidRPr="00930AA5" w:rsidRDefault="00335FC4" w:rsidP="00CC1BD2">
            <w:pPr>
              <w:rPr>
                <w:rFonts w:ascii="Arial" w:hAnsi="Arial" w:cs="Arial"/>
                <w:sz w:val="20"/>
                <w:szCs w:val="20"/>
              </w:rPr>
            </w:pPr>
            <w:r w:rsidRPr="00930AA5">
              <w:rPr>
                <w:rFonts w:ascii="Arial" w:hAnsi="Arial" w:cs="Arial"/>
                <w:sz w:val="20"/>
                <w:szCs w:val="20"/>
              </w:rPr>
              <w:t>ALT (U/L)</w:t>
            </w:r>
          </w:p>
        </w:tc>
        <w:tc>
          <w:tcPr>
            <w:tcW w:w="1560" w:type="dxa"/>
            <w:vAlign w:val="center"/>
          </w:tcPr>
          <w:p w14:paraId="789EAD93"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7A75D703"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23.48</w:t>
            </w:r>
            <w:r w:rsidRPr="00930AA5">
              <w:rPr>
                <w:rFonts w:ascii="Arial" w:hAnsi="Arial" w:cs="Arial"/>
                <w:spacing w:val="-4"/>
                <w:sz w:val="20"/>
                <w:szCs w:val="20"/>
              </w:rPr>
              <w:t>±</w:t>
            </w:r>
            <w:r w:rsidRPr="00930AA5">
              <w:rPr>
                <w:rFonts w:ascii="Arial" w:hAnsi="Arial" w:cs="Arial"/>
                <w:sz w:val="20"/>
                <w:szCs w:val="20"/>
              </w:rPr>
              <w:t>1.64</w:t>
            </w:r>
          </w:p>
        </w:tc>
        <w:tc>
          <w:tcPr>
            <w:tcW w:w="1507" w:type="dxa"/>
            <w:vAlign w:val="center"/>
          </w:tcPr>
          <w:p w14:paraId="15C67C9D"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24.89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3.45</w:t>
            </w:r>
          </w:p>
        </w:tc>
        <w:tc>
          <w:tcPr>
            <w:tcW w:w="1507" w:type="dxa"/>
            <w:vAlign w:val="center"/>
          </w:tcPr>
          <w:p w14:paraId="7AA74383"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35.51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5.04</w:t>
            </w:r>
          </w:p>
        </w:tc>
        <w:tc>
          <w:tcPr>
            <w:tcW w:w="1664" w:type="dxa"/>
            <w:vAlign w:val="center"/>
          </w:tcPr>
          <w:p w14:paraId="7DD5E66E"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26.58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4.95</w:t>
            </w:r>
          </w:p>
        </w:tc>
      </w:tr>
      <w:tr w:rsidR="00413C1E" w:rsidRPr="00930AA5" w14:paraId="6F69917E" w14:textId="77777777" w:rsidTr="00413C1E">
        <w:tc>
          <w:tcPr>
            <w:tcW w:w="2155" w:type="dxa"/>
            <w:vMerge/>
            <w:vAlign w:val="center"/>
          </w:tcPr>
          <w:p w14:paraId="289A2BDE" w14:textId="77777777" w:rsidR="00335FC4" w:rsidRPr="00930AA5" w:rsidRDefault="00335FC4" w:rsidP="00CC1BD2">
            <w:pPr>
              <w:rPr>
                <w:rFonts w:ascii="Arial" w:hAnsi="Arial" w:cs="Arial"/>
                <w:b/>
                <w:bCs/>
                <w:sz w:val="20"/>
                <w:szCs w:val="20"/>
              </w:rPr>
            </w:pPr>
          </w:p>
        </w:tc>
        <w:tc>
          <w:tcPr>
            <w:tcW w:w="1560" w:type="dxa"/>
            <w:vAlign w:val="center"/>
          </w:tcPr>
          <w:p w14:paraId="3D91A18A"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16EF0653"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25.43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2.81</w:t>
            </w:r>
          </w:p>
        </w:tc>
        <w:tc>
          <w:tcPr>
            <w:tcW w:w="1507" w:type="dxa"/>
            <w:vAlign w:val="center"/>
          </w:tcPr>
          <w:p w14:paraId="6AD253CC"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23.75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4.00</w:t>
            </w:r>
          </w:p>
        </w:tc>
        <w:tc>
          <w:tcPr>
            <w:tcW w:w="1507" w:type="dxa"/>
            <w:vAlign w:val="center"/>
          </w:tcPr>
          <w:p w14:paraId="21E5BB69"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36.67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4.43</w:t>
            </w:r>
          </w:p>
        </w:tc>
        <w:tc>
          <w:tcPr>
            <w:tcW w:w="1664" w:type="dxa"/>
            <w:vAlign w:val="center"/>
          </w:tcPr>
          <w:p w14:paraId="05538031"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26.43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6.76</w:t>
            </w:r>
          </w:p>
        </w:tc>
      </w:tr>
      <w:tr w:rsidR="00413C1E" w:rsidRPr="00930AA5" w14:paraId="308ED6C1" w14:textId="77777777" w:rsidTr="00413C1E">
        <w:tc>
          <w:tcPr>
            <w:tcW w:w="2155" w:type="dxa"/>
            <w:vMerge/>
            <w:vAlign w:val="center"/>
          </w:tcPr>
          <w:p w14:paraId="3FFF89BB" w14:textId="77777777" w:rsidR="00335FC4" w:rsidRPr="00930AA5" w:rsidRDefault="00335FC4" w:rsidP="00CC1BD2">
            <w:pPr>
              <w:rPr>
                <w:rFonts w:ascii="Arial" w:hAnsi="Arial" w:cs="Arial"/>
                <w:b/>
                <w:bCs/>
                <w:sz w:val="20"/>
                <w:szCs w:val="20"/>
              </w:rPr>
            </w:pPr>
          </w:p>
        </w:tc>
        <w:tc>
          <w:tcPr>
            <w:tcW w:w="1560" w:type="dxa"/>
            <w:vAlign w:val="center"/>
          </w:tcPr>
          <w:p w14:paraId="4953A79F"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29524CB0"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28.03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2.91</w:t>
            </w:r>
          </w:p>
        </w:tc>
        <w:tc>
          <w:tcPr>
            <w:tcW w:w="1507" w:type="dxa"/>
            <w:vAlign w:val="center"/>
          </w:tcPr>
          <w:p w14:paraId="5554D22E"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24.14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3.75</w:t>
            </w:r>
          </w:p>
        </w:tc>
        <w:tc>
          <w:tcPr>
            <w:tcW w:w="1507" w:type="dxa"/>
            <w:vAlign w:val="center"/>
          </w:tcPr>
          <w:p w14:paraId="32100B2C"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38.24</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5.02</w:t>
            </w:r>
          </w:p>
        </w:tc>
        <w:tc>
          <w:tcPr>
            <w:tcW w:w="1664" w:type="dxa"/>
            <w:vAlign w:val="center"/>
          </w:tcPr>
          <w:p w14:paraId="2C89765F" w14:textId="77777777" w:rsidR="00335FC4" w:rsidRPr="00930AA5" w:rsidRDefault="00335FC4" w:rsidP="00CC1BD2">
            <w:pPr>
              <w:jc w:val="both"/>
              <w:rPr>
                <w:rFonts w:ascii="Arial" w:hAnsi="Arial" w:cs="Arial"/>
                <w:b/>
                <w:bCs/>
                <w:sz w:val="20"/>
                <w:szCs w:val="20"/>
              </w:rPr>
            </w:pPr>
            <w:r w:rsidRPr="00930AA5">
              <w:rPr>
                <w:rFonts w:ascii="Arial" w:hAnsi="Arial" w:cs="Arial"/>
                <w:sz w:val="20"/>
                <w:szCs w:val="20"/>
              </w:rPr>
              <w:t>25.83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5.89</w:t>
            </w:r>
          </w:p>
        </w:tc>
      </w:tr>
      <w:tr w:rsidR="00413C1E" w:rsidRPr="00930AA5" w14:paraId="37B696FF" w14:textId="77777777" w:rsidTr="00413C1E">
        <w:trPr>
          <w:trHeight w:val="79"/>
        </w:trPr>
        <w:tc>
          <w:tcPr>
            <w:tcW w:w="2155" w:type="dxa"/>
            <w:vMerge w:val="restart"/>
            <w:vAlign w:val="center"/>
          </w:tcPr>
          <w:p w14:paraId="72D18573" w14:textId="77777777" w:rsidR="00413C1E" w:rsidRPr="00930AA5" w:rsidRDefault="00413C1E" w:rsidP="00CC1BD2">
            <w:pPr>
              <w:rPr>
                <w:rFonts w:ascii="Arial" w:hAnsi="Arial" w:cs="Arial"/>
                <w:b/>
                <w:bCs/>
                <w:sz w:val="20"/>
                <w:szCs w:val="20"/>
              </w:rPr>
            </w:pPr>
            <w:r w:rsidRPr="00930AA5">
              <w:rPr>
                <w:rFonts w:ascii="Arial" w:hAnsi="Arial" w:cs="Arial"/>
                <w:sz w:val="20"/>
                <w:szCs w:val="20"/>
              </w:rPr>
              <w:t>AST (U/L)</w:t>
            </w:r>
          </w:p>
        </w:tc>
        <w:tc>
          <w:tcPr>
            <w:tcW w:w="1560" w:type="dxa"/>
            <w:vAlign w:val="center"/>
          </w:tcPr>
          <w:p w14:paraId="6AF976B9"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7F4C9169"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40.82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4.09</w:t>
            </w:r>
          </w:p>
        </w:tc>
        <w:tc>
          <w:tcPr>
            <w:tcW w:w="1507" w:type="dxa"/>
            <w:vAlign w:val="center"/>
          </w:tcPr>
          <w:p w14:paraId="3773733D"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66.88</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7.75</w:t>
            </w:r>
          </w:p>
        </w:tc>
        <w:tc>
          <w:tcPr>
            <w:tcW w:w="1507" w:type="dxa"/>
            <w:vAlign w:val="center"/>
          </w:tcPr>
          <w:p w14:paraId="6318BC02"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77.49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w:t>
            </w:r>
          </w:p>
        </w:tc>
        <w:tc>
          <w:tcPr>
            <w:tcW w:w="1664" w:type="dxa"/>
            <w:vAlign w:val="center"/>
          </w:tcPr>
          <w:p w14:paraId="46F17231"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69.42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14.77</w:t>
            </w:r>
          </w:p>
        </w:tc>
      </w:tr>
      <w:tr w:rsidR="00413C1E" w:rsidRPr="00930AA5" w14:paraId="34C783FF" w14:textId="77777777" w:rsidTr="00413C1E">
        <w:tc>
          <w:tcPr>
            <w:tcW w:w="2155" w:type="dxa"/>
            <w:vMerge/>
            <w:vAlign w:val="center"/>
          </w:tcPr>
          <w:p w14:paraId="72CB7C44" w14:textId="77777777" w:rsidR="00413C1E" w:rsidRPr="00930AA5" w:rsidRDefault="00413C1E" w:rsidP="00CC1BD2">
            <w:pPr>
              <w:rPr>
                <w:rFonts w:ascii="Arial" w:hAnsi="Arial" w:cs="Arial"/>
                <w:b/>
                <w:bCs/>
                <w:sz w:val="20"/>
                <w:szCs w:val="20"/>
              </w:rPr>
            </w:pPr>
          </w:p>
        </w:tc>
        <w:tc>
          <w:tcPr>
            <w:tcW w:w="1560" w:type="dxa"/>
            <w:vAlign w:val="center"/>
          </w:tcPr>
          <w:p w14:paraId="036B2F6C"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4206F94F"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41.65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5.16</w:t>
            </w:r>
          </w:p>
        </w:tc>
        <w:tc>
          <w:tcPr>
            <w:tcW w:w="1507" w:type="dxa"/>
            <w:vAlign w:val="center"/>
          </w:tcPr>
          <w:p w14:paraId="20971295"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67.85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6.73</w:t>
            </w:r>
          </w:p>
        </w:tc>
        <w:tc>
          <w:tcPr>
            <w:tcW w:w="1507" w:type="dxa"/>
            <w:vAlign w:val="center"/>
          </w:tcPr>
          <w:p w14:paraId="5EB0B186"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78.13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12.12</w:t>
            </w:r>
          </w:p>
        </w:tc>
        <w:tc>
          <w:tcPr>
            <w:tcW w:w="1664" w:type="dxa"/>
            <w:vAlign w:val="center"/>
          </w:tcPr>
          <w:p w14:paraId="3B9741E3"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71.37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14.13</w:t>
            </w:r>
          </w:p>
        </w:tc>
      </w:tr>
      <w:tr w:rsidR="00413C1E" w:rsidRPr="00930AA5" w14:paraId="53BB21C6" w14:textId="77777777" w:rsidTr="00413C1E">
        <w:tc>
          <w:tcPr>
            <w:tcW w:w="2155" w:type="dxa"/>
            <w:vMerge/>
            <w:vAlign w:val="center"/>
          </w:tcPr>
          <w:p w14:paraId="651FA201" w14:textId="77777777" w:rsidR="00413C1E" w:rsidRPr="00930AA5" w:rsidRDefault="00413C1E" w:rsidP="00CC1BD2">
            <w:pPr>
              <w:rPr>
                <w:rFonts w:ascii="Arial" w:hAnsi="Arial" w:cs="Arial"/>
                <w:b/>
                <w:bCs/>
                <w:sz w:val="20"/>
                <w:szCs w:val="20"/>
              </w:rPr>
            </w:pPr>
          </w:p>
        </w:tc>
        <w:tc>
          <w:tcPr>
            <w:tcW w:w="1560" w:type="dxa"/>
            <w:vAlign w:val="center"/>
          </w:tcPr>
          <w:p w14:paraId="0996EE70"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7E45EBA4"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41.45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4.11</w:t>
            </w:r>
          </w:p>
        </w:tc>
        <w:tc>
          <w:tcPr>
            <w:tcW w:w="1507" w:type="dxa"/>
            <w:vAlign w:val="center"/>
          </w:tcPr>
          <w:p w14:paraId="5B6DF22E"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68.03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7.85</w:t>
            </w:r>
          </w:p>
        </w:tc>
        <w:tc>
          <w:tcPr>
            <w:tcW w:w="1507" w:type="dxa"/>
            <w:vAlign w:val="center"/>
          </w:tcPr>
          <w:p w14:paraId="23F0B571"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78.41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11.05</w:t>
            </w:r>
          </w:p>
        </w:tc>
        <w:tc>
          <w:tcPr>
            <w:tcW w:w="1664" w:type="dxa"/>
            <w:vAlign w:val="center"/>
          </w:tcPr>
          <w:p w14:paraId="646D64A6"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71.59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13.08</w:t>
            </w:r>
          </w:p>
        </w:tc>
      </w:tr>
      <w:tr w:rsidR="00413C1E" w:rsidRPr="00930AA5" w14:paraId="4330BB4B" w14:textId="77777777" w:rsidTr="00413C1E">
        <w:tc>
          <w:tcPr>
            <w:tcW w:w="2155" w:type="dxa"/>
            <w:vMerge w:val="restart"/>
            <w:vAlign w:val="center"/>
          </w:tcPr>
          <w:p w14:paraId="4D0B913B" w14:textId="77777777" w:rsidR="00413C1E" w:rsidRPr="00930AA5" w:rsidRDefault="00413C1E" w:rsidP="00CC1BD2">
            <w:pPr>
              <w:rPr>
                <w:rFonts w:ascii="Arial" w:hAnsi="Arial" w:cs="Arial"/>
                <w:b/>
                <w:bCs/>
                <w:sz w:val="20"/>
                <w:szCs w:val="20"/>
              </w:rPr>
            </w:pPr>
            <w:r w:rsidRPr="00930AA5">
              <w:rPr>
                <w:rFonts w:ascii="Arial" w:hAnsi="Arial" w:cs="Arial"/>
                <w:sz w:val="20"/>
                <w:szCs w:val="20"/>
              </w:rPr>
              <w:t>Blood urea nitrogen (mg/dL)</w:t>
            </w:r>
          </w:p>
        </w:tc>
        <w:tc>
          <w:tcPr>
            <w:tcW w:w="1560" w:type="dxa"/>
            <w:vAlign w:val="center"/>
          </w:tcPr>
          <w:p w14:paraId="4FCF5847"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Baseline</w:t>
            </w:r>
          </w:p>
        </w:tc>
        <w:tc>
          <w:tcPr>
            <w:tcW w:w="1417" w:type="dxa"/>
            <w:vAlign w:val="center"/>
          </w:tcPr>
          <w:p w14:paraId="607A7F72"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12.22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0.25</w:t>
            </w:r>
          </w:p>
        </w:tc>
        <w:tc>
          <w:tcPr>
            <w:tcW w:w="1507" w:type="dxa"/>
            <w:vAlign w:val="center"/>
          </w:tcPr>
          <w:p w14:paraId="56782895"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14.87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1.30</w:t>
            </w:r>
          </w:p>
        </w:tc>
        <w:tc>
          <w:tcPr>
            <w:tcW w:w="1507" w:type="dxa"/>
            <w:vAlign w:val="center"/>
          </w:tcPr>
          <w:p w14:paraId="5AB9B2BF"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14.15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0.58</w:t>
            </w:r>
          </w:p>
        </w:tc>
        <w:tc>
          <w:tcPr>
            <w:tcW w:w="1664" w:type="dxa"/>
            <w:vAlign w:val="center"/>
          </w:tcPr>
          <w:p w14:paraId="210B2254"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13.56</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1.61</w:t>
            </w:r>
          </w:p>
        </w:tc>
      </w:tr>
      <w:tr w:rsidR="00413C1E" w:rsidRPr="00930AA5" w14:paraId="3C941654" w14:textId="77777777" w:rsidTr="00413C1E">
        <w:tc>
          <w:tcPr>
            <w:tcW w:w="2155" w:type="dxa"/>
            <w:vMerge/>
            <w:vAlign w:val="center"/>
          </w:tcPr>
          <w:p w14:paraId="3F8E10BA" w14:textId="77777777" w:rsidR="00413C1E" w:rsidRPr="00930AA5" w:rsidRDefault="00413C1E" w:rsidP="00CC1BD2">
            <w:pPr>
              <w:rPr>
                <w:rFonts w:ascii="Arial" w:hAnsi="Arial" w:cs="Arial"/>
                <w:b/>
                <w:bCs/>
                <w:sz w:val="20"/>
                <w:szCs w:val="20"/>
              </w:rPr>
            </w:pPr>
          </w:p>
        </w:tc>
        <w:tc>
          <w:tcPr>
            <w:tcW w:w="1560" w:type="dxa"/>
            <w:vAlign w:val="center"/>
          </w:tcPr>
          <w:p w14:paraId="4824794D"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Post-induction</w:t>
            </w:r>
          </w:p>
        </w:tc>
        <w:tc>
          <w:tcPr>
            <w:tcW w:w="1417" w:type="dxa"/>
            <w:vAlign w:val="center"/>
          </w:tcPr>
          <w:p w14:paraId="3A4E4E9F"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13.42</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0.94</w:t>
            </w:r>
          </w:p>
        </w:tc>
        <w:tc>
          <w:tcPr>
            <w:tcW w:w="1507" w:type="dxa"/>
            <w:vAlign w:val="center"/>
          </w:tcPr>
          <w:p w14:paraId="692B06D2"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13.89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0.77</w:t>
            </w:r>
          </w:p>
        </w:tc>
        <w:tc>
          <w:tcPr>
            <w:tcW w:w="1507" w:type="dxa"/>
            <w:vAlign w:val="center"/>
          </w:tcPr>
          <w:p w14:paraId="32B1970F"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14.79</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0.64</w:t>
            </w:r>
          </w:p>
        </w:tc>
        <w:tc>
          <w:tcPr>
            <w:tcW w:w="1664" w:type="dxa"/>
            <w:vAlign w:val="center"/>
          </w:tcPr>
          <w:p w14:paraId="61FCDC16"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13.73</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0.71</w:t>
            </w:r>
          </w:p>
        </w:tc>
      </w:tr>
      <w:tr w:rsidR="00413C1E" w:rsidRPr="00930AA5" w14:paraId="22C2E644" w14:textId="77777777" w:rsidTr="00413C1E">
        <w:tc>
          <w:tcPr>
            <w:tcW w:w="2155" w:type="dxa"/>
            <w:vMerge/>
            <w:vAlign w:val="center"/>
          </w:tcPr>
          <w:p w14:paraId="1829624B" w14:textId="77777777" w:rsidR="00413C1E" w:rsidRPr="00930AA5" w:rsidRDefault="00413C1E" w:rsidP="00CC1BD2">
            <w:pPr>
              <w:rPr>
                <w:rFonts w:ascii="Arial" w:hAnsi="Arial" w:cs="Arial"/>
                <w:b/>
                <w:bCs/>
                <w:sz w:val="20"/>
                <w:szCs w:val="20"/>
              </w:rPr>
            </w:pPr>
          </w:p>
        </w:tc>
        <w:tc>
          <w:tcPr>
            <w:tcW w:w="1560" w:type="dxa"/>
            <w:vAlign w:val="center"/>
          </w:tcPr>
          <w:p w14:paraId="06AC9F8E"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Recovery</w:t>
            </w:r>
          </w:p>
        </w:tc>
        <w:tc>
          <w:tcPr>
            <w:tcW w:w="1417" w:type="dxa"/>
            <w:vAlign w:val="center"/>
          </w:tcPr>
          <w:p w14:paraId="2771C8EE"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13.55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0.85</w:t>
            </w:r>
          </w:p>
        </w:tc>
        <w:tc>
          <w:tcPr>
            <w:tcW w:w="1507" w:type="dxa"/>
            <w:vAlign w:val="center"/>
          </w:tcPr>
          <w:p w14:paraId="53360ABB"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14.50</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0.79</w:t>
            </w:r>
          </w:p>
        </w:tc>
        <w:tc>
          <w:tcPr>
            <w:tcW w:w="1507" w:type="dxa"/>
            <w:vAlign w:val="center"/>
          </w:tcPr>
          <w:p w14:paraId="5B469195"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14.11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0.57</w:t>
            </w:r>
          </w:p>
        </w:tc>
        <w:tc>
          <w:tcPr>
            <w:tcW w:w="1664" w:type="dxa"/>
            <w:vAlign w:val="center"/>
          </w:tcPr>
          <w:p w14:paraId="3D4BDF50"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14.07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0.48</w:t>
            </w:r>
          </w:p>
        </w:tc>
      </w:tr>
      <w:tr w:rsidR="00413C1E" w:rsidRPr="00930AA5" w14:paraId="28C4CAAB" w14:textId="77777777" w:rsidTr="00413C1E">
        <w:trPr>
          <w:trHeight w:val="267"/>
        </w:trPr>
        <w:tc>
          <w:tcPr>
            <w:tcW w:w="2155" w:type="dxa"/>
            <w:vMerge w:val="restart"/>
            <w:vAlign w:val="center"/>
          </w:tcPr>
          <w:p w14:paraId="2A088F41" w14:textId="77777777" w:rsidR="00413C1E" w:rsidRPr="00930AA5" w:rsidRDefault="00413C1E" w:rsidP="00CC1BD2">
            <w:pPr>
              <w:rPr>
                <w:rFonts w:ascii="Arial" w:hAnsi="Arial" w:cs="Arial"/>
                <w:b/>
                <w:bCs/>
                <w:sz w:val="20"/>
                <w:szCs w:val="20"/>
              </w:rPr>
            </w:pPr>
            <w:r w:rsidRPr="00930AA5">
              <w:rPr>
                <w:rFonts w:ascii="Arial" w:hAnsi="Arial" w:cs="Arial"/>
                <w:sz w:val="20"/>
                <w:szCs w:val="20"/>
              </w:rPr>
              <w:t>Creatinine (mg/dL)</w:t>
            </w:r>
          </w:p>
        </w:tc>
        <w:tc>
          <w:tcPr>
            <w:tcW w:w="1560" w:type="dxa"/>
            <w:vAlign w:val="center"/>
          </w:tcPr>
          <w:p w14:paraId="256C6E35"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Baseline</w:t>
            </w:r>
          </w:p>
        </w:tc>
        <w:tc>
          <w:tcPr>
            <w:tcW w:w="1417" w:type="dxa"/>
          </w:tcPr>
          <w:p w14:paraId="4BCCA691"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0.998±0.101</w:t>
            </w:r>
          </w:p>
        </w:tc>
        <w:tc>
          <w:tcPr>
            <w:tcW w:w="1507" w:type="dxa"/>
          </w:tcPr>
          <w:p w14:paraId="051EF52D"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0.948±0.088</w:t>
            </w:r>
          </w:p>
        </w:tc>
        <w:tc>
          <w:tcPr>
            <w:tcW w:w="1507" w:type="dxa"/>
          </w:tcPr>
          <w:p w14:paraId="0FB0736D"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0.899±0.112</w:t>
            </w:r>
          </w:p>
        </w:tc>
        <w:tc>
          <w:tcPr>
            <w:tcW w:w="1664" w:type="dxa"/>
          </w:tcPr>
          <w:p w14:paraId="7F48D949"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1.023±0.097</w:t>
            </w:r>
          </w:p>
        </w:tc>
      </w:tr>
      <w:tr w:rsidR="00413C1E" w:rsidRPr="00930AA5" w14:paraId="3DB7D1A9" w14:textId="77777777" w:rsidTr="00413C1E">
        <w:tc>
          <w:tcPr>
            <w:tcW w:w="2155" w:type="dxa"/>
            <w:vMerge/>
            <w:vAlign w:val="center"/>
          </w:tcPr>
          <w:p w14:paraId="209FD36C" w14:textId="77777777" w:rsidR="00413C1E" w:rsidRPr="00930AA5" w:rsidRDefault="00413C1E" w:rsidP="00CC1BD2">
            <w:pPr>
              <w:rPr>
                <w:rFonts w:ascii="Arial" w:hAnsi="Arial" w:cs="Arial"/>
                <w:b/>
                <w:bCs/>
                <w:sz w:val="20"/>
                <w:szCs w:val="20"/>
              </w:rPr>
            </w:pPr>
          </w:p>
        </w:tc>
        <w:tc>
          <w:tcPr>
            <w:tcW w:w="1560" w:type="dxa"/>
            <w:vAlign w:val="center"/>
          </w:tcPr>
          <w:p w14:paraId="2E7E8CC9"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Post-induction</w:t>
            </w:r>
          </w:p>
        </w:tc>
        <w:tc>
          <w:tcPr>
            <w:tcW w:w="1417" w:type="dxa"/>
          </w:tcPr>
          <w:p w14:paraId="47EBB77D"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0.963±0.100</w:t>
            </w:r>
          </w:p>
        </w:tc>
        <w:tc>
          <w:tcPr>
            <w:tcW w:w="1507" w:type="dxa"/>
          </w:tcPr>
          <w:p w14:paraId="38EB004A"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0.882±0.083</w:t>
            </w:r>
          </w:p>
        </w:tc>
        <w:tc>
          <w:tcPr>
            <w:tcW w:w="1507" w:type="dxa"/>
          </w:tcPr>
          <w:p w14:paraId="2A76F478"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0.807±0.135</w:t>
            </w:r>
          </w:p>
        </w:tc>
        <w:tc>
          <w:tcPr>
            <w:tcW w:w="1664" w:type="dxa"/>
          </w:tcPr>
          <w:p w14:paraId="308D746A"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0.967±0.087</w:t>
            </w:r>
          </w:p>
        </w:tc>
      </w:tr>
      <w:tr w:rsidR="00413C1E" w:rsidRPr="00930AA5" w14:paraId="1DC66686" w14:textId="77777777" w:rsidTr="00413C1E">
        <w:tc>
          <w:tcPr>
            <w:tcW w:w="2155" w:type="dxa"/>
            <w:vMerge/>
            <w:vAlign w:val="center"/>
          </w:tcPr>
          <w:p w14:paraId="4FF3215A" w14:textId="77777777" w:rsidR="00413C1E" w:rsidRPr="00930AA5" w:rsidRDefault="00413C1E" w:rsidP="00CC1BD2">
            <w:pPr>
              <w:rPr>
                <w:rFonts w:ascii="Arial" w:hAnsi="Arial" w:cs="Arial"/>
                <w:b/>
                <w:bCs/>
                <w:sz w:val="20"/>
                <w:szCs w:val="20"/>
              </w:rPr>
            </w:pPr>
          </w:p>
        </w:tc>
        <w:tc>
          <w:tcPr>
            <w:tcW w:w="1560" w:type="dxa"/>
            <w:vAlign w:val="center"/>
          </w:tcPr>
          <w:p w14:paraId="3D53552F"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Recovery</w:t>
            </w:r>
          </w:p>
        </w:tc>
        <w:tc>
          <w:tcPr>
            <w:tcW w:w="1417" w:type="dxa"/>
          </w:tcPr>
          <w:p w14:paraId="40F7BD99"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1.023±0.109</w:t>
            </w:r>
          </w:p>
        </w:tc>
        <w:tc>
          <w:tcPr>
            <w:tcW w:w="1507" w:type="dxa"/>
          </w:tcPr>
          <w:p w14:paraId="7B316208"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0.963±0.121</w:t>
            </w:r>
          </w:p>
        </w:tc>
        <w:tc>
          <w:tcPr>
            <w:tcW w:w="1507" w:type="dxa"/>
          </w:tcPr>
          <w:p w14:paraId="308AC9BD"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0.747±0.154</w:t>
            </w:r>
          </w:p>
        </w:tc>
        <w:tc>
          <w:tcPr>
            <w:tcW w:w="1664" w:type="dxa"/>
          </w:tcPr>
          <w:p w14:paraId="576A22D0"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1.003±0.085</w:t>
            </w:r>
          </w:p>
        </w:tc>
      </w:tr>
      <w:tr w:rsidR="00413C1E" w:rsidRPr="00930AA5" w14:paraId="0FFAD580" w14:textId="77777777" w:rsidTr="00413C1E">
        <w:tc>
          <w:tcPr>
            <w:tcW w:w="2155" w:type="dxa"/>
            <w:vMerge w:val="restart"/>
            <w:vAlign w:val="center"/>
          </w:tcPr>
          <w:p w14:paraId="5F57D7CD" w14:textId="77777777" w:rsidR="00413C1E" w:rsidRPr="00930AA5" w:rsidRDefault="00413C1E" w:rsidP="00CC1BD2">
            <w:pPr>
              <w:rPr>
                <w:rFonts w:ascii="Arial" w:hAnsi="Arial" w:cs="Arial"/>
                <w:b/>
                <w:bCs/>
                <w:sz w:val="20"/>
                <w:szCs w:val="20"/>
              </w:rPr>
            </w:pPr>
            <w:r w:rsidRPr="00930AA5">
              <w:rPr>
                <w:rFonts w:ascii="Arial" w:hAnsi="Arial" w:cs="Arial"/>
                <w:sz w:val="20"/>
                <w:szCs w:val="20"/>
              </w:rPr>
              <w:t>Glucose (mg/dL)</w:t>
            </w:r>
          </w:p>
        </w:tc>
        <w:tc>
          <w:tcPr>
            <w:tcW w:w="1560" w:type="dxa"/>
            <w:vAlign w:val="center"/>
          </w:tcPr>
          <w:p w14:paraId="47FECB5C"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Baseline</w:t>
            </w:r>
          </w:p>
        </w:tc>
        <w:tc>
          <w:tcPr>
            <w:tcW w:w="1417" w:type="dxa"/>
          </w:tcPr>
          <w:p w14:paraId="14CC53E1"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73.28</w:t>
            </w:r>
            <w:r w:rsidRPr="00930AA5">
              <w:rPr>
                <w:rFonts w:ascii="Arial" w:hAnsi="Arial" w:cs="Arial"/>
                <w:spacing w:val="-4"/>
                <w:sz w:val="20"/>
                <w:szCs w:val="20"/>
              </w:rPr>
              <w:t>±</w:t>
            </w:r>
            <w:r w:rsidRPr="00930AA5">
              <w:rPr>
                <w:rFonts w:ascii="Arial" w:hAnsi="Arial" w:cs="Arial"/>
                <w:sz w:val="20"/>
                <w:szCs w:val="20"/>
              </w:rPr>
              <w:t>10.02</w:t>
            </w:r>
            <w:r w:rsidRPr="00930AA5">
              <w:rPr>
                <w:rFonts w:ascii="Arial" w:hAnsi="Arial" w:cs="Arial"/>
                <w:sz w:val="20"/>
                <w:szCs w:val="20"/>
                <w:vertAlign w:val="superscript"/>
              </w:rPr>
              <w:t>b</w:t>
            </w:r>
          </w:p>
        </w:tc>
        <w:tc>
          <w:tcPr>
            <w:tcW w:w="1507" w:type="dxa"/>
          </w:tcPr>
          <w:p w14:paraId="7DBA8ED7"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71.06</w:t>
            </w:r>
            <w:r w:rsidRPr="00930AA5">
              <w:rPr>
                <w:rFonts w:ascii="Arial" w:hAnsi="Arial" w:cs="Arial"/>
                <w:spacing w:val="-4"/>
                <w:sz w:val="20"/>
                <w:szCs w:val="20"/>
              </w:rPr>
              <w:t>±</w:t>
            </w:r>
            <w:r w:rsidRPr="00930AA5">
              <w:rPr>
                <w:rFonts w:ascii="Arial" w:hAnsi="Arial" w:cs="Arial"/>
                <w:sz w:val="20"/>
                <w:szCs w:val="20"/>
              </w:rPr>
              <w:t>12.76</w:t>
            </w:r>
            <w:r w:rsidRPr="00930AA5">
              <w:rPr>
                <w:rFonts w:ascii="Arial" w:hAnsi="Arial" w:cs="Arial"/>
                <w:sz w:val="20"/>
                <w:szCs w:val="20"/>
                <w:vertAlign w:val="superscript"/>
              </w:rPr>
              <w:t>b</w:t>
            </w:r>
          </w:p>
        </w:tc>
        <w:tc>
          <w:tcPr>
            <w:tcW w:w="1507" w:type="dxa"/>
          </w:tcPr>
          <w:p w14:paraId="7906BF78"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56.00</w:t>
            </w:r>
            <w:r w:rsidRPr="00930AA5">
              <w:rPr>
                <w:rFonts w:ascii="Arial" w:hAnsi="Arial" w:cs="Arial"/>
                <w:spacing w:val="-4"/>
                <w:sz w:val="20"/>
                <w:szCs w:val="20"/>
              </w:rPr>
              <w:t>±</w:t>
            </w:r>
            <w:r w:rsidRPr="00930AA5">
              <w:rPr>
                <w:rFonts w:ascii="Arial" w:hAnsi="Arial" w:cs="Arial"/>
                <w:sz w:val="20"/>
                <w:szCs w:val="20"/>
              </w:rPr>
              <w:t>8.20</w:t>
            </w:r>
            <w:r w:rsidRPr="00930AA5">
              <w:rPr>
                <w:rFonts w:ascii="Arial" w:hAnsi="Arial" w:cs="Arial"/>
                <w:sz w:val="20"/>
                <w:szCs w:val="20"/>
                <w:vertAlign w:val="superscript"/>
              </w:rPr>
              <w:t>b</w:t>
            </w:r>
          </w:p>
        </w:tc>
        <w:tc>
          <w:tcPr>
            <w:tcW w:w="1664" w:type="dxa"/>
          </w:tcPr>
          <w:p w14:paraId="12EC580E"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78.67</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21.11</w:t>
            </w:r>
            <w:r w:rsidRPr="00930AA5">
              <w:rPr>
                <w:rFonts w:ascii="Arial" w:hAnsi="Arial" w:cs="Arial"/>
                <w:sz w:val="20"/>
                <w:szCs w:val="20"/>
                <w:vertAlign w:val="superscript"/>
              </w:rPr>
              <w:t>b</w:t>
            </w:r>
          </w:p>
        </w:tc>
      </w:tr>
      <w:tr w:rsidR="00413C1E" w:rsidRPr="00930AA5" w14:paraId="280165D7" w14:textId="77777777" w:rsidTr="00413C1E">
        <w:tc>
          <w:tcPr>
            <w:tcW w:w="2155" w:type="dxa"/>
            <w:vMerge/>
            <w:vAlign w:val="center"/>
          </w:tcPr>
          <w:p w14:paraId="24DD3CC2" w14:textId="77777777" w:rsidR="00413C1E" w:rsidRPr="00930AA5" w:rsidRDefault="00413C1E" w:rsidP="00CC1BD2">
            <w:pPr>
              <w:rPr>
                <w:rFonts w:ascii="Arial" w:hAnsi="Arial" w:cs="Arial"/>
                <w:b/>
                <w:bCs/>
                <w:sz w:val="20"/>
                <w:szCs w:val="20"/>
              </w:rPr>
            </w:pPr>
          </w:p>
        </w:tc>
        <w:tc>
          <w:tcPr>
            <w:tcW w:w="1560" w:type="dxa"/>
            <w:vAlign w:val="center"/>
          </w:tcPr>
          <w:p w14:paraId="5670AD3A"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Post-induction</w:t>
            </w:r>
          </w:p>
        </w:tc>
        <w:tc>
          <w:tcPr>
            <w:tcW w:w="1417" w:type="dxa"/>
          </w:tcPr>
          <w:p w14:paraId="3BB2603D"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120.96</w:t>
            </w:r>
            <w:r w:rsidRPr="00930AA5">
              <w:rPr>
                <w:rFonts w:ascii="Arial" w:hAnsi="Arial" w:cs="Arial"/>
                <w:spacing w:val="-4"/>
                <w:sz w:val="20"/>
                <w:szCs w:val="20"/>
              </w:rPr>
              <w:t>±</w:t>
            </w:r>
            <w:r w:rsidRPr="00930AA5">
              <w:rPr>
                <w:rFonts w:ascii="Arial" w:hAnsi="Arial" w:cs="Arial"/>
                <w:sz w:val="20"/>
                <w:szCs w:val="20"/>
              </w:rPr>
              <w:t>7.56</w:t>
            </w:r>
            <w:r w:rsidRPr="00930AA5">
              <w:rPr>
                <w:rFonts w:ascii="Arial" w:hAnsi="Arial" w:cs="Arial"/>
                <w:sz w:val="20"/>
                <w:szCs w:val="20"/>
                <w:vertAlign w:val="superscript"/>
              </w:rPr>
              <w:t>a</w:t>
            </w:r>
          </w:p>
        </w:tc>
        <w:tc>
          <w:tcPr>
            <w:tcW w:w="1507" w:type="dxa"/>
          </w:tcPr>
          <w:p w14:paraId="4522D9A7" w14:textId="77777777" w:rsidR="00413C1E" w:rsidRPr="00930AA5" w:rsidRDefault="00413C1E" w:rsidP="00CC1BD2">
            <w:pPr>
              <w:jc w:val="both"/>
              <w:rPr>
                <w:rFonts w:ascii="Arial" w:hAnsi="Arial" w:cs="Arial"/>
                <w:sz w:val="20"/>
                <w:szCs w:val="20"/>
                <w:vertAlign w:val="superscript"/>
              </w:rPr>
            </w:pPr>
            <w:r w:rsidRPr="00930AA5">
              <w:rPr>
                <w:rFonts w:ascii="Arial" w:hAnsi="Arial" w:cs="Arial"/>
                <w:sz w:val="20"/>
                <w:szCs w:val="20"/>
              </w:rPr>
              <w:t>130.5</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14.17</w:t>
            </w:r>
            <w:r w:rsidRPr="00930AA5">
              <w:rPr>
                <w:rFonts w:ascii="Arial" w:hAnsi="Arial" w:cs="Arial"/>
                <w:sz w:val="20"/>
                <w:szCs w:val="20"/>
                <w:vertAlign w:val="superscript"/>
              </w:rPr>
              <w:t>a</w:t>
            </w:r>
          </w:p>
        </w:tc>
        <w:tc>
          <w:tcPr>
            <w:tcW w:w="1507" w:type="dxa"/>
          </w:tcPr>
          <w:p w14:paraId="6504BF2C"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131.33</w:t>
            </w:r>
            <w:r w:rsidRPr="00930AA5">
              <w:rPr>
                <w:rFonts w:ascii="Arial" w:hAnsi="Arial" w:cs="Arial"/>
                <w:spacing w:val="-4"/>
                <w:sz w:val="20"/>
                <w:szCs w:val="20"/>
              </w:rPr>
              <w:t>±</w:t>
            </w:r>
            <w:r w:rsidRPr="00930AA5">
              <w:rPr>
                <w:rFonts w:ascii="Arial" w:hAnsi="Arial" w:cs="Arial"/>
                <w:sz w:val="20"/>
                <w:szCs w:val="20"/>
              </w:rPr>
              <w:t>14.9</w:t>
            </w:r>
            <w:r w:rsidRPr="00930AA5">
              <w:rPr>
                <w:rFonts w:ascii="Arial" w:hAnsi="Arial" w:cs="Arial"/>
                <w:sz w:val="20"/>
                <w:szCs w:val="20"/>
                <w:vertAlign w:val="superscript"/>
              </w:rPr>
              <w:t>a</w:t>
            </w:r>
          </w:p>
        </w:tc>
        <w:tc>
          <w:tcPr>
            <w:tcW w:w="1664" w:type="dxa"/>
          </w:tcPr>
          <w:p w14:paraId="0226DD38"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120.37±10.10</w:t>
            </w:r>
            <w:r w:rsidRPr="00930AA5">
              <w:rPr>
                <w:rFonts w:ascii="Arial" w:hAnsi="Arial" w:cs="Arial"/>
                <w:sz w:val="20"/>
                <w:szCs w:val="20"/>
                <w:vertAlign w:val="superscript"/>
              </w:rPr>
              <w:t>ab</w:t>
            </w:r>
          </w:p>
        </w:tc>
      </w:tr>
      <w:tr w:rsidR="00413C1E" w:rsidRPr="00930AA5" w14:paraId="18430B3E" w14:textId="77777777" w:rsidTr="00413C1E">
        <w:tc>
          <w:tcPr>
            <w:tcW w:w="2155" w:type="dxa"/>
            <w:vMerge/>
            <w:vAlign w:val="center"/>
          </w:tcPr>
          <w:p w14:paraId="58ACC14C" w14:textId="77777777" w:rsidR="00413C1E" w:rsidRPr="00930AA5" w:rsidRDefault="00413C1E" w:rsidP="00CC1BD2">
            <w:pPr>
              <w:rPr>
                <w:rFonts w:ascii="Arial" w:hAnsi="Arial" w:cs="Arial"/>
                <w:b/>
                <w:bCs/>
                <w:sz w:val="20"/>
                <w:szCs w:val="20"/>
              </w:rPr>
            </w:pPr>
          </w:p>
        </w:tc>
        <w:tc>
          <w:tcPr>
            <w:tcW w:w="1560" w:type="dxa"/>
            <w:vAlign w:val="center"/>
          </w:tcPr>
          <w:p w14:paraId="7680696E"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Recovery</w:t>
            </w:r>
          </w:p>
        </w:tc>
        <w:tc>
          <w:tcPr>
            <w:tcW w:w="1417" w:type="dxa"/>
          </w:tcPr>
          <w:p w14:paraId="3759A596"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115.77</w:t>
            </w:r>
            <w:r w:rsidRPr="00930AA5">
              <w:rPr>
                <w:rFonts w:ascii="Arial" w:hAnsi="Arial" w:cs="Arial"/>
                <w:spacing w:val="-4"/>
                <w:sz w:val="20"/>
                <w:szCs w:val="20"/>
              </w:rPr>
              <w:t>±</w:t>
            </w:r>
            <w:r w:rsidRPr="00930AA5">
              <w:rPr>
                <w:rFonts w:ascii="Arial" w:hAnsi="Arial" w:cs="Arial"/>
                <w:sz w:val="20"/>
                <w:szCs w:val="20"/>
              </w:rPr>
              <w:t>5.77</w:t>
            </w:r>
            <w:r w:rsidRPr="00930AA5">
              <w:rPr>
                <w:rFonts w:ascii="Arial" w:hAnsi="Arial" w:cs="Arial"/>
                <w:sz w:val="20"/>
                <w:szCs w:val="20"/>
                <w:vertAlign w:val="superscript"/>
              </w:rPr>
              <w:t>a</w:t>
            </w:r>
          </w:p>
        </w:tc>
        <w:tc>
          <w:tcPr>
            <w:tcW w:w="1507" w:type="dxa"/>
          </w:tcPr>
          <w:p w14:paraId="05323274"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133.79</w:t>
            </w:r>
            <w:r w:rsidRPr="00930AA5">
              <w:rPr>
                <w:rFonts w:ascii="Arial" w:hAnsi="Arial" w:cs="Arial"/>
                <w:spacing w:val="-4"/>
                <w:sz w:val="20"/>
                <w:szCs w:val="20"/>
              </w:rPr>
              <w:t>±</w:t>
            </w:r>
            <w:r w:rsidRPr="00930AA5">
              <w:rPr>
                <w:rFonts w:ascii="Arial" w:hAnsi="Arial" w:cs="Arial"/>
                <w:sz w:val="20"/>
                <w:szCs w:val="20"/>
              </w:rPr>
              <w:t>12.97</w:t>
            </w:r>
            <w:r w:rsidRPr="00930AA5">
              <w:rPr>
                <w:rFonts w:ascii="Arial" w:hAnsi="Arial" w:cs="Arial"/>
                <w:sz w:val="20"/>
                <w:szCs w:val="20"/>
                <w:vertAlign w:val="superscript"/>
              </w:rPr>
              <w:t>a</w:t>
            </w:r>
          </w:p>
        </w:tc>
        <w:tc>
          <w:tcPr>
            <w:tcW w:w="1507" w:type="dxa"/>
          </w:tcPr>
          <w:p w14:paraId="71C64023"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131.17</w:t>
            </w:r>
            <w:r w:rsidRPr="00930AA5">
              <w:rPr>
                <w:rFonts w:ascii="Arial" w:hAnsi="Arial" w:cs="Arial"/>
                <w:spacing w:val="-4"/>
                <w:sz w:val="20"/>
                <w:szCs w:val="20"/>
              </w:rPr>
              <w:t>±</w:t>
            </w:r>
            <w:r w:rsidRPr="00930AA5">
              <w:rPr>
                <w:rFonts w:ascii="Arial" w:hAnsi="Arial" w:cs="Arial"/>
                <w:sz w:val="20"/>
                <w:szCs w:val="20"/>
              </w:rPr>
              <w:t>15.12</w:t>
            </w:r>
            <w:r w:rsidRPr="00930AA5">
              <w:rPr>
                <w:rFonts w:ascii="Arial" w:hAnsi="Arial" w:cs="Arial"/>
                <w:sz w:val="20"/>
                <w:szCs w:val="20"/>
                <w:vertAlign w:val="superscript"/>
              </w:rPr>
              <w:t>a</w:t>
            </w:r>
          </w:p>
        </w:tc>
        <w:tc>
          <w:tcPr>
            <w:tcW w:w="1664" w:type="dxa"/>
          </w:tcPr>
          <w:p w14:paraId="5D97812A"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125.44</w:t>
            </w:r>
            <w:r w:rsidRPr="00930AA5">
              <w:rPr>
                <w:rFonts w:ascii="Arial" w:hAnsi="Arial" w:cs="Arial"/>
                <w:spacing w:val="-4"/>
                <w:sz w:val="20"/>
                <w:szCs w:val="20"/>
              </w:rPr>
              <w:t>±</w:t>
            </w:r>
            <w:r w:rsidRPr="00930AA5">
              <w:rPr>
                <w:rFonts w:ascii="Arial" w:hAnsi="Arial" w:cs="Arial"/>
                <w:sz w:val="20"/>
                <w:szCs w:val="20"/>
              </w:rPr>
              <w:t>6.86</w:t>
            </w:r>
            <w:r w:rsidRPr="00930AA5">
              <w:rPr>
                <w:rFonts w:ascii="Arial" w:hAnsi="Arial" w:cs="Arial"/>
                <w:sz w:val="20"/>
                <w:szCs w:val="20"/>
                <w:vertAlign w:val="superscript"/>
              </w:rPr>
              <w:t>a</w:t>
            </w:r>
          </w:p>
        </w:tc>
      </w:tr>
      <w:tr w:rsidR="00413C1E" w:rsidRPr="00930AA5" w14:paraId="5EA6197B" w14:textId="77777777" w:rsidTr="00413C1E">
        <w:tc>
          <w:tcPr>
            <w:tcW w:w="2155" w:type="dxa"/>
            <w:vMerge w:val="restart"/>
            <w:vAlign w:val="center"/>
          </w:tcPr>
          <w:p w14:paraId="5F12FAF9" w14:textId="77777777" w:rsidR="00413C1E" w:rsidRPr="00930AA5" w:rsidRDefault="00413C1E" w:rsidP="00CC1BD2">
            <w:pPr>
              <w:rPr>
                <w:rFonts w:ascii="Arial" w:hAnsi="Arial" w:cs="Arial"/>
                <w:b/>
                <w:bCs/>
                <w:sz w:val="20"/>
                <w:szCs w:val="20"/>
              </w:rPr>
            </w:pPr>
            <w:r w:rsidRPr="00930AA5">
              <w:rPr>
                <w:rFonts w:ascii="Arial" w:hAnsi="Arial" w:cs="Arial"/>
                <w:sz w:val="20"/>
                <w:szCs w:val="20"/>
              </w:rPr>
              <w:t>Total protein (g/dL)</w:t>
            </w:r>
          </w:p>
        </w:tc>
        <w:tc>
          <w:tcPr>
            <w:tcW w:w="1560" w:type="dxa"/>
            <w:vAlign w:val="center"/>
          </w:tcPr>
          <w:p w14:paraId="76331E29"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Baseline</w:t>
            </w:r>
          </w:p>
        </w:tc>
        <w:tc>
          <w:tcPr>
            <w:tcW w:w="1417" w:type="dxa"/>
            <w:vAlign w:val="center"/>
          </w:tcPr>
          <w:p w14:paraId="221906D4"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7.25</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0.49</w:t>
            </w:r>
          </w:p>
        </w:tc>
        <w:tc>
          <w:tcPr>
            <w:tcW w:w="1507" w:type="dxa"/>
            <w:vAlign w:val="center"/>
          </w:tcPr>
          <w:p w14:paraId="3527B747"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7.74</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0.15</w:t>
            </w:r>
          </w:p>
        </w:tc>
        <w:tc>
          <w:tcPr>
            <w:tcW w:w="1507" w:type="dxa"/>
            <w:vAlign w:val="center"/>
          </w:tcPr>
          <w:p w14:paraId="4FAEE47A"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7.32</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0.38</w:t>
            </w:r>
          </w:p>
        </w:tc>
        <w:tc>
          <w:tcPr>
            <w:tcW w:w="1664" w:type="dxa"/>
            <w:vAlign w:val="center"/>
          </w:tcPr>
          <w:p w14:paraId="037FF351"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6.77 ± 0.26</w:t>
            </w:r>
          </w:p>
        </w:tc>
      </w:tr>
      <w:tr w:rsidR="00413C1E" w:rsidRPr="00930AA5" w14:paraId="06AE0FE5" w14:textId="77777777" w:rsidTr="00413C1E">
        <w:tc>
          <w:tcPr>
            <w:tcW w:w="2155" w:type="dxa"/>
            <w:vMerge/>
            <w:vAlign w:val="center"/>
          </w:tcPr>
          <w:p w14:paraId="252C6039" w14:textId="77777777" w:rsidR="00413C1E" w:rsidRPr="00930AA5" w:rsidRDefault="00413C1E" w:rsidP="00CC1BD2">
            <w:pPr>
              <w:jc w:val="both"/>
              <w:rPr>
                <w:rFonts w:ascii="Arial" w:hAnsi="Arial" w:cs="Arial"/>
                <w:b/>
                <w:bCs/>
                <w:sz w:val="20"/>
                <w:szCs w:val="20"/>
              </w:rPr>
            </w:pPr>
          </w:p>
        </w:tc>
        <w:tc>
          <w:tcPr>
            <w:tcW w:w="1560" w:type="dxa"/>
            <w:vAlign w:val="center"/>
          </w:tcPr>
          <w:p w14:paraId="32742AB2"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Post-induction</w:t>
            </w:r>
          </w:p>
        </w:tc>
        <w:tc>
          <w:tcPr>
            <w:tcW w:w="1417" w:type="dxa"/>
            <w:vAlign w:val="center"/>
          </w:tcPr>
          <w:p w14:paraId="2D96CD26"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6.73</w:t>
            </w:r>
            <w:r w:rsidRPr="00930AA5">
              <w:rPr>
                <w:rFonts w:ascii="Arial" w:hAnsi="Arial" w:cs="Arial"/>
                <w:spacing w:val="-4"/>
                <w:sz w:val="20"/>
                <w:szCs w:val="20"/>
              </w:rPr>
              <w:t>±</w:t>
            </w:r>
            <w:r w:rsidRPr="00930AA5">
              <w:rPr>
                <w:rFonts w:ascii="Arial" w:hAnsi="Arial" w:cs="Arial"/>
                <w:sz w:val="20"/>
                <w:szCs w:val="20"/>
              </w:rPr>
              <w:t>0.50</w:t>
            </w:r>
            <w:r w:rsidRPr="00930AA5">
              <w:rPr>
                <w:rFonts w:ascii="Arial" w:hAnsi="Arial" w:cs="Arial"/>
                <w:sz w:val="20"/>
                <w:szCs w:val="20"/>
                <w:vertAlign w:val="superscript"/>
              </w:rPr>
              <w:t>AB</w:t>
            </w:r>
          </w:p>
        </w:tc>
        <w:tc>
          <w:tcPr>
            <w:tcW w:w="1507" w:type="dxa"/>
            <w:vAlign w:val="center"/>
          </w:tcPr>
          <w:p w14:paraId="0D490685"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7.51</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0.24</w:t>
            </w:r>
            <w:r w:rsidRPr="00930AA5">
              <w:rPr>
                <w:rFonts w:ascii="Arial" w:hAnsi="Arial" w:cs="Arial"/>
                <w:sz w:val="20"/>
                <w:szCs w:val="20"/>
                <w:vertAlign w:val="superscript"/>
              </w:rPr>
              <w:t>A</w:t>
            </w:r>
          </w:p>
        </w:tc>
        <w:tc>
          <w:tcPr>
            <w:tcW w:w="1507" w:type="dxa"/>
            <w:vAlign w:val="center"/>
          </w:tcPr>
          <w:p w14:paraId="458BDC61"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7.26</w:t>
            </w:r>
            <w:r w:rsidRPr="00930AA5">
              <w:rPr>
                <w:rFonts w:ascii="Arial" w:hAnsi="Arial" w:cs="Arial"/>
                <w:spacing w:val="-4"/>
                <w:sz w:val="20"/>
                <w:szCs w:val="20"/>
              </w:rPr>
              <w:t>±</w:t>
            </w:r>
            <w:r w:rsidRPr="00930AA5">
              <w:rPr>
                <w:rFonts w:ascii="Arial" w:hAnsi="Arial" w:cs="Arial"/>
                <w:spacing w:val="-57"/>
                <w:sz w:val="20"/>
                <w:szCs w:val="20"/>
              </w:rPr>
              <w:t xml:space="preserve"> </w:t>
            </w:r>
            <w:r w:rsidRPr="00930AA5">
              <w:rPr>
                <w:rFonts w:ascii="Arial" w:hAnsi="Arial" w:cs="Arial"/>
                <w:sz w:val="20"/>
                <w:szCs w:val="20"/>
              </w:rPr>
              <w:t>0.36</w:t>
            </w:r>
            <w:r w:rsidRPr="00930AA5">
              <w:rPr>
                <w:rFonts w:ascii="Arial" w:hAnsi="Arial" w:cs="Arial"/>
                <w:sz w:val="20"/>
                <w:szCs w:val="20"/>
                <w:vertAlign w:val="superscript"/>
              </w:rPr>
              <w:t>A</w:t>
            </w:r>
          </w:p>
        </w:tc>
        <w:tc>
          <w:tcPr>
            <w:tcW w:w="1664" w:type="dxa"/>
            <w:vAlign w:val="center"/>
          </w:tcPr>
          <w:p w14:paraId="21925AB2" w14:textId="77777777" w:rsidR="00413C1E" w:rsidRPr="00930AA5" w:rsidRDefault="00413C1E" w:rsidP="00CC1BD2">
            <w:pPr>
              <w:pStyle w:val="TableParagraph"/>
              <w:widowControl/>
              <w:tabs>
                <w:tab w:val="left" w:pos="360"/>
                <w:tab w:val="left" w:pos="540"/>
                <w:tab w:val="left" w:pos="720"/>
                <w:tab w:val="left" w:pos="900"/>
                <w:tab w:val="left" w:pos="1138"/>
              </w:tabs>
              <w:ind w:left="0"/>
              <w:rPr>
                <w:rFonts w:ascii="Arial" w:hAnsi="Arial" w:cs="Arial"/>
                <w:sz w:val="20"/>
                <w:szCs w:val="20"/>
              </w:rPr>
            </w:pPr>
            <w:r w:rsidRPr="00930AA5">
              <w:rPr>
                <w:rFonts w:ascii="Arial" w:hAnsi="Arial" w:cs="Arial"/>
                <w:sz w:val="20"/>
                <w:szCs w:val="20"/>
              </w:rPr>
              <w:t>6.02</w:t>
            </w:r>
            <w:r w:rsidRPr="00930AA5">
              <w:rPr>
                <w:rFonts w:ascii="Arial" w:hAnsi="Arial" w:cs="Arial"/>
                <w:sz w:val="20"/>
                <w:szCs w:val="20"/>
              </w:rPr>
              <w:tab/>
              <w:t>±0.27</w:t>
            </w:r>
            <w:r w:rsidRPr="00930AA5">
              <w:rPr>
                <w:rFonts w:ascii="Arial" w:hAnsi="Arial" w:cs="Arial"/>
                <w:sz w:val="20"/>
                <w:szCs w:val="20"/>
                <w:vertAlign w:val="superscript"/>
              </w:rPr>
              <w:t>B</w:t>
            </w:r>
          </w:p>
        </w:tc>
      </w:tr>
      <w:tr w:rsidR="00413C1E" w:rsidRPr="00930AA5" w14:paraId="27FA82AB" w14:textId="77777777" w:rsidTr="00413C1E">
        <w:tc>
          <w:tcPr>
            <w:tcW w:w="2155" w:type="dxa"/>
            <w:vMerge/>
            <w:vAlign w:val="center"/>
          </w:tcPr>
          <w:p w14:paraId="5EA484A1" w14:textId="77777777" w:rsidR="00413C1E" w:rsidRPr="00930AA5" w:rsidRDefault="00413C1E" w:rsidP="00CC1BD2">
            <w:pPr>
              <w:jc w:val="both"/>
              <w:rPr>
                <w:rFonts w:ascii="Arial" w:hAnsi="Arial" w:cs="Arial"/>
                <w:b/>
                <w:bCs/>
                <w:sz w:val="20"/>
                <w:szCs w:val="20"/>
              </w:rPr>
            </w:pPr>
          </w:p>
        </w:tc>
        <w:tc>
          <w:tcPr>
            <w:tcW w:w="1560" w:type="dxa"/>
            <w:vAlign w:val="center"/>
          </w:tcPr>
          <w:p w14:paraId="6880F66B" w14:textId="77777777" w:rsidR="00413C1E" w:rsidRPr="00930AA5" w:rsidRDefault="00413C1E" w:rsidP="00CC1BD2">
            <w:pPr>
              <w:jc w:val="both"/>
              <w:rPr>
                <w:rFonts w:ascii="Arial" w:hAnsi="Arial" w:cs="Arial"/>
                <w:sz w:val="20"/>
                <w:szCs w:val="20"/>
              </w:rPr>
            </w:pPr>
            <w:r w:rsidRPr="00930AA5">
              <w:rPr>
                <w:rFonts w:ascii="Arial" w:hAnsi="Arial" w:cs="Arial"/>
                <w:sz w:val="20"/>
                <w:szCs w:val="20"/>
              </w:rPr>
              <w:t>Recovery</w:t>
            </w:r>
          </w:p>
        </w:tc>
        <w:tc>
          <w:tcPr>
            <w:tcW w:w="1417" w:type="dxa"/>
            <w:vAlign w:val="center"/>
          </w:tcPr>
          <w:p w14:paraId="367A5039"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7.05</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0.35</w:t>
            </w:r>
          </w:p>
        </w:tc>
        <w:tc>
          <w:tcPr>
            <w:tcW w:w="1507" w:type="dxa"/>
            <w:vAlign w:val="center"/>
          </w:tcPr>
          <w:p w14:paraId="0D645D06"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7.88</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0.22</w:t>
            </w:r>
          </w:p>
        </w:tc>
        <w:tc>
          <w:tcPr>
            <w:tcW w:w="1507" w:type="dxa"/>
            <w:vAlign w:val="center"/>
          </w:tcPr>
          <w:p w14:paraId="5E515923"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7.19</w:t>
            </w:r>
            <w:r w:rsidRPr="00930AA5">
              <w:rPr>
                <w:rFonts w:ascii="Arial" w:hAnsi="Arial" w:cs="Arial"/>
                <w:spacing w:val="-3"/>
                <w:sz w:val="20"/>
                <w:szCs w:val="20"/>
              </w:rPr>
              <w:t xml:space="preserve"> </w:t>
            </w:r>
            <w:r w:rsidRPr="00930AA5">
              <w:rPr>
                <w:rFonts w:ascii="Arial" w:hAnsi="Arial" w:cs="Arial"/>
                <w:sz w:val="20"/>
                <w:szCs w:val="20"/>
              </w:rPr>
              <w:t>±</w:t>
            </w:r>
            <w:r w:rsidRPr="00930AA5">
              <w:rPr>
                <w:rFonts w:ascii="Arial" w:hAnsi="Arial" w:cs="Arial"/>
                <w:spacing w:val="-3"/>
                <w:sz w:val="20"/>
                <w:szCs w:val="20"/>
              </w:rPr>
              <w:t xml:space="preserve"> </w:t>
            </w:r>
            <w:r w:rsidRPr="00930AA5">
              <w:rPr>
                <w:rFonts w:ascii="Arial" w:hAnsi="Arial" w:cs="Arial"/>
                <w:sz w:val="20"/>
                <w:szCs w:val="20"/>
              </w:rPr>
              <w:t>0.20</w:t>
            </w:r>
          </w:p>
        </w:tc>
        <w:tc>
          <w:tcPr>
            <w:tcW w:w="1664" w:type="dxa"/>
            <w:vAlign w:val="center"/>
          </w:tcPr>
          <w:p w14:paraId="71D58920" w14:textId="77777777" w:rsidR="00413C1E" w:rsidRPr="00930AA5" w:rsidRDefault="00413C1E" w:rsidP="00CC1BD2">
            <w:pPr>
              <w:jc w:val="both"/>
              <w:rPr>
                <w:rFonts w:ascii="Arial" w:hAnsi="Arial" w:cs="Arial"/>
                <w:b/>
                <w:bCs/>
                <w:sz w:val="20"/>
                <w:szCs w:val="20"/>
              </w:rPr>
            </w:pPr>
            <w:r w:rsidRPr="00930AA5">
              <w:rPr>
                <w:rFonts w:ascii="Arial" w:hAnsi="Arial" w:cs="Arial"/>
                <w:sz w:val="20"/>
                <w:szCs w:val="20"/>
              </w:rPr>
              <w:t>6.68 ± 0.65</w:t>
            </w:r>
          </w:p>
        </w:tc>
      </w:tr>
    </w:tbl>
    <w:p w14:paraId="5DE90FB8" w14:textId="77777777" w:rsidR="00B72F71" w:rsidRPr="00930AA5" w:rsidRDefault="00B72F71" w:rsidP="006647CC">
      <w:pPr>
        <w:ind w:firstLine="567"/>
        <w:jc w:val="both"/>
        <w:rPr>
          <w:rFonts w:ascii="Arial" w:hAnsi="Arial" w:cs="Arial"/>
        </w:rPr>
      </w:pPr>
    </w:p>
    <w:p w14:paraId="499DAFCD" w14:textId="34A5F65D" w:rsidR="008A2C19" w:rsidRPr="00930AA5" w:rsidRDefault="008A2C19" w:rsidP="006647CC">
      <w:pPr>
        <w:ind w:firstLine="567"/>
        <w:jc w:val="both"/>
        <w:rPr>
          <w:rFonts w:ascii="Arial" w:hAnsi="Arial" w:cs="Arial"/>
        </w:rPr>
      </w:pPr>
      <w:r w:rsidRPr="00930AA5">
        <w:rPr>
          <w:rFonts w:ascii="Arial" w:hAnsi="Arial" w:cs="Arial"/>
        </w:rPr>
        <w:lastRenderedPageBreak/>
        <w:t xml:space="preserve">The findings of the present study indicate that both xylazine-butorphanol and dexmedetomidine–butorphanol premedication, combined with tiletamine–zolazepam induction, provide effective and clinically safe </w:t>
      </w:r>
      <w:proofErr w:type="spellStart"/>
      <w:r w:rsidRPr="00930AA5">
        <w:rPr>
          <w:rFonts w:ascii="Arial" w:hAnsi="Arial" w:cs="Arial"/>
        </w:rPr>
        <w:t>anaesthesia</w:t>
      </w:r>
      <w:proofErr w:type="spellEnd"/>
      <w:r w:rsidRPr="00930AA5">
        <w:rPr>
          <w:rFonts w:ascii="Arial" w:hAnsi="Arial" w:cs="Arial"/>
        </w:rPr>
        <w:t xml:space="preserve"> in goats under both TIVA and PIVA techniques. The observed physiological and </w:t>
      </w:r>
      <w:proofErr w:type="spellStart"/>
      <w:r w:rsidRPr="00930AA5">
        <w:rPr>
          <w:rFonts w:ascii="Arial" w:hAnsi="Arial" w:cs="Arial"/>
        </w:rPr>
        <w:t>haematological</w:t>
      </w:r>
      <w:proofErr w:type="spellEnd"/>
      <w:r w:rsidRPr="00930AA5">
        <w:rPr>
          <w:rFonts w:ascii="Arial" w:hAnsi="Arial" w:cs="Arial"/>
        </w:rPr>
        <w:t xml:space="preserve"> changes were transient, reversible and within acceptable limits, confirming the suitability of these protocols for routine surgical procedures in goats.</w:t>
      </w:r>
    </w:p>
    <w:p w14:paraId="06DE36B7" w14:textId="77777777" w:rsidR="00B72F71" w:rsidRPr="00930AA5" w:rsidRDefault="00B72F71" w:rsidP="006647CC">
      <w:pPr>
        <w:ind w:firstLine="567"/>
        <w:jc w:val="both"/>
        <w:rPr>
          <w:rFonts w:ascii="Arial" w:hAnsi="Arial" w:cs="Arial"/>
        </w:rPr>
      </w:pPr>
    </w:p>
    <w:p w14:paraId="54C562EA" w14:textId="77777777" w:rsidR="00B72F71" w:rsidRPr="00930AA5" w:rsidRDefault="00B72F71" w:rsidP="00B72F71">
      <w:pPr>
        <w:jc w:val="both"/>
        <w:rPr>
          <w:rFonts w:ascii="Arial" w:hAnsi="Arial" w:cs="Arial"/>
          <w:b/>
          <w:bCs/>
        </w:rPr>
      </w:pPr>
      <w:r w:rsidRPr="00930AA5">
        <w:rPr>
          <w:rFonts w:ascii="Arial" w:hAnsi="Arial" w:cs="Arial"/>
          <w:b/>
          <w:bCs/>
        </w:rPr>
        <w:t xml:space="preserve">Table 6. Summary of statistically significant changes observed during </w:t>
      </w:r>
      <w:proofErr w:type="spellStart"/>
      <w:r w:rsidRPr="00930AA5">
        <w:rPr>
          <w:rFonts w:ascii="Arial" w:hAnsi="Arial" w:cs="Arial"/>
          <w:b/>
          <w:bCs/>
        </w:rPr>
        <w:t>anaesthesia</w:t>
      </w:r>
      <w:proofErr w:type="spellEnd"/>
    </w:p>
    <w:p w14:paraId="0A9804AE" w14:textId="77777777" w:rsidR="00B72F71" w:rsidRPr="00930AA5" w:rsidRDefault="00B72F71" w:rsidP="00B72F71">
      <w:pPr>
        <w:jc w:val="both"/>
        <w:rPr>
          <w:rFonts w:ascii="Arial" w:hAnsi="Arial" w:cs="Arial"/>
          <w:b/>
          <w:bCs/>
        </w:rPr>
      </w:pPr>
    </w:p>
    <w:tbl>
      <w:tblPr>
        <w:tblStyle w:val="TableGrid"/>
        <w:tblW w:w="0" w:type="auto"/>
        <w:tblInd w:w="108" w:type="dxa"/>
        <w:tblLook w:val="04A0" w:firstRow="1" w:lastRow="0" w:firstColumn="1" w:lastColumn="0" w:noHBand="0" w:noVBand="1"/>
      </w:tblPr>
      <w:tblGrid>
        <w:gridCol w:w="2208"/>
        <w:gridCol w:w="1683"/>
        <w:gridCol w:w="1666"/>
        <w:gridCol w:w="2694"/>
        <w:gridCol w:w="1559"/>
      </w:tblGrid>
      <w:tr w:rsidR="00B72F71" w:rsidRPr="00930AA5" w14:paraId="5CAD2B5B" w14:textId="77777777" w:rsidTr="00413C1E">
        <w:tc>
          <w:tcPr>
            <w:tcW w:w="2208" w:type="dxa"/>
            <w:vAlign w:val="center"/>
          </w:tcPr>
          <w:p w14:paraId="3370999A"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Parameter</w:t>
            </w:r>
          </w:p>
        </w:tc>
        <w:tc>
          <w:tcPr>
            <w:tcW w:w="1683" w:type="dxa"/>
            <w:vAlign w:val="center"/>
          </w:tcPr>
          <w:p w14:paraId="01C186AF"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Group(s) affected</w:t>
            </w:r>
          </w:p>
        </w:tc>
        <w:tc>
          <w:tcPr>
            <w:tcW w:w="1666" w:type="dxa"/>
            <w:vAlign w:val="center"/>
          </w:tcPr>
          <w:p w14:paraId="7858A3F7"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Direction of change</w:t>
            </w:r>
          </w:p>
        </w:tc>
        <w:tc>
          <w:tcPr>
            <w:tcW w:w="2694" w:type="dxa"/>
            <w:vAlign w:val="center"/>
          </w:tcPr>
          <w:p w14:paraId="7B972401"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Time point</w:t>
            </w:r>
          </w:p>
        </w:tc>
        <w:tc>
          <w:tcPr>
            <w:tcW w:w="1559" w:type="dxa"/>
            <w:vAlign w:val="center"/>
          </w:tcPr>
          <w:p w14:paraId="704D3312" w14:textId="77777777" w:rsidR="00B72F71" w:rsidRPr="00930AA5" w:rsidRDefault="00B72F71" w:rsidP="00CC1BD2">
            <w:pPr>
              <w:jc w:val="both"/>
              <w:rPr>
                <w:rFonts w:ascii="Arial" w:hAnsi="Arial" w:cs="Arial"/>
                <w:b/>
                <w:bCs/>
                <w:sz w:val="20"/>
                <w:szCs w:val="20"/>
              </w:rPr>
            </w:pPr>
            <w:r w:rsidRPr="00930AA5">
              <w:rPr>
                <w:rFonts w:ascii="Arial" w:hAnsi="Arial" w:cs="Arial"/>
                <w:b/>
                <w:bCs/>
                <w:sz w:val="20"/>
                <w:szCs w:val="20"/>
              </w:rPr>
              <w:t>Clinical relevance</w:t>
            </w:r>
          </w:p>
        </w:tc>
      </w:tr>
      <w:tr w:rsidR="00B72F71" w:rsidRPr="00930AA5" w14:paraId="5ED29145" w14:textId="77777777" w:rsidTr="00413C1E">
        <w:tc>
          <w:tcPr>
            <w:tcW w:w="2208" w:type="dxa"/>
            <w:vAlign w:val="center"/>
          </w:tcPr>
          <w:p w14:paraId="7A651899" w14:textId="77777777" w:rsidR="00B72F71" w:rsidRPr="00930AA5" w:rsidRDefault="00B72F71" w:rsidP="00CC1BD2">
            <w:pPr>
              <w:rPr>
                <w:rFonts w:ascii="Arial" w:hAnsi="Arial" w:cs="Arial"/>
                <w:sz w:val="20"/>
                <w:szCs w:val="20"/>
              </w:rPr>
            </w:pPr>
            <w:r w:rsidRPr="00930AA5">
              <w:rPr>
                <w:rFonts w:ascii="Arial" w:hAnsi="Arial" w:cs="Arial"/>
                <w:sz w:val="20"/>
                <w:szCs w:val="20"/>
              </w:rPr>
              <w:t>Respiratory rate</w:t>
            </w:r>
          </w:p>
        </w:tc>
        <w:tc>
          <w:tcPr>
            <w:tcW w:w="1683" w:type="dxa"/>
            <w:vAlign w:val="center"/>
          </w:tcPr>
          <w:p w14:paraId="136D9DEC"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w:t>
            </w:r>
          </w:p>
        </w:tc>
        <w:tc>
          <w:tcPr>
            <w:tcW w:w="1666" w:type="dxa"/>
            <w:vAlign w:val="center"/>
          </w:tcPr>
          <w:p w14:paraId="6F500F6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2694" w:type="dxa"/>
            <w:vAlign w:val="center"/>
          </w:tcPr>
          <w:p w14:paraId="6D6C6DE9"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and maintenance</w:t>
            </w:r>
          </w:p>
        </w:tc>
        <w:tc>
          <w:tcPr>
            <w:tcW w:w="1559" w:type="dxa"/>
            <w:vAlign w:val="center"/>
          </w:tcPr>
          <w:p w14:paraId="73C16F2A"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02DAF363" w14:textId="77777777" w:rsidTr="00413C1E">
        <w:tc>
          <w:tcPr>
            <w:tcW w:w="2208" w:type="dxa"/>
            <w:vAlign w:val="center"/>
          </w:tcPr>
          <w:p w14:paraId="4F1BFD60" w14:textId="77777777" w:rsidR="00B72F71" w:rsidRPr="00930AA5" w:rsidRDefault="00B72F71" w:rsidP="00CC1BD2">
            <w:pPr>
              <w:rPr>
                <w:rFonts w:ascii="Arial" w:hAnsi="Arial" w:cs="Arial"/>
                <w:sz w:val="20"/>
                <w:szCs w:val="20"/>
              </w:rPr>
            </w:pPr>
            <w:r w:rsidRPr="00930AA5">
              <w:rPr>
                <w:rFonts w:ascii="Arial" w:hAnsi="Arial" w:cs="Arial"/>
                <w:sz w:val="20"/>
                <w:szCs w:val="20"/>
              </w:rPr>
              <w:t>Rectal temperature</w:t>
            </w:r>
          </w:p>
        </w:tc>
        <w:tc>
          <w:tcPr>
            <w:tcW w:w="1683" w:type="dxa"/>
            <w:vAlign w:val="center"/>
          </w:tcPr>
          <w:p w14:paraId="7FD428A2"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 IV</w:t>
            </w:r>
          </w:p>
        </w:tc>
        <w:tc>
          <w:tcPr>
            <w:tcW w:w="1666" w:type="dxa"/>
            <w:vAlign w:val="center"/>
          </w:tcPr>
          <w:p w14:paraId="0927CA1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2694" w:type="dxa"/>
            <w:vAlign w:val="center"/>
          </w:tcPr>
          <w:p w14:paraId="5681665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maintenance, recovery</w:t>
            </w:r>
          </w:p>
        </w:tc>
        <w:tc>
          <w:tcPr>
            <w:tcW w:w="1559" w:type="dxa"/>
            <w:vAlign w:val="center"/>
          </w:tcPr>
          <w:p w14:paraId="3D4107F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65CF1B2E" w14:textId="77777777" w:rsidTr="00413C1E">
        <w:tc>
          <w:tcPr>
            <w:tcW w:w="2208" w:type="dxa"/>
            <w:vAlign w:val="center"/>
          </w:tcPr>
          <w:p w14:paraId="24B7C4FB" w14:textId="77777777" w:rsidR="00B72F71" w:rsidRPr="00930AA5" w:rsidRDefault="00B72F71" w:rsidP="00CC1BD2">
            <w:pPr>
              <w:rPr>
                <w:rFonts w:ascii="Arial" w:hAnsi="Arial" w:cs="Arial"/>
                <w:sz w:val="20"/>
                <w:szCs w:val="20"/>
              </w:rPr>
            </w:pPr>
            <w:r w:rsidRPr="00930AA5">
              <w:rPr>
                <w:rFonts w:ascii="Arial" w:hAnsi="Arial" w:cs="Arial"/>
                <w:sz w:val="20"/>
                <w:szCs w:val="20"/>
              </w:rPr>
              <w:t>Capillary refill time</w:t>
            </w:r>
          </w:p>
        </w:tc>
        <w:tc>
          <w:tcPr>
            <w:tcW w:w="1683" w:type="dxa"/>
            <w:vAlign w:val="center"/>
          </w:tcPr>
          <w:p w14:paraId="390C8483"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 IV</w:t>
            </w:r>
          </w:p>
        </w:tc>
        <w:tc>
          <w:tcPr>
            <w:tcW w:w="1666" w:type="dxa"/>
            <w:vAlign w:val="center"/>
          </w:tcPr>
          <w:p w14:paraId="3044705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Increase</w:t>
            </w:r>
          </w:p>
        </w:tc>
        <w:tc>
          <w:tcPr>
            <w:tcW w:w="2694" w:type="dxa"/>
            <w:vAlign w:val="center"/>
          </w:tcPr>
          <w:p w14:paraId="4C961F15"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and maintenance</w:t>
            </w:r>
          </w:p>
        </w:tc>
        <w:tc>
          <w:tcPr>
            <w:tcW w:w="1559" w:type="dxa"/>
            <w:vAlign w:val="center"/>
          </w:tcPr>
          <w:p w14:paraId="363336E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6A39A317" w14:textId="77777777" w:rsidTr="00413C1E">
        <w:tc>
          <w:tcPr>
            <w:tcW w:w="2208" w:type="dxa"/>
            <w:vAlign w:val="center"/>
          </w:tcPr>
          <w:p w14:paraId="5552A1EE" w14:textId="77777777" w:rsidR="00B72F71" w:rsidRPr="00930AA5" w:rsidRDefault="00B72F71" w:rsidP="00CC1BD2">
            <w:pPr>
              <w:rPr>
                <w:rFonts w:ascii="Arial" w:hAnsi="Arial" w:cs="Arial"/>
                <w:sz w:val="20"/>
                <w:szCs w:val="20"/>
              </w:rPr>
            </w:pPr>
            <w:r w:rsidRPr="00930AA5">
              <w:rPr>
                <w:rFonts w:ascii="Arial" w:hAnsi="Arial" w:cs="Arial"/>
                <w:sz w:val="20"/>
                <w:szCs w:val="20"/>
              </w:rPr>
              <w:t>Peripheral oxygen saturation (SpO</w:t>
            </w:r>
            <w:r w:rsidRPr="00930AA5">
              <w:rPr>
                <w:rFonts w:ascii="Cambria Math" w:hAnsi="Cambria Math" w:cs="Cambria Math"/>
                <w:sz w:val="20"/>
                <w:szCs w:val="20"/>
              </w:rPr>
              <w:t>₂</w:t>
            </w:r>
            <w:r w:rsidRPr="00930AA5">
              <w:rPr>
                <w:rFonts w:ascii="Arial" w:hAnsi="Arial" w:cs="Arial"/>
                <w:sz w:val="20"/>
                <w:szCs w:val="20"/>
              </w:rPr>
              <w:t>)</w:t>
            </w:r>
          </w:p>
        </w:tc>
        <w:tc>
          <w:tcPr>
            <w:tcW w:w="1683" w:type="dxa"/>
            <w:vAlign w:val="center"/>
          </w:tcPr>
          <w:p w14:paraId="5E1B08B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II, III</w:t>
            </w:r>
          </w:p>
        </w:tc>
        <w:tc>
          <w:tcPr>
            <w:tcW w:w="1666" w:type="dxa"/>
            <w:vAlign w:val="center"/>
          </w:tcPr>
          <w:p w14:paraId="4E2A4BD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Increase</w:t>
            </w:r>
          </w:p>
        </w:tc>
        <w:tc>
          <w:tcPr>
            <w:tcW w:w="2694" w:type="dxa"/>
            <w:vAlign w:val="center"/>
          </w:tcPr>
          <w:p w14:paraId="47AC5E82"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Late maintenance / recovery</w:t>
            </w:r>
          </w:p>
        </w:tc>
        <w:tc>
          <w:tcPr>
            <w:tcW w:w="1559" w:type="dxa"/>
            <w:vAlign w:val="center"/>
          </w:tcPr>
          <w:p w14:paraId="3AB26E2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7FCCBFEA" w14:textId="77777777" w:rsidTr="00413C1E">
        <w:tc>
          <w:tcPr>
            <w:tcW w:w="2208" w:type="dxa"/>
            <w:vAlign w:val="center"/>
          </w:tcPr>
          <w:p w14:paraId="40329507" w14:textId="77777777" w:rsidR="00B72F71" w:rsidRPr="00930AA5" w:rsidRDefault="00B72F71" w:rsidP="00CC1BD2">
            <w:pPr>
              <w:rPr>
                <w:rFonts w:ascii="Arial" w:hAnsi="Arial" w:cs="Arial"/>
                <w:sz w:val="20"/>
                <w:szCs w:val="20"/>
              </w:rPr>
            </w:pPr>
            <w:r w:rsidRPr="00930AA5">
              <w:rPr>
                <w:rFonts w:ascii="Arial" w:hAnsi="Arial" w:cs="Arial"/>
                <w:sz w:val="20"/>
                <w:szCs w:val="20"/>
              </w:rPr>
              <w:t>Total leucocyte count (TLC)</w:t>
            </w:r>
          </w:p>
        </w:tc>
        <w:tc>
          <w:tcPr>
            <w:tcW w:w="1683" w:type="dxa"/>
            <w:vAlign w:val="center"/>
          </w:tcPr>
          <w:p w14:paraId="6F8C080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III, IV</w:t>
            </w:r>
          </w:p>
        </w:tc>
        <w:tc>
          <w:tcPr>
            <w:tcW w:w="1666" w:type="dxa"/>
            <w:vAlign w:val="center"/>
          </w:tcPr>
          <w:p w14:paraId="6A1DEB1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2694" w:type="dxa"/>
            <w:vAlign w:val="center"/>
          </w:tcPr>
          <w:p w14:paraId="18D16BEA"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559" w:type="dxa"/>
            <w:vAlign w:val="center"/>
          </w:tcPr>
          <w:p w14:paraId="3525A236"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74BBAF16" w14:textId="77777777" w:rsidTr="00413C1E">
        <w:tc>
          <w:tcPr>
            <w:tcW w:w="2208" w:type="dxa"/>
            <w:vAlign w:val="center"/>
          </w:tcPr>
          <w:p w14:paraId="6CEB6D1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Monocyte count</w:t>
            </w:r>
          </w:p>
        </w:tc>
        <w:tc>
          <w:tcPr>
            <w:tcW w:w="1683" w:type="dxa"/>
            <w:vAlign w:val="center"/>
          </w:tcPr>
          <w:p w14:paraId="1EC4F99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 I</w:t>
            </w:r>
          </w:p>
        </w:tc>
        <w:tc>
          <w:tcPr>
            <w:tcW w:w="1666" w:type="dxa"/>
            <w:vAlign w:val="center"/>
          </w:tcPr>
          <w:p w14:paraId="05A75DB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Increase</w:t>
            </w:r>
          </w:p>
        </w:tc>
        <w:tc>
          <w:tcPr>
            <w:tcW w:w="2694" w:type="dxa"/>
            <w:vAlign w:val="center"/>
          </w:tcPr>
          <w:p w14:paraId="00C3CD4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559" w:type="dxa"/>
            <w:vAlign w:val="center"/>
          </w:tcPr>
          <w:p w14:paraId="72A6669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13333774" w14:textId="77777777" w:rsidTr="00413C1E">
        <w:tc>
          <w:tcPr>
            <w:tcW w:w="2208" w:type="dxa"/>
            <w:vAlign w:val="center"/>
          </w:tcPr>
          <w:p w14:paraId="5F38D5C1"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Total erythrocyte count (TEC)</w:t>
            </w:r>
          </w:p>
        </w:tc>
        <w:tc>
          <w:tcPr>
            <w:tcW w:w="1683" w:type="dxa"/>
            <w:vAlign w:val="center"/>
          </w:tcPr>
          <w:p w14:paraId="226D2335"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IV</w:t>
            </w:r>
          </w:p>
        </w:tc>
        <w:tc>
          <w:tcPr>
            <w:tcW w:w="1666" w:type="dxa"/>
            <w:vAlign w:val="center"/>
          </w:tcPr>
          <w:p w14:paraId="4FEC76C7"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2694" w:type="dxa"/>
            <w:vAlign w:val="center"/>
          </w:tcPr>
          <w:p w14:paraId="3D9597E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559" w:type="dxa"/>
            <w:vAlign w:val="center"/>
          </w:tcPr>
          <w:p w14:paraId="2EF1F43B"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7C3A7E9B" w14:textId="77777777" w:rsidTr="00413C1E">
        <w:tc>
          <w:tcPr>
            <w:tcW w:w="2208" w:type="dxa"/>
            <w:vAlign w:val="center"/>
          </w:tcPr>
          <w:p w14:paraId="2EE32393" w14:textId="77777777" w:rsidR="00B72F71" w:rsidRPr="00930AA5" w:rsidRDefault="00B72F71" w:rsidP="00CC1BD2">
            <w:pPr>
              <w:jc w:val="center"/>
              <w:rPr>
                <w:rFonts w:ascii="Arial" w:hAnsi="Arial" w:cs="Arial"/>
                <w:sz w:val="20"/>
                <w:szCs w:val="20"/>
              </w:rPr>
            </w:pPr>
            <w:proofErr w:type="spellStart"/>
            <w:r w:rsidRPr="00930AA5">
              <w:rPr>
                <w:rFonts w:ascii="Arial" w:hAnsi="Arial" w:cs="Arial"/>
                <w:sz w:val="20"/>
                <w:szCs w:val="20"/>
              </w:rPr>
              <w:t>Haemoglobin</w:t>
            </w:r>
            <w:proofErr w:type="spellEnd"/>
            <w:r w:rsidRPr="00930AA5">
              <w:rPr>
                <w:rFonts w:ascii="Arial" w:hAnsi="Arial" w:cs="Arial"/>
                <w:sz w:val="20"/>
                <w:szCs w:val="20"/>
              </w:rPr>
              <w:t xml:space="preserve"> concentration</w:t>
            </w:r>
          </w:p>
        </w:tc>
        <w:tc>
          <w:tcPr>
            <w:tcW w:w="1683" w:type="dxa"/>
            <w:vAlign w:val="center"/>
          </w:tcPr>
          <w:p w14:paraId="5AD88E59"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 II, III, IV</w:t>
            </w:r>
          </w:p>
        </w:tc>
        <w:tc>
          <w:tcPr>
            <w:tcW w:w="1666" w:type="dxa"/>
            <w:vAlign w:val="center"/>
          </w:tcPr>
          <w:p w14:paraId="40D9E544"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2694" w:type="dxa"/>
            <w:vAlign w:val="center"/>
          </w:tcPr>
          <w:p w14:paraId="023D41F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 and recovery</w:t>
            </w:r>
          </w:p>
        </w:tc>
        <w:tc>
          <w:tcPr>
            <w:tcW w:w="1559" w:type="dxa"/>
            <w:vAlign w:val="center"/>
          </w:tcPr>
          <w:p w14:paraId="03194A0D"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r w:rsidR="00B72F71" w:rsidRPr="00930AA5" w14:paraId="2F1D88BE" w14:textId="77777777" w:rsidTr="00413C1E">
        <w:tc>
          <w:tcPr>
            <w:tcW w:w="2208" w:type="dxa"/>
            <w:vAlign w:val="center"/>
          </w:tcPr>
          <w:p w14:paraId="6B1805C0"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Packed cell volume (PCV)</w:t>
            </w:r>
          </w:p>
        </w:tc>
        <w:tc>
          <w:tcPr>
            <w:tcW w:w="1683" w:type="dxa"/>
            <w:vAlign w:val="center"/>
          </w:tcPr>
          <w:p w14:paraId="13A17C48"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Groups II, IV</w:t>
            </w:r>
          </w:p>
        </w:tc>
        <w:tc>
          <w:tcPr>
            <w:tcW w:w="1666" w:type="dxa"/>
            <w:vAlign w:val="center"/>
          </w:tcPr>
          <w:p w14:paraId="35298E6E"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Decrease</w:t>
            </w:r>
          </w:p>
        </w:tc>
        <w:tc>
          <w:tcPr>
            <w:tcW w:w="2694" w:type="dxa"/>
            <w:vAlign w:val="center"/>
          </w:tcPr>
          <w:p w14:paraId="1649D540"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Post-induction</w:t>
            </w:r>
          </w:p>
        </w:tc>
        <w:tc>
          <w:tcPr>
            <w:tcW w:w="1559" w:type="dxa"/>
            <w:vAlign w:val="center"/>
          </w:tcPr>
          <w:p w14:paraId="2986B013" w14:textId="77777777" w:rsidR="00B72F71" w:rsidRPr="00930AA5" w:rsidRDefault="00B72F71" w:rsidP="00CC1BD2">
            <w:pPr>
              <w:jc w:val="center"/>
              <w:rPr>
                <w:rFonts w:ascii="Arial" w:hAnsi="Arial" w:cs="Arial"/>
                <w:sz w:val="20"/>
                <w:szCs w:val="20"/>
              </w:rPr>
            </w:pPr>
            <w:r w:rsidRPr="00930AA5">
              <w:rPr>
                <w:rFonts w:ascii="Arial" w:hAnsi="Arial" w:cs="Arial"/>
                <w:sz w:val="20"/>
                <w:szCs w:val="20"/>
              </w:rPr>
              <w:t>No</w:t>
            </w:r>
          </w:p>
        </w:tc>
      </w:tr>
    </w:tbl>
    <w:p w14:paraId="1B13B193" w14:textId="77777777" w:rsidR="00B72F71" w:rsidRPr="00930AA5" w:rsidRDefault="00B72F71" w:rsidP="00B72F71">
      <w:pPr>
        <w:jc w:val="both"/>
        <w:rPr>
          <w:rFonts w:ascii="Arial" w:hAnsi="Arial" w:cs="Arial"/>
          <w:b/>
          <w:bCs/>
        </w:rPr>
      </w:pPr>
    </w:p>
    <w:p w14:paraId="49DBAFFE" w14:textId="77777777" w:rsidR="00B72F71" w:rsidRPr="00930AA5" w:rsidRDefault="00B72F71" w:rsidP="006647CC">
      <w:pPr>
        <w:ind w:firstLine="567"/>
        <w:jc w:val="both"/>
        <w:rPr>
          <w:rFonts w:ascii="Arial" w:hAnsi="Arial" w:cs="Arial"/>
        </w:rPr>
      </w:pPr>
    </w:p>
    <w:p w14:paraId="60E16194" w14:textId="416E2B3B" w:rsidR="008A2C19" w:rsidRPr="00930AA5" w:rsidRDefault="008A2C19" w:rsidP="006647CC">
      <w:pPr>
        <w:pStyle w:val="Body"/>
        <w:spacing w:after="0"/>
        <w:ind w:firstLine="567"/>
        <w:rPr>
          <w:rFonts w:ascii="Arial" w:hAnsi="Arial" w:cs="Arial"/>
        </w:rPr>
      </w:pPr>
      <w:r w:rsidRPr="00930AA5">
        <w:rPr>
          <w:rFonts w:ascii="Arial" w:hAnsi="Arial" w:cs="Arial"/>
        </w:rPr>
        <w:t xml:space="preserve">The present study was conducted on a relatively limited number of goats, which may restrict the </w:t>
      </w:r>
      <w:proofErr w:type="spellStart"/>
      <w:r w:rsidRPr="00930AA5">
        <w:rPr>
          <w:rFonts w:ascii="Arial" w:hAnsi="Arial" w:cs="Arial"/>
        </w:rPr>
        <w:t>generalisability</w:t>
      </w:r>
      <w:proofErr w:type="spellEnd"/>
      <w:r w:rsidRPr="00930AA5">
        <w:rPr>
          <w:rFonts w:ascii="Arial" w:hAnsi="Arial" w:cs="Arial"/>
        </w:rPr>
        <w:t xml:space="preserve"> of the findings across different breeds, age groups, and physiological statuses. In addition, the evaluation was confined to clinically healthy animals undergoing elective surgical procedures; therefore, the physiological and </w:t>
      </w:r>
      <w:proofErr w:type="spellStart"/>
      <w:r w:rsidRPr="00930AA5">
        <w:rPr>
          <w:rFonts w:ascii="Arial" w:hAnsi="Arial" w:cs="Arial"/>
        </w:rPr>
        <w:t>haematological</w:t>
      </w:r>
      <w:proofErr w:type="spellEnd"/>
      <w:r w:rsidRPr="00930AA5">
        <w:rPr>
          <w:rFonts w:ascii="Arial" w:hAnsi="Arial" w:cs="Arial"/>
        </w:rPr>
        <w:t xml:space="preserve"> responses observed may differ in animals with systemic illness or compromised organ function. Advanced cardiopulmonary monitoring techniques such as invasive arterial blood pressure measurement and cardiac output estimation were not employed, which could have provided more detailed insights into cardiovascular dynamics during </w:t>
      </w:r>
      <w:proofErr w:type="spellStart"/>
      <w:r w:rsidRPr="00930AA5">
        <w:rPr>
          <w:rFonts w:ascii="Arial" w:hAnsi="Arial" w:cs="Arial"/>
        </w:rPr>
        <w:t>anaesthesia</w:t>
      </w:r>
      <w:proofErr w:type="spellEnd"/>
      <w:r w:rsidRPr="00930AA5">
        <w:rPr>
          <w:rFonts w:ascii="Arial" w:hAnsi="Arial" w:cs="Arial"/>
        </w:rPr>
        <w:t xml:space="preserve">. </w:t>
      </w:r>
    </w:p>
    <w:p w14:paraId="60CEABB7" w14:textId="77777777" w:rsidR="00B72F71" w:rsidRPr="00930AA5" w:rsidRDefault="00B72F71" w:rsidP="00441B6F">
      <w:pPr>
        <w:pStyle w:val="Body"/>
        <w:spacing w:after="0"/>
        <w:rPr>
          <w:rFonts w:ascii="Arial" w:hAnsi="Arial" w:cs="Arial"/>
        </w:rPr>
      </w:pPr>
    </w:p>
    <w:p w14:paraId="5975DAC1" w14:textId="6A3450A9" w:rsidR="00B01FCD" w:rsidRPr="00930AA5" w:rsidRDefault="008A2C19" w:rsidP="00441B6F">
      <w:pPr>
        <w:pStyle w:val="ConcHead"/>
        <w:spacing w:after="0"/>
        <w:jc w:val="both"/>
        <w:rPr>
          <w:rFonts w:ascii="Arial" w:hAnsi="Arial" w:cs="Arial"/>
        </w:rPr>
      </w:pPr>
      <w:r w:rsidRPr="00930AA5">
        <w:rPr>
          <w:rFonts w:ascii="Arial" w:hAnsi="Arial" w:cs="Arial"/>
        </w:rPr>
        <w:t>5</w:t>
      </w:r>
      <w:r w:rsidR="00000F8F" w:rsidRPr="00930AA5">
        <w:rPr>
          <w:rFonts w:ascii="Arial" w:hAnsi="Arial" w:cs="Arial"/>
        </w:rPr>
        <w:t xml:space="preserve">. </w:t>
      </w:r>
      <w:r w:rsidR="00B01FCD" w:rsidRPr="00930AA5">
        <w:rPr>
          <w:rFonts w:ascii="Arial" w:hAnsi="Arial" w:cs="Arial"/>
        </w:rPr>
        <w:t>Conclusion</w:t>
      </w:r>
    </w:p>
    <w:p w14:paraId="195608F7" w14:textId="77777777" w:rsidR="00790ADA" w:rsidRPr="00930AA5" w:rsidRDefault="00790ADA" w:rsidP="00441B6F">
      <w:pPr>
        <w:pStyle w:val="ConcHead"/>
        <w:spacing w:after="0"/>
        <w:jc w:val="both"/>
        <w:rPr>
          <w:rFonts w:ascii="Arial" w:hAnsi="Arial" w:cs="Arial"/>
        </w:rPr>
      </w:pPr>
    </w:p>
    <w:p w14:paraId="61FA15FE" w14:textId="5CBC71E4" w:rsidR="00AC4531" w:rsidRDefault="00A11E61" w:rsidP="007D4C94">
      <w:pPr>
        <w:ind w:firstLine="567"/>
        <w:jc w:val="both"/>
        <w:rPr>
          <w:rFonts w:ascii="Arial" w:hAnsi="Arial" w:cs="Arial"/>
        </w:rPr>
      </w:pPr>
      <w:r w:rsidRPr="00930AA5">
        <w:rPr>
          <w:rFonts w:ascii="Arial" w:hAnsi="Arial" w:cs="Arial"/>
        </w:rPr>
        <w:t xml:space="preserve">The present study demonstrates that premedication with xylazine-butorphanol or dexmedetomidine-butorphanol, followed by tiletamine-zolazepam induction and maintenance under total intravenous </w:t>
      </w:r>
      <w:proofErr w:type="spellStart"/>
      <w:r w:rsidRPr="00930AA5">
        <w:rPr>
          <w:rFonts w:ascii="Arial" w:hAnsi="Arial" w:cs="Arial"/>
        </w:rPr>
        <w:t>anaesthesia</w:t>
      </w:r>
      <w:proofErr w:type="spellEnd"/>
      <w:r w:rsidRPr="00930AA5">
        <w:rPr>
          <w:rFonts w:ascii="Arial" w:hAnsi="Arial" w:cs="Arial"/>
        </w:rPr>
        <w:t xml:space="preserve"> (TIVA) or partial intravenous </w:t>
      </w:r>
      <w:proofErr w:type="spellStart"/>
      <w:r w:rsidRPr="00930AA5">
        <w:rPr>
          <w:rFonts w:ascii="Arial" w:hAnsi="Arial" w:cs="Arial"/>
        </w:rPr>
        <w:t>anaesthesia</w:t>
      </w:r>
      <w:proofErr w:type="spellEnd"/>
      <w:r w:rsidRPr="00930AA5">
        <w:rPr>
          <w:rFonts w:ascii="Arial" w:hAnsi="Arial" w:cs="Arial"/>
        </w:rPr>
        <w:t xml:space="preserve"> (PIVA), provides effective and clinically safe </w:t>
      </w:r>
      <w:proofErr w:type="spellStart"/>
      <w:r w:rsidRPr="00930AA5">
        <w:rPr>
          <w:rFonts w:ascii="Arial" w:hAnsi="Arial" w:cs="Arial"/>
        </w:rPr>
        <w:t>anaesthesia</w:t>
      </w:r>
      <w:proofErr w:type="spellEnd"/>
      <w:r w:rsidRPr="00930AA5">
        <w:rPr>
          <w:rFonts w:ascii="Arial" w:hAnsi="Arial" w:cs="Arial"/>
        </w:rPr>
        <w:t xml:space="preserve"> in goats. The observed changes in physiological and </w:t>
      </w:r>
      <w:proofErr w:type="spellStart"/>
      <w:r w:rsidRPr="00930AA5">
        <w:rPr>
          <w:rFonts w:ascii="Arial" w:hAnsi="Arial" w:cs="Arial"/>
        </w:rPr>
        <w:t>haematological</w:t>
      </w:r>
      <w:proofErr w:type="spellEnd"/>
      <w:r w:rsidRPr="00930AA5">
        <w:rPr>
          <w:rFonts w:ascii="Arial" w:hAnsi="Arial" w:cs="Arial"/>
        </w:rPr>
        <w:t xml:space="preserve"> parameters were transient, reversible, and remained within acceptable physiological limits across all protocols. Both TIVA and PIVA techniques ensured stable cardiopulmonary function, adequate oxygenation, and smooth recovery, with no clinically significant adverse effects. Overall, the findings support the use of α</w:t>
      </w:r>
      <w:r w:rsidRPr="00930AA5">
        <w:rPr>
          <w:rFonts w:ascii="Cambria Math" w:hAnsi="Cambria Math" w:cs="Cambria Math"/>
        </w:rPr>
        <w:t>₂</w:t>
      </w:r>
      <w:r w:rsidRPr="00930AA5">
        <w:rPr>
          <w:rFonts w:ascii="Arial" w:hAnsi="Arial" w:cs="Arial"/>
        </w:rPr>
        <w:t xml:space="preserve">-agonist-opioid combinations with tiletamine-zolazepam as reliable and versatile </w:t>
      </w:r>
      <w:proofErr w:type="spellStart"/>
      <w:r w:rsidRPr="00930AA5">
        <w:rPr>
          <w:rFonts w:ascii="Arial" w:hAnsi="Arial" w:cs="Arial"/>
        </w:rPr>
        <w:t>anaesthetic</w:t>
      </w:r>
      <w:proofErr w:type="spellEnd"/>
      <w:r w:rsidRPr="00930AA5">
        <w:rPr>
          <w:rFonts w:ascii="Arial" w:hAnsi="Arial" w:cs="Arial"/>
        </w:rPr>
        <w:t xml:space="preserve"> protocols for routine surgical procedures in goats, offering flexibility for both field and referral clinical settings.</w:t>
      </w:r>
    </w:p>
    <w:p w14:paraId="1F529E67" w14:textId="77777777" w:rsidR="00AC4531" w:rsidRDefault="00AC4531" w:rsidP="007D4C94">
      <w:pPr>
        <w:ind w:firstLine="567"/>
        <w:jc w:val="both"/>
        <w:rPr>
          <w:rFonts w:ascii="Arial" w:hAnsi="Arial" w:cs="Arial"/>
        </w:rPr>
      </w:pPr>
      <w:r w:rsidRPr="00AC4531">
        <w:rPr>
          <w:rFonts w:ascii="Arial" w:hAnsi="Arial" w:cs="Arial"/>
        </w:rPr>
        <w:t xml:space="preserve">TIVA offers distinct advantages in field and resource-limited settings due to its simplicity, independence from </w:t>
      </w:r>
      <w:proofErr w:type="spellStart"/>
      <w:r w:rsidRPr="00AC4531">
        <w:rPr>
          <w:rFonts w:ascii="Arial" w:hAnsi="Arial" w:cs="Arial"/>
        </w:rPr>
        <w:t>anaesthetic</w:t>
      </w:r>
      <w:proofErr w:type="spellEnd"/>
      <w:r w:rsidRPr="00AC4531">
        <w:rPr>
          <w:rFonts w:ascii="Arial" w:hAnsi="Arial" w:cs="Arial"/>
        </w:rPr>
        <w:t xml:space="preserve"> workstations, and predictable maintenance of </w:t>
      </w:r>
      <w:proofErr w:type="spellStart"/>
      <w:r w:rsidRPr="00AC4531">
        <w:rPr>
          <w:rFonts w:ascii="Arial" w:hAnsi="Arial" w:cs="Arial"/>
        </w:rPr>
        <w:t>anaesthetic</w:t>
      </w:r>
      <w:proofErr w:type="spellEnd"/>
      <w:r w:rsidRPr="00AC4531">
        <w:rPr>
          <w:rFonts w:ascii="Arial" w:hAnsi="Arial" w:cs="Arial"/>
        </w:rPr>
        <w:t xml:space="preserve"> depth using injectable agents alone. In contrast, PIVA allows greater flexibility in depth control and facilitates more rapid recovery through the use of inhalational agents, making it particularly suitable for referral or hospital-based settings where oxygen and </w:t>
      </w:r>
      <w:proofErr w:type="spellStart"/>
      <w:r w:rsidRPr="00AC4531">
        <w:rPr>
          <w:rFonts w:ascii="Arial" w:hAnsi="Arial" w:cs="Arial"/>
        </w:rPr>
        <w:t>anaesthetic</w:t>
      </w:r>
      <w:proofErr w:type="spellEnd"/>
      <w:r w:rsidRPr="00AC4531">
        <w:rPr>
          <w:rFonts w:ascii="Arial" w:hAnsi="Arial" w:cs="Arial"/>
        </w:rPr>
        <w:t xml:space="preserve"> delivery systems are available.</w:t>
      </w:r>
      <w:r>
        <w:rPr>
          <w:rFonts w:ascii="Arial" w:hAnsi="Arial" w:cs="Arial"/>
        </w:rPr>
        <w:t xml:space="preserve"> </w:t>
      </w:r>
      <w:r w:rsidRPr="00930AA5">
        <w:rPr>
          <w:rFonts w:ascii="Arial" w:hAnsi="Arial" w:cs="Arial"/>
        </w:rPr>
        <w:t xml:space="preserve">The PIVA protocols offered advantages in terms of controlled </w:t>
      </w:r>
      <w:proofErr w:type="spellStart"/>
      <w:r w:rsidRPr="00930AA5">
        <w:rPr>
          <w:rFonts w:ascii="Arial" w:hAnsi="Arial" w:cs="Arial"/>
        </w:rPr>
        <w:t>anaesthetic</w:t>
      </w:r>
      <w:proofErr w:type="spellEnd"/>
      <w:r w:rsidRPr="00930AA5">
        <w:rPr>
          <w:rFonts w:ascii="Arial" w:hAnsi="Arial" w:cs="Arial"/>
        </w:rPr>
        <w:t xml:space="preserve"> depth and recovery quality, while TIVA protocols provided a practical alternative where inhalational facilities are unavailable. </w:t>
      </w:r>
      <w:r w:rsidRPr="00AC4531">
        <w:rPr>
          <w:rFonts w:ascii="Arial" w:hAnsi="Arial" w:cs="Arial"/>
        </w:rPr>
        <w:t>The choice between TIVA and PIVA should therefore be guided by clinical context, available infrastructure, and anticipated surgical requirements rather than safety concerns alone.</w:t>
      </w:r>
      <w:r w:rsidR="00A11E61" w:rsidRPr="00930AA5">
        <w:rPr>
          <w:rFonts w:ascii="Arial" w:hAnsi="Arial" w:cs="Arial"/>
        </w:rPr>
        <w:t xml:space="preserve"> </w:t>
      </w:r>
    </w:p>
    <w:p w14:paraId="3DDF44A2" w14:textId="631E5FEB" w:rsidR="00790ADA" w:rsidRPr="00930AA5" w:rsidRDefault="00A11E61" w:rsidP="007D4C94">
      <w:pPr>
        <w:ind w:firstLine="567"/>
        <w:jc w:val="both"/>
        <w:rPr>
          <w:rFonts w:ascii="Arial" w:hAnsi="Arial" w:cs="Arial"/>
        </w:rPr>
      </w:pPr>
      <w:r w:rsidRPr="00930AA5">
        <w:rPr>
          <w:rFonts w:ascii="Arial" w:hAnsi="Arial" w:cs="Arial"/>
        </w:rPr>
        <w:t xml:space="preserve">Future studies involving larger sample sizes and inclusion of animals with varying health statuses would help further validate the safety and applicability of these </w:t>
      </w:r>
      <w:proofErr w:type="spellStart"/>
      <w:r w:rsidRPr="00930AA5">
        <w:rPr>
          <w:rFonts w:ascii="Arial" w:hAnsi="Arial" w:cs="Arial"/>
        </w:rPr>
        <w:t>anaesthetic</w:t>
      </w:r>
      <w:proofErr w:type="spellEnd"/>
      <w:r w:rsidRPr="00930AA5">
        <w:rPr>
          <w:rFonts w:ascii="Arial" w:hAnsi="Arial" w:cs="Arial"/>
        </w:rPr>
        <w:t xml:space="preserve"> protocols. Incorporation of advanced </w:t>
      </w:r>
      <w:proofErr w:type="spellStart"/>
      <w:r w:rsidRPr="00930AA5">
        <w:rPr>
          <w:rFonts w:ascii="Arial" w:hAnsi="Arial" w:cs="Arial"/>
        </w:rPr>
        <w:t>haemodynamic</w:t>
      </w:r>
      <w:proofErr w:type="spellEnd"/>
      <w:r w:rsidRPr="00930AA5">
        <w:rPr>
          <w:rFonts w:ascii="Arial" w:hAnsi="Arial" w:cs="Arial"/>
        </w:rPr>
        <w:t xml:space="preserve"> monitoring and assessment of stress-related biomarkers may provide deeper understanding of the systemic effects of α</w:t>
      </w:r>
      <w:r w:rsidRPr="00930AA5">
        <w:rPr>
          <w:rFonts w:ascii="Cambria Math" w:hAnsi="Cambria Math" w:cs="Cambria Math"/>
        </w:rPr>
        <w:t>₂</w:t>
      </w:r>
      <w:r w:rsidRPr="00930AA5">
        <w:rPr>
          <w:rFonts w:ascii="Arial" w:hAnsi="Arial" w:cs="Arial"/>
        </w:rPr>
        <w:t xml:space="preserve">-agonist–opioid combinations under different maintenance techniques. Additionally, evaluating these protocols in field conditions and under prolonged surgical durations could enhance their translational relevance and guide evidence-based </w:t>
      </w:r>
      <w:proofErr w:type="spellStart"/>
      <w:r w:rsidRPr="00930AA5">
        <w:rPr>
          <w:rFonts w:ascii="Arial" w:hAnsi="Arial" w:cs="Arial"/>
        </w:rPr>
        <w:t>anaesthetic</w:t>
      </w:r>
      <w:proofErr w:type="spellEnd"/>
      <w:r w:rsidRPr="00930AA5">
        <w:rPr>
          <w:rFonts w:ascii="Arial" w:hAnsi="Arial" w:cs="Arial"/>
        </w:rPr>
        <w:t xml:space="preserve"> decision-making in small ruminant practice. </w:t>
      </w:r>
    </w:p>
    <w:p w14:paraId="00CE4163" w14:textId="77777777" w:rsidR="00654281" w:rsidRPr="00930AA5" w:rsidRDefault="00654281" w:rsidP="00441B6F">
      <w:pPr>
        <w:pStyle w:val="AcknHead"/>
        <w:spacing w:after="0"/>
        <w:jc w:val="both"/>
        <w:rPr>
          <w:rFonts w:ascii="Arial" w:hAnsi="Arial" w:cs="Arial"/>
        </w:rPr>
      </w:pPr>
    </w:p>
    <w:p w14:paraId="76D95101" w14:textId="77777777" w:rsidR="00CE76E7" w:rsidRPr="00930AA5" w:rsidRDefault="00CE76E7" w:rsidP="00CE76E7">
      <w:pPr>
        <w:pStyle w:val="Body"/>
        <w:spacing w:after="0"/>
        <w:rPr>
          <w:rFonts w:ascii="Arial" w:hAnsi="Arial" w:cs="Arial"/>
          <w:b/>
          <w:sz w:val="22"/>
          <w:szCs w:val="22"/>
        </w:rPr>
      </w:pPr>
      <w:r w:rsidRPr="00930AA5">
        <w:rPr>
          <w:rFonts w:ascii="Arial" w:hAnsi="Arial" w:cs="Arial"/>
          <w:b/>
          <w:sz w:val="22"/>
          <w:szCs w:val="22"/>
        </w:rPr>
        <w:t>CONSENT</w:t>
      </w:r>
    </w:p>
    <w:p w14:paraId="521D8478" w14:textId="69B8EFED" w:rsidR="00CE76E7" w:rsidRPr="00930AA5" w:rsidRDefault="00CE76E7" w:rsidP="00CE76E7">
      <w:pPr>
        <w:pStyle w:val="Body"/>
        <w:spacing w:after="0"/>
        <w:rPr>
          <w:rFonts w:ascii="Arial" w:hAnsi="Arial" w:cs="Arial"/>
          <w:b/>
        </w:rPr>
      </w:pPr>
      <w:r w:rsidRPr="00930AA5">
        <w:rPr>
          <w:rFonts w:ascii="Arial" w:hAnsi="Arial" w:cs="Arial"/>
          <w:b/>
        </w:rPr>
        <w:t xml:space="preserve"> </w:t>
      </w:r>
    </w:p>
    <w:p w14:paraId="691463E6" w14:textId="5B98071F" w:rsidR="00CE76E7" w:rsidRPr="00930AA5" w:rsidRDefault="001A29D8" w:rsidP="00D12223">
      <w:pPr>
        <w:pStyle w:val="Body"/>
        <w:spacing w:after="0"/>
        <w:rPr>
          <w:rFonts w:ascii="Arial" w:hAnsi="Arial" w:cs="Arial"/>
        </w:rPr>
      </w:pPr>
      <w:r w:rsidRPr="00930AA5">
        <w:rPr>
          <w:rFonts w:ascii="Arial" w:hAnsi="Arial" w:cs="Arial"/>
        </w:rPr>
        <w:t xml:space="preserve">All authors declare that written informed consent was obtained from the </w:t>
      </w:r>
      <w:r w:rsidR="0054541B" w:rsidRPr="00930AA5">
        <w:rPr>
          <w:rFonts w:ascii="Arial" w:hAnsi="Arial" w:cs="Arial"/>
        </w:rPr>
        <w:t xml:space="preserve">respective owners </w:t>
      </w:r>
      <w:r w:rsidRPr="00930AA5">
        <w:rPr>
          <w:rFonts w:ascii="Arial" w:hAnsi="Arial" w:cs="Arial"/>
        </w:rPr>
        <w:t xml:space="preserve">for publication of this </w:t>
      </w:r>
      <w:r w:rsidR="0054541B" w:rsidRPr="00930AA5">
        <w:rPr>
          <w:rFonts w:ascii="Arial" w:hAnsi="Arial" w:cs="Arial"/>
        </w:rPr>
        <w:t xml:space="preserve">research. </w:t>
      </w:r>
      <w:bookmarkStart w:id="2" w:name="_GoBack"/>
      <w:bookmarkEnd w:id="2"/>
    </w:p>
    <w:p w14:paraId="79726592" w14:textId="77777777" w:rsidR="00CE76E7" w:rsidRPr="00930AA5" w:rsidRDefault="00CE76E7" w:rsidP="00CE76E7">
      <w:pPr>
        <w:pStyle w:val="Body"/>
        <w:spacing w:after="0"/>
        <w:rPr>
          <w:rFonts w:ascii="Arial" w:hAnsi="Arial" w:cs="Arial"/>
          <w:bCs/>
        </w:rPr>
      </w:pPr>
    </w:p>
    <w:p w14:paraId="78D9D199" w14:textId="288B14F5" w:rsidR="00CE76E7" w:rsidRPr="00930AA5" w:rsidRDefault="00CE76E7" w:rsidP="00D12223">
      <w:pPr>
        <w:pStyle w:val="Body"/>
        <w:spacing w:after="0"/>
        <w:rPr>
          <w:rFonts w:ascii="Arial" w:hAnsi="Arial" w:cs="Arial"/>
          <w:b/>
          <w:sz w:val="22"/>
          <w:szCs w:val="22"/>
        </w:rPr>
      </w:pPr>
      <w:r w:rsidRPr="00930AA5">
        <w:rPr>
          <w:rFonts w:ascii="Arial" w:hAnsi="Arial" w:cs="Arial"/>
          <w:b/>
          <w:sz w:val="22"/>
          <w:szCs w:val="22"/>
        </w:rPr>
        <w:t xml:space="preserve">ETHICAL APPROVAL </w:t>
      </w:r>
    </w:p>
    <w:p w14:paraId="2BC3BB54" w14:textId="70A856FE" w:rsidR="00860000" w:rsidRDefault="00572C9A" w:rsidP="00D12223">
      <w:pPr>
        <w:pStyle w:val="Body"/>
        <w:spacing w:after="0"/>
        <w:rPr>
          <w:rFonts w:ascii="Arial" w:hAnsi="Arial" w:cs="Arial"/>
          <w:bCs/>
          <w:caps/>
        </w:rPr>
      </w:pPr>
      <w:r w:rsidRPr="00930AA5">
        <w:rPr>
          <w:rFonts w:ascii="Arial" w:hAnsi="Arial" w:cs="Arial"/>
          <w:bCs/>
          <w:caps/>
        </w:rPr>
        <w:t>T</w:t>
      </w:r>
      <w:r w:rsidR="00CE76E7" w:rsidRPr="00930AA5">
        <w:rPr>
          <w:rFonts w:ascii="Arial" w:hAnsi="Arial" w:cs="Arial"/>
          <w:bCs/>
        </w:rPr>
        <w:t>he</w:t>
      </w:r>
      <w:r w:rsidRPr="00930AA5">
        <w:rPr>
          <w:rFonts w:ascii="Arial" w:hAnsi="Arial" w:cs="Arial"/>
          <w:bCs/>
          <w:caps/>
        </w:rPr>
        <w:t xml:space="preserve"> </w:t>
      </w:r>
      <w:r w:rsidR="00CE76E7" w:rsidRPr="00930AA5">
        <w:rPr>
          <w:rFonts w:ascii="Arial" w:hAnsi="Arial" w:cs="Arial"/>
          <w:bCs/>
        </w:rPr>
        <w:t>research</w:t>
      </w:r>
      <w:r w:rsidRPr="00930AA5">
        <w:rPr>
          <w:rFonts w:ascii="Arial" w:hAnsi="Arial" w:cs="Arial"/>
          <w:bCs/>
          <w:caps/>
        </w:rPr>
        <w:t xml:space="preserve"> </w:t>
      </w:r>
      <w:r w:rsidR="00CE76E7" w:rsidRPr="00930AA5">
        <w:rPr>
          <w:rFonts w:ascii="Arial" w:hAnsi="Arial" w:cs="Arial"/>
          <w:bCs/>
        </w:rPr>
        <w:t>was</w:t>
      </w:r>
      <w:r w:rsidRPr="00930AA5">
        <w:rPr>
          <w:rFonts w:ascii="Arial" w:hAnsi="Arial" w:cs="Arial"/>
          <w:bCs/>
          <w:caps/>
        </w:rPr>
        <w:t xml:space="preserve"> </w:t>
      </w:r>
      <w:r w:rsidR="00CE76E7" w:rsidRPr="00930AA5">
        <w:rPr>
          <w:rFonts w:ascii="Arial" w:hAnsi="Arial" w:cs="Arial"/>
          <w:bCs/>
        </w:rPr>
        <w:t>approved</w:t>
      </w:r>
      <w:r w:rsidRPr="00930AA5">
        <w:rPr>
          <w:rFonts w:ascii="Arial" w:hAnsi="Arial" w:cs="Arial"/>
          <w:bCs/>
          <w:caps/>
        </w:rPr>
        <w:t xml:space="preserve"> </w:t>
      </w:r>
      <w:r w:rsidR="00CE76E7" w:rsidRPr="00930AA5">
        <w:rPr>
          <w:rFonts w:ascii="Arial" w:hAnsi="Arial" w:cs="Arial"/>
          <w:bCs/>
        </w:rPr>
        <w:t>by</w:t>
      </w:r>
      <w:r w:rsidRPr="00930AA5">
        <w:rPr>
          <w:rFonts w:ascii="Arial" w:hAnsi="Arial" w:cs="Arial"/>
          <w:bCs/>
          <w:caps/>
        </w:rPr>
        <w:t xml:space="preserve"> </w:t>
      </w:r>
      <w:r w:rsidR="00CE76E7" w:rsidRPr="00930AA5">
        <w:rPr>
          <w:rFonts w:ascii="Arial" w:hAnsi="Arial" w:cs="Arial"/>
          <w:bCs/>
        </w:rPr>
        <w:t>the</w:t>
      </w:r>
      <w:r w:rsidRPr="00930AA5">
        <w:rPr>
          <w:rFonts w:ascii="Arial" w:hAnsi="Arial" w:cs="Arial"/>
          <w:bCs/>
          <w:caps/>
        </w:rPr>
        <w:t xml:space="preserve"> </w:t>
      </w:r>
      <w:proofErr w:type="spellStart"/>
      <w:r w:rsidR="00CE76E7" w:rsidRPr="00930AA5">
        <w:rPr>
          <w:rFonts w:ascii="Arial" w:hAnsi="Arial" w:cs="Arial"/>
          <w:bCs/>
        </w:rPr>
        <w:t>XVth</w:t>
      </w:r>
      <w:proofErr w:type="spellEnd"/>
      <w:r w:rsidR="00CE76E7" w:rsidRPr="00930AA5">
        <w:rPr>
          <w:rFonts w:ascii="Arial" w:hAnsi="Arial" w:cs="Arial"/>
          <w:bCs/>
        </w:rPr>
        <w:t xml:space="preserve"> Faculty Research Committee</w:t>
      </w:r>
      <w:r w:rsidRPr="00930AA5">
        <w:rPr>
          <w:rFonts w:ascii="Arial" w:hAnsi="Arial" w:cs="Arial"/>
          <w:bCs/>
          <w:caps/>
        </w:rPr>
        <w:t xml:space="preserve"> (</w:t>
      </w:r>
      <w:r w:rsidR="00CE76E7" w:rsidRPr="00930AA5">
        <w:rPr>
          <w:rFonts w:ascii="Arial" w:hAnsi="Arial" w:cs="Arial"/>
          <w:bCs/>
        </w:rPr>
        <w:t>Institutional</w:t>
      </w:r>
      <w:r w:rsidRPr="00930AA5">
        <w:rPr>
          <w:rFonts w:ascii="Arial" w:hAnsi="Arial" w:cs="Arial"/>
          <w:bCs/>
          <w:caps/>
        </w:rPr>
        <w:t xml:space="preserve"> </w:t>
      </w:r>
      <w:r w:rsidR="00CE76E7" w:rsidRPr="00930AA5">
        <w:rPr>
          <w:rFonts w:ascii="Arial" w:hAnsi="Arial" w:cs="Arial"/>
          <w:bCs/>
        </w:rPr>
        <w:t>Review</w:t>
      </w:r>
      <w:r w:rsidRPr="00930AA5">
        <w:rPr>
          <w:rFonts w:ascii="Arial" w:hAnsi="Arial" w:cs="Arial"/>
          <w:bCs/>
          <w:caps/>
        </w:rPr>
        <w:t xml:space="preserve"> </w:t>
      </w:r>
      <w:r w:rsidR="00CE76E7" w:rsidRPr="00930AA5">
        <w:rPr>
          <w:rFonts w:ascii="Arial" w:hAnsi="Arial" w:cs="Arial"/>
          <w:bCs/>
        </w:rPr>
        <w:t>Board</w:t>
      </w:r>
      <w:r w:rsidRPr="00930AA5">
        <w:rPr>
          <w:rFonts w:ascii="Arial" w:hAnsi="Arial" w:cs="Arial"/>
          <w:bCs/>
          <w:caps/>
        </w:rPr>
        <w:t xml:space="preserve">) </w:t>
      </w:r>
      <w:r w:rsidR="00CE76E7" w:rsidRPr="00930AA5">
        <w:rPr>
          <w:rFonts w:ascii="Arial" w:hAnsi="Arial" w:cs="Arial"/>
          <w:bCs/>
        </w:rPr>
        <w:t>of</w:t>
      </w:r>
      <w:r w:rsidRPr="00930AA5">
        <w:rPr>
          <w:rFonts w:ascii="Arial" w:hAnsi="Arial" w:cs="Arial"/>
          <w:bCs/>
          <w:caps/>
        </w:rPr>
        <w:t xml:space="preserve"> </w:t>
      </w:r>
      <w:r w:rsidR="00CE76E7" w:rsidRPr="00930AA5">
        <w:rPr>
          <w:rFonts w:ascii="Arial" w:hAnsi="Arial" w:cs="Arial"/>
          <w:bCs/>
        </w:rPr>
        <w:t>Kerala Veterinary</w:t>
      </w:r>
      <w:r w:rsidRPr="00930AA5">
        <w:rPr>
          <w:rFonts w:ascii="Arial" w:hAnsi="Arial" w:cs="Arial"/>
          <w:bCs/>
          <w:caps/>
        </w:rPr>
        <w:t xml:space="preserve"> </w:t>
      </w:r>
      <w:r w:rsidR="00CE76E7" w:rsidRPr="00930AA5">
        <w:rPr>
          <w:rFonts w:ascii="Arial" w:hAnsi="Arial" w:cs="Arial"/>
          <w:bCs/>
        </w:rPr>
        <w:t>and</w:t>
      </w:r>
      <w:r w:rsidRPr="00930AA5">
        <w:rPr>
          <w:rFonts w:ascii="Arial" w:hAnsi="Arial" w:cs="Arial"/>
          <w:bCs/>
          <w:caps/>
        </w:rPr>
        <w:t xml:space="preserve"> </w:t>
      </w:r>
      <w:r w:rsidR="00CE76E7" w:rsidRPr="00930AA5">
        <w:rPr>
          <w:rFonts w:ascii="Arial" w:hAnsi="Arial" w:cs="Arial"/>
          <w:bCs/>
        </w:rPr>
        <w:t>Animal Sciences University</w:t>
      </w:r>
      <w:r w:rsidRPr="00930AA5">
        <w:rPr>
          <w:rFonts w:ascii="Arial" w:hAnsi="Arial" w:cs="Arial"/>
          <w:bCs/>
          <w:caps/>
        </w:rPr>
        <w:t xml:space="preserve"> </w:t>
      </w:r>
      <w:r w:rsidR="00CE76E7" w:rsidRPr="00930AA5">
        <w:rPr>
          <w:rFonts w:ascii="Arial" w:hAnsi="Arial" w:cs="Arial"/>
          <w:bCs/>
        </w:rPr>
        <w:t>held</w:t>
      </w:r>
      <w:r w:rsidRPr="00930AA5">
        <w:rPr>
          <w:rFonts w:ascii="Arial" w:hAnsi="Arial" w:cs="Arial"/>
          <w:bCs/>
          <w:caps/>
        </w:rPr>
        <w:t xml:space="preserve"> </w:t>
      </w:r>
      <w:r w:rsidR="00CE76E7" w:rsidRPr="00930AA5">
        <w:rPr>
          <w:rFonts w:ascii="Arial" w:hAnsi="Arial" w:cs="Arial"/>
          <w:bCs/>
        </w:rPr>
        <w:t>on</w:t>
      </w:r>
      <w:r w:rsidRPr="00930AA5">
        <w:rPr>
          <w:rFonts w:ascii="Arial" w:hAnsi="Arial" w:cs="Arial"/>
          <w:bCs/>
          <w:caps/>
        </w:rPr>
        <w:t xml:space="preserve"> 23.11.2021. </w:t>
      </w:r>
    </w:p>
    <w:p w14:paraId="56F07455" w14:textId="77777777" w:rsidR="00AA073D" w:rsidRDefault="00AA073D" w:rsidP="00D12223">
      <w:pPr>
        <w:pStyle w:val="Body"/>
        <w:spacing w:after="0"/>
        <w:rPr>
          <w:rFonts w:ascii="Arial" w:hAnsi="Arial" w:cs="Arial"/>
          <w:bCs/>
          <w:caps/>
        </w:rPr>
      </w:pPr>
    </w:p>
    <w:p w14:paraId="5D73AB3E" w14:textId="77777777" w:rsidR="00AA073D" w:rsidRPr="00D12223" w:rsidRDefault="00AA073D" w:rsidP="00D12223">
      <w:pPr>
        <w:jc w:val="both"/>
        <w:outlineLvl w:val="0"/>
        <w:rPr>
          <w:rFonts w:ascii="Arial" w:eastAsiaTheme="minorEastAsia" w:hAnsi="Arial" w:cs="Arial"/>
          <w:lang w:val="en-GB" w:eastAsia="en-GB"/>
        </w:rPr>
      </w:pPr>
      <w:r w:rsidRPr="00D12223">
        <w:rPr>
          <w:rFonts w:ascii="Arial" w:eastAsiaTheme="minorEastAsia" w:hAnsi="Arial" w:cs="Arial"/>
          <w:b/>
          <w:bCs/>
          <w:lang w:val="en-GB" w:eastAsia="en-GB"/>
        </w:rPr>
        <w:t>COMPETING INTERESTS DISCLAIMER:</w:t>
      </w:r>
    </w:p>
    <w:p w14:paraId="397D46E3" w14:textId="77777777" w:rsidR="00AA073D" w:rsidRDefault="00AA073D" w:rsidP="00D12223">
      <w:pPr>
        <w:jc w:val="both"/>
        <w:rPr>
          <w:rFonts w:ascii="Arial" w:eastAsiaTheme="minorEastAsia" w:hAnsi="Arial" w:cs="Arial"/>
          <w:lang w:val="en-GB" w:eastAsia="en-GB"/>
        </w:rPr>
      </w:pPr>
      <w:r w:rsidRPr="00D12223">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4A3EAA9D" w14:textId="77777777" w:rsidR="00D12223" w:rsidRPr="00D12223" w:rsidRDefault="00D12223" w:rsidP="00D12223">
      <w:pPr>
        <w:jc w:val="both"/>
        <w:rPr>
          <w:rFonts w:ascii="Arial" w:eastAsiaTheme="minorEastAsia" w:hAnsi="Arial" w:cs="Arial"/>
          <w:lang w:val="en-GB" w:eastAsia="en-GB"/>
        </w:rPr>
      </w:pPr>
    </w:p>
    <w:p w14:paraId="12BCDE61" w14:textId="77777777" w:rsidR="00D12223" w:rsidRDefault="00D12223" w:rsidP="00D12223">
      <w:pPr>
        <w:jc w:val="both"/>
        <w:rPr>
          <w:rFonts w:ascii="Arial" w:eastAsiaTheme="minorEastAsia" w:hAnsi="Arial" w:cs="Arial"/>
          <w:b/>
          <w:bCs/>
          <w:lang w:eastAsia="en-GB"/>
        </w:rPr>
      </w:pPr>
      <w:r w:rsidRPr="00D12223">
        <w:rPr>
          <w:rFonts w:ascii="Arial" w:eastAsiaTheme="minorEastAsia" w:hAnsi="Arial" w:cs="Arial"/>
          <w:b/>
          <w:bCs/>
          <w:lang w:eastAsia="en-GB"/>
        </w:rPr>
        <w:t>Disclaimer (Artificial Intelligence)</w:t>
      </w:r>
    </w:p>
    <w:p w14:paraId="6A3A21D7" w14:textId="6217A719" w:rsidR="00D12223" w:rsidRPr="00AA073D" w:rsidRDefault="00D12223" w:rsidP="00D12223">
      <w:pPr>
        <w:jc w:val="both"/>
        <w:rPr>
          <w:rFonts w:asciiTheme="minorHAnsi" w:eastAsiaTheme="minorEastAsia" w:hAnsiTheme="minorHAnsi" w:cstheme="minorBidi"/>
          <w:sz w:val="22"/>
          <w:szCs w:val="22"/>
          <w:lang w:val="en-GB" w:eastAsia="en-GB"/>
        </w:rPr>
      </w:pPr>
      <w:r w:rsidRPr="00D12223">
        <w:rPr>
          <w:rFonts w:ascii="Arial" w:eastAsiaTheme="minorEastAsia" w:hAnsi="Arial" w:cs="Arial"/>
          <w:lang w:eastAsia="en-GB"/>
        </w:rPr>
        <w:t>The authors declare that generative artificial intelligence tools were used in a limited manner during the preparation of this manuscript for language refinement, structural editing, and improvement of clarity. Specifically, a large language model (ChatGPT</w:t>
      </w:r>
      <w:r>
        <w:rPr>
          <w:rFonts w:ascii="Arial" w:eastAsiaTheme="minorEastAsia" w:hAnsi="Arial" w:cs="Arial"/>
          <w:lang w:eastAsia="en-GB"/>
        </w:rPr>
        <w:t xml:space="preserve"> version 5.2 by </w:t>
      </w:r>
      <w:r w:rsidRPr="00D12223">
        <w:rPr>
          <w:rFonts w:ascii="Arial" w:eastAsiaTheme="minorEastAsia" w:hAnsi="Arial" w:cs="Arial"/>
          <w:lang w:eastAsia="en-GB"/>
        </w:rPr>
        <w:t>OpenAI,</w:t>
      </w:r>
      <w:r>
        <w:rPr>
          <w:rFonts w:ascii="Arial" w:eastAsiaTheme="minorEastAsia" w:hAnsi="Arial" w:cs="Arial"/>
          <w:lang w:eastAsia="en-GB"/>
        </w:rPr>
        <w:t xml:space="preserve"> </w:t>
      </w:r>
      <w:r w:rsidRPr="00D12223">
        <w:rPr>
          <w:rFonts w:ascii="Arial" w:eastAsiaTheme="minorEastAsia" w:hAnsi="Arial" w:cs="Arial"/>
          <w:lang w:eastAsia="en-GB"/>
        </w:rPr>
        <w:t>USA) was used as an editorial support tool. The AI system did not generate original scientific content, data, results, or interpretations. All scientific content, analysis, conclusions, and final decisions remain the sole responsibility of the authors</w:t>
      </w:r>
      <w:r w:rsidRPr="00D12223">
        <w:rPr>
          <w:rFonts w:asciiTheme="minorHAnsi" w:eastAsiaTheme="minorEastAsia" w:hAnsiTheme="minorHAnsi" w:cstheme="minorBidi"/>
          <w:sz w:val="22"/>
          <w:szCs w:val="22"/>
          <w:lang w:eastAsia="en-GB"/>
        </w:rPr>
        <w:t>.</w:t>
      </w:r>
    </w:p>
    <w:p w14:paraId="3C9EACA9" w14:textId="77777777" w:rsidR="00572C9A" w:rsidRPr="00930AA5" w:rsidRDefault="00572C9A" w:rsidP="00441B6F">
      <w:pPr>
        <w:pStyle w:val="ReferHead"/>
        <w:spacing w:after="0"/>
        <w:jc w:val="both"/>
        <w:rPr>
          <w:rFonts w:ascii="Arial" w:hAnsi="Arial" w:cs="Arial"/>
        </w:rPr>
      </w:pPr>
    </w:p>
    <w:p w14:paraId="0EF64BBA" w14:textId="030A48FC" w:rsidR="00B01FCD" w:rsidRPr="00930AA5" w:rsidRDefault="00B01FCD" w:rsidP="00441B6F">
      <w:pPr>
        <w:pStyle w:val="ReferHead"/>
        <w:spacing w:after="0"/>
        <w:jc w:val="both"/>
        <w:rPr>
          <w:rFonts w:ascii="Arial" w:hAnsi="Arial" w:cs="Arial"/>
        </w:rPr>
      </w:pPr>
      <w:r w:rsidRPr="00930AA5">
        <w:rPr>
          <w:rFonts w:ascii="Arial" w:hAnsi="Arial" w:cs="Arial"/>
        </w:rPr>
        <w:t>References</w:t>
      </w:r>
    </w:p>
    <w:p w14:paraId="48F7E5D5" w14:textId="77777777" w:rsidR="007D4C94" w:rsidRPr="00930AA5" w:rsidRDefault="007D4C94" w:rsidP="007D4C94">
      <w:pPr>
        <w:pStyle w:val="BodyText"/>
        <w:tabs>
          <w:tab w:val="left" w:pos="360"/>
          <w:tab w:val="left" w:pos="540"/>
          <w:tab w:val="left" w:pos="720"/>
          <w:tab w:val="left" w:pos="900"/>
        </w:tabs>
        <w:spacing w:after="0"/>
        <w:ind w:left="720" w:hanging="720"/>
        <w:jc w:val="both"/>
        <w:rPr>
          <w:rFonts w:ascii="Arial" w:hAnsi="Arial" w:cs="Arial"/>
        </w:rPr>
      </w:pPr>
    </w:p>
    <w:p w14:paraId="3479FFC6" w14:textId="67644143" w:rsidR="007D4C94" w:rsidRPr="00D65723" w:rsidRDefault="007D4C94" w:rsidP="00D65723">
      <w:pPr>
        <w:pStyle w:val="BodyText"/>
        <w:spacing w:after="0"/>
        <w:ind w:left="357"/>
        <w:jc w:val="both"/>
        <w:rPr>
          <w:rFonts w:ascii="Arial" w:hAnsi="Arial" w:cs="Arial"/>
        </w:rPr>
      </w:pPr>
      <w:r w:rsidRPr="00D65723">
        <w:rPr>
          <w:rFonts w:ascii="Arial" w:hAnsi="Arial" w:cs="Arial"/>
          <w:lang w:val="it-IT"/>
        </w:rPr>
        <w:t xml:space="preserve">Abalos, J. H. A., Gicana, K. R. B., Brobio, E. F., &amp; Addatu, M. J. B. (2016). </w:t>
      </w:r>
      <w:proofErr w:type="spellStart"/>
      <w:r w:rsidR="006339A8" w:rsidRPr="00D65723">
        <w:rPr>
          <w:rFonts w:ascii="Arial" w:hAnsi="Arial" w:cs="Arial"/>
        </w:rPr>
        <w:t>Anaesthetic</w:t>
      </w:r>
      <w:proofErr w:type="spellEnd"/>
      <w:r w:rsidR="006339A8" w:rsidRPr="00D65723">
        <w:rPr>
          <w:rFonts w:ascii="Arial" w:hAnsi="Arial" w:cs="Arial"/>
        </w:rPr>
        <w:t xml:space="preserve"> and cardiopulmonary effects of intravenous tiletamine-zolazepam with or without xylazine in goats (</w:t>
      </w:r>
      <w:r w:rsidR="006339A8" w:rsidRPr="00D65723">
        <w:rPr>
          <w:rFonts w:ascii="Arial" w:hAnsi="Arial" w:cs="Arial"/>
          <w:i/>
          <w:iCs/>
        </w:rPr>
        <w:t xml:space="preserve">Capra </w:t>
      </w:r>
      <w:proofErr w:type="spellStart"/>
      <w:r w:rsidR="006339A8" w:rsidRPr="00D65723">
        <w:rPr>
          <w:rFonts w:ascii="Arial" w:hAnsi="Arial" w:cs="Arial"/>
          <w:i/>
          <w:iCs/>
        </w:rPr>
        <w:t>hircus</w:t>
      </w:r>
      <w:proofErr w:type="spellEnd"/>
      <w:r w:rsidR="006339A8" w:rsidRPr="00D65723">
        <w:rPr>
          <w:rFonts w:ascii="Arial" w:hAnsi="Arial" w:cs="Arial"/>
        </w:rPr>
        <w:t>)</w:t>
      </w:r>
      <w:r w:rsidRPr="00D65723">
        <w:rPr>
          <w:rFonts w:ascii="Arial" w:hAnsi="Arial" w:cs="Arial"/>
        </w:rPr>
        <w:t>. Philippine Journal of Veterinary Medicine, </w:t>
      </w:r>
      <w:r w:rsidRPr="00D65723">
        <w:rPr>
          <w:rFonts w:ascii="Arial" w:hAnsi="Arial" w:cs="Arial"/>
          <w:i/>
          <w:iCs/>
        </w:rPr>
        <w:t>53</w:t>
      </w:r>
      <w:r w:rsidRPr="00D65723">
        <w:rPr>
          <w:rFonts w:ascii="Arial" w:hAnsi="Arial" w:cs="Arial"/>
        </w:rPr>
        <w:t>(2),118-125</w:t>
      </w:r>
      <w:r w:rsidR="00D65723">
        <w:rPr>
          <w:rFonts w:ascii="Arial" w:hAnsi="Arial" w:cs="Arial"/>
        </w:rPr>
        <w:t xml:space="preserve"> </w:t>
      </w:r>
      <w:hyperlink r:id="rId14" w:history="1">
        <w:r w:rsidR="00D65723" w:rsidRPr="00EE5073">
          <w:rPr>
            <w:rStyle w:val="Hyperlink"/>
            <w:rFonts w:ascii="Arial" w:hAnsi="Arial" w:cs="Arial"/>
          </w:rPr>
          <w:t>https://www.ukdr.uplb.edu.ph/journal-articles/1574/</w:t>
        </w:r>
      </w:hyperlink>
      <w:r w:rsidR="00D65723">
        <w:rPr>
          <w:rFonts w:ascii="Arial" w:hAnsi="Arial" w:cs="Arial"/>
        </w:rPr>
        <w:t xml:space="preserve"> </w:t>
      </w:r>
    </w:p>
    <w:p w14:paraId="3708F2E1" w14:textId="4FF03757" w:rsidR="007D4C94" w:rsidRPr="00D65723" w:rsidRDefault="007D4C94" w:rsidP="00D65723">
      <w:pPr>
        <w:pStyle w:val="BodyText"/>
        <w:spacing w:after="0"/>
        <w:ind w:left="357"/>
        <w:jc w:val="both"/>
        <w:rPr>
          <w:rFonts w:ascii="Arial" w:hAnsi="Arial" w:cs="Arial"/>
        </w:rPr>
      </w:pPr>
      <w:proofErr w:type="spellStart"/>
      <w:r w:rsidRPr="00D65723">
        <w:rPr>
          <w:rFonts w:ascii="Arial" w:hAnsi="Arial" w:cs="Arial"/>
        </w:rPr>
        <w:t>Abouelfetouh</w:t>
      </w:r>
      <w:proofErr w:type="spellEnd"/>
      <w:r w:rsidRPr="00D65723">
        <w:rPr>
          <w:rFonts w:ascii="Arial" w:hAnsi="Arial" w:cs="Arial"/>
        </w:rPr>
        <w:t xml:space="preserve">, M. M., Liu, L., Salah, E., Sun, R., Nan, S., Ding, M. </w:t>
      </w:r>
      <w:r w:rsidR="00FA7183" w:rsidRPr="00D65723">
        <w:rPr>
          <w:rFonts w:ascii="Arial" w:hAnsi="Arial" w:cs="Arial"/>
          <w:i/>
          <w:iCs/>
        </w:rPr>
        <w:t>et al.</w:t>
      </w:r>
      <w:r w:rsidRPr="00D65723">
        <w:rPr>
          <w:rFonts w:ascii="Arial" w:hAnsi="Arial" w:cs="Arial"/>
        </w:rPr>
        <w:t xml:space="preserve"> (2021). The effect of xylazine premedication on the dose and quality of anesthesia induction with </w:t>
      </w:r>
      <w:proofErr w:type="spellStart"/>
      <w:r w:rsidRPr="00D65723">
        <w:rPr>
          <w:rFonts w:ascii="Arial" w:hAnsi="Arial" w:cs="Arial"/>
        </w:rPr>
        <w:t>alfaxalone</w:t>
      </w:r>
      <w:proofErr w:type="spellEnd"/>
      <w:r w:rsidRPr="00D65723">
        <w:rPr>
          <w:rFonts w:ascii="Arial" w:hAnsi="Arial" w:cs="Arial"/>
        </w:rPr>
        <w:t xml:space="preserve"> in goats. Animals, 11(3), 723.</w:t>
      </w:r>
      <w:r w:rsidR="003F0585" w:rsidRPr="00D65723">
        <w:rPr>
          <w:rFonts w:ascii="Arial" w:hAnsi="Arial" w:cs="Arial"/>
        </w:rPr>
        <w:t xml:space="preserve"> </w:t>
      </w:r>
      <w:hyperlink r:id="rId15" w:history="1">
        <w:r w:rsidR="003F0585" w:rsidRPr="00D65723">
          <w:rPr>
            <w:rStyle w:val="Hyperlink"/>
            <w:rFonts w:ascii="Arial" w:hAnsi="Arial" w:cs="Arial"/>
          </w:rPr>
          <w:t>https://doi.org/10.3390/ani11030723</w:t>
        </w:r>
      </w:hyperlink>
    </w:p>
    <w:p w14:paraId="7D038BBB" w14:textId="5F04759B" w:rsidR="00503F18" w:rsidRPr="00D65723" w:rsidRDefault="00503F18" w:rsidP="00D65723">
      <w:pPr>
        <w:pStyle w:val="BodyText"/>
        <w:spacing w:after="0"/>
        <w:ind w:left="357"/>
        <w:jc w:val="both"/>
        <w:rPr>
          <w:rFonts w:ascii="Arial" w:hAnsi="Arial" w:cs="Arial"/>
          <w:color w:val="000000" w:themeColor="text1"/>
        </w:rPr>
      </w:pPr>
      <w:r w:rsidRPr="00D65723">
        <w:rPr>
          <w:rFonts w:ascii="Arial" w:hAnsi="Arial" w:cs="Arial"/>
        </w:rPr>
        <w:t xml:space="preserve">Aghamiri, S. M., Samimi, A. S., Hajian, M., Samimi, A. M., &amp; </w:t>
      </w:r>
      <w:proofErr w:type="spellStart"/>
      <w:r w:rsidRPr="00D65723">
        <w:rPr>
          <w:rFonts w:ascii="Arial" w:hAnsi="Arial" w:cs="Arial"/>
        </w:rPr>
        <w:t>Oroumieh</w:t>
      </w:r>
      <w:proofErr w:type="spellEnd"/>
      <w:r w:rsidRPr="00D65723">
        <w:rPr>
          <w:rFonts w:ascii="Arial" w:hAnsi="Arial" w:cs="Arial"/>
        </w:rPr>
        <w:t xml:space="preserve">, A. (2022). Effect of xylazine, detomidine, medetomidine and dexmedetomidine during laparoscopic SCNT embryo transfer on pregnancy rate and some physiological variables in goats. BMC Veterinary Research, 18(1), 98. </w:t>
      </w:r>
      <w:hyperlink r:id="rId16" w:history="1">
        <w:r w:rsidRPr="00D65723">
          <w:rPr>
            <w:rStyle w:val="Hyperlink"/>
            <w:rFonts w:ascii="Arial" w:hAnsi="Arial" w:cs="Arial"/>
          </w:rPr>
          <w:t>https://doi.org/10.1186/s12917-022-03194-8</w:t>
        </w:r>
      </w:hyperlink>
    </w:p>
    <w:p w14:paraId="69ABE3CC" w14:textId="283FC58A" w:rsidR="00503F18" w:rsidRPr="00D65723" w:rsidRDefault="00503F18" w:rsidP="00D65723">
      <w:pPr>
        <w:pStyle w:val="BodyText"/>
        <w:spacing w:after="0"/>
        <w:ind w:left="357"/>
        <w:jc w:val="both"/>
        <w:rPr>
          <w:rFonts w:ascii="Arial" w:hAnsi="Arial" w:cs="Arial"/>
        </w:rPr>
      </w:pPr>
      <w:bookmarkStart w:id="3" w:name="_Hlk217314331"/>
      <w:r w:rsidRPr="00D65723">
        <w:rPr>
          <w:rFonts w:ascii="Arial" w:hAnsi="Arial" w:cs="Arial"/>
          <w:color w:val="000000" w:themeColor="text1"/>
        </w:rPr>
        <w:t xml:space="preserve">Anitha, M. M., Ranganath, L., Shwetha, H. S., Sha, A., Shankar, B. P., Mahesh, V., &amp; Srinivas, R. B. (2018). Studies on Physiological and </w:t>
      </w:r>
      <w:proofErr w:type="spellStart"/>
      <w:r w:rsidRPr="00D65723">
        <w:rPr>
          <w:rFonts w:ascii="Arial" w:hAnsi="Arial" w:cs="Arial"/>
          <w:color w:val="000000" w:themeColor="text1"/>
        </w:rPr>
        <w:t>Hemato</w:t>
      </w:r>
      <w:proofErr w:type="spellEnd"/>
      <w:r w:rsidRPr="00D65723">
        <w:rPr>
          <w:rFonts w:ascii="Arial" w:hAnsi="Arial" w:cs="Arial"/>
          <w:color w:val="000000" w:themeColor="text1"/>
        </w:rPr>
        <w:t xml:space="preserve">-Biochemical Changes during Xylazine-Zolazepam + Tiletamine and Dexmedetomidine - Zolazepam + Tiletamine Anesthesia in Sloth Bears. International Journal of Current Microbiology and Applied Sciences, 7(12), 3562-3566. </w:t>
      </w:r>
      <w:hyperlink r:id="rId17" w:history="1">
        <w:r w:rsidRPr="00D65723">
          <w:rPr>
            <w:rStyle w:val="Hyperlink"/>
            <w:rFonts w:ascii="Arial" w:hAnsi="Arial" w:cs="Arial"/>
          </w:rPr>
          <w:t>https://doi.org/10.20546/ijcmas.2018.712.403</w:t>
        </w:r>
      </w:hyperlink>
    </w:p>
    <w:p w14:paraId="7D0BED31" w14:textId="13C6CEEA" w:rsidR="00503F18" w:rsidRPr="00D65723" w:rsidRDefault="00503F18" w:rsidP="00D65723">
      <w:pPr>
        <w:pStyle w:val="BodyText"/>
        <w:spacing w:after="0"/>
        <w:ind w:left="357"/>
        <w:jc w:val="both"/>
        <w:rPr>
          <w:rFonts w:ascii="Arial" w:hAnsi="Arial" w:cs="Arial"/>
          <w:color w:val="000000" w:themeColor="text1"/>
        </w:rPr>
      </w:pPr>
      <w:r w:rsidRPr="00D65723">
        <w:rPr>
          <w:rFonts w:ascii="Arial" w:hAnsi="Arial" w:cs="Arial"/>
        </w:rPr>
        <w:t xml:space="preserve">Carroll, G. L., Hartsfield, S. M., &amp; Hambleton, R. (1997). Anesthetic effects of tiletamine-zolazepam, alone or in combination with butorphanol, in goats. Journal of the American Veterinary Medical Association, 211(5), 593-597. </w:t>
      </w:r>
      <w:hyperlink r:id="rId18" w:history="1">
        <w:r w:rsidRPr="00D65723">
          <w:rPr>
            <w:rStyle w:val="Hyperlink"/>
            <w:rFonts w:ascii="Arial" w:hAnsi="Arial" w:cs="Arial"/>
          </w:rPr>
          <w:t>https://pubmed.ncbi.nlm.nih.gov/9290827/</w:t>
        </w:r>
      </w:hyperlink>
    </w:p>
    <w:bookmarkEnd w:id="3"/>
    <w:p w14:paraId="2CD702A1" w14:textId="39FC683C" w:rsidR="00503F18" w:rsidRPr="00D65723" w:rsidRDefault="00503F18" w:rsidP="00D65723">
      <w:pPr>
        <w:pStyle w:val="BodyText"/>
        <w:spacing w:after="0"/>
        <w:ind w:left="357"/>
        <w:jc w:val="both"/>
        <w:rPr>
          <w:rFonts w:ascii="Arial" w:hAnsi="Arial" w:cs="Arial"/>
        </w:rPr>
      </w:pPr>
      <w:r w:rsidRPr="00D65723">
        <w:rPr>
          <w:rFonts w:ascii="Arial" w:hAnsi="Arial" w:cs="Arial"/>
          <w:color w:val="000000" w:themeColor="text1"/>
        </w:rPr>
        <w:t xml:space="preserve">Eichner, R. D., Prior, R. L., &amp; Kvasnicka, W. G. (1979). Xylazine-induced hyperglycemia in beef cattle. American Journal of Veterinary Research, 40(1), 127-129. </w:t>
      </w:r>
      <w:hyperlink r:id="rId19" w:history="1">
        <w:r w:rsidRPr="00D65723">
          <w:rPr>
            <w:rStyle w:val="Hyperlink"/>
            <w:rFonts w:ascii="Arial" w:hAnsi="Arial" w:cs="Arial"/>
          </w:rPr>
          <w:t>https://doi.org/10.2460/ajvr.40.1.127</w:t>
        </w:r>
      </w:hyperlink>
    </w:p>
    <w:p w14:paraId="343F6910" w14:textId="73852E2F" w:rsidR="00503F18" w:rsidRPr="00D65723" w:rsidRDefault="00503F18" w:rsidP="00D65723">
      <w:pPr>
        <w:pStyle w:val="BodyText"/>
        <w:spacing w:after="0"/>
        <w:ind w:left="357"/>
        <w:jc w:val="both"/>
        <w:rPr>
          <w:rFonts w:ascii="Arial" w:hAnsi="Arial" w:cs="Arial"/>
        </w:rPr>
      </w:pPr>
      <w:r w:rsidRPr="00D65723">
        <w:rPr>
          <w:rFonts w:ascii="Arial" w:hAnsi="Arial" w:cs="Arial"/>
        </w:rPr>
        <w:t xml:space="preserve">Hampton, C. E., Riebold, T. W., &amp; </w:t>
      </w:r>
      <w:proofErr w:type="spellStart"/>
      <w:r w:rsidRPr="00D65723">
        <w:rPr>
          <w:rFonts w:ascii="Arial" w:hAnsi="Arial" w:cs="Arial"/>
        </w:rPr>
        <w:t>Mandsager</w:t>
      </w:r>
      <w:proofErr w:type="spellEnd"/>
      <w:r w:rsidRPr="00D65723">
        <w:rPr>
          <w:rFonts w:ascii="Arial" w:hAnsi="Arial" w:cs="Arial"/>
        </w:rPr>
        <w:t xml:space="preserve">, R. E. (2019). Recovery characteristics of dogs following anesthesia induced with tiletamine-zolazepam, </w:t>
      </w:r>
      <w:proofErr w:type="spellStart"/>
      <w:r w:rsidRPr="00D65723">
        <w:rPr>
          <w:rFonts w:ascii="Arial" w:hAnsi="Arial" w:cs="Arial"/>
        </w:rPr>
        <w:t>alfaxalone</w:t>
      </w:r>
      <w:proofErr w:type="spellEnd"/>
      <w:r w:rsidRPr="00D65723">
        <w:rPr>
          <w:rFonts w:ascii="Arial" w:hAnsi="Arial" w:cs="Arial"/>
        </w:rPr>
        <w:t xml:space="preserve">, ketamine-diazepam, or propofol and maintained with isoflurane. Journal of the American Veterinary Medical Association, 254(12), 1421-1426. </w:t>
      </w:r>
      <w:hyperlink r:id="rId20" w:history="1">
        <w:r w:rsidRPr="00D65723">
          <w:rPr>
            <w:rStyle w:val="Hyperlink"/>
            <w:rFonts w:ascii="Arial" w:hAnsi="Arial" w:cs="Arial"/>
          </w:rPr>
          <w:t>https://doi.org/10.2460/javma.254.12.1421</w:t>
        </w:r>
      </w:hyperlink>
    </w:p>
    <w:p w14:paraId="4B225D62" w14:textId="5AE0BB64" w:rsidR="00503F18" w:rsidRPr="00D65723" w:rsidRDefault="00503F18" w:rsidP="00D65723">
      <w:pPr>
        <w:pStyle w:val="Body"/>
        <w:spacing w:after="0"/>
        <w:ind w:left="357"/>
        <w:rPr>
          <w:rFonts w:ascii="Arial" w:hAnsi="Arial" w:cs="Arial"/>
        </w:rPr>
      </w:pPr>
      <w:r w:rsidRPr="00D65723">
        <w:rPr>
          <w:rFonts w:ascii="Arial" w:hAnsi="Arial" w:cs="Arial"/>
        </w:rPr>
        <w:t xml:space="preserve">Hopster, K., Müller, C., Hopster-Iversen, C., Stahl, J., Rohn, K., &amp; Kästner, S. (2014). Effects of dexmedetomidine and xylazine on cardiovascular function during total intravenous </w:t>
      </w:r>
      <w:proofErr w:type="spellStart"/>
      <w:r w:rsidRPr="00D65723">
        <w:rPr>
          <w:rFonts w:ascii="Arial" w:hAnsi="Arial" w:cs="Arial"/>
        </w:rPr>
        <w:t>anaesthesia</w:t>
      </w:r>
      <w:proofErr w:type="spellEnd"/>
      <w:r w:rsidRPr="00D65723">
        <w:rPr>
          <w:rFonts w:ascii="Arial" w:hAnsi="Arial" w:cs="Arial"/>
        </w:rPr>
        <w:t xml:space="preserve"> with midazolam and ketamine and recovery quality and duration in horses. Veterinary </w:t>
      </w:r>
      <w:proofErr w:type="spellStart"/>
      <w:r w:rsidRPr="00D65723">
        <w:rPr>
          <w:rFonts w:ascii="Arial" w:hAnsi="Arial" w:cs="Arial"/>
        </w:rPr>
        <w:t>Anaesthesia</w:t>
      </w:r>
      <w:proofErr w:type="spellEnd"/>
      <w:r w:rsidRPr="00D65723">
        <w:rPr>
          <w:rFonts w:ascii="Arial" w:hAnsi="Arial" w:cs="Arial"/>
        </w:rPr>
        <w:t xml:space="preserve"> and Analgesia, 41(1), 25-35. </w:t>
      </w:r>
      <w:hyperlink r:id="rId21" w:history="1">
        <w:r w:rsidRPr="00D65723">
          <w:rPr>
            <w:rStyle w:val="Hyperlink"/>
            <w:rFonts w:ascii="Arial" w:hAnsi="Arial" w:cs="Arial"/>
          </w:rPr>
          <w:t>https://doi.org/10.1111/vaa.12095</w:t>
        </w:r>
      </w:hyperlink>
    </w:p>
    <w:p w14:paraId="7E1BF41D" w14:textId="2497A0A0" w:rsidR="00503F18" w:rsidRPr="00D65723" w:rsidRDefault="00503F18" w:rsidP="00D65723">
      <w:pPr>
        <w:pStyle w:val="BodyText"/>
        <w:spacing w:after="0"/>
        <w:ind w:left="357"/>
        <w:jc w:val="both"/>
        <w:rPr>
          <w:rFonts w:ascii="Arial" w:hAnsi="Arial" w:cs="Arial"/>
        </w:rPr>
      </w:pPr>
      <w:r w:rsidRPr="00D65723">
        <w:rPr>
          <w:rFonts w:ascii="Arial" w:hAnsi="Arial" w:cs="Arial"/>
        </w:rPr>
        <w:t xml:space="preserve">Ibrahim, A. (2017). Evaluation of total intra-venous anesthesia by ketamine-xylazine constant rate infusion in dogs: A novel preliminary dose study. Veterinary Medicine Open Journal, 2(2), 38-44. </w:t>
      </w:r>
      <w:hyperlink r:id="rId22" w:history="1">
        <w:r w:rsidRPr="00D65723">
          <w:rPr>
            <w:rStyle w:val="Hyperlink"/>
            <w:rFonts w:ascii="Arial" w:hAnsi="Arial" w:cs="Arial"/>
          </w:rPr>
          <w:t>https://doi.org/10.17140/VMOJ-2-114</w:t>
        </w:r>
      </w:hyperlink>
    </w:p>
    <w:p w14:paraId="1A52C773" w14:textId="56F1918A" w:rsidR="00503F18" w:rsidRPr="00D65723" w:rsidRDefault="00503F18" w:rsidP="00D65723">
      <w:pPr>
        <w:ind w:left="357"/>
        <w:jc w:val="both"/>
        <w:rPr>
          <w:rFonts w:ascii="Arial" w:hAnsi="Arial" w:cs="Arial"/>
        </w:rPr>
      </w:pPr>
      <w:r w:rsidRPr="00D65723">
        <w:rPr>
          <w:rFonts w:ascii="Arial" w:hAnsi="Arial" w:cs="Arial"/>
        </w:rPr>
        <w:t xml:space="preserve">Jiang, S., Fan, H. G., Lu, D. Z., Hou, J. L., Song, X. D., Wang, Y., &amp; Wang, H. B. (2014). Effects of the tiletamine/zolazepam-xylazine-tramadol combination on plasma oxidative status and </w:t>
      </w:r>
      <w:proofErr w:type="spellStart"/>
      <w:r w:rsidRPr="00D65723">
        <w:rPr>
          <w:rFonts w:ascii="Arial" w:hAnsi="Arial" w:cs="Arial"/>
        </w:rPr>
        <w:t>haematological</w:t>
      </w:r>
      <w:proofErr w:type="spellEnd"/>
      <w:r w:rsidRPr="00D65723">
        <w:rPr>
          <w:rFonts w:ascii="Arial" w:hAnsi="Arial" w:cs="Arial"/>
        </w:rPr>
        <w:t xml:space="preserve"> indicators in miniature pigs. Acta </w:t>
      </w:r>
      <w:proofErr w:type="spellStart"/>
      <w:r w:rsidRPr="00D65723">
        <w:rPr>
          <w:rFonts w:ascii="Arial" w:hAnsi="Arial" w:cs="Arial"/>
        </w:rPr>
        <w:t>Veterinaria</w:t>
      </w:r>
      <w:proofErr w:type="spellEnd"/>
      <w:r w:rsidRPr="00D65723">
        <w:rPr>
          <w:rFonts w:ascii="Arial" w:hAnsi="Arial" w:cs="Arial"/>
        </w:rPr>
        <w:t xml:space="preserve"> Brno, 83(2), 145-149. </w:t>
      </w:r>
      <w:hyperlink r:id="rId23" w:history="1">
        <w:r w:rsidRPr="00D65723">
          <w:rPr>
            <w:rStyle w:val="Hyperlink"/>
            <w:rFonts w:ascii="Arial" w:hAnsi="Arial" w:cs="Arial"/>
          </w:rPr>
          <w:t>https://doi.org/10.2754/avb201483020145</w:t>
        </w:r>
      </w:hyperlink>
    </w:p>
    <w:p w14:paraId="7BC98EAE" w14:textId="2DD0E46B" w:rsidR="00503F18" w:rsidRPr="00D65723" w:rsidRDefault="00503F18" w:rsidP="00D65723">
      <w:pPr>
        <w:pStyle w:val="BodyText"/>
        <w:spacing w:after="0"/>
        <w:ind w:left="357"/>
        <w:jc w:val="both"/>
        <w:rPr>
          <w:rFonts w:ascii="Arial" w:hAnsi="Arial" w:cs="Arial"/>
          <w:color w:val="000000" w:themeColor="text1"/>
        </w:rPr>
      </w:pPr>
      <w:r w:rsidRPr="00D65723">
        <w:rPr>
          <w:rFonts w:ascii="Arial" w:hAnsi="Arial" w:cs="Arial"/>
          <w:color w:val="000000" w:themeColor="text1"/>
        </w:rPr>
        <w:t xml:space="preserve">Koli, P. H., Parikh, P. V., Mahla, J. K., &amp; Barot, H. M. (2021). Clinical attributes of tiletamine-zolazepam induced anesthesia with and without xylazine premedication in dogs. Indian Journal of Veterinary Sciences and Biotechnology. </w:t>
      </w:r>
      <w:hyperlink r:id="rId24" w:history="1">
        <w:r w:rsidRPr="00D65723">
          <w:rPr>
            <w:rStyle w:val="Hyperlink"/>
            <w:rFonts w:ascii="Arial" w:hAnsi="Arial" w:cs="Arial"/>
          </w:rPr>
          <w:t>https://doi.org/10.21887/ijvsbt.17.4.13</w:t>
        </w:r>
      </w:hyperlink>
    </w:p>
    <w:p w14:paraId="75D3C4AC" w14:textId="2E11B7FE" w:rsidR="00503F18" w:rsidRPr="00D65723" w:rsidRDefault="00503F18" w:rsidP="00D65723">
      <w:pPr>
        <w:ind w:left="357"/>
        <w:jc w:val="both"/>
        <w:rPr>
          <w:rFonts w:ascii="Arial" w:hAnsi="Arial" w:cs="Arial"/>
        </w:rPr>
      </w:pPr>
      <w:r w:rsidRPr="00D65723">
        <w:rPr>
          <w:rFonts w:ascii="Arial" w:hAnsi="Arial" w:cs="Arial"/>
          <w:color w:val="000000" w:themeColor="text1"/>
        </w:rPr>
        <w:t xml:space="preserve">Kumar, R., </w:t>
      </w:r>
      <w:proofErr w:type="spellStart"/>
      <w:r w:rsidRPr="00D65723">
        <w:rPr>
          <w:rFonts w:ascii="Arial" w:hAnsi="Arial" w:cs="Arial"/>
          <w:color w:val="000000" w:themeColor="text1"/>
        </w:rPr>
        <w:t>Kinjavdekar</w:t>
      </w:r>
      <w:proofErr w:type="spellEnd"/>
      <w:r w:rsidRPr="00D65723">
        <w:rPr>
          <w:rFonts w:ascii="Arial" w:hAnsi="Arial" w:cs="Arial"/>
          <w:color w:val="000000" w:themeColor="text1"/>
        </w:rPr>
        <w:t xml:space="preserve">, P., Amarpal, Aithal, H. P., </w:t>
      </w:r>
      <w:proofErr w:type="spellStart"/>
      <w:r w:rsidRPr="00D65723">
        <w:rPr>
          <w:rFonts w:ascii="Arial" w:hAnsi="Arial" w:cs="Arial"/>
          <w:color w:val="000000" w:themeColor="text1"/>
        </w:rPr>
        <w:t>Pawde</w:t>
      </w:r>
      <w:proofErr w:type="spellEnd"/>
      <w:r w:rsidRPr="00D65723">
        <w:rPr>
          <w:rFonts w:ascii="Arial" w:hAnsi="Arial" w:cs="Arial"/>
          <w:color w:val="000000" w:themeColor="text1"/>
        </w:rPr>
        <w:t xml:space="preserve">, A. M., Kumar, A., Singh, J., </w:t>
      </w:r>
      <w:proofErr w:type="spellStart"/>
      <w:r w:rsidRPr="00D65723">
        <w:rPr>
          <w:rFonts w:ascii="Arial" w:hAnsi="Arial" w:cs="Arial"/>
          <w:color w:val="000000" w:themeColor="text1"/>
        </w:rPr>
        <w:t>Khattri</w:t>
      </w:r>
      <w:proofErr w:type="spellEnd"/>
      <w:r w:rsidRPr="00D65723">
        <w:rPr>
          <w:rFonts w:ascii="Arial" w:hAnsi="Arial" w:cs="Arial"/>
          <w:color w:val="000000" w:themeColor="text1"/>
        </w:rPr>
        <w:t xml:space="preserve">, S., &amp; Madhu, D. N. (2014). </w:t>
      </w:r>
      <w:proofErr w:type="spellStart"/>
      <w:r w:rsidRPr="00D65723">
        <w:rPr>
          <w:rFonts w:ascii="Arial" w:hAnsi="Arial" w:cs="Arial"/>
          <w:color w:val="000000" w:themeColor="text1"/>
        </w:rPr>
        <w:t>Clinicophysiological</w:t>
      </w:r>
      <w:proofErr w:type="spellEnd"/>
      <w:r w:rsidRPr="00D65723">
        <w:rPr>
          <w:rFonts w:ascii="Arial" w:hAnsi="Arial" w:cs="Arial"/>
          <w:color w:val="000000" w:themeColor="text1"/>
        </w:rPr>
        <w:t xml:space="preserve">, </w:t>
      </w:r>
      <w:proofErr w:type="spellStart"/>
      <w:r w:rsidRPr="00D65723">
        <w:rPr>
          <w:rFonts w:ascii="Arial" w:hAnsi="Arial" w:cs="Arial"/>
          <w:color w:val="000000" w:themeColor="text1"/>
        </w:rPr>
        <w:t>haematobiochemical</w:t>
      </w:r>
      <w:proofErr w:type="spellEnd"/>
      <w:r w:rsidRPr="00D65723">
        <w:rPr>
          <w:rFonts w:ascii="Arial" w:hAnsi="Arial" w:cs="Arial"/>
          <w:color w:val="000000" w:themeColor="text1"/>
        </w:rPr>
        <w:t xml:space="preserve"> and </w:t>
      </w:r>
      <w:proofErr w:type="spellStart"/>
      <w:r w:rsidRPr="00D65723">
        <w:rPr>
          <w:rFonts w:ascii="Arial" w:hAnsi="Arial" w:cs="Arial"/>
          <w:color w:val="000000" w:themeColor="text1"/>
        </w:rPr>
        <w:t>haemodynamic</w:t>
      </w:r>
      <w:proofErr w:type="spellEnd"/>
      <w:r w:rsidRPr="00D65723">
        <w:rPr>
          <w:rFonts w:ascii="Arial" w:hAnsi="Arial" w:cs="Arial"/>
          <w:color w:val="000000" w:themeColor="text1"/>
        </w:rPr>
        <w:t xml:space="preserve"> effect of propofol and ketamine with dexmedetomidine in urolithic goats. Veterinary World, 7(8), 566-573. </w:t>
      </w:r>
      <w:hyperlink r:id="rId25" w:history="1">
        <w:r w:rsidRPr="00D65723">
          <w:rPr>
            <w:rStyle w:val="Hyperlink"/>
            <w:rFonts w:ascii="Arial" w:hAnsi="Arial" w:cs="Arial"/>
          </w:rPr>
          <w:t>https://doi.org/10.14202/vetworld.2014.566-573</w:t>
        </w:r>
      </w:hyperlink>
    </w:p>
    <w:p w14:paraId="043F813B" w14:textId="1B06CAB9" w:rsidR="00503F18" w:rsidRPr="00D65723" w:rsidRDefault="00503F18" w:rsidP="00D65723">
      <w:pPr>
        <w:ind w:left="357"/>
        <w:jc w:val="both"/>
        <w:rPr>
          <w:rFonts w:ascii="Arial" w:hAnsi="Arial" w:cs="Arial"/>
        </w:rPr>
      </w:pPr>
      <w:r w:rsidRPr="00D65723">
        <w:rPr>
          <w:rFonts w:ascii="Arial" w:hAnsi="Arial" w:cs="Arial"/>
        </w:rPr>
        <w:lastRenderedPageBreak/>
        <w:t xml:space="preserve">Kumar, R., </w:t>
      </w:r>
      <w:proofErr w:type="spellStart"/>
      <w:r w:rsidRPr="00D65723">
        <w:rPr>
          <w:rFonts w:ascii="Arial" w:hAnsi="Arial" w:cs="Arial"/>
        </w:rPr>
        <w:t>Kinjavdekar</w:t>
      </w:r>
      <w:proofErr w:type="spellEnd"/>
      <w:r w:rsidRPr="00D65723">
        <w:rPr>
          <w:rFonts w:ascii="Arial" w:hAnsi="Arial" w:cs="Arial"/>
        </w:rPr>
        <w:t xml:space="preserve">, P., Amarpal, A., Aithal, H. P., </w:t>
      </w:r>
      <w:proofErr w:type="spellStart"/>
      <w:r w:rsidRPr="00D65723">
        <w:rPr>
          <w:rFonts w:ascii="Arial" w:hAnsi="Arial" w:cs="Arial"/>
        </w:rPr>
        <w:t>Pawde</w:t>
      </w:r>
      <w:proofErr w:type="spellEnd"/>
      <w:r w:rsidRPr="00D65723">
        <w:rPr>
          <w:rFonts w:ascii="Arial" w:hAnsi="Arial" w:cs="Arial"/>
        </w:rPr>
        <w:t xml:space="preserve">, A. M., Singh, J., &amp; </w:t>
      </w:r>
      <w:proofErr w:type="spellStart"/>
      <w:r w:rsidRPr="00D65723">
        <w:rPr>
          <w:rFonts w:ascii="Arial" w:hAnsi="Arial" w:cs="Arial"/>
        </w:rPr>
        <w:t>Khattri</w:t>
      </w:r>
      <w:proofErr w:type="spellEnd"/>
      <w:r w:rsidRPr="00D65723">
        <w:rPr>
          <w:rFonts w:ascii="Arial" w:hAnsi="Arial" w:cs="Arial"/>
        </w:rPr>
        <w:t xml:space="preserve">, S. (2018). Comparative evaluation of propofol and ketamine total intravenous </w:t>
      </w:r>
      <w:proofErr w:type="spellStart"/>
      <w:r w:rsidRPr="00D65723">
        <w:rPr>
          <w:rFonts w:ascii="Arial" w:hAnsi="Arial" w:cs="Arial"/>
        </w:rPr>
        <w:t>anaesthesia</w:t>
      </w:r>
      <w:proofErr w:type="spellEnd"/>
      <w:r w:rsidRPr="00D65723">
        <w:rPr>
          <w:rFonts w:ascii="Arial" w:hAnsi="Arial" w:cs="Arial"/>
        </w:rPr>
        <w:t xml:space="preserve"> (TIVA) with dexmedetomidine and butorphanol in goats. The Indian Journal of Animal Sciences, 88(6), 667-671. </w:t>
      </w:r>
      <w:hyperlink r:id="rId26" w:history="1">
        <w:r w:rsidRPr="00D65723">
          <w:rPr>
            <w:rStyle w:val="Hyperlink"/>
            <w:rFonts w:ascii="Arial" w:hAnsi="Arial" w:cs="Arial"/>
          </w:rPr>
          <w:t>https://doi.org/10.56093/ijans.v88i6.80881</w:t>
        </w:r>
      </w:hyperlink>
    </w:p>
    <w:p w14:paraId="0B21CD9B" w14:textId="707C5C0E" w:rsidR="00503F18" w:rsidRPr="00D65723" w:rsidRDefault="00503F18" w:rsidP="00D65723">
      <w:pPr>
        <w:pStyle w:val="BodyText"/>
        <w:spacing w:after="0"/>
        <w:ind w:left="357"/>
        <w:jc w:val="both"/>
        <w:rPr>
          <w:rFonts w:ascii="Arial" w:hAnsi="Arial" w:cs="Arial"/>
        </w:rPr>
      </w:pPr>
      <w:r w:rsidRPr="00D65723">
        <w:rPr>
          <w:rFonts w:ascii="Arial" w:hAnsi="Arial" w:cs="Arial"/>
        </w:rPr>
        <w:t xml:space="preserve">Lin, H., Caldwell, F., &amp; Pugh, D. G. (2012). Anesthetic management. In D. G. Pugh &amp; A. N. Baird (Eds.), Sheep and goat medicine (2nd ed., pp. 517-538). Elsevier Saunders. </w:t>
      </w:r>
      <w:hyperlink r:id="rId27" w:history="1">
        <w:r w:rsidRPr="00D65723">
          <w:rPr>
            <w:rStyle w:val="Hyperlink"/>
            <w:rFonts w:ascii="Arial" w:hAnsi="Arial" w:cs="Arial"/>
          </w:rPr>
          <w:t>https://www.elsevier.com/books/sheep-and-goat-medicine/pugh/978-1-4377-2353-3</w:t>
        </w:r>
      </w:hyperlink>
    </w:p>
    <w:p w14:paraId="1AD6257B" w14:textId="637D7B9A" w:rsidR="00503F18" w:rsidRPr="00D65723" w:rsidRDefault="00503F18" w:rsidP="00D65723">
      <w:pPr>
        <w:pStyle w:val="BodyText"/>
        <w:spacing w:after="0"/>
        <w:ind w:left="357"/>
        <w:jc w:val="both"/>
        <w:rPr>
          <w:rFonts w:ascii="Arial" w:hAnsi="Arial" w:cs="Arial"/>
          <w:lang w:val="en-IN"/>
        </w:rPr>
      </w:pPr>
      <w:r w:rsidRPr="00D65723">
        <w:rPr>
          <w:rFonts w:ascii="Arial" w:hAnsi="Arial" w:cs="Arial"/>
        </w:rPr>
        <w:t xml:space="preserve">McSweeney, P. M., Martin, D. D., Ramsey, D. S., &amp; McKusick, B. C. (2012). Clinical efficacy and safety of dexmedetomidine used as a preanesthetic prior to general anesthesia in cats. Journal of the American Veterinary Medical Association, 240(4), 404-412. </w:t>
      </w:r>
      <w:hyperlink r:id="rId28" w:history="1">
        <w:r w:rsidRPr="00D65723">
          <w:rPr>
            <w:rStyle w:val="Hyperlink"/>
            <w:rFonts w:ascii="Arial" w:hAnsi="Arial" w:cs="Arial"/>
          </w:rPr>
          <w:t>https://doi.org/10.2460/javma.240.4.404</w:t>
        </w:r>
      </w:hyperlink>
    </w:p>
    <w:p w14:paraId="119F7799" w14:textId="54098E54" w:rsidR="00503F18" w:rsidRPr="00D65723" w:rsidRDefault="00503F18" w:rsidP="00D65723">
      <w:pPr>
        <w:pStyle w:val="BodyText"/>
        <w:spacing w:after="0"/>
        <w:ind w:left="357"/>
        <w:jc w:val="both"/>
        <w:rPr>
          <w:rFonts w:ascii="Arial" w:hAnsi="Arial" w:cs="Arial"/>
        </w:rPr>
      </w:pPr>
      <w:proofErr w:type="spellStart"/>
      <w:r w:rsidRPr="00D65723">
        <w:rPr>
          <w:rFonts w:ascii="Arial" w:hAnsi="Arial" w:cs="Arial"/>
        </w:rPr>
        <w:t>Nahvi</w:t>
      </w:r>
      <w:proofErr w:type="spellEnd"/>
      <w:r w:rsidRPr="00D65723">
        <w:rPr>
          <w:rFonts w:ascii="Arial" w:hAnsi="Arial" w:cs="Arial"/>
        </w:rPr>
        <w:t xml:space="preserve">, A., Molaei, M. M., Samimi, A. S., Azari, O., Mashayekhi, H., &amp; Ebrahimzadeh, F. (2022). Evaluation of the sedative and physiological effects of xylazine, detomidine, medetomidine and dexmedetomidine in goats. Veterinary Medicine and Science, 8(3), 1205-1210. </w:t>
      </w:r>
      <w:hyperlink r:id="rId29" w:history="1">
        <w:r w:rsidRPr="00D65723">
          <w:rPr>
            <w:rStyle w:val="Hyperlink"/>
            <w:rFonts w:ascii="Arial" w:hAnsi="Arial" w:cs="Arial"/>
          </w:rPr>
          <w:t>https://doi.org/10.1002/vms3.732</w:t>
        </w:r>
      </w:hyperlink>
    </w:p>
    <w:p w14:paraId="5D93C2F0" w14:textId="6FA190AE" w:rsidR="00503F18" w:rsidRPr="00D65723" w:rsidRDefault="00503F18" w:rsidP="00D65723">
      <w:pPr>
        <w:ind w:left="357"/>
        <w:jc w:val="both"/>
        <w:rPr>
          <w:rFonts w:ascii="Arial" w:hAnsi="Arial" w:cs="Arial"/>
        </w:rPr>
      </w:pPr>
      <w:proofErr w:type="spellStart"/>
      <w:r w:rsidRPr="00D65723">
        <w:rPr>
          <w:rFonts w:ascii="Arial" w:hAnsi="Arial" w:cs="Arial"/>
        </w:rPr>
        <w:t>Onmaz</w:t>
      </w:r>
      <w:proofErr w:type="spellEnd"/>
      <w:r w:rsidRPr="00D65723">
        <w:rPr>
          <w:rFonts w:ascii="Arial" w:hAnsi="Arial" w:cs="Arial"/>
        </w:rPr>
        <w:t xml:space="preserve">, A. C., Gunes, V., </w:t>
      </w:r>
      <w:proofErr w:type="spellStart"/>
      <w:r w:rsidRPr="00D65723">
        <w:rPr>
          <w:rFonts w:ascii="Arial" w:hAnsi="Arial" w:cs="Arial"/>
        </w:rPr>
        <w:t>Atalan</w:t>
      </w:r>
      <w:proofErr w:type="spellEnd"/>
      <w:r w:rsidRPr="00D65723">
        <w:rPr>
          <w:rFonts w:ascii="Arial" w:hAnsi="Arial" w:cs="Arial"/>
        </w:rPr>
        <w:t xml:space="preserve">, G., Gelfert, C. C., &amp; </w:t>
      </w:r>
      <w:proofErr w:type="spellStart"/>
      <w:r w:rsidRPr="00D65723">
        <w:rPr>
          <w:rFonts w:ascii="Arial" w:hAnsi="Arial" w:cs="Arial"/>
        </w:rPr>
        <w:t>Atalan</w:t>
      </w:r>
      <w:proofErr w:type="spellEnd"/>
      <w:r w:rsidRPr="00D65723">
        <w:rPr>
          <w:rFonts w:ascii="Arial" w:hAnsi="Arial" w:cs="Arial"/>
        </w:rPr>
        <w:t xml:space="preserve">, G. (2009). Comparison of arterial and venous blood gas values in sheep before and during isoflurane </w:t>
      </w:r>
      <w:proofErr w:type="spellStart"/>
      <w:r w:rsidRPr="00D65723">
        <w:rPr>
          <w:rFonts w:ascii="Arial" w:hAnsi="Arial" w:cs="Arial"/>
        </w:rPr>
        <w:t>anaesthesia</w:t>
      </w:r>
      <w:proofErr w:type="spellEnd"/>
      <w:r w:rsidRPr="00D65723">
        <w:rPr>
          <w:rFonts w:ascii="Arial" w:hAnsi="Arial" w:cs="Arial"/>
        </w:rPr>
        <w:t xml:space="preserve">. Revue </w:t>
      </w:r>
      <w:proofErr w:type="spellStart"/>
      <w:r w:rsidRPr="00D65723">
        <w:rPr>
          <w:rFonts w:ascii="Arial" w:hAnsi="Arial" w:cs="Arial"/>
        </w:rPr>
        <w:t>Méd</w:t>
      </w:r>
      <w:proofErr w:type="spellEnd"/>
      <w:r w:rsidRPr="00D65723">
        <w:rPr>
          <w:rFonts w:ascii="Arial" w:hAnsi="Arial" w:cs="Arial"/>
        </w:rPr>
        <w:t xml:space="preserve">. </w:t>
      </w:r>
      <w:proofErr w:type="spellStart"/>
      <w:r w:rsidRPr="00D65723">
        <w:rPr>
          <w:rFonts w:ascii="Arial" w:hAnsi="Arial" w:cs="Arial"/>
        </w:rPr>
        <w:t>Vét</w:t>
      </w:r>
      <w:proofErr w:type="spellEnd"/>
      <w:r w:rsidRPr="00D65723">
        <w:rPr>
          <w:rFonts w:ascii="Arial" w:hAnsi="Arial" w:cs="Arial"/>
        </w:rPr>
        <w:t xml:space="preserve">., 160(7), 356-361. </w:t>
      </w:r>
      <w:hyperlink r:id="rId30" w:history="1">
        <w:r w:rsidRPr="00D65723">
          <w:rPr>
            <w:rStyle w:val="Hyperlink"/>
            <w:rFonts w:ascii="Arial" w:hAnsi="Arial" w:cs="Arial"/>
          </w:rPr>
          <w:t>https://www.revmedvet.com/artdes-us.php?id=1729</w:t>
        </w:r>
      </w:hyperlink>
    </w:p>
    <w:p w14:paraId="321876A7" w14:textId="2E35B5FF" w:rsidR="007D4C94" w:rsidRPr="00D65723" w:rsidRDefault="007D4C94" w:rsidP="00D65723">
      <w:pPr>
        <w:ind w:left="357"/>
        <w:jc w:val="both"/>
        <w:rPr>
          <w:rFonts w:ascii="Arial" w:hAnsi="Arial" w:cs="Arial"/>
        </w:rPr>
      </w:pPr>
      <w:r w:rsidRPr="00D65723">
        <w:rPr>
          <w:rFonts w:ascii="Arial" w:hAnsi="Arial" w:cs="Arial"/>
        </w:rPr>
        <w:t xml:space="preserve">Plumb, D. C. </w:t>
      </w:r>
      <w:r w:rsidR="00A617D3" w:rsidRPr="00D65723">
        <w:rPr>
          <w:rFonts w:ascii="Arial" w:hAnsi="Arial" w:cs="Arial"/>
        </w:rPr>
        <w:t>(</w:t>
      </w:r>
      <w:r w:rsidRPr="00D65723">
        <w:rPr>
          <w:rFonts w:ascii="Arial" w:hAnsi="Arial" w:cs="Arial"/>
        </w:rPr>
        <w:t>2008</w:t>
      </w:r>
      <w:r w:rsidR="00A617D3" w:rsidRPr="00D65723">
        <w:rPr>
          <w:rFonts w:ascii="Arial" w:hAnsi="Arial" w:cs="Arial"/>
        </w:rPr>
        <w:t>)</w:t>
      </w:r>
      <w:r w:rsidRPr="00D65723">
        <w:rPr>
          <w:rFonts w:ascii="Arial" w:hAnsi="Arial" w:cs="Arial"/>
        </w:rPr>
        <w:t>. Plumb’s Veterinary Drug Handbook. (8</w:t>
      </w:r>
      <w:r w:rsidRPr="00D65723">
        <w:rPr>
          <w:rFonts w:ascii="Arial" w:hAnsi="Arial" w:cs="Arial"/>
          <w:vertAlign w:val="superscript"/>
        </w:rPr>
        <w:t>th</w:t>
      </w:r>
      <w:r w:rsidRPr="00D65723">
        <w:rPr>
          <w:rFonts w:ascii="Arial" w:hAnsi="Arial" w:cs="Arial"/>
        </w:rPr>
        <w:t xml:space="preserve"> Ed.). Blackwell</w:t>
      </w:r>
      <w:r w:rsidRPr="00D65723">
        <w:rPr>
          <w:rFonts w:ascii="Arial" w:hAnsi="Arial" w:cs="Arial"/>
          <w:spacing w:val="1"/>
        </w:rPr>
        <w:t xml:space="preserve"> </w:t>
      </w:r>
      <w:r w:rsidRPr="00D65723">
        <w:rPr>
          <w:rFonts w:ascii="Arial" w:hAnsi="Arial" w:cs="Arial"/>
        </w:rPr>
        <w:t>Publishing</w:t>
      </w:r>
      <w:r w:rsidRPr="00D65723">
        <w:rPr>
          <w:rFonts w:ascii="Arial" w:hAnsi="Arial" w:cs="Arial"/>
          <w:spacing w:val="-1"/>
        </w:rPr>
        <w:t xml:space="preserve"> </w:t>
      </w:r>
      <w:r w:rsidRPr="00D65723">
        <w:rPr>
          <w:rFonts w:ascii="Arial" w:hAnsi="Arial" w:cs="Arial"/>
        </w:rPr>
        <w:t>Professional,</w:t>
      </w:r>
      <w:r w:rsidRPr="00D65723">
        <w:rPr>
          <w:rFonts w:ascii="Arial" w:hAnsi="Arial" w:cs="Arial"/>
          <w:spacing w:val="-2"/>
        </w:rPr>
        <w:t xml:space="preserve"> </w:t>
      </w:r>
      <w:r w:rsidRPr="00D65723">
        <w:rPr>
          <w:rFonts w:ascii="Arial" w:hAnsi="Arial" w:cs="Arial"/>
        </w:rPr>
        <w:t>Iowa,</w:t>
      </w:r>
      <w:r w:rsidR="003271C1" w:rsidRPr="00D65723">
        <w:rPr>
          <w:rFonts w:ascii="Arial" w:hAnsi="Arial" w:cs="Arial"/>
        </w:rPr>
        <w:t xml:space="preserve"> USA</w:t>
      </w:r>
    </w:p>
    <w:p w14:paraId="49C22F20" w14:textId="55ECC03A" w:rsidR="00503F18" w:rsidRPr="00D65723" w:rsidRDefault="00503F18" w:rsidP="00D65723">
      <w:pPr>
        <w:pStyle w:val="BodyText"/>
        <w:spacing w:after="0"/>
        <w:ind w:left="357"/>
        <w:jc w:val="both"/>
        <w:rPr>
          <w:rFonts w:ascii="Arial" w:hAnsi="Arial" w:cs="Arial"/>
        </w:rPr>
      </w:pPr>
      <w:r w:rsidRPr="00D65723">
        <w:rPr>
          <w:rFonts w:ascii="Arial" w:hAnsi="Arial" w:cs="Arial"/>
        </w:rPr>
        <w:t xml:space="preserve">Praveen, M. K. (2021). Clinical efficacy of midazolam-ketamine-isoflurane </w:t>
      </w:r>
      <w:proofErr w:type="spellStart"/>
      <w:r w:rsidRPr="00D65723">
        <w:rPr>
          <w:rFonts w:ascii="Arial" w:hAnsi="Arial" w:cs="Arial"/>
        </w:rPr>
        <w:t>anaesthesia</w:t>
      </w:r>
      <w:proofErr w:type="spellEnd"/>
      <w:r w:rsidRPr="00D65723">
        <w:rPr>
          <w:rFonts w:ascii="Arial" w:hAnsi="Arial" w:cs="Arial"/>
        </w:rPr>
        <w:t xml:space="preserve"> in butorphanol-xylazine premedicated bovines (M.V. Sc thesis). Kerala Veterinary and Animal Sciences University, </w:t>
      </w:r>
      <w:proofErr w:type="spellStart"/>
      <w:r w:rsidRPr="00D65723">
        <w:rPr>
          <w:rFonts w:ascii="Arial" w:hAnsi="Arial" w:cs="Arial"/>
        </w:rPr>
        <w:t>Pookode</w:t>
      </w:r>
      <w:proofErr w:type="spellEnd"/>
      <w:r w:rsidRPr="00D65723">
        <w:rPr>
          <w:rFonts w:ascii="Arial" w:hAnsi="Arial" w:cs="Arial"/>
        </w:rPr>
        <w:t xml:space="preserve">. </w:t>
      </w:r>
      <w:hyperlink r:id="rId31" w:history="1">
        <w:r w:rsidRPr="00D65723">
          <w:rPr>
            <w:rStyle w:val="Hyperlink"/>
            <w:rFonts w:ascii="Arial" w:hAnsi="Arial" w:cs="Arial"/>
          </w:rPr>
          <w:t>https://krishikosh.egranth.ac.in/handle/1/5818900</w:t>
        </w:r>
      </w:hyperlink>
    </w:p>
    <w:p w14:paraId="20DFA7E1" w14:textId="32310527" w:rsidR="00503F18" w:rsidRPr="00D65723" w:rsidRDefault="00503F18" w:rsidP="00D65723">
      <w:pPr>
        <w:pStyle w:val="BodyText"/>
        <w:spacing w:after="0"/>
        <w:ind w:left="357"/>
        <w:jc w:val="both"/>
        <w:rPr>
          <w:rFonts w:ascii="Arial" w:hAnsi="Arial" w:cs="Arial"/>
        </w:rPr>
      </w:pPr>
      <w:r w:rsidRPr="00D65723">
        <w:rPr>
          <w:rFonts w:ascii="Arial" w:hAnsi="Arial" w:cs="Arial"/>
        </w:rPr>
        <w:t xml:space="preserve">Ragab, G., Hassan, S. E., Fathi, M. Z., &amp; Hagag, U. (2022). </w:t>
      </w:r>
      <w:proofErr w:type="spellStart"/>
      <w:r w:rsidRPr="00D65723">
        <w:rPr>
          <w:rFonts w:ascii="Arial" w:hAnsi="Arial" w:cs="Arial"/>
        </w:rPr>
        <w:t>Clinicophysiological</w:t>
      </w:r>
      <w:proofErr w:type="spellEnd"/>
      <w:r w:rsidRPr="00D65723">
        <w:rPr>
          <w:rFonts w:ascii="Arial" w:hAnsi="Arial" w:cs="Arial"/>
        </w:rPr>
        <w:t xml:space="preserve"> and hematobiochemical effect of dexmedetomidine or diazepam with ketamine and propofol in total intravenous anesthesia in goats. Beni-Suef University Journal of Basic and Applied Sciences, 11(1), 54. </w:t>
      </w:r>
      <w:hyperlink r:id="rId32" w:history="1">
        <w:r w:rsidRPr="00D65723">
          <w:rPr>
            <w:rStyle w:val="Hyperlink"/>
            <w:rFonts w:ascii="Arial" w:hAnsi="Arial" w:cs="Arial"/>
          </w:rPr>
          <w:t>https://doi.org/10.1186/s43088-022-00232-0</w:t>
        </w:r>
      </w:hyperlink>
    </w:p>
    <w:p w14:paraId="382CDE98" w14:textId="10C9982D" w:rsidR="007D4C94" w:rsidRPr="00D65723" w:rsidRDefault="007D4C94" w:rsidP="00D65723">
      <w:pPr>
        <w:pStyle w:val="BodyText"/>
        <w:spacing w:after="0"/>
        <w:ind w:left="357"/>
        <w:jc w:val="both"/>
        <w:rPr>
          <w:rFonts w:ascii="Arial" w:hAnsi="Arial" w:cs="Arial"/>
        </w:rPr>
      </w:pPr>
      <w:proofErr w:type="spellStart"/>
      <w:r w:rsidRPr="00D65723">
        <w:rPr>
          <w:rFonts w:ascii="Arial" w:hAnsi="Arial" w:cs="Arial"/>
        </w:rPr>
        <w:t>Rajankutty</w:t>
      </w:r>
      <w:proofErr w:type="spellEnd"/>
      <w:r w:rsidRPr="00D65723">
        <w:rPr>
          <w:rFonts w:ascii="Arial" w:hAnsi="Arial" w:cs="Arial"/>
        </w:rPr>
        <w:t>,</w:t>
      </w:r>
      <w:r w:rsidRPr="00D65723">
        <w:rPr>
          <w:rFonts w:ascii="Arial" w:hAnsi="Arial" w:cs="Arial"/>
          <w:spacing w:val="-1"/>
        </w:rPr>
        <w:t xml:space="preserve"> </w:t>
      </w:r>
      <w:r w:rsidRPr="00D65723">
        <w:rPr>
          <w:rFonts w:ascii="Arial" w:hAnsi="Arial" w:cs="Arial"/>
        </w:rPr>
        <w:t xml:space="preserve">K. </w:t>
      </w:r>
      <w:r w:rsidR="000836EB" w:rsidRPr="00D65723">
        <w:rPr>
          <w:rFonts w:ascii="Arial" w:hAnsi="Arial" w:cs="Arial"/>
        </w:rPr>
        <w:t>(</w:t>
      </w:r>
      <w:r w:rsidRPr="00D65723">
        <w:rPr>
          <w:rFonts w:ascii="Arial" w:hAnsi="Arial" w:cs="Arial"/>
        </w:rPr>
        <w:t>1995</w:t>
      </w:r>
      <w:r w:rsidR="000836EB" w:rsidRPr="00D65723">
        <w:rPr>
          <w:rFonts w:ascii="Arial" w:hAnsi="Arial" w:cs="Arial"/>
        </w:rPr>
        <w:t>)</w:t>
      </w:r>
      <w:r w:rsidRPr="00D65723">
        <w:rPr>
          <w:rFonts w:ascii="Arial" w:hAnsi="Arial" w:cs="Arial"/>
        </w:rPr>
        <w:t>. General</w:t>
      </w:r>
      <w:r w:rsidRPr="00D65723">
        <w:rPr>
          <w:rFonts w:ascii="Arial" w:hAnsi="Arial" w:cs="Arial"/>
          <w:spacing w:val="1"/>
        </w:rPr>
        <w:t xml:space="preserve"> </w:t>
      </w:r>
      <w:proofErr w:type="spellStart"/>
      <w:r w:rsidR="000836EB" w:rsidRPr="00D65723">
        <w:rPr>
          <w:rFonts w:ascii="Arial" w:hAnsi="Arial" w:cs="Arial"/>
        </w:rPr>
        <w:t>anaesthesia</w:t>
      </w:r>
      <w:proofErr w:type="spellEnd"/>
      <w:r w:rsidRPr="00D65723">
        <w:rPr>
          <w:rFonts w:ascii="Arial" w:hAnsi="Arial" w:cs="Arial"/>
        </w:rPr>
        <w:t xml:space="preserve"> in</w:t>
      </w:r>
      <w:r w:rsidRPr="00D65723">
        <w:rPr>
          <w:rFonts w:ascii="Arial" w:hAnsi="Arial" w:cs="Arial"/>
          <w:spacing w:val="2"/>
        </w:rPr>
        <w:t xml:space="preserve"> </w:t>
      </w:r>
      <w:r w:rsidRPr="00D65723">
        <w:rPr>
          <w:rFonts w:ascii="Arial" w:hAnsi="Arial" w:cs="Arial"/>
        </w:rPr>
        <w:t>dogs</w:t>
      </w:r>
      <w:r w:rsidRPr="00D65723">
        <w:rPr>
          <w:rFonts w:ascii="Arial" w:hAnsi="Arial" w:cs="Arial"/>
          <w:spacing w:val="-1"/>
        </w:rPr>
        <w:t xml:space="preserve"> </w:t>
      </w:r>
      <w:r w:rsidRPr="00D65723">
        <w:rPr>
          <w:rFonts w:ascii="Arial" w:hAnsi="Arial" w:cs="Arial"/>
        </w:rPr>
        <w:t>with tiletamine-zolazepam.</w:t>
      </w:r>
      <w:r w:rsidRPr="00D65723">
        <w:rPr>
          <w:rFonts w:ascii="Arial" w:hAnsi="Arial" w:cs="Arial"/>
          <w:spacing w:val="1"/>
        </w:rPr>
        <w:t xml:space="preserve"> </w:t>
      </w:r>
      <w:r w:rsidRPr="00D65723">
        <w:rPr>
          <w:rFonts w:ascii="Arial" w:hAnsi="Arial" w:cs="Arial"/>
        </w:rPr>
        <w:t>Ph. D. Thesis,</w:t>
      </w:r>
      <w:r w:rsidRPr="00D65723">
        <w:rPr>
          <w:rFonts w:ascii="Arial" w:hAnsi="Arial" w:cs="Arial"/>
          <w:spacing w:val="54"/>
        </w:rPr>
        <w:t xml:space="preserve"> </w:t>
      </w:r>
      <w:r w:rsidRPr="00D65723">
        <w:rPr>
          <w:rFonts w:ascii="Arial" w:hAnsi="Arial" w:cs="Arial"/>
        </w:rPr>
        <w:t>Kerala</w:t>
      </w:r>
      <w:r w:rsidRPr="00D65723">
        <w:rPr>
          <w:rFonts w:ascii="Arial" w:hAnsi="Arial" w:cs="Arial"/>
          <w:spacing w:val="54"/>
        </w:rPr>
        <w:t xml:space="preserve"> </w:t>
      </w:r>
      <w:r w:rsidRPr="00D65723">
        <w:rPr>
          <w:rFonts w:ascii="Arial" w:hAnsi="Arial" w:cs="Arial"/>
        </w:rPr>
        <w:t>Veterinary</w:t>
      </w:r>
      <w:r w:rsidRPr="00D65723">
        <w:rPr>
          <w:rFonts w:ascii="Arial" w:hAnsi="Arial" w:cs="Arial"/>
          <w:spacing w:val="52"/>
        </w:rPr>
        <w:t xml:space="preserve"> </w:t>
      </w:r>
      <w:r w:rsidRPr="00D65723">
        <w:rPr>
          <w:rFonts w:ascii="Arial" w:hAnsi="Arial" w:cs="Arial"/>
        </w:rPr>
        <w:t>and</w:t>
      </w:r>
      <w:r w:rsidRPr="00D65723">
        <w:rPr>
          <w:rFonts w:ascii="Arial" w:hAnsi="Arial" w:cs="Arial"/>
          <w:spacing w:val="53"/>
        </w:rPr>
        <w:t xml:space="preserve"> </w:t>
      </w:r>
      <w:r w:rsidRPr="00D65723">
        <w:rPr>
          <w:rFonts w:ascii="Arial" w:hAnsi="Arial" w:cs="Arial"/>
        </w:rPr>
        <w:t>Animal</w:t>
      </w:r>
      <w:r w:rsidRPr="00D65723">
        <w:rPr>
          <w:rFonts w:ascii="Arial" w:hAnsi="Arial" w:cs="Arial"/>
          <w:spacing w:val="52"/>
        </w:rPr>
        <w:t xml:space="preserve"> </w:t>
      </w:r>
      <w:r w:rsidRPr="00D65723">
        <w:rPr>
          <w:rFonts w:ascii="Arial" w:hAnsi="Arial" w:cs="Arial"/>
        </w:rPr>
        <w:t>Sciences</w:t>
      </w:r>
      <w:r w:rsidRPr="00D65723">
        <w:rPr>
          <w:rFonts w:ascii="Arial" w:hAnsi="Arial" w:cs="Arial"/>
          <w:spacing w:val="53"/>
        </w:rPr>
        <w:t xml:space="preserve"> </w:t>
      </w:r>
      <w:r w:rsidRPr="00D65723">
        <w:rPr>
          <w:rFonts w:ascii="Arial" w:hAnsi="Arial" w:cs="Arial"/>
        </w:rPr>
        <w:t>University,</w:t>
      </w:r>
      <w:r w:rsidRPr="00D65723">
        <w:rPr>
          <w:rFonts w:ascii="Arial" w:hAnsi="Arial" w:cs="Arial"/>
          <w:spacing w:val="54"/>
        </w:rPr>
        <w:t xml:space="preserve"> </w:t>
      </w:r>
      <w:proofErr w:type="spellStart"/>
      <w:r w:rsidRPr="00D65723">
        <w:rPr>
          <w:rFonts w:ascii="Arial" w:hAnsi="Arial" w:cs="Arial"/>
        </w:rPr>
        <w:t>Pookode</w:t>
      </w:r>
      <w:proofErr w:type="spellEnd"/>
      <w:r w:rsidR="000836EB" w:rsidRPr="00D65723">
        <w:rPr>
          <w:rFonts w:ascii="Arial" w:hAnsi="Arial" w:cs="Arial"/>
        </w:rPr>
        <w:t>.</w:t>
      </w:r>
    </w:p>
    <w:p w14:paraId="13078A25" w14:textId="778695BC" w:rsidR="00503F18" w:rsidRPr="00D65723" w:rsidRDefault="00503F18" w:rsidP="00D65723">
      <w:pPr>
        <w:pStyle w:val="BodyText"/>
        <w:spacing w:after="0"/>
        <w:ind w:left="357"/>
        <w:jc w:val="both"/>
        <w:rPr>
          <w:rFonts w:ascii="Arial" w:hAnsi="Arial" w:cs="Arial"/>
          <w:b/>
          <w:bCs/>
          <w:lang w:val="en-IN"/>
        </w:rPr>
      </w:pPr>
      <w:proofErr w:type="spellStart"/>
      <w:r w:rsidRPr="00D65723">
        <w:rPr>
          <w:rFonts w:ascii="Arial" w:hAnsi="Arial" w:cs="Arial"/>
        </w:rPr>
        <w:t>Ratnu</w:t>
      </w:r>
      <w:proofErr w:type="spellEnd"/>
      <w:r w:rsidRPr="00D65723">
        <w:rPr>
          <w:rFonts w:ascii="Arial" w:hAnsi="Arial" w:cs="Arial"/>
        </w:rPr>
        <w:t xml:space="preserve">, D. A., Anjana, R. R., Parikh, P. V., &amp; </w:t>
      </w:r>
      <w:proofErr w:type="spellStart"/>
      <w:r w:rsidRPr="00D65723">
        <w:rPr>
          <w:rFonts w:ascii="Arial" w:hAnsi="Arial" w:cs="Arial"/>
        </w:rPr>
        <w:t>Kelawala</w:t>
      </w:r>
      <w:proofErr w:type="spellEnd"/>
      <w:r w:rsidRPr="00D65723">
        <w:rPr>
          <w:rFonts w:ascii="Arial" w:hAnsi="Arial" w:cs="Arial"/>
        </w:rPr>
        <w:t xml:space="preserve">, D. N. (2021). Effects of Tiletamine-Zolazepam and Isoflurane for Induction and Maintenance in Xylazine Premedicated Dogs. Indian Journal of Veterinary Sciences &amp; Biotechnology </w:t>
      </w:r>
      <w:hyperlink r:id="rId33" w:history="1">
        <w:r w:rsidRPr="00D65723">
          <w:rPr>
            <w:rStyle w:val="Hyperlink"/>
            <w:rFonts w:ascii="Arial" w:hAnsi="Arial" w:cs="Arial"/>
          </w:rPr>
          <w:t>https://doi.org/10.21887/ijvsbt.17.4.19</w:t>
        </w:r>
      </w:hyperlink>
    </w:p>
    <w:p w14:paraId="10E4135B" w14:textId="55FAD699" w:rsidR="00211057" w:rsidRPr="00D65723" w:rsidRDefault="00211057" w:rsidP="00D65723">
      <w:pPr>
        <w:pStyle w:val="BodyText"/>
        <w:spacing w:after="0"/>
        <w:ind w:left="357"/>
        <w:jc w:val="both"/>
        <w:rPr>
          <w:rFonts w:ascii="Arial" w:hAnsi="Arial" w:cs="Arial"/>
          <w:b/>
          <w:bCs/>
          <w:lang w:val="en-IN"/>
        </w:rPr>
      </w:pPr>
      <w:proofErr w:type="spellStart"/>
      <w:r w:rsidRPr="00D65723">
        <w:rPr>
          <w:rFonts w:ascii="Arial" w:hAnsi="Arial" w:cs="Arial"/>
        </w:rPr>
        <w:t>Salarpour</w:t>
      </w:r>
      <w:proofErr w:type="spellEnd"/>
      <w:r w:rsidRPr="00D65723">
        <w:rPr>
          <w:rFonts w:ascii="Arial" w:hAnsi="Arial" w:cs="Arial"/>
        </w:rPr>
        <w:t xml:space="preserve">, M., </w:t>
      </w:r>
      <w:proofErr w:type="spellStart"/>
      <w:r w:rsidRPr="00D65723">
        <w:rPr>
          <w:rFonts w:ascii="Arial" w:hAnsi="Arial" w:cs="Arial"/>
        </w:rPr>
        <w:t>Sakhaee</w:t>
      </w:r>
      <w:proofErr w:type="spellEnd"/>
      <w:r w:rsidRPr="00D65723">
        <w:rPr>
          <w:rFonts w:ascii="Arial" w:hAnsi="Arial" w:cs="Arial"/>
        </w:rPr>
        <w:t>, E., Samimi, A. S., &amp; Azari, O. (2022). Comparative evaluation of the sedative and physiological effects of medetomidine alone and in combination with pethidine, morphine, tramadol, and methadone in goats. Veterinary Medicine and Science, 8(4), 1664-1670.</w:t>
      </w:r>
      <w:r w:rsidR="00A05362" w:rsidRPr="00D65723">
        <w:rPr>
          <w:rFonts w:ascii="Arial" w:hAnsi="Arial" w:cs="Arial"/>
        </w:rPr>
        <w:t xml:space="preserve"> </w:t>
      </w:r>
      <w:hyperlink r:id="rId34" w:history="1">
        <w:r w:rsidR="00A05362" w:rsidRPr="00D65723">
          <w:rPr>
            <w:rStyle w:val="Hyperlink"/>
            <w:rFonts w:ascii="Arial" w:hAnsi="Arial" w:cs="Arial"/>
            <w:lang w:val="en-IN"/>
          </w:rPr>
          <w:t>https://doi.org/10.1002/vms3.806</w:t>
        </w:r>
      </w:hyperlink>
    </w:p>
    <w:p w14:paraId="71494356" w14:textId="507ABABD" w:rsidR="00503F18" w:rsidRPr="00D65723" w:rsidRDefault="00503F18" w:rsidP="00D65723">
      <w:pPr>
        <w:pStyle w:val="BodyText"/>
        <w:spacing w:after="0"/>
        <w:ind w:left="357"/>
        <w:jc w:val="both"/>
        <w:rPr>
          <w:rFonts w:ascii="Arial" w:hAnsi="Arial" w:cs="Arial"/>
          <w:color w:val="000000" w:themeColor="text1"/>
        </w:rPr>
      </w:pPr>
      <w:r w:rsidRPr="00D65723">
        <w:rPr>
          <w:rFonts w:ascii="Arial" w:hAnsi="Arial" w:cs="Arial"/>
        </w:rPr>
        <w:t xml:space="preserve">Salve, P. D., Thorat, M. G., Raulkar, R. V., Hatzade, R. I., </w:t>
      </w:r>
      <w:proofErr w:type="spellStart"/>
      <w:r w:rsidRPr="00D65723">
        <w:rPr>
          <w:rFonts w:ascii="Arial" w:hAnsi="Arial" w:cs="Arial"/>
        </w:rPr>
        <w:t>Ingawale</w:t>
      </w:r>
      <w:proofErr w:type="spellEnd"/>
      <w:r w:rsidRPr="00D65723">
        <w:rPr>
          <w:rFonts w:ascii="Arial" w:hAnsi="Arial" w:cs="Arial"/>
        </w:rPr>
        <w:t xml:space="preserve">, M. V., Pawar, M. B., &amp; Jadhav, A. G. (2022). Clinical efficacy of tiletamine-zolazepam and ketamine-diazepam combination on quality of anesthesia for ovariohysterectomy in dog. Acta Scientific Veterinary Sciences, 4(2). </w:t>
      </w:r>
      <w:hyperlink r:id="rId35" w:history="1">
        <w:r w:rsidRPr="00D65723">
          <w:rPr>
            <w:rStyle w:val="Hyperlink"/>
            <w:rFonts w:ascii="Arial" w:hAnsi="Arial" w:cs="Arial"/>
          </w:rPr>
          <w:t>https://www.actascientific.com/ASVS/ASVS-04-0337.php</w:t>
        </w:r>
      </w:hyperlink>
    </w:p>
    <w:p w14:paraId="6D9B5610" w14:textId="75239648" w:rsidR="002F755B" w:rsidRPr="00D65723" w:rsidRDefault="002F755B" w:rsidP="00D65723">
      <w:pPr>
        <w:pStyle w:val="BodyText"/>
        <w:spacing w:after="0"/>
        <w:ind w:left="357"/>
        <w:jc w:val="both"/>
        <w:rPr>
          <w:rFonts w:ascii="Arial" w:hAnsi="Arial" w:cs="Arial"/>
          <w:color w:val="000000" w:themeColor="text1"/>
        </w:rPr>
      </w:pPr>
      <w:proofErr w:type="spellStart"/>
      <w:r w:rsidRPr="00D65723">
        <w:rPr>
          <w:rFonts w:ascii="Arial" w:hAnsi="Arial" w:cs="Arial"/>
          <w:color w:val="000000" w:themeColor="text1"/>
        </w:rPr>
        <w:t>Samsuddi</w:t>
      </w:r>
      <w:proofErr w:type="spellEnd"/>
      <w:r w:rsidRPr="00D65723">
        <w:rPr>
          <w:rFonts w:ascii="Arial" w:hAnsi="Arial" w:cs="Arial"/>
          <w:color w:val="000000" w:themeColor="text1"/>
        </w:rPr>
        <w:t>,</w:t>
      </w:r>
      <w:r w:rsidRPr="00D65723">
        <w:rPr>
          <w:rFonts w:ascii="Arial" w:hAnsi="Arial" w:cs="Arial"/>
          <w:color w:val="000000" w:themeColor="text1"/>
          <w:spacing w:val="1"/>
        </w:rPr>
        <w:t xml:space="preserve"> </w:t>
      </w:r>
      <w:r w:rsidRPr="00D65723">
        <w:rPr>
          <w:rFonts w:ascii="Arial" w:hAnsi="Arial" w:cs="Arial"/>
          <w:color w:val="000000" w:themeColor="text1"/>
        </w:rPr>
        <w:t>S.</w:t>
      </w:r>
      <w:r w:rsidRPr="00D65723">
        <w:rPr>
          <w:rFonts w:ascii="Arial" w:hAnsi="Arial" w:cs="Arial"/>
          <w:color w:val="000000" w:themeColor="text1"/>
          <w:spacing w:val="1"/>
        </w:rPr>
        <w:t xml:space="preserve"> </w:t>
      </w:r>
      <w:r w:rsidR="00CD5FBB" w:rsidRPr="00D65723">
        <w:rPr>
          <w:rFonts w:ascii="Arial" w:hAnsi="Arial" w:cs="Arial"/>
          <w:color w:val="000000" w:themeColor="text1"/>
          <w:spacing w:val="1"/>
        </w:rPr>
        <w:t>(</w:t>
      </w:r>
      <w:r w:rsidRPr="00D65723">
        <w:rPr>
          <w:rFonts w:ascii="Arial" w:hAnsi="Arial" w:cs="Arial"/>
          <w:color w:val="000000" w:themeColor="text1"/>
        </w:rPr>
        <w:t>2014</w:t>
      </w:r>
      <w:r w:rsidR="00CD5FBB" w:rsidRPr="00D65723">
        <w:rPr>
          <w:rFonts w:ascii="Arial" w:hAnsi="Arial" w:cs="Arial"/>
          <w:color w:val="000000" w:themeColor="text1"/>
        </w:rPr>
        <w:t>)</w:t>
      </w:r>
      <w:r w:rsidRPr="00D65723">
        <w:rPr>
          <w:rFonts w:ascii="Arial" w:hAnsi="Arial" w:cs="Arial"/>
          <w:color w:val="000000" w:themeColor="text1"/>
        </w:rPr>
        <w:t>.</w:t>
      </w:r>
      <w:r w:rsidRPr="00D65723">
        <w:rPr>
          <w:rFonts w:ascii="Arial" w:hAnsi="Arial" w:cs="Arial"/>
          <w:color w:val="000000" w:themeColor="text1"/>
          <w:spacing w:val="1"/>
        </w:rPr>
        <w:t xml:space="preserve"> </w:t>
      </w:r>
      <w:r w:rsidRPr="00D65723">
        <w:rPr>
          <w:rFonts w:ascii="Arial" w:hAnsi="Arial" w:cs="Arial"/>
          <w:color w:val="000000" w:themeColor="text1"/>
        </w:rPr>
        <w:t>Comparison</w:t>
      </w:r>
      <w:r w:rsidRPr="00D65723">
        <w:rPr>
          <w:rFonts w:ascii="Arial" w:hAnsi="Arial" w:cs="Arial"/>
          <w:color w:val="000000" w:themeColor="text1"/>
          <w:spacing w:val="1"/>
        </w:rPr>
        <w:t xml:space="preserve"> </w:t>
      </w:r>
      <w:r w:rsidRPr="00D65723">
        <w:rPr>
          <w:rFonts w:ascii="Arial" w:hAnsi="Arial" w:cs="Arial"/>
          <w:color w:val="000000" w:themeColor="text1"/>
        </w:rPr>
        <w:t>of</w:t>
      </w:r>
      <w:r w:rsidRPr="00D65723">
        <w:rPr>
          <w:rFonts w:ascii="Arial" w:hAnsi="Arial" w:cs="Arial"/>
          <w:color w:val="000000" w:themeColor="text1"/>
          <w:spacing w:val="1"/>
        </w:rPr>
        <w:t xml:space="preserve"> </w:t>
      </w:r>
      <w:r w:rsidRPr="00D65723">
        <w:rPr>
          <w:rFonts w:ascii="Arial" w:hAnsi="Arial" w:cs="Arial"/>
          <w:color w:val="000000" w:themeColor="text1"/>
        </w:rPr>
        <w:t>xylazine</w:t>
      </w:r>
      <w:r w:rsidRPr="00D65723">
        <w:rPr>
          <w:rFonts w:ascii="Arial" w:hAnsi="Arial" w:cs="Arial"/>
          <w:color w:val="000000" w:themeColor="text1"/>
          <w:spacing w:val="1"/>
        </w:rPr>
        <w:t xml:space="preserve"> </w:t>
      </w:r>
      <w:r w:rsidRPr="00D65723">
        <w:rPr>
          <w:rFonts w:ascii="Arial" w:hAnsi="Arial" w:cs="Arial"/>
          <w:color w:val="000000" w:themeColor="text1"/>
        </w:rPr>
        <w:t>and</w:t>
      </w:r>
      <w:r w:rsidRPr="00D65723">
        <w:rPr>
          <w:rFonts w:ascii="Arial" w:hAnsi="Arial" w:cs="Arial"/>
          <w:color w:val="000000" w:themeColor="text1"/>
          <w:spacing w:val="1"/>
        </w:rPr>
        <w:t xml:space="preserve"> </w:t>
      </w:r>
      <w:r w:rsidRPr="00D65723">
        <w:rPr>
          <w:rFonts w:ascii="Arial" w:hAnsi="Arial" w:cs="Arial"/>
          <w:color w:val="000000" w:themeColor="text1"/>
        </w:rPr>
        <w:t>dexmedetomidine</w:t>
      </w:r>
      <w:r w:rsidRPr="00D65723">
        <w:rPr>
          <w:rFonts w:ascii="Arial" w:hAnsi="Arial" w:cs="Arial"/>
          <w:color w:val="000000" w:themeColor="text1"/>
          <w:spacing w:val="1"/>
        </w:rPr>
        <w:t xml:space="preserve"> </w:t>
      </w:r>
      <w:r w:rsidRPr="00D65723">
        <w:rPr>
          <w:rFonts w:ascii="Arial" w:hAnsi="Arial" w:cs="Arial"/>
          <w:color w:val="000000" w:themeColor="text1"/>
        </w:rPr>
        <w:t>as</w:t>
      </w:r>
      <w:r w:rsidRPr="00D65723">
        <w:rPr>
          <w:rFonts w:ascii="Arial" w:hAnsi="Arial" w:cs="Arial"/>
          <w:color w:val="000000" w:themeColor="text1"/>
          <w:spacing w:val="1"/>
        </w:rPr>
        <w:t xml:space="preserve"> </w:t>
      </w:r>
      <w:r w:rsidR="003F0585" w:rsidRPr="00D65723">
        <w:rPr>
          <w:rFonts w:ascii="Arial" w:hAnsi="Arial" w:cs="Arial"/>
          <w:color w:val="000000" w:themeColor="text1"/>
        </w:rPr>
        <w:t>pre-</w:t>
      </w:r>
      <w:proofErr w:type="spellStart"/>
      <w:r w:rsidR="003F0585" w:rsidRPr="00D65723">
        <w:rPr>
          <w:rFonts w:ascii="Arial" w:hAnsi="Arial" w:cs="Arial"/>
          <w:color w:val="000000" w:themeColor="text1"/>
        </w:rPr>
        <w:t>anaesthetic</w:t>
      </w:r>
      <w:proofErr w:type="spellEnd"/>
      <w:r w:rsidRPr="00D65723">
        <w:rPr>
          <w:rFonts w:ascii="Arial" w:hAnsi="Arial" w:cs="Arial"/>
          <w:color w:val="000000" w:themeColor="text1"/>
        </w:rPr>
        <w:t xml:space="preserve"> for ketamine </w:t>
      </w:r>
      <w:proofErr w:type="spellStart"/>
      <w:r w:rsidRPr="00D65723">
        <w:rPr>
          <w:rFonts w:ascii="Arial" w:hAnsi="Arial" w:cs="Arial"/>
          <w:color w:val="000000" w:themeColor="text1"/>
        </w:rPr>
        <w:t>anaesthesia</w:t>
      </w:r>
      <w:proofErr w:type="spellEnd"/>
      <w:r w:rsidRPr="00D65723">
        <w:rPr>
          <w:rFonts w:ascii="Arial" w:hAnsi="Arial" w:cs="Arial"/>
          <w:color w:val="000000" w:themeColor="text1"/>
        </w:rPr>
        <w:t xml:space="preserve"> for various surgeries in dogs. </w:t>
      </w:r>
      <w:proofErr w:type="spellStart"/>
      <w:r w:rsidRPr="00D65723">
        <w:rPr>
          <w:rFonts w:ascii="Arial" w:hAnsi="Arial" w:cs="Arial"/>
          <w:iCs/>
          <w:color w:val="000000" w:themeColor="text1"/>
        </w:rPr>
        <w:t>M.</w:t>
      </w:r>
      <w:proofErr w:type="gramStart"/>
      <w:r w:rsidRPr="00D65723">
        <w:rPr>
          <w:rFonts w:ascii="Arial" w:hAnsi="Arial" w:cs="Arial"/>
          <w:iCs/>
          <w:color w:val="000000" w:themeColor="text1"/>
        </w:rPr>
        <w:t>V.Sc</w:t>
      </w:r>
      <w:proofErr w:type="spellEnd"/>
      <w:proofErr w:type="gramEnd"/>
      <w:r w:rsidRPr="00D65723">
        <w:rPr>
          <w:rFonts w:ascii="Arial" w:hAnsi="Arial" w:cs="Arial"/>
          <w:iCs/>
          <w:color w:val="000000" w:themeColor="text1"/>
          <w:spacing w:val="1"/>
        </w:rPr>
        <w:t xml:space="preserve"> </w:t>
      </w:r>
      <w:r w:rsidRPr="00D65723">
        <w:rPr>
          <w:rFonts w:ascii="Arial" w:hAnsi="Arial" w:cs="Arial"/>
          <w:iCs/>
          <w:color w:val="000000" w:themeColor="text1"/>
        </w:rPr>
        <w:t>Thesis,</w:t>
      </w:r>
      <w:r w:rsidRPr="00D65723">
        <w:rPr>
          <w:rFonts w:ascii="Arial" w:hAnsi="Arial" w:cs="Arial"/>
          <w:color w:val="000000" w:themeColor="text1"/>
        </w:rPr>
        <w:t xml:space="preserve"> Orissa University of Agriculture and Technology, Bhubaneshwar</w:t>
      </w:r>
      <w:r w:rsidR="00CD5FBB" w:rsidRPr="00D65723">
        <w:rPr>
          <w:rFonts w:ascii="Arial" w:hAnsi="Arial" w:cs="Arial"/>
          <w:color w:val="000000" w:themeColor="text1"/>
        </w:rPr>
        <w:t>, India.</w:t>
      </w:r>
    </w:p>
    <w:p w14:paraId="0D2F8AB9" w14:textId="3A649FD1" w:rsidR="00503F18" w:rsidRPr="00D65723" w:rsidRDefault="00503F18" w:rsidP="00D65723">
      <w:pPr>
        <w:pStyle w:val="BodyText"/>
        <w:spacing w:after="0"/>
        <w:ind w:left="357"/>
        <w:jc w:val="both"/>
        <w:rPr>
          <w:rFonts w:ascii="Arial" w:hAnsi="Arial" w:cs="Arial"/>
        </w:rPr>
      </w:pPr>
      <w:r w:rsidRPr="00D65723">
        <w:rPr>
          <w:rFonts w:ascii="Arial" w:hAnsi="Arial" w:cs="Arial"/>
          <w:color w:val="000000" w:themeColor="text1"/>
        </w:rPr>
        <w:t xml:space="preserve">Shah, Z., </w:t>
      </w:r>
      <w:proofErr w:type="spellStart"/>
      <w:r w:rsidRPr="00D65723">
        <w:rPr>
          <w:rFonts w:ascii="Arial" w:hAnsi="Arial" w:cs="Arial"/>
          <w:color w:val="000000" w:themeColor="text1"/>
        </w:rPr>
        <w:t>Kalhore</w:t>
      </w:r>
      <w:proofErr w:type="spellEnd"/>
      <w:r w:rsidRPr="00D65723">
        <w:rPr>
          <w:rFonts w:ascii="Arial" w:hAnsi="Arial" w:cs="Arial"/>
          <w:color w:val="000000" w:themeColor="text1"/>
        </w:rPr>
        <w:t xml:space="preserve">, A. B., </w:t>
      </w:r>
      <w:proofErr w:type="spellStart"/>
      <w:r w:rsidRPr="00D65723">
        <w:rPr>
          <w:rFonts w:ascii="Arial" w:hAnsi="Arial" w:cs="Arial"/>
          <w:color w:val="000000" w:themeColor="text1"/>
        </w:rPr>
        <w:t>Kachiwal</w:t>
      </w:r>
      <w:proofErr w:type="spellEnd"/>
      <w:r w:rsidRPr="00D65723">
        <w:rPr>
          <w:rFonts w:ascii="Arial" w:hAnsi="Arial" w:cs="Arial"/>
          <w:color w:val="000000" w:themeColor="text1"/>
        </w:rPr>
        <w:t xml:space="preserve">, A. B., Ahmad, I., Sattar, H., Khan, M. A., Rehman, Z. U., Khan, F. A., Hussain, T., &amp; Ullah, H. (2013). Comparative studies on sedative and analgesic effects of xylazine and detomidine in goats. The Journal of Animal and Plant Sciences, 23(Sup 1), 39-42. </w:t>
      </w:r>
      <w:hyperlink r:id="rId36" w:history="1">
        <w:r w:rsidRPr="00D65723">
          <w:rPr>
            <w:rStyle w:val="Hyperlink"/>
            <w:rFonts w:ascii="Arial" w:hAnsi="Arial" w:cs="Arial"/>
          </w:rPr>
          <w:t>http://www.thejaps.org.pk/index.php/japs/issue/view/100</w:t>
        </w:r>
      </w:hyperlink>
    </w:p>
    <w:p w14:paraId="237CD972" w14:textId="3FAE8D03" w:rsidR="00503F18" w:rsidRPr="00D65723" w:rsidRDefault="00503F18" w:rsidP="00D65723">
      <w:pPr>
        <w:pStyle w:val="BodyText"/>
        <w:spacing w:after="0"/>
        <w:ind w:left="357"/>
        <w:jc w:val="both"/>
        <w:rPr>
          <w:rFonts w:ascii="Arial" w:hAnsi="Arial" w:cs="Arial"/>
          <w:lang w:val="en-IN"/>
        </w:rPr>
      </w:pPr>
      <w:r w:rsidRPr="00D65723">
        <w:rPr>
          <w:rFonts w:ascii="Arial" w:hAnsi="Arial" w:cs="Arial"/>
        </w:rPr>
        <w:t xml:space="preserve">Singh, G. D., </w:t>
      </w:r>
      <w:proofErr w:type="spellStart"/>
      <w:r w:rsidRPr="00D65723">
        <w:rPr>
          <w:rFonts w:ascii="Arial" w:hAnsi="Arial" w:cs="Arial"/>
        </w:rPr>
        <w:t>Kinjavdekar</w:t>
      </w:r>
      <w:proofErr w:type="spellEnd"/>
      <w:r w:rsidRPr="00D65723">
        <w:rPr>
          <w:rFonts w:ascii="Arial" w:hAnsi="Arial" w:cs="Arial"/>
        </w:rPr>
        <w:t xml:space="preserve">, P., Amarpal, A., Aithal, H. P., </w:t>
      </w:r>
      <w:proofErr w:type="spellStart"/>
      <w:r w:rsidRPr="00D65723">
        <w:rPr>
          <w:rFonts w:ascii="Arial" w:hAnsi="Arial" w:cs="Arial"/>
        </w:rPr>
        <w:t>Pawde</w:t>
      </w:r>
      <w:proofErr w:type="spellEnd"/>
      <w:r w:rsidRPr="00D65723">
        <w:rPr>
          <w:rFonts w:ascii="Arial" w:hAnsi="Arial" w:cs="Arial"/>
        </w:rPr>
        <w:t xml:space="preserve">, A. M., Zama, M. M. S., Singh, J., &amp; Tiwary, R. (2013). </w:t>
      </w:r>
      <w:proofErr w:type="spellStart"/>
      <w:r w:rsidRPr="00D65723">
        <w:rPr>
          <w:rFonts w:ascii="Arial" w:hAnsi="Arial" w:cs="Arial"/>
        </w:rPr>
        <w:t>Clinicophysiological</w:t>
      </w:r>
      <w:proofErr w:type="spellEnd"/>
      <w:r w:rsidRPr="00D65723">
        <w:rPr>
          <w:rFonts w:ascii="Arial" w:hAnsi="Arial" w:cs="Arial"/>
        </w:rPr>
        <w:t xml:space="preserve"> and </w:t>
      </w:r>
      <w:proofErr w:type="spellStart"/>
      <w:r w:rsidRPr="00D65723">
        <w:rPr>
          <w:rFonts w:ascii="Arial" w:hAnsi="Arial" w:cs="Arial"/>
        </w:rPr>
        <w:t>haemodynamic</w:t>
      </w:r>
      <w:proofErr w:type="spellEnd"/>
      <w:r w:rsidRPr="00D65723">
        <w:rPr>
          <w:rFonts w:ascii="Arial" w:hAnsi="Arial" w:cs="Arial"/>
        </w:rPr>
        <w:t xml:space="preserve"> effects of fentanyl with xylazine, medetomidine and dexmedetomidine in isoflurane-</w:t>
      </w:r>
      <w:proofErr w:type="spellStart"/>
      <w:r w:rsidRPr="00D65723">
        <w:rPr>
          <w:rFonts w:ascii="Arial" w:hAnsi="Arial" w:cs="Arial"/>
        </w:rPr>
        <w:t>anaesthetised</w:t>
      </w:r>
      <w:proofErr w:type="spellEnd"/>
      <w:r w:rsidRPr="00D65723">
        <w:rPr>
          <w:rFonts w:ascii="Arial" w:hAnsi="Arial" w:cs="Arial"/>
        </w:rPr>
        <w:t xml:space="preserve"> water buffaloes (</w:t>
      </w:r>
      <w:proofErr w:type="spellStart"/>
      <w:r w:rsidRPr="00D65723">
        <w:rPr>
          <w:rFonts w:ascii="Arial" w:hAnsi="Arial" w:cs="Arial"/>
        </w:rPr>
        <w:t>Bubalus</w:t>
      </w:r>
      <w:proofErr w:type="spellEnd"/>
      <w:r w:rsidRPr="00D65723">
        <w:rPr>
          <w:rFonts w:ascii="Arial" w:hAnsi="Arial" w:cs="Arial"/>
        </w:rPr>
        <w:t xml:space="preserve"> bubalis). Journal of the South African Veterinary Association, 84(1), E1-E11. </w:t>
      </w:r>
      <w:hyperlink r:id="rId37" w:history="1">
        <w:r w:rsidRPr="00D65723">
          <w:rPr>
            <w:rStyle w:val="Hyperlink"/>
            <w:rFonts w:ascii="Arial" w:hAnsi="Arial" w:cs="Arial"/>
          </w:rPr>
          <w:t>https://doi.org/10.4102/jsava.v84i1.67</w:t>
        </w:r>
      </w:hyperlink>
    </w:p>
    <w:p w14:paraId="470100D3" w14:textId="2BF3AE56" w:rsidR="00503F18" w:rsidRPr="00D65723" w:rsidRDefault="00503F18" w:rsidP="00D65723">
      <w:pPr>
        <w:pStyle w:val="BodyText"/>
        <w:spacing w:after="0"/>
        <w:ind w:left="357"/>
        <w:jc w:val="both"/>
        <w:rPr>
          <w:rFonts w:ascii="Arial" w:hAnsi="Arial" w:cs="Arial"/>
          <w:lang w:val="en-IN"/>
        </w:rPr>
      </w:pPr>
      <w:r w:rsidRPr="00D65723">
        <w:rPr>
          <w:rFonts w:ascii="Arial" w:hAnsi="Arial" w:cs="Arial"/>
        </w:rPr>
        <w:t xml:space="preserve">Stegmann, G. F. (1999). Observations on some cardiopulmonary effects of midazolam, xylazine and a midazolam/ketamine combination in the goat. Journal of the South African Veterinary Association, 70(3), 122-126. </w:t>
      </w:r>
      <w:hyperlink r:id="rId38" w:history="1">
        <w:r w:rsidRPr="00D65723">
          <w:rPr>
            <w:rStyle w:val="Hyperlink"/>
            <w:rFonts w:ascii="Arial" w:hAnsi="Arial" w:cs="Arial"/>
          </w:rPr>
          <w:t>https://doi.org/10.4102/jsava.v70i3.771</w:t>
        </w:r>
      </w:hyperlink>
    </w:p>
    <w:p w14:paraId="665DBDE6" w14:textId="4B64060B" w:rsidR="00503F18" w:rsidRPr="00D65723" w:rsidRDefault="00503F18" w:rsidP="00D65723">
      <w:pPr>
        <w:pStyle w:val="BodyText"/>
        <w:spacing w:after="0"/>
        <w:ind w:left="357"/>
        <w:jc w:val="both"/>
        <w:rPr>
          <w:rFonts w:ascii="Arial" w:hAnsi="Arial" w:cs="Arial"/>
          <w:color w:val="000000" w:themeColor="text1"/>
          <w:lang w:val="it-IT"/>
        </w:rPr>
      </w:pPr>
      <w:r w:rsidRPr="00D65723">
        <w:rPr>
          <w:rFonts w:ascii="Arial" w:hAnsi="Arial" w:cs="Arial"/>
        </w:rPr>
        <w:t xml:space="preserve">Velázquez-Delgado, P. I., Gutierrez-Blanco, E., Torres-Acosta, F. D. J., Ortega-Pacheco, A., Aguilar-Caballero, A. J., &amp; Dzikiti, B. T. (2021). Comparison of propofol or isoflurane anesthesia maintenance, combined with a fentanyl-lidocaine-ketamine constant rate infusion in goats undergoing </w:t>
      </w:r>
      <w:proofErr w:type="spellStart"/>
      <w:r w:rsidRPr="00D65723">
        <w:rPr>
          <w:rFonts w:ascii="Arial" w:hAnsi="Arial" w:cs="Arial"/>
        </w:rPr>
        <w:t>abomasotomy</w:t>
      </w:r>
      <w:proofErr w:type="spellEnd"/>
      <w:r w:rsidRPr="00D65723">
        <w:rPr>
          <w:rFonts w:ascii="Arial" w:hAnsi="Arial" w:cs="Arial"/>
        </w:rPr>
        <w:t xml:space="preserve">. Animals, 11(2), 492. </w:t>
      </w:r>
      <w:hyperlink r:id="rId39" w:history="1">
        <w:r w:rsidRPr="00D65723">
          <w:rPr>
            <w:rStyle w:val="Hyperlink"/>
            <w:rFonts w:ascii="Arial" w:hAnsi="Arial" w:cs="Arial"/>
          </w:rPr>
          <w:t>https://doi.org/10.3390/ani11020492</w:t>
        </w:r>
      </w:hyperlink>
    </w:p>
    <w:p w14:paraId="0104EC8F" w14:textId="76B70AB7" w:rsidR="00503F18" w:rsidRPr="00D65723" w:rsidRDefault="00503F18" w:rsidP="00D65723">
      <w:pPr>
        <w:pStyle w:val="BodyText"/>
        <w:spacing w:after="0"/>
        <w:ind w:left="357"/>
        <w:jc w:val="both"/>
        <w:rPr>
          <w:rFonts w:ascii="Arial" w:hAnsi="Arial" w:cs="Arial"/>
          <w:color w:val="000000" w:themeColor="text1"/>
          <w:lang w:val="it-IT"/>
        </w:rPr>
      </w:pPr>
      <w:r w:rsidRPr="00D65723">
        <w:rPr>
          <w:rFonts w:ascii="Arial" w:hAnsi="Arial" w:cs="Arial"/>
          <w:color w:val="000000" w:themeColor="text1"/>
        </w:rPr>
        <w:t xml:space="preserve">Verma, K. K., Tiwari, S. K., </w:t>
      </w:r>
      <w:proofErr w:type="spellStart"/>
      <w:r w:rsidRPr="00D65723">
        <w:rPr>
          <w:rFonts w:ascii="Arial" w:hAnsi="Arial" w:cs="Arial"/>
          <w:color w:val="000000" w:themeColor="text1"/>
        </w:rPr>
        <w:t>Dewangan</w:t>
      </w:r>
      <w:proofErr w:type="spellEnd"/>
      <w:r w:rsidRPr="00D65723">
        <w:rPr>
          <w:rFonts w:ascii="Arial" w:hAnsi="Arial" w:cs="Arial"/>
          <w:color w:val="000000" w:themeColor="text1"/>
        </w:rPr>
        <w:t xml:space="preserve">, R., &amp; Sharda, R. (2018). Effect on </w:t>
      </w:r>
      <w:proofErr w:type="spellStart"/>
      <w:r w:rsidRPr="00D65723">
        <w:rPr>
          <w:rFonts w:ascii="Arial" w:hAnsi="Arial" w:cs="Arial"/>
          <w:color w:val="000000" w:themeColor="text1"/>
        </w:rPr>
        <w:t>haematological</w:t>
      </w:r>
      <w:proofErr w:type="spellEnd"/>
      <w:r w:rsidRPr="00D65723">
        <w:rPr>
          <w:rFonts w:ascii="Arial" w:hAnsi="Arial" w:cs="Arial"/>
          <w:color w:val="000000" w:themeColor="text1"/>
        </w:rPr>
        <w:t xml:space="preserve"> and biochemical profiles following administration of ketamine alone and in combination with dexmedetomidine or butorphanol in </w:t>
      </w:r>
      <w:proofErr w:type="spellStart"/>
      <w:r w:rsidRPr="00D65723">
        <w:rPr>
          <w:rFonts w:ascii="Arial" w:hAnsi="Arial" w:cs="Arial"/>
          <w:color w:val="000000" w:themeColor="text1"/>
        </w:rPr>
        <w:t>atropinized</w:t>
      </w:r>
      <w:proofErr w:type="spellEnd"/>
      <w:r w:rsidRPr="00D65723">
        <w:rPr>
          <w:rFonts w:ascii="Arial" w:hAnsi="Arial" w:cs="Arial"/>
          <w:color w:val="000000" w:themeColor="text1"/>
        </w:rPr>
        <w:t xml:space="preserve"> dogs. International Journal of Current Microbiology and Applied Sciences, 7(6), 2568-2577. </w:t>
      </w:r>
      <w:hyperlink r:id="rId40" w:history="1">
        <w:r w:rsidRPr="00D65723">
          <w:rPr>
            <w:rStyle w:val="Hyperlink"/>
            <w:rFonts w:ascii="Arial" w:hAnsi="Arial" w:cs="Arial"/>
          </w:rPr>
          <w:t>https://doi.org/10.20546/ijcmas.2018.706.303</w:t>
        </w:r>
      </w:hyperlink>
    </w:p>
    <w:p w14:paraId="6860C2AD" w14:textId="2F53F0DB" w:rsidR="00B01FCD" w:rsidRPr="00D65723" w:rsidRDefault="00503F18" w:rsidP="00D65723">
      <w:pPr>
        <w:pStyle w:val="Appendix"/>
        <w:spacing w:after="0"/>
        <w:ind w:left="357"/>
        <w:jc w:val="both"/>
        <w:rPr>
          <w:rFonts w:ascii="Arial" w:hAnsi="Arial" w:cs="Arial"/>
          <w:b w:val="0"/>
          <w:caps w:val="0"/>
          <w:color w:val="000000" w:themeColor="text1"/>
          <w:sz w:val="20"/>
        </w:rPr>
      </w:pPr>
      <w:proofErr w:type="spellStart"/>
      <w:r w:rsidRPr="00D65723">
        <w:rPr>
          <w:rFonts w:ascii="Arial" w:hAnsi="Arial" w:cs="Arial"/>
          <w:b w:val="0"/>
          <w:caps w:val="0"/>
          <w:color w:val="000000" w:themeColor="text1"/>
          <w:sz w:val="20"/>
        </w:rPr>
        <w:t>Zlateva</w:t>
      </w:r>
      <w:proofErr w:type="spellEnd"/>
      <w:r w:rsidRPr="00D65723">
        <w:rPr>
          <w:rFonts w:ascii="Arial" w:hAnsi="Arial" w:cs="Arial"/>
          <w:b w:val="0"/>
          <w:caps w:val="0"/>
          <w:color w:val="000000" w:themeColor="text1"/>
          <w:sz w:val="20"/>
        </w:rPr>
        <w:t xml:space="preserve">, N. Z., &amp; Marinov, G. (2015). Effect of three anesthetic protocols on the </w:t>
      </w:r>
      <w:proofErr w:type="spellStart"/>
      <w:r w:rsidRPr="00D65723">
        <w:rPr>
          <w:rFonts w:ascii="Arial" w:hAnsi="Arial" w:cs="Arial"/>
          <w:b w:val="0"/>
          <w:caps w:val="0"/>
          <w:color w:val="000000" w:themeColor="text1"/>
          <w:sz w:val="20"/>
        </w:rPr>
        <w:t>haematological</w:t>
      </w:r>
      <w:proofErr w:type="spellEnd"/>
      <w:r w:rsidRPr="00D65723">
        <w:rPr>
          <w:rFonts w:ascii="Arial" w:hAnsi="Arial" w:cs="Arial"/>
          <w:b w:val="0"/>
          <w:caps w:val="0"/>
          <w:color w:val="000000" w:themeColor="text1"/>
          <w:sz w:val="20"/>
        </w:rPr>
        <w:t xml:space="preserve"> indices in cats during ovariohysterectomy. </w:t>
      </w:r>
      <w:proofErr w:type="spellStart"/>
      <w:r w:rsidRPr="00D65723">
        <w:rPr>
          <w:rFonts w:ascii="Arial" w:hAnsi="Arial" w:cs="Arial"/>
          <w:b w:val="0"/>
          <w:caps w:val="0"/>
          <w:color w:val="000000" w:themeColor="text1"/>
          <w:sz w:val="20"/>
        </w:rPr>
        <w:t>MedInform</w:t>
      </w:r>
      <w:proofErr w:type="spellEnd"/>
      <w:r w:rsidRPr="00D65723">
        <w:rPr>
          <w:rFonts w:ascii="Arial" w:hAnsi="Arial" w:cs="Arial"/>
          <w:b w:val="0"/>
          <w:caps w:val="0"/>
          <w:color w:val="000000" w:themeColor="text1"/>
          <w:sz w:val="20"/>
        </w:rPr>
        <w:t xml:space="preserve">. </w:t>
      </w:r>
      <w:hyperlink r:id="rId41" w:history="1">
        <w:r w:rsidR="005916BA" w:rsidRPr="00D65723">
          <w:rPr>
            <w:rStyle w:val="Hyperlink"/>
            <w:rFonts w:ascii="Arial" w:hAnsi="Arial" w:cs="Arial"/>
            <w:b w:val="0"/>
            <w:caps w:val="0"/>
            <w:sz w:val="20"/>
          </w:rPr>
          <w:t>https://doi.org/10.18044/MedInform.201522.184</w:t>
        </w:r>
      </w:hyperlink>
    </w:p>
    <w:p w14:paraId="74392443" w14:textId="77777777" w:rsidR="005916BA" w:rsidRPr="00D65723" w:rsidRDefault="005916BA" w:rsidP="00D65723">
      <w:pPr>
        <w:pStyle w:val="Appendix"/>
        <w:spacing w:after="0"/>
        <w:ind w:left="357"/>
        <w:jc w:val="both"/>
        <w:rPr>
          <w:rFonts w:ascii="Arial" w:hAnsi="Arial" w:cs="Arial"/>
          <w:b w:val="0"/>
          <w:caps w:val="0"/>
          <w:color w:val="000000" w:themeColor="text1"/>
          <w:sz w:val="20"/>
        </w:rPr>
      </w:pPr>
    </w:p>
    <w:p w14:paraId="7110420A" w14:textId="77777777" w:rsidR="005916BA" w:rsidRPr="00D65723" w:rsidRDefault="005916BA" w:rsidP="00D65723">
      <w:pPr>
        <w:pStyle w:val="Appendix"/>
        <w:spacing w:after="0"/>
        <w:ind w:left="357"/>
        <w:jc w:val="both"/>
        <w:rPr>
          <w:rFonts w:ascii="Arial" w:hAnsi="Arial" w:cs="Arial"/>
          <w:b w:val="0"/>
        </w:rPr>
      </w:pPr>
    </w:p>
    <w:sectPr w:rsidR="005916BA" w:rsidRPr="00D65723" w:rsidSect="00B172C2">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2D387" w14:textId="77777777" w:rsidR="00AB0ADD" w:rsidRDefault="00AB0ADD" w:rsidP="00C37E61">
      <w:r>
        <w:separator/>
      </w:r>
    </w:p>
  </w:endnote>
  <w:endnote w:type="continuationSeparator" w:id="0">
    <w:p w14:paraId="7E1BA6FE" w14:textId="77777777" w:rsidR="00AB0ADD" w:rsidRDefault="00AB0A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2363" w14:textId="77777777" w:rsidR="00B172C2" w:rsidRDefault="00B17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19C8" w14:textId="77777777" w:rsidR="00B172C2" w:rsidRDefault="00B17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449F" w14:textId="77777777" w:rsidR="009E048A" w:rsidRDefault="009E048A">
    <w:pPr>
      <w:pStyle w:val="Footer"/>
      <w:rPr>
        <w:rFonts w:ascii="Arial" w:hAnsi="Arial" w:cs="Arial"/>
        <w:sz w:val="16"/>
      </w:rPr>
    </w:pPr>
  </w:p>
  <w:p w14:paraId="319751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52F5DA6" w14:textId="77777777" w:rsidR="009E048A" w:rsidRDefault="009E048A">
    <w:pPr>
      <w:pStyle w:val="Footer"/>
      <w:rPr>
        <w:rFonts w:ascii="Arial" w:hAnsi="Arial" w:cs="Arial"/>
        <w:sz w:val="16"/>
      </w:rPr>
    </w:pPr>
  </w:p>
  <w:p w14:paraId="55286DA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1F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AF98" w14:textId="77777777" w:rsidR="00AB0ADD" w:rsidRDefault="00AB0ADD" w:rsidP="00C37E61">
      <w:r>
        <w:separator/>
      </w:r>
    </w:p>
  </w:footnote>
  <w:footnote w:type="continuationSeparator" w:id="0">
    <w:p w14:paraId="4CBD24E2" w14:textId="77777777" w:rsidR="00AB0ADD" w:rsidRDefault="00AB0A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EF90" w14:textId="0D5C536F" w:rsidR="00B172C2" w:rsidRDefault="00AB0ADD">
    <w:pPr>
      <w:pStyle w:val="Header"/>
    </w:pPr>
    <w:r>
      <w:rPr>
        <w:noProof/>
      </w:rPr>
      <w:pict w14:anchorId="534B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7DAD" w14:textId="49311187" w:rsidR="00B172C2" w:rsidRDefault="00AB0ADD">
    <w:pPr>
      <w:pStyle w:val="Header"/>
    </w:pPr>
    <w:r>
      <w:rPr>
        <w:noProof/>
      </w:rPr>
      <w:pict w14:anchorId="007FF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987D" w14:textId="4375AE47" w:rsidR="00296529" w:rsidRPr="00296529" w:rsidRDefault="00AB0ADD" w:rsidP="00296529">
    <w:pPr>
      <w:ind w:left="2160"/>
      <w:jc w:val="center"/>
      <w:rPr>
        <w:rFonts w:ascii="Times New Roman" w:eastAsia="Calibri" w:hAnsi="Times New Roman"/>
        <w:i/>
        <w:sz w:val="18"/>
        <w:szCs w:val="22"/>
      </w:rPr>
    </w:pPr>
    <w:r>
      <w:rPr>
        <w:noProof/>
      </w:rPr>
      <w:pict w14:anchorId="79A82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D5CA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BCE7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A68A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8D75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E0CC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24256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C00E" w14:textId="43F62D39" w:rsidR="00B172C2" w:rsidRDefault="00AB0ADD">
    <w:pPr>
      <w:pStyle w:val="Header"/>
    </w:pPr>
    <w:r>
      <w:rPr>
        <w:noProof/>
      </w:rPr>
      <w:pict w14:anchorId="38919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EA9C" w14:textId="4E90A453" w:rsidR="00B172C2" w:rsidRDefault="00AB0ADD">
    <w:pPr>
      <w:pStyle w:val="Header"/>
    </w:pPr>
    <w:r>
      <w:rPr>
        <w:noProof/>
      </w:rPr>
      <w:pict w14:anchorId="71CC8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EB6F" w14:textId="3795F9E5" w:rsidR="00B172C2" w:rsidRDefault="00AB0ADD">
    <w:pPr>
      <w:pStyle w:val="Header"/>
    </w:pPr>
    <w:r>
      <w:rPr>
        <w:noProof/>
      </w:rPr>
      <w:pict w14:anchorId="2DCD4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07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06E84"/>
    <w:multiLevelType w:val="multilevel"/>
    <w:tmpl w:val="29A05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0726AF"/>
    <w:multiLevelType w:val="multilevel"/>
    <w:tmpl w:val="684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362164"/>
    <w:multiLevelType w:val="multilevel"/>
    <w:tmpl w:val="57FA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3061CE"/>
    <w:multiLevelType w:val="multilevel"/>
    <w:tmpl w:val="EB78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C45C4"/>
    <w:multiLevelType w:val="multilevel"/>
    <w:tmpl w:val="766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6299F"/>
    <w:multiLevelType w:val="multilevel"/>
    <w:tmpl w:val="E2C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00485"/>
    <w:multiLevelType w:val="multilevel"/>
    <w:tmpl w:val="2204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F3437"/>
    <w:multiLevelType w:val="hybridMultilevel"/>
    <w:tmpl w:val="DA7C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1532A"/>
    <w:multiLevelType w:val="multilevel"/>
    <w:tmpl w:val="947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4ED16FA6"/>
    <w:multiLevelType w:val="multilevel"/>
    <w:tmpl w:val="1F46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E692A"/>
    <w:multiLevelType w:val="multilevel"/>
    <w:tmpl w:val="8918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2522756"/>
    <w:multiLevelType w:val="multilevel"/>
    <w:tmpl w:val="ABD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A6164C3"/>
    <w:multiLevelType w:val="multilevel"/>
    <w:tmpl w:val="9A0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C2F50"/>
    <w:multiLevelType w:val="multilevel"/>
    <w:tmpl w:val="A0D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861CF5"/>
    <w:multiLevelType w:val="multilevel"/>
    <w:tmpl w:val="2050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1B7D6D"/>
    <w:multiLevelType w:val="multilevel"/>
    <w:tmpl w:val="2DF4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B647F"/>
    <w:multiLevelType w:val="multilevel"/>
    <w:tmpl w:val="64BCE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41"/>
  </w:num>
  <w:num w:numId="10">
    <w:abstractNumId w:val="3"/>
  </w:num>
  <w:num w:numId="11">
    <w:abstractNumId w:val="30"/>
  </w:num>
  <w:num w:numId="12">
    <w:abstractNumId w:val="4"/>
  </w:num>
  <w:num w:numId="13">
    <w:abstractNumId w:val="28"/>
  </w:num>
  <w:num w:numId="14">
    <w:abstractNumId w:val="11"/>
  </w:num>
  <w:num w:numId="15">
    <w:abstractNumId w:val="35"/>
  </w:num>
  <w:num w:numId="16">
    <w:abstractNumId w:val="7"/>
  </w:num>
  <w:num w:numId="17">
    <w:abstractNumId w:val="36"/>
  </w:num>
  <w:num w:numId="18">
    <w:abstractNumId w:val="18"/>
  </w:num>
  <w:num w:numId="19">
    <w:abstractNumId w:val="45"/>
  </w:num>
  <w:num w:numId="20">
    <w:abstractNumId w:val="15"/>
  </w:num>
  <w:num w:numId="21">
    <w:abstractNumId w:val="13"/>
  </w:num>
  <w:num w:numId="22">
    <w:abstractNumId w:val="17"/>
  </w:num>
  <w:num w:numId="23">
    <w:abstractNumId w:val="33"/>
  </w:num>
  <w:num w:numId="24">
    <w:abstractNumId w:val="42"/>
  </w:num>
  <w:num w:numId="25">
    <w:abstractNumId w:val="6"/>
  </w:num>
  <w:num w:numId="26">
    <w:abstractNumId w:val="26"/>
  </w:num>
  <w:num w:numId="27">
    <w:abstractNumId w:val="34"/>
  </w:num>
  <w:num w:numId="28">
    <w:abstractNumId w:val="44"/>
  </w:num>
  <w:num w:numId="29">
    <w:abstractNumId w:val="39"/>
  </w:num>
  <w:num w:numId="30">
    <w:abstractNumId w:val="14"/>
  </w:num>
  <w:num w:numId="31">
    <w:abstractNumId w:val="5"/>
  </w:num>
  <w:num w:numId="32">
    <w:abstractNumId w:val="23"/>
  </w:num>
  <w:num w:numId="33">
    <w:abstractNumId w:val="29"/>
  </w:num>
  <w:num w:numId="34">
    <w:abstractNumId w:val="38"/>
  </w:num>
  <w:num w:numId="35">
    <w:abstractNumId w:val="27"/>
  </w:num>
  <w:num w:numId="36">
    <w:abstractNumId w:val="21"/>
  </w:num>
  <w:num w:numId="37">
    <w:abstractNumId w:val="22"/>
  </w:num>
  <w:num w:numId="38">
    <w:abstractNumId w:val="20"/>
  </w:num>
  <w:num w:numId="39">
    <w:abstractNumId w:val="25"/>
  </w:num>
  <w:num w:numId="40">
    <w:abstractNumId w:val="1"/>
  </w:num>
  <w:num w:numId="41">
    <w:abstractNumId w:val="9"/>
  </w:num>
  <w:num w:numId="42">
    <w:abstractNumId w:val="32"/>
  </w:num>
  <w:num w:numId="43">
    <w:abstractNumId w:val="43"/>
  </w:num>
  <w:num w:numId="44">
    <w:abstractNumId w:val="31"/>
  </w:num>
  <w:num w:numId="45">
    <w:abstractNumId w:val="19"/>
  </w:num>
  <w:num w:numId="46">
    <w:abstractNumId w:val="4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C63"/>
    <w:rsid w:val="000167A4"/>
    <w:rsid w:val="000242C9"/>
    <w:rsid w:val="00030174"/>
    <w:rsid w:val="00043A2C"/>
    <w:rsid w:val="0004579C"/>
    <w:rsid w:val="00070506"/>
    <w:rsid w:val="000836EB"/>
    <w:rsid w:val="000A47FA"/>
    <w:rsid w:val="000A4AC5"/>
    <w:rsid w:val="000A65D3"/>
    <w:rsid w:val="000B1E33"/>
    <w:rsid w:val="000B643D"/>
    <w:rsid w:val="000D689F"/>
    <w:rsid w:val="000E7B7B"/>
    <w:rsid w:val="000E7D62"/>
    <w:rsid w:val="00103357"/>
    <w:rsid w:val="00115E4D"/>
    <w:rsid w:val="00123C9F"/>
    <w:rsid w:val="00126190"/>
    <w:rsid w:val="00130F17"/>
    <w:rsid w:val="001320BF"/>
    <w:rsid w:val="00163BC4"/>
    <w:rsid w:val="00191062"/>
    <w:rsid w:val="00192B72"/>
    <w:rsid w:val="001A29D8"/>
    <w:rsid w:val="001A5CAA"/>
    <w:rsid w:val="001A7172"/>
    <w:rsid w:val="001B0427"/>
    <w:rsid w:val="001B4F4A"/>
    <w:rsid w:val="001D3A51"/>
    <w:rsid w:val="001E10D2"/>
    <w:rsid w:val="001E25B4"/>
    <w:rsid w:val="001E44FE"/>
    <w:rsid w:val="001F54B7"/>
    <w:rsid w:val="00200595"/>
    <w:rsid w:val="0020353F"/>
    <w:rsid w:val="00204835"/>
    <w:rsid w:val="00211057"/>
    <w:rsid w:val="00220DC3"/>
    <w:rsid w:val="00231602"/>
    <w:rsid w:val="00231920"/>
    <w:rsid w:val="0023195C"/>
    <w:rsid w:val="0024282C"/>
    <w:rsid w:val="002460DC"/>
    <w:rsid w:val="00250283"/>
    <w:rsid w:val="00250985"/>
    <w:rsid w:val="002556F6"/>
    <w:rsid w:val="00283105"/>
    <w:rsid w:val="00284C4C"/>
    <w:rsid w:val="00287B19"/>
    <w:rsid w:val="00287E68"/>
    <w:rsid w:val="00296529"/>
    <w:rsid w:val="002B27FB"/>
    <w:rsid w:val="002B685A"/>
    <w:rsid w:val="002C57D2"/>
    <w:rsid w:val="002D7DAB"/>
    <w:rsid w:val="002E0D56"/>
    <w:rsid w:val="002F755B"/>
    <w:rsid w:val="00315186"/>
    <w:rsid w:val="00317383"/>
    <w:rsid w:val="003271C1"/>
    <w:rsid w:val="0033343E"/>
    <w:rsid w:val="00335FC4"/>
    <w:rsid w:val="003512C2"/>
    <w:rsid w:val="00352E41"/>
    <w:rsid w:val="00362336"/>
    <w:rsid w:val="00371FB6"/>
    <w:rsid w:val="003752B6"/>
    <w:rsid w:val="003763C1"/>
    <w:rsid w:val="00376BBE"/>
    <w:rsid w:val="00385953"/>
    <w:rsid w:val="0039224F"/>
    <w:rsid w:val="003A43A4"/>
    <w:rsid w:val="003A7E18"/>
    <w:rsid w:val="003C3D34"/>
    <w:rsid w:val="003C4C86"/>
    <w:rsid w:val="003C6258"/>
    <w:rsid w:val="003D6F97"/>
    <w:rsid w:val="003E2904"/>
    <w:rsid w:val="003F0585"/>
    <w:rsid w:val="003F4F92"/>
    <w:rsid w:val="00401927"/>
    <w:rsid w:val="00405818"/>
    <w:rsid w:val="0041027F"/>
    <w:rsid w:val="00412475"/>
    <w:rsid w:val="00413C1E"/>
    <w:rsid w:val="00423789"/>
    <w:rsid w:val="004402FD"/>
    <w:rsid w:val="00440F43"/>
    <w:rsid w:val="00441A5A"/>
    <w:rsid w:val="00441B6F"/>
    <w:rsid w:val="00446221"/>
    <w:rsid w:val="00450E62"/>
    <w:rsid w:val="004539DB"/>
    <w:rsid w:val="00457039"/>
    <w:rsid w:val="00471A80"/>
    <w:rsid w:val="00475A44"/>
    <w:rsid w:val="00476B6A"/>
    <w:rsid w:val="004C3ED6"/>
    <w:rsid w:val="004C6552"/>
    <w:rsid w:val="004D305E"/>
    <w:rsid w:val="004D4277"/>
    <w:rsid w:val="004F48E0"/>
    <w:rsid w:val="00502516"/>
    <w:rsid w:val="00503F18"/>
    <w:rsid w:val="00505F06"/>
    <w:rsid w:val="00506828"/>
    <w:rsid w:val="0050694D"/>
    <w:rsid w:val="0053056E"/>
    <w:rsid w:val="0054541B"/>
    <w:rsid w:val="00554FDA"/>
    <w:rsid w:val="00572C9A"/>
    <w:rsid w:val="00573107"/>
    <w:rsid w:val="005916BA"/>
    <w:rsid w:val="005C784C"/>
    <w:rsid w:val="005C7E36"/>
    <w:rsid w:val="005D17F6"/>
    <w:rsid w:val="005D2A47"/>
    <w:rsid w:val="005E5539"/>
    <w:rsid w:val="00602BF5"/>
    <w:rsid w:val="0061711B"/>
    <w:rsid w:val="00617FDD"/>
    <w:rsid w:val="00633614"/>
    <w:rsid w:val="006339A8"/>
    <w:rsid w:val="00633F68"/>
    <w:rsid w:val="00636EB2"/>
    <w:rsid w:val="006375B8"/>
    <w:rsid w:val="00654281"/>
    <w:rsid w:val="006647CC"/>
    <w:rsid w:val="0066510A"/>
    <w:rsid w:val="00673F9F"/>
    <w:rsid w:val="00686953"/>
    <w:rsid w:val="00687DEA"/>
    <w:rsid w:val="00687E67"/>
    <w:rsid w:val="006967F7"/>
    <w:rsid w:val="006A250C"/>
    <w:rsid w:val="006B21D3"/>
    <w:rsid w:val="006B57D0"/>
    <w:rsid w:val="006C1956"/>
    <w:rsid w:val="006C2DA4"/>
    <w:rsid w:val="006D30FF"/>
    <w:rsid w:val="006D6940"/>
    <w:rsid w:val="006F11EC"/>
    <w:rsid w:val="0070082C"/>
    <w:rsid w:val="00731376"/>
    <w:rsid w:val="007369E6"/>
    <w:rsid w:val="00746E59"/>
    <w:rsid w:val="00754C9A"/>
    <w:rsid w:val="0075599A"/>
    <w:rsid w:val="00761D52"/>
    <w:rsid w:val="0077749E"/>
    <w:rsid w:val="00786D69"/>
    <w:rsid w:val="00790ADA"/>
    <w:rsid w:val="007A64CF"/>
    <w:rsid w:val="007B616C"/>
    <w:rsid w:val="007D2288"/>
    <w:rsid w:val="007D4C94"/>
    <w:rsid w:val="007E088F"/>
    <w:rsid w:val="007F7B32"/>
    <w:rsid w:val="00804BC2"/>
    <w:rsid w:val="0081431A"/>
    <w:rsid w:val="0082307C"/>
    <w:rsid w:val="0083216F"/>
    <w:rsid w:val="0084667B"/>
    <w:rsid w:val="00860000"/>
    <w:rsid w:val="00863BD3"/>
    <w:rsid w:val="008641ED"/>
    <w:rsid w:val="00866D66"/>
    <w:rsid w:val="008671C6"/>
    <w:rsid w:val="00875803"/>
    <w:rsid w:val="00897A23"/>
    <w:rsid w:val="008A2C19"/>
    <w:rsid w:val="008B459E"/>
    <w:rsid w:val="008C349D"/>
    <w:rsid w:val="008D6F40"/>
    <w:rsid w:val="008E0B43"/>
    <w:rsid w:val="008E13AE"/>
    <w:rsid w:val="008E1506"/>
    <w:rsid w:val="008E710C"/>
    <w:rsid w:val="008F69D6"/>
    <w:rsid w:val="00902823"/>
    <w:rsid w:val="00915CA6"/>
    <w:rsid w:val="00927834"/>
    <w:rsid w:val="00930AA5"/>
    <w:rsid w:val="009500A6"/>
    <w:rsid w:val="00950972"/>
    <w:rsid w:val="00957C18"/>
    <w:rsid w:val="009659BA"/>
    <w:rsid w:val="00967D4F"/>
    <w:rsid w:val="00983040"/>
    <w:rsid w:val="009B3FB9"/>
    <w:rsid w:val="009C2465"/>
    <w:rsid w:val="009D2AC4"/>
    <w:rsid w:val="009D35A0"/>
    <w:rsid w:val="009D7EB7"/>
    <w:rsid w:val="009E048A"/>
    <w:rsid w:val="009E08E9"/>
    <w:rsid w:val="009E3DB9"/>
    <w:rsid w:val="009E6E35"/>
    <w:rsid w:val="009F0EDA"/>
    <w:rsid w:val="009F60FA"/>
    <w:rsid w:val="00A03B96"/>
    <w:rsid w:val="00A05362"/>
    <w:rsid w:val="00A05B19"/>
    <w:rsid w:val="00A1134E"/>
    <w:rsid w:val="00A11E61"/>
    <w:rsid w:val="00A24E7E"/>
    <w:rsid w:val="00A258C3"/>
    <w:rsid w:val="00A347C0"/>
    <w:rsid w:val="00A37C7A"/>
    <w:rsid w:val="00A51431"/>
    <w:rsid w:val="00A539AD"/>
    <w:rsid w:val="00A617D3"/>
    <w:rsid w:val="00A66479"/>
    <w:rsid w:val="00A94063"/>
    <w:rsid w:val="00AA073D"/>
    <w:rsid w:val="00AA6219"/>
    <w:rsid w:val="00AA74E0"/>
    <w:rsid w:val="00AB0ADD"/>
    <w:rsid w:val="00AB703F"/>
    <w:rsid w:val="00AC4531"/>
    <w:rsid w:val="00AC6BB8"/>
    <w:rsid w:val="00AD7E14"/>
    <w:rsid w:val="00AE008F"/>
    <w:rsid w:val="00B01FCD"/>
    <w:rsid w:val="00B172C2"/>
    <w:rsid w:val="00B1776C"/>
    <w:rsid w:val="00B33A51"/>
    <w:rsid w:val="00B52583"/>
    <w:rsid w:val="00B52896"/>
    <w:rsid w:val="00B72F71"/>
    <w:rsid w:val="00B95236"/>
    <w:rsid w:val="00B96BD9"/>
    <w:rsid w:val="00BA1B01"/>
    <w:rsid w:val="00BA2641"/>
    <w:rsid w:val="00BA4F75"/>
    <w:rsid w:val="00BB37AA"/>
    <w:rsid w:val="00BC53A0"/>
    <w:rsid w:val="00BE62AD"/>
    <w:rsid w:val="00BF121F"/>
    <w:rsid w:val="00BF1F80"/>
    <w:rsid w:val="00BF731B"/>
    <w:rsid w:val="00C166EF"/>
    <w:rsid w:val="00C17EB0"/>
    <w:rsid w:val="00C27F5F"/>
    <w:rsid w:val="00C30A0F"/>
    <w:rsid w:val="00C37E61"/>
    <w:rsid w:val="00C70F1B"/>
    <w:rsid w:val="00C71A47"/>
    <w:rsid w:val="00C7464C"/>
    <w:rsid w:val="00C85588"/>
    <w:rsid w:val="00C90B8C"/>
    <w:rsid w:val="00CA0E2E"/>
    <w:rsid w:val="00CD5FBB"/>
    <w:rsid w:val="00CD6755"/>
    <w:rsid w:val="00CD6856"/>
    <w:rsid w:val="00CE0089"/>
    <w:rsid w:val="00CE76E7"/>
    <w:rsid w:val="00CE793C"/>
    <w:rsid w:val="00CF193C"/>
    <w:rsid w:val="00D12223"/>
    <w:rsid w:val="00D173F1"/>
    <w:rsid w:val="00D65723"/>
    <w:rsid w:val="00D74CB0"/>
    <w:rsid w:val="00D76D6F"/>
    <w:rsid w:val="00D8295D"/>
    <w:rsid w:val="00D90192"/>
    <w:rsid w:val="00D96517"/>
    <w:rsid w:val="00DA0034"/>
    <w:rsid w:val="00DC2A65"/>
    <w:rsid w:val="00DE15F0"/>
    <w:rsid w:val="00DE5663"/>
    <w:rsid w:val="00DE78AA"/>
    <w:rsid w:val="00E02525"/>
    <w:rsid w:val="00E053D0"/>
    <w:rsid w:val="00E15994"/>
    <w:rsid w:val="00E21020"/>
    <w:rsid w:val="00E3114E"/>
    <w:rsid w:val="00E31A70"/>
    <w:rsid w:val="00E35B02"/>
    <w:rsid w:val="00E5524B"/>
    <w:rsid w:val="00E66496"/>
    <w:rsid w:val="00E66B35"/>
    <w:rsid w:val="00E66E10"/>
    <w:rsid w:val="00E66E60"/>
    <w:rsid w:val="00E769F6"/>
    <w:rsid w:val="00E8407C"/>
    <w:rsid w:val="00E84F3C"/>
    <w:rsid w:val="00EA012C"/>
    <w:rsid w:val="00EB3E40"/>
    <w:rsid w:val="00EC132A"/>
    <w:rsid w:val="00EC6A55"/>
    <w:rsid w:val="00ED0288"/>
    <w:rsid w:val="00ED449D"/>
    <w:rsid w:val="00EE52CB"/>
    <w:rsid w:val="00EF581D"/>
    <w:rsid w:val="00EF7FD8"/>
    <w:rsid w:val="00F026AE"/>
    <w:rsid w:val="00F06F59"/>
    <w:rsid w:val="00F17988"/>
    <w:rsid w:val="00F25CD6"/>
    <w:rsid w:val="00F469F0"/>
    <w:rsid w:val="00F53273"/>
    <w:rsid w:val="00F60675"/>
    <w:rsid w:val="00F73CB6"/>
    <w:rsid w:val="00F755E4"/>
    <w:rsid w:val="00F77D02"/>
    <w:rsid w:val="00FA718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94B7A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D6F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D6F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D6F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D6F97"/>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476B6A"/>
    <w:rPr>
      <w:rFonts w:ascii="Times New Roman" w:hAnsi="Times New Roman"/>
      <w:sz w:val="24"/>
      <w:szCs w:val="24"/>
    </w:rPr>
  </w:style>
  <w:style w:type="paragraph" w:customStyle="1" w:styleId="TableParagraph">
    <w:name w:val="Table Paragraph"/>
    <w:basedOn w:val="Normal"/>
    <w:uiPriority w:val="1"/>
    <w:qFormat/>
    <w:rsid w:val="009D2AC4"/>
    <w:pPr>
      <w:widowControl w:val="0"/>
      <w:autoSpaceDE w:val="0"/>
      <w:autoSpaceDN w:val="0"/>
      <w:ind w:left="107"/>
    </w:pPr>
    <w:rPr>
      <w:rFonts w:ascii="Times New Roman" w:hAnsi="Times New Roman"/>
      <w:sz w:val="22"/>
      <w:szCs w:val="22"/>
    </w:rPr>
  </w:style>
  <w:style w:type="paragraph" w:styleId="BodyText">
    <w:name w:val="Body Text"/>
    <w:basedOn w:val="Normal"/>
    <w:link w:val="BodyTextChar"/>
    <w:unhideWhenUsed/>
    <w:rsid w:val="007D4C94"/>
    <w:pPr>
      <w:spacing w:after="120"/>
    </w:pPr>
  </w:style>
  <w:style w:type="character" w:customStyle="1" w:styleId="BodyTextChar">
    <w:name w:val="Body Text Char"/>
    <w:basedOn w:val="DefaultParagraphFont"/>
    <w:link w:val="BodyText"/>
    <w:rsid w:val="007D4C94"/>
    <w:rPr>
      <w:rFonts w:ascii="Helvetica" w:hAnsi="Helvetica"/>
    </w:rPr>
  </w:style>
  <w:style w:type="paragraph" w:styleId="ListParagraph">
    <w:name w:val="List Paragraph"/>
    <w:basedOn w:val="Normal"/>
    <w:uiPriority w:val="34"/>
    <w:qFormat/>
    <w:rsid w:val="00503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9290827/" TargetMode="External"/><Relationship Id="rId26" Type="http://schemas.openxmlformats.org/officeDocument/2006/relationships/hyperlink" Target="https://doi.org/10.56093/ijans.v88i6.80881" TargetMode="External"/><Relationship Id="rId39" Type="http://schemas.openxmlformats.org/officeDocument/2006/relationships/hyperlink" Target="https://doi.org/10.3390/ani11020492" TargetMode="External"/><Relationship Id="rId21" Type="http://schemas.openxmlformats.org/officeDocument/2006/relationships/hyperlink" Target="https://doi.org/10.1111/vaa.12095" TargetMode="External"/><Relationship Id="rId34" Type="http://schemas.openxmlformats.org/officeDocument/2006/relationships/hyperlink" Target="https://doi.org/10.1002/vms3.806"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17-022-03194-8" TargetMode="External"/><Relationship Id="rId29" Type="http://schemas.openxmlformats.org/officeDocument/2006/relationships/hyperlink" Target="https://doi.org/10.1002/vms3.7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887/ijvsbt.17.4.13" TargetMode="External"/><Relationship Id="rId32" Type="http://schemas.openxmlformats.org/officeDocument/2006/relationships/hyperlink" Target="https://doi.org/10.1186/s43088-022-00232-0" TargetMode="External"/><Relationship Id="rId37" Type="http://schemas.openxmlformats.org/officeDocument/2006/relationships/hyperlink" Target="https://doi.org/10.4102/jsava.v84i1.67" TargetMode="External"/><Relationship Id="rId40" Type="http://schemas.openxmlformats.org/officeDocument/2006/relationships/hyperlink" Target="https://doi.org/10.20546/ijcmas.2018.706.303"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90/ani11030723" TargetMode="External"/><Relationship Id="rId23" Type="http://schemas.openxmlformats.org/officeDocument/2006/relationships/hyperlink" Target="https://doi.org/10.2754/avb201483020145" TargetMode="External"/><Relationship Id="rId28" Type="http://schemas.openxmlformats.org/officeDocument/2006/relationships/hyperlink" Target="https://doi.org/10.2460/javma.240.4.404" TargetMode="External"/><Relationship Id="rId36" Type="http://schemas.openxmlformats.org/officeDocument/2006/relationships/hyperlink" Target="http://www.thejaps.org.pk/index.php/japs/issue/view/100" TargetMode="External"/><Relationship Id="rId10" Type="http://schemas.openxmlformats.org/officeDocument/2006/relationships/footer" Target="footer1.xml"/><Relationship Id="rId19" Type="http://schemas.openxmlformats.org/officeDocument/2006/relationships/hyperlink" Target="https://doi.org/10.2460/ajvr.40.1.127" TargetMode="External"/><Relationship Id="rId31" Type="http://schemas.openxmlformats.org/officeDocument/2006/relationships/hyperlink" Target="https://krishikosh.egranth.ac.in/handle/1/5818900"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kdr.uplb.edu.ph/journal-articles/1574/" TargetMode="External"/><Relationship Id="rId22" Type="http://schemas.openxmlformats.org/officeDocument/2006/relationships/hyperlink" Target="https://doi.org/10.17140/VMOJ-2-114" TargetMode="External"/><Relationship Id="rId27" Type="http://schemas.openxmlformats.org/officeDocument/2006/relationships/hyperlink" Target="https://www.elsevier.com/books/sheep-and-goat-medicine/pugh/978-1-4377-2353-3" TargetMode="External"/><Relationship Id="rId30" Type="http://schemas.openxmlformats.org/officeDocument/2006/relationships/hyperlink" Target="https://www.revmedvet.com/artdes-us.php?id=1729" TargetMode="External"/><Relationship Id="rId35" Type="http://schemas.openxmlformats.org/officeDocument/2006/relationships/hyperlink" Target="https://www.actascientific.com/ASVS/ASVS-04-0337.php"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0546/ijcmas.2018.712.403" TargetMode="External"/><Relationship Id="rId25" Type="http://schemas.openxmlformats.org/officeDocument/2006/relationships/hyperlink" Target="https://doi.org/10.14202/vetworld.2014.566-573" TargetMode="External"/><Relationship Id="rId33" Type="http://schemas.openxmlformats.org/officeDocument/2006/relationships/hyperlink" Target="https://doi.org/10.21887/ijvsbt.17.4.19" TargetMode="External"/><Relationship Id="rId38" Type="http://schemas.openxmlformats.org/officeDocument/2006/relationships/hyperlink" Target="https://doi.org/10.4102/jsava.v70i3.771" TargetMode="External"/><Relationship Id="rId46" Type="http://schemas.openxmlformats.org/officeDocument/2006/relationships/fontTable" Target="fontTable.xml"/><Relationship Id="rId20" Type="http://schemas.openxmlformats.org/officeDocument/2006/relationships/hyperlink" Target="https://doi.org/10.2460/javma.254.12.1421" TargetMode="External"/><Relationship Id="rId41" Type="http://schemas.openxmlformats.org/officeDocument/2006/relationships/hyperlink" Target="https://doi.org/10.18044/MedInform.201522.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49B7-8A9C-47F9-A570-F500F257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1025</TotalTime>
  <Pages>9</Pages>
  <Words>6607</Words>
  <Characters>37662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34</cp:revision>
  <cp:lastPrinted>1999-07-06T11:00:00Z</cp:lastPrinted>
  <dcterms:created xsi:type="dcterms:W3CDTF">2025-12-22T16:31:00Z</dcterms:created>
  <dcterms:modified xsi:type="dcterms:W3CDTF">2026-01-02T10:17:00Z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9e2419fa-aec9-4c40-8f5b-91d8a0c6f8f0</vt:lpwstr>
  </property>
</Properties>
</file>