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79DCB" w14:textId="77777777" w:rsidR="008059F4" w:rsidRDefault="008059F4">
      <w:pPr>
        <w:jc w:val="both"/>
        <w:rPr>
          <w:rFonts w:ascii="Times New Roman" w:eastAsia="Times New Roman" w:hAnsi="Times New Roman" w:cs="Times New Roman"/>
          <w:b/>
          <w:bCs/>
          <w:color w:val="000000"/>
        </w:rPr>
      </w:pPr>
    </w:p>
    <w:p w14:paraId="1DB4C6F2" w14:textId="77777777" w:rsidR="00AC57B6" w:rsidRPr="00292CAD" w:rsidRDefault="00AC57B6" w:rsidP="00AC57B6">
      <w:pPr>
        <w:spacing w:before="100" w:beforeAutospacing="1" w:after="100" w:afterAutospacing="1" w:line="240" w:lineRule="auto"/>
        <w:jc w:val="both"/>
        <w:outlineLvl w:val="3"/>
        <w:rPr>
          <w:rFonts w:ascii="Times New Roman" w:eastAsia="Cambria" w:hAnsi="Times New Roman" w:cs="Times New Roman"/>
          <w:b/>
          <w:bCs/>
          <w:color w:val="000000" w:themeColor="text1"/>
        </w:rPr>
      </w:pPr>
      <w:r>
        <w:rPr>
          <w:rFonts w:ascii="Times New Roman" w:hAnsi="Times New Roman" w:cs="Times New Roman"/>
          <w:b/>
          <w:bCs/>
        </w:rPr>
        <w:t xml:space="preserve">Monetary </w:t>
      </w:r>
      <w:r w:rsidRPr="00292CAD">
        <w:rPr>
          <w:rFonts w:ascii="Times New Roman" w:hAnsi="Times New Roman" w:cs="Times New Roman"/>
          <w:b/>
          <w:bCs/>
        </w:rPr>
        <w:t xml:space="preserve">Policy Uncertainty, </w:t>
      </w:r>
      <w:r>
        <w:rPr>
          <w:rFonts w:ascii="Times New Roman" w:hAnsi="Times New Roman" w:cs="Times New Roman"/>
          <w:b/>
          <w:bCs/>
        </w:rPr>
        <w:t xml:space="preserve">U. S </w:t>
      </w:r>
      <w:r w:rsidRPr="00292CAD">
        <w:rPr>
          <w:rFonts w:ascii="Times New Roman" w:hAnsi="Times New Roman" w:cs="Times New Roman"/>
          <w:b/>
          <w:bCs/>
        </w:rPr>
        <w:t>Bank Stability, and the Rise of AI-Enabled Stress Testing: A Review of Evidence</w:t>
      </w:r>
    </w:p>
    <w:p w14:paraId="706C2467" w14:textId="77777777" w:rsidR="008059F4" w:rsidRDefault="008059F4">
      <w:pPr>
        <w:spacing w:before="280" w:after="280" w:line="240" w:lineRule="auto"/>
        <w:jc w:val="both"/>
        <w:rPr>
          <w:rFonts w:ascii="Times New Roman" w:eastAsia="Times New Roman" w:hAnsi="Times New Roman" w:cs="Times New Roman"/>
        </w:rPr>
      </w:pPr>
      <w:bookmarkStart w:id="0" w:name="_GoBack"/>
      <w:bookmarkEnd w:id="0"/>
    </w:p>
    <w:p w14:paraId="7FBD7F32" w14:textId="77777777" w:rsidR="008059F4" w:rsidRDefault="00654302">
      <w:pPr>
        <w:pStyle w:val="Heading1"/>
        <w:spacing w:before="0" w:after="2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Abstract</w:t>
      </w:r>
    </w:p>
    <w:p w14:paraId="23C5A411" w14:textId="60F857A2" w:rsidR="008059F4" w:rsidRDefault="00654302">
      <w:pPr>
        <w:jc w:val="both"/>
        <w:rPr>
          <w:rFonts w:ascii="Times New Roman" w:eastAsia="Times New Roman" w:hAnsi="Times New Roman" w:cs="Times New Roman"/>
        </w:rPr>
      </w:pPr>
      <w:r>
        <w:rPr>
          <w:rFonts w:ascii="Times New Roman" w:eastAsia="Times New Roman" w:hAnsi="Times New Roman" w:cs="Times New Roman"/>
        </w:rPr>
        <w:t>This study examines the impact of Monetary Policy Uncertainty</w:t>
      </w:r>
      <w:r>
        <w:rPr>
          <w:rFonts w:ascii="Times New Roman" w:eastAsia="Times New Roman" w:hAnsi="Times New Roman" w:cs="Times New Roman"/>
          <w:b/>
          <w:bCs/>
        </w:rPr>
        <w:t xml:space="preserve"> (</w:t>
      </w:r>
      <w:r>
        <w:rPr>
          <w:rFonts w:ascii="Times New Roman" w:eastAsia="Times New Roman" w:hAnsi="Times New Roman" w:cs="Times New Roman"/>
        </w:rPr>
        <w:t xml:space="preserve">MPU) on the U.S. banking system through credit supply, liquidity pressures, and capital adequacy. </w:t>
      </w:r>
      <w:r w:rsidR="00B30B19">
        <w:rPr>
          <w:rFonts w:ascii="Times New Roman" w:eastAsia="Times New Roman" w:hAnsi="Times New Roman" w:cs="Times New Roman"/>
        </w:rPr>
        <w:t>Using an</w:t>
      </w:r>
      <w:r>
        <w:rPr>
          <w:rFonts w:ascii="Times New Roman" w:eastAsia="Times New Roman" w:hAnsi="Times New Roman" w:cs="Times New Roman"/>
        </w:rPr>
        <w:t xml:space="preserve"> integrative literature review over the period from 2010 to 2025, </w:t>
      </w:r>
      <w:r w:rsidR="007D04E7">
        <w:rPr>
          <w:rFonts w:ascii="Times New Roman" w:hAnsi="Times New Roman" w:cs="Times New Roman"/>
        </w:rPr>
        <w:t>this study was</w:t>
      </w:r>
      <w:r w:rsidR="007D04E7" w:rsidRPr="007D04E7">
        <w:rPr>
          <w:rFonts w:ascii="Times New Roman" w:hAnsi="Times New Roman" w:cs="Times New Roman"/>
        </w:rPr>
        <w:t xml:space="preserve"> conducted </w:t>
      </w:r>
      <w:r w:rsidR="0007244E">
        <w:rPr>
          <w:rFonts w:ascii="Times New Roman" w:hAnsi="Times New Roman" w:cs="Times New Roman"/>
        </w:rPr>
        <w:t>through</w:t>
      </w:r>
      <w:r w:rsidR="007D04E7" w:rsidRPr="007D04E7">
        <w:rPr>
          <w:rFonts w:ascii="Times New Roman" w:hAnsi="Times New Roman" w:cs="Times New Roman"/>
        </w:rPr>
        <w:t xml:space="preserve"> PRISMA guidelines, combining Boolean search strategies across databases</w:t>
      </w:r>
      <w:r w:rsidR="007D04E7">
        <w:rPr>
          <w:rFonts w:ascii="Times New Roman" w:hAnsi="Times New Roman" w:cs="Times New Roman"/>
        </w:rPr>
        <w:t xml:space="preserve"> including</w:t>
      </w:r>
      <w:r w:rsidR="00BA200E">
        <w:rPr>
          <w:rFonts w:ascii="Times New Roman" w:hAnsi="Times New Roman" w:cs="Times New Roman"/>
        </w:rPr>
        <w:t xml:space="preserve"> </w:t>
      </w:r>
      <w:proofErr w:type="spellStart"/>
      <w:r w:rsidR="00BA200E">
        <w:rPr>
          <w:rFonts w:ascii="Times New Roman" w:eastAsia="Times New Roman" w:hAnsi="Times New Roman" w:cs="Times New Roman"/>
          <w:color w:val="000000"/>
        </w:rPr>
        <w:t>EconLit</w:t>
      </w:r>
      <w:proofErr w:type="spellEnd"/>
      <w:r w:rsidR="00BA200E">
        <w:rPr>
          <w:rFonts w:ascii="Times New Roman" w:eastAsia="Times New Roman" w:hAnsi="Times New Roman" w:cs="Times New Roman"/>
          <w:color w:val="000000"/>
        </w:rPr>
        <w:t>, Scopus, and ScienceDirect</w:t>
      </w:r>
      <w:r>
        <w:rPr>
          <w:rFonts w:ascii="Times New Roman" w:eastAsia="Times New Roman" w:hAnsi="Times New Roman" w:cs="Times New Roman"/>
        </w:rPr>
        <w:t>.</w:t>
      </w:r>
    </w:p>
    <w:p w14:paraId="7033E03D" w14:textId="7AF949E0" w:rsidR="008059F4" w:rsidRDefault="00C94ED7">
      <w:pPr>
        <w:jc w:val="both"/>
        <w:rPr>
          <w:rFonts w:ascii="Times New Roman" w:eastAsia="Times New Roman" w:hAnsi="Times New Roman" w:cs="Times New Roman"/>
        </w:rPr>
      </w:pPr>
      <w:r w:rsidRPr="006B651C">
        <w:rPr>
          <w:rFonts w:ascii="Times New Roman" w:hAnsi="Times New Roman" w:cs="Times New Roman"/>
        </w:rPr>
        <w:t xml:space="preserve">The results show that MPU deprives credit supply, resulting in tight lending conditions and reduced loan performance as banks become risk-averse. As banks do not want to maintain capital reserves than lend, liquidity pressures increase, further exacerbated by a decline in liquidity pressure. AI and machine learning (ML) models have been useful for predicting bank distress, but there are still concerns about the privacy and interpretation of the AI models. There is no </w:t>
      </w:r>
      <w:proofErr w:type="spellStart"/>
      <w:r w:rsidRPr="006B651C">
        <w:rPr>
          <w:rFonts w:ascii="Times New Roman" w:hAnsi="Times New Roman" w:cs="Times New Roman"/>
        </w:rPr>
        <w:t>explanationable</w:t>
      </w:r>
      <w:proofErr w:type="spellEnd"/>
      <w:r w:rsidRPr="006B651C">
        <w:rPr>
          <w:rFonts w:ascii="Times New Roman" w:hAnsi="Times New Roman" w:cs="Times New Roman"/>
        </w:rPr>
        <w:t xml:space="preserve"> AI on stress testing</w:t>
      </w:r>
      <w:r>
        <w:rPr>
          <w:rFonts w:ascii="Times New Roman" w:hAnsi="Times New Roman" w:cs="Times New Roman"/>
        </w:rPr>
        <w:t>,</w:t>
      </w:r>
      <w:r w:rsidRPr="006B651C">
        <w:rPr>
          <w:rFonts w:ascii="Times New Roman" w:hAnsi="Times New Roman" w:cs="Times New Roman"/>
        </w:rPr>
        <w:t xml:space="preserve"> which can be </w:t>
      </w:r>
      <w:r>
        <w:rPr>
          <w:rFonts w:ascii="Times New Roman" w:hAnsi="Times New Roman" w:cs="Times New Roman"/>
        </w:rPr>
        <w:t>utilised</w:t>
      </w:r>
      <w:r w:rsidRPr="006B651C">
        <w:rPr>
          <w:rFonts w:ascii="Times New Roman" w:hAnsi="Times New Roman" w:cs="Times New Roman"/>
        </w:rPr>
        <w:t xml:space="preserve"> in real-time policy decisions, where regulators need to know how AI is thinking about their decisions. The real-time news</w:t>
      </w:r>
      <w:r>
        <w:rPr>
          <w:rFonts w:ascii="Times New Roman" w:hAnsi="Times New Roman" w:cs="Times New Roman"/>
        </w:rPr>
        <w:t xml:space="preserve">, </w:t>
      </w:r>
      <w:r w:rsidRPr="006B651C">
        <w:rPr>
          <w:rFonts w:ascii="Times New Roman" w:hAnsi="Times New Roman" w:cs="Times New Roman"/>
        </w:rPr>
        <w:t>social media content data and predictive models of forecasting models remain unseen in the banking stability literature, potentially giving deeper insights into market sentiment and potential risks.</w:t>
      </w:r>
      <w:r w:rsidR="00654302">
        <w:rPr>
          <w:rFonts w:ascii="Times New Roman" w:eastAsia="Times New Roman" w:hAnsi="Times New Roman" w:cs="Times New Roman"/>
        </w:rPr>
        <w:t xml:space="preserve"> </w:t>
      </w:r>
    </w:p>
    <w:p w14:paraId="112E699E" w14:textId="07F861B1" w:rsidR="008059F4" w:rsidRDefault="00654302">
      <w:pPr>
        <w:jc w:val="both"/>
        <w:rPr>
          <w:rFonts w:ascii="Times New Roman" w:eastAsia="Times New Roman" w:hAnsi="Times New Roman" w:cs="Times New Roman"/>
        </w:rPr>
      </w:pPr>
      <w:r>
        <w:rPr>
          <w:rFonts w:ascii="Times New Roman" w:eastAsia="Times New Roman" w:hAnsi="Times New Roman" w:cs="Times New Roman"/>
        </w:rPr>
        <w:t>Based on the findings, the study suggests that the adoption of AI-based forecasting practices into regulatory policies could help build predictive capacity and enable more informed decisions that will contribute to resilience in financial systems. In addition, future research should focus on improving transparency and real-time macro-micro linkages to allow dynamic AI systems that inform regulatory processes, for prediction accuracy and overall banking stability.</w:t>
      </w:r>
    </w:p>
    <w:p w14:paraId="3C9683C7" w14:textId="77777777" w:rsidR="008059F4" w:rsidRDefault="008059F4">
      <w:pPr>
        <w:rPr>
          <w:rFonts w:ascii="Times New Roman" w:eastAsia="Times New Roman" w:hAnsi="Times New Roman" w:cs="Times New Roman"/>
        </w:rPr>
      </w:pPr>
    </w:p>
    <w:p w14:paraId="754A37AA" w14:textId="323FA0E7" w:rsidR="008059F4" w:rsidRDefault="00654302">
      <w:pPr>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w:t>
      </w:r>
      <w:r w:rsidR="00865887">
        <w:rPr>
          <w:rFonts w:ascii="Times New Roman" w:eastAsia="Times New Roman" w:hAnsi="Times New Roman" w:cs="Times New Roman"/>
          <w:color w:val="000000"/>
        </w:rPr>
        <w:t>Banking</w:t>
      </w:r>
      <w:r w:rsidR="00865887" w:rsidRPr="00865887">
        <w:rPr>
          <w:rFonts w:ascii="Times New Roman" w:eastAsia="Times New Roman" w:hAnsi="Times New Roman" w:cs="Times New Roman"/>
          <w:color w:val="000000"/>
        </w:rPr>
        <w:t xml:space="preserve"> Stability, </w:t>
      </w:r>
      <w:r w:rsidRPr="00865887">
        <w:rPr>
          <w:rFonts w:ascii="Times New Roman" w:eastAsia="Times New Roman" w:hAnsi="Times New Roman" w:cs="Times New Roman"/>
        </w:rPr>
        <w:t xml:space="preserve">Monetary Policy Uncertainty (MPU), Stress-Testing </w:t>
      </w:r>
      <w:r>
        <w:rPr>
          <w:rFonts w:ascii="Times New Roman" w:eastAsia="Times New Roman" w:hAnsi="Times New Roman" w:cs="Times New Roman"/>
        </w:rPr>
        <w:t>Simulations, Natural Language Processing (NLP</w:t>
      </w:r>
      <w:r>
        <w:rPr>
          <w:rFonts w:ascii="Times New Roman" w:eastAsia="Times New Roman" w:hAnsi="Times New Roman" w:cs="Times New Roman"/>
          <w:b/>
          <w:bCs/>
        </w:rPr>
        <w:t xml:space="preserve">), </w:t>
      </w:r>
      <w:r>
        <w:rPr>
          <w:rFonts w:ascii="Times New Roman" w:eastAsia="Times New Roman" w:hAnsi="Times New Roman" w:cs="Times New Roman"/>
        </w:rPr>
        <w:t>U.S.</w:t>
      </w:r>
    </w:p>
    <w:p w14:paraId="6683364D" w14:textId="77777777" w:rsidR="008059F4" w:rsidRDefault="008059F4">
      <w:pPr>
        <w:rPr>
          <w:rFonts w:ascii="Times New Roman" w:eastAsia="Times New Roman" w:hAnsi="Times New Roman" w:cs="Times New Roman"/>
        </w:rPr>
      </w:pPr>
    </w:p>
    <w:p w14:paraId="52C716F1" w14:textId="77777777" w:rsidR="008059F4" w:rsidRDefault="00654302">
      <w:pP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1. Introduction</w:t>
      </w:r>
    </w:p>
    <w:p w14:paraId="3AC7F5C4"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bookmarkStart w:id="1" w:name="_6gqy7frhmx3m" w:colFirst="0" w:colLast="0"/>
      <w:bookmarkEnd w:id="1"/>
      <w:r>
        <w:rPr>
          <w:rFonts w:ascii="Times New Roman" w:eastAsia="Times New Roman" w:hAnsi="Times New Roman" w:cs="Times New Roman"/>
          <w:color w:val="000000"/>
        </w:rPr>
        <w:t xml:space="preserve">Monetary Policy Uncertainty (MPU) has emerged as a critical determinant of financial and banking stability in the post-crisis and post-pandemic economic environment. MPU refers to the unpredictability surrounding the direction, timing, and magnitude of central bank actions such as interest rate adjustments, balance sheet policies, and communication strategies that influence economic expectations and financial decisions (Tang &amp; Yang, 2024; Arshad et al., 2024). It </w:t>
      </w:r>
      <w:r>
        <w:rPr>
          <w:rFonts w:ascii="Times New Roman" w:eastAsia="Times New Roman" w:hAnsi="Times New Roman" w:cs="Times New Roman"/>
          <w:color w:val="000000"/>
        </w:rPr>
        <w:lastRenderedPageBreak/>
        <w:t>captures both the objective volatility of policy instruments and the subjective uncertainty perceived by markets and institutions regarding future monetary paths. Elevated MPU alters market risk perceptions, influences asset valuations, and modifies interbank liquidity flows, ultimately affecting the capacity of financial institutions to maintain stability (Dong et al., 2025).</w:t>
      </w:r>
    </w:p>
    <w:p w14:paraId="242C2E5B"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contrast</w:t>
      </w:r>
      <w:r>
        <w:rPr>
          <w:rFonts w:ascii="Times New Roman" w:eastAsia="Times New Roman" w:hAnsi="Times New Roman" w:cs="Times New Roman"/>
          <w:b/>
          <w:bCs/>
          <w:color w:val="000000"/>
        </w:rPr>
        <w:t>, banking stability</w:t>
      </w:r>
      <w:r>
        <w:rPr>
          <w:rFonts w:ascii="Times New Roman" w:eastAsia="Times New Roman" w:hAnsi="Times New Roman" w:cs="Times New Roman"/>
          <w:color w:val="000000"/>
        </w:rPr>
        <w:t xml:space="preserve"> denotes the resilience of the banking system its ability to maintain solvency, liquidity, and credit supply without triggering systemic disruptions. A stable banking system can absorb shocks and continue to intermediate funds efficiently, even under periods of macroeconomic stress. However, under heightened MPU, banks may face increased funding costs, tightening credit conditions, and growing risk aversion, amplifying vulnerabilities in credit, capital, and liquidity positions (Younis et al., 2024).</w:t>
      </w:r>
    </w:p>
    <w:p w14:paraId="4DFB1DD8"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1.1. Post-crisis and Post-pandemic Relevance</w:t>
      </w:r>
    </w:p>
    <w:p w14:paraId="35B4B791"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post-crisis and post-pandemic landscape of the U.S. economy has amplified the relevance of MPU to banking stability. Following the Global Financial Crisis (GFC) of 2008–2009 and successive rounds of quantitative easing (QE), the Federal Reserve’s evolving policy signals ranging from balance sheet normalization to rate adjustments heightened market sensitivity to communication ambiguity. This sensitivity intensified after the COVID-19 pandemic, as massive fiscal stimulus, inflationary pressures, and rapid interest rate normalization created elevated uncertainty about the future stance of monetary policy (Arshad et al., 2024). The global inflation surge, supply-chain disruptions, and geopolitical tensions such as the Russia–Ukraine conflict further reshaped investor expectations and speculative </w:t>
      </w:r>
      <w:proofErr w:type="spellStart"/>
      <w:r>
        <w:rPr>
          <w:rFonts w:ascii="Times New Roman" w:eastAsia="Times New Roman" w:hAnsi="Times New Roman" w:cs="Times New Roman"/>
          <w:color w:val="000000"/>
        </w:rPr>
        <w:t>behaviors</w:t>
      </w:r>
      <w:proofErr w:type="spellEnd"/>
      <w:r>
        <w:rPr>
          <w:rFonts w:ascii="Times New Roman" w:eastAsia="Times New Roman" w:hAnsi="Times New Roman" w:cs="Times New Roman"/>
          <w:color w:val="000000"/>
        </w:rPr>
        <w:t xml:space="preserve"> across markets (</w:t>
      </w:r>
      <w:proofErr w:type="spellStart"/>
      <w:r>
        <w:rPr>
          <w:rFonts w:ascii="Times New Roman" w:eastAsia="Times New Roman" w:hAnsi="Times New Roman" w:cs="Times New Roman"/>
          <w:color w:val="000000"/>
        </w:rPr>
        <w:t>Belhoula</w:t>
      </w:r>
      <w:proofErr w:type="spellEnd"/>
      <w:r>
        <w:rPr>
          <w:rFonts w:ascii="Times New Roman" w:eastAsia="Times New Roman" w:hAnsi="Times New Roman" w:cs="Times New Roman"/>
          <w:color w:val="000000"/>
        </w:rPr>
        <w:t xml:space="preserve"> et al., 2024a; Wang et al., 2024b).</w:t>
      </w:r>
    </w:p>
    <w:p w14:paraId="70F3162E"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Dong et al. (2025) observed that during these episodes, short-term policy and geopolitical uncertainties intensified risk </w:t>
      </w:r>
      <w:proofErr w:type="spellStart"/>
      <w:r>
        <w:rPr>
          <w:rFonts w:ascii="Times New Roman" w:eastAsia="Times New Roman" w:hAnsi="Times New Roman" w:cs="Times New Roman"/>
          <w:color w:val="000000"/>
        </w:rPr>
        <w:t>spillovers</w:t>
      </w:r>
      <w:proofErr w:type="spellEnd"/>
      <w:r>
        <w:rPr>
          <w:rFonts w:ascii="Times New Roman" w:eastAsia="Times New Roman" w:hAnsi="Times New Roman" w:cs="Times New Roman"/>
          <w:color w:val="000000"/>
        </w:rPr>
        <w:t xml:space="preserve"> and dynamic linkages across financial systems, demonstrating how uncertainty-driven shocks propagate through global and domestic channels. In the U.S. context, these dynamics affect banks directly by altering credit demand, funding conditions, and liquidity management strategies. Tang and Yang (2024) similarly noted that heightened policy uncertainty constrains corporate investment, reducing firms’ capital expenditures and indirectly weakening banks’ asset quality and lending portfolios. Thus, in the post-pandemic period, the stability of U.S. banking institutions depends increasingly on how effectively monetary authorities manage and communicate their policy stance under complex and rapidly evolving macroeconomic conditions.</w:t>
      </w:r>
    </w:p>
    <w:p w14:paraId="38A6E11E"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1.2. Previous Empirical Inconsistencies</w:t>
      </w:r>
    </w:p>
    <w:p w14:paraId="7516FFDB" w14:textId="1DAC1D7A"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Despite substantial empirical investigation, findings on the relationship between MPU and financial stability remain inconsistent. Several studies argue that elevated policy uncertainty amplifies systemic risk and connectedness across financial markets, particularly under stress conditions (</w:t>
      </w:r>
      <w:proofErr w:type="spellStart"/>
      <w:r>
        <w:rPr>
          <w:rFonts w:ascii="Times New Roman" w:eastAsia="Times New Roman" w:hAnsi="Times New Roman" w:cs="Times New Roman"/>
          <w:color w:val="000000"/>
        </w:rPr>
        <w:t>Aysan</w:t>
      </w:r>
      <w:proofErr w:type="spellEnd"/>
      <w:r>
        <w:rPr>
          <w:rFonts w:ascii="Times New Roman" w:eastAsia="Times New Roman" w:hAnsi="Times New Roman" w:cs="Times New Roman"/>
          <w:color w:val="000000"/>
        </w:rPr>
        <w:t xml:space="preserve"> et al., 2024; </w:t>
      </w:r>
      <w:proofErr w:type="spellStart"/>
      <w:r>
        <w:rPr>
          <w:rFonts w:ascii="Times New Roman" w:eastAsia="Times New Roman" w:hAnsi="Times New Roman" w:cs="Times New Roman"/>
          <w:color w:val="000000"/>
        </w:rPr>
        <w:t>Niu</w:t>
      </w:r>
      <w:proofErr w:type="spellEnd"/>
      <w:r>
        <w:rPr>
          <w:rFonts w:ascii="Times New Roman" w:eastAsia="Times New Roman" w:hAnsi="Times New Roman" w:cs="Times New Roman"/>
          <w:color w:val="000000"/>
        </w:rPr>
        <w:t xml:space="preserve"> et al., 202</w:t>
      </w:r>
      <w:r w:rsidR="00407278">
        <w:rPr>
          <w:rFonts w:ascii="Times New Roman" w:eastAsia="Times New Roman" w:hAnsi="Times New Roman" w:cs="Times New Roman"/>
          <w:color w:val="000000"/>
        </w:rPr>
        <w:t>2</w:t>
      </w:r>
      <w:r>
        <w:rPr>
          <w:rFonts w:ascii="Times New Roman" w:eastAsia="Times New Roman" w:hAnsi="Times New Roman" w:cs="Times New Roman"/>
          <w:color w:val="000000"/>
        </w:rPr>
        <w:t>). Others, however, report that its short-term effects can be dampened or fragmented by countercyclical policy interventions and market adjustments (Dong et al., 2025).</w:t>
      </w:r>
    </w:p>
    <w:p w14:paraId="0E626B19"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For example, Tang and Yang (2024) found that MPU was negatively related to corporate financial risk in China, operating through the investment channel where heightened uncertainty discourages risky long-term projects. Conversely, Arshad et al. (2024) demonstrated that U.S. MPU exerted a heterogeneous, quantile-dependent impact on Asian stock markets, implying that the strength and direction of effects vary across economic regimes. Dong et al. (2025) further revealed that MPU can inhibit short-term connectedness while stimulating long-term systemic integration, highlighting its asymmetric and nonlinear influence on financial systems.</w:t>
      </w:r>
    </w:p>
    <w:p w14:paraId="70B35F58"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These mixed findings underscore the contextual and methodological diversity in MPU research. Variations across economies, time horizons, and sectors, coupled with differing econometric frameworks ranging from VAR and BVAR to quantile-on-quantile regression complicate the establishment of a consistent causal narrative. Consequently, the precise mechanisms through which MPU influences U.S. banking stability, particularly via credit, liquidity, and capital adequacy channels, remain insufficiently synthesized.</w:t>
      </w:r>
    </w:p>
    <w:p w14:paraId="2C5D94D4"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1.3. Theoretical Dimensions and Transmission Channels</w:t>
      </w:r>
    </w:p>
    <w:p w14:paraId="1D23452F"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Empirical and theoretical evidence suggests that MPU affects banking stability through multiple, interdependent channels. During periods of heightened uncertainty, banks tend to hoard liquidity, curtail lending, and adopt conservative capital policies, amplifying short-term liquidity risk (Dong et al., 2025; Younis et al., 2024). Simultaneously, declines in market confidence and fluctuating asset valuations elevate capital adequacy pressures, while credit supply contractions transmit stress to the real economy. Conversely, rising consumer and investor confidence measured by indices such as the Consumer Confidence Index (CCI) can moderate these destabilizing effects by realigning expectations with fundamentals (Liu et al., 2025; Zhang et al., 2023).</w:t>
      </w:r>
    </w:p>
    <w:p w14:paraId="6D21F071"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duality mirrors patterns observed in cross-market contagion studies, where MPU operates as a systemic driver: destabilizing short-term equilibrium while promoting long-term synchronization among financial institutions. In banking systems, this manifests as asymmetric responses temporary fragmentation in liquidity conditions followed by coordinated adjustments in capital and lending </w:t>
      </w:r>
      <w:proofErr w:type="spellStart"/>
      <w:r>
        <w:rPr>
          <w:rFonts w:ascii="Times New Roman" w:eastAsia="Times New Roman" w:hAnsi="Times New Roman" w:cs="Times New Roman"/>
          <w:color w:val="000000"/>
        </w:rPr>
        <w:t>behaviors</w:t>
      </w:r>
      <w:proofErr w:type="spellEnd"/>
      <w:r>
        <w:rPr>
          <w:rFonts w:ascii="Times New Roman" w:eastAsia="Times New Roman" w:hAnsi="Times New Roman" w:cs="Times New Roman"/>
          <w:color w:val="000000"/>
        </w:rPr>
        <w:t xml:space="preserve"> as uncertainty persists.</w:t>
      </w:r>
    </w:p>
    <w:p w14:paraId="4A120D1F"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1.4. The Value of an Integrative Literature Review</w:t>
      </w:r>
    </w:p>
    <w:p w14:paraId="318E31A8"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Given the complexity and multidimensional nature of MPU’s impact, an integrative literature review provides a structured framework for synthesizing cross-method evidence and identifying unifying theoretical insights. Unlike narrative reviews, integrative reviews merge findings from econometric, AI-assisted, and hybrid </w:t>
      </w:r>
      <w:proofErr w:type="spellStart"/>
      <w:r>
        <w:rPr>
          <w:rFonts w:ascii="Times New Roman" w:eastAsia="Times New Roman" w:hAnsi="Times New Roman" w:cs="Times New Roman"/>
          <w:color w:val="000000"/>
        </w:rPr>
        <w:t>modeling</w:t>
      </w:r>
      <w:proofErr w:type="spellEnd"/>
      <w:r>
        <w:rPr>
          <w:rFonts w:ascii="Times New Roman" w:eastAsia="Times New Roman" w:hAnsi="Times New Roman" w:cs="Times New Roman"/>
          <w:color w:val="000000"/>
        </w:rPr>
        <w:t xml:space="preserve"> studies to develop a holistic understanding of evolving research trends. Traditional econometric approaches such as VAR, DSGE, and BVAR models have been instrumental in quantifying macro-financial linkages. However, recent innovations in quantile-based, time-varying, and AI-enhanced models have improved the capacity to capture nonlinear and asymmetric effects of policy uncertainty (Dong et al., 2025; Liu et al., 2025).</w:t>
      </w:r>
    </w:p>
    <w:p w14:paraId="3713DA3D"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By adopting Mendes, Silveira, and </w:t>
      </w:r>
      <w:proofErr w:type="spellStart"/>
      <w:r>
        <w:rPr>
          <w:rFonts w:ascii="Times New Roman" w:eastAsia="Times New Roman" w:hAnsi="Times New Roman" w:cs="Times New Roman"/>
          <w:color w:val="000000"/>
        </w:rPr>
        <w:t>Galvão’s</w:t>
      </w:r>
      <w:proofErr w:type="spellEnd"/>
      <w:r>
        <w:rPr>
          <w:rFonts w:ascii="Times New Roman" w:eastAsia="Times New Roman" w:hAnsi="Times New Roman" w:cs="Times New Roman"/>
          <w:color w:val="000000"/>
        </w:rPr>
        <w:t xml:space="preserve"> (2008) integrative framework, this review ensures methodological inclusivity, transparency, and thematic synthesis. Such an approach is particularly </w:t>
      </w:r>
      <w:r>
        <w:rPr>
          <w:rFonts w:ascii="Times New Roman" w:eastAsia="Times New Roman" w:hAnsi="Times New Roman" w:cs="Times New Roman"/>
          <w:color w:val="000000"/>
        </w:rPr>
        <w:lastRenderedPageBreak/>
        <w:t>valuable in a policy environment where uncertainty interacts dynamically with data-driven insights and regulatory decision-making. Integrative reviews not only map methodological evolution but also reveal areas where AI and machine learning tools can enhance predictive accuracy in banking stress testing and risk management.</w:t>
      </w:r>
    </w:p>
    <w:p w14:paraId="0FA838B2"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1.5. Research Objectives and Guiding Questions</w:t>
      </w:r>
    </w:p>
    <w:p w14:paraId="4393B2AC"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Accordingly, this paper conducts an integrative literature review to examine how monetary policy uncertainty influences U.S. banking stability. Drawing on data-driven and empirical evidence from 2010 to 2025, it synthesizes research across quantitative models, AI-based forecasting, and policy analyses. The review is guided by the following questions:</w:t>
      </w:r>
    </w:p>
    <w:p w14:paraId="143A3832" w14:textId="77777777" w:rsidR="008059F4" w:rsidRDefault="00654302">
      <w:pPr>
        <w:ind w:left="720"/>
        <w:rPr>
          <w:rFonts w:ascii="Times New Roman" w:eastAsia="Times New Roman" w:hAnsi="Times New Roman" w:cs="Times New Roman"/>
        </w:rPr>
      </w:pPr>
      <w:r>
        <w:rPr>
          <w:rFonts w:ascii="Times New Roman" w:eastAsia="Times New Roman" w:hAnsi="Times New Roman" w:cs="Times New Roman"/>
        </w:rPr>
        <w:t>RQ1: What models and empirical methods have been used to assess the impact of monetary policy uncertainty on U.S. banking stability?</w:t>
      </w:r>
    </w:p>
    <w:p w14:paraId="188A8320" w14:textId="77777777" w:rsidR="008059F4" w:rsidRDefault="00654302">
      <w:pPr>
        <w:ind w:left="720"/>
        <w:rPr>
          <w:rFonts w:ascii="Times New Roman" w:eastAsia="Times New Roman" w:hAnsi="Times New Roman" w:cs="Times New Roman"/>
        </w:rPr>
      </w:pPr>
      <w:r>
        <w:rPr>
          <w:rFonts w:ascii="Times New Roman" w:eastAsia="Times New Roman" w:hAnsi="Times New Roman" w:cs="Times New Roman"/>
        </w:rPr>
        <w:t>RQ2: What aspects of banking stability credit supply, liquidity risk, or capital adequacy are most affected by MPU?</w:t>
      </w:r>
    </w:p>
    <w:p w14:paraId="14D51581" w14:textId="77777777" w:rsidR="008059F4" w:rsidRDefault="00654302">
      <w:pPr>
        <w:ind w:left="720"/>
        <w:rPr>
          <w:rFonts w:ascii="Times New Roman" w:eastAsia="Times New Roman" w:hAnsi="Times New Roman" w:cs="Times New Roman"/>
        </w:rPr>
      </w:pPr>
      <w:r>
        <w:rPr>
          <w:rFonts w:ascii="Times New Roman" w:eastAsia="Times New Roman" w:hAnsi="Times New Roman" w:cs="Times New Roman"/>
        </w:rPr>
        <w:t>RQ3: How do AI and advanced analytics contribute to forecasting and stress testing under uncertainty?</w:t>
      </w:r>
    </w:p>
    <w:p w14:paraId="4DA6B627" w14:textId="77777777" w:rsidR="008059F4" w:rsidRDefault="00654302">
      <w:pPr>
        <w:ind w:left="720"/>
        <w:rPr>
          <w:rFonts w:ascii="Times New Roman" w:eastAsia="Times New Roman" w:hAnsi="Times New Roman" w:cs="Times New Roman"/>
          <w:color w:val="000000"/>
        </w:rPr>
      </w:pPr>
      <w:r>
        <w:rPr>
          <w:rFonts w:ascii="Times New Roman" w:eastAsia="Times New Roman" w:hAnsi="Times New Roman" w:cs="Times New Roman"/>
        </w:rPr>
        <w:t>RQ4: What gaps remain in integrating real-time data and AI-driven approaches into banking stability research</w:t>
      </w:r>
      <w:r>
        <w:rPr>
          <w:rFonts w:ascii="Times New Roman" w:eastAsia="Times New Roman" w:hAnsi="Times New Roman" w:cs="Times New Roman"/>
          <w:color w:val="000000"/>
        </w:rPr>
        <w:t>?</w:t>
      </w:r>
    </w:p>
    <w:p w14:paraId="0FA6CA2A"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Through these questions, the paper aims to integrate fragmented empirical findings and conceptual insights, contributing to the development of a unified, data-driven understanding of how MPU shapes systemic banking resilience and macroprudential policy design in the U.S.</w:t>
      </w:r>
    </w:p>
    <w:p w14:paraId="0CA6787D" w14:textId="77777777" w:rsidR="008059F4" w:rsidRDefault="00654302">
      <w:pP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2. Materials and Methods</w:t>
      </w:r>
    </w:p>
    <w:p w14:paraId="07057AC7" w14:textId="4688B875" w:rsidR="002C19A9" w:rsidRPr="002C19A9" w:rsidRDefault="002C19A9" w:rsidP="002C19A9">
      <w:pPr>
        <w:spacing w:before="280" w:after="0" w:line="240" w:lineRule="auto"/>
        <w:jc w:val="both"/>
        <w:rPr>
          <w:rFonts w:ascii="Times New Roman" w:hAnsi="Times New Roman" w:cs="Times New Roman"/>
        </w:rPr>
      </w:pPr>
      <w:r w:rsidRPr="002C19A9">
        <w:rPr>
          <w:rFonts w:ascii="Times New Roman" w:hAnsi="Times New Roman" w:cs="Times New Roman"/>
        </w:rPr>
        <w:t xml:space="preserve">This review is classified as an integrative literature review, following a modified Mendes, Silveira, and </w:t>
      </w:r>
      <w:proofErr w:type="spellStart"/>
      <w:r w:rsidRPr="002C19A9">
        <w:rPr>
          <w:rFonts w:ascii="Times New Roman" w:hAnsi="Times New Roman" w:cs="Times New Roman"/>
        </w:rPr>
        <w:t>Galvão</w:t>
      </w:r>
      <w:proofErr w:type="spellEnd"/>
      <w:r w:rsidRPr="002C19A9">
        <w:rPr>
          <w:rFonts w:ascii="Times New Roman" w:hAnsi="Times New Roman" w:cs="Times New Roman"/>
        </w:rPr>
        <w:t xml:space="preserve"> (2008) framework. The search was conducted across </w:t>
      </w:r>
      <w:proofErr w:type="spellStart"/>
      <w:r w:rsidRPr="002C19A9">
        <w:rPr>
          <w:rFonts w:ascii="Times New Roman" w:hAnsi="Times New Roman" w:cs="Times New Roman"/>
        </w:rPr>
        <w:t>EconLit</w:t>
      </w:r>
      <w:proofErr w:type="spellEnd"/>
      <w:r w:rsidRPr="002C19A9">
        <w:rPr>
          <w:rFonts w:ascii="Times New Roman" w:hAnsi="Times New Roman" w:cs="Times New Roman"/>
        </w:rPr>
        <w:t xml:space="preserve">, Scopus, SSRN, ScienceDirect, and JSTOR, using terms such as </w:t>
      </w:r>
      <w:r w:rsidRPr="002C19A9">
        <w:rPr>
          <w:rStyle w:val="Emphasis"/>
          <w:rFonts w:ascii="Times New Roman" w:hAnsi="Times New Roman" w:cs="Times New Roman"/>
        </w:rPr>
        <w:t>“monetary policy uncertainty,” “banking stability,” “U.S. banks,” “credit risk,” “AI models,”</w:t>
      </w:r>
      <w:r w:rsidRPr="002C19A9">
        <w:rPr>
          <w:rFonts w:ascii="Times New Roman" w:hAnsi="Times New Roman" w:cs="Times New Roman"/>
        </w:rPr>
        <w:t xml:space="preserve"> and </w:t>
      </w:r>
      <w:r w:rsidRPr="002C19A9">
        <w:rPr>
          <w:rStyle w:val="Emphasis"/>
          <w:rFonts w:ascii="Times New Roman" w:hAnsi="Times New Roman" w:cs="Times New Roman"/>
        </w:rPr>
        <w:t>“forecasting.”</w:t>
      </w:r>
      <w:r w:rsidRPr="002C19A9">
        <w:rPr>
          <w:rFonts w:ascii="Times New Roman" w:hAnsi="Times New Roman" w:cs="Times New Roman"/>
        </w:rPr>
        <w:t xml:space="preserve"> The period covered spans 2010 to 2025.</w:t>
      </w:r>
    </w:p>
    <w:p w14:paraId="7843DDD6" w14:textId="027ADA7B" w:rsidR="002C19A9" w:rsidRPr="002C19A9" w:rsidRDefault="002C19A9" w:rsidP="002C19A9">
      <w:pPr>
        <w:pStyle w:val="NormalWeb"/>
      </w:pPr>
      <w:r w:rsidRPr="002C19A9">
        <w:t>Studies were included if they were peer</w:t>
      </w:r>
      <w:r w:rsidRPr="002C19A9">
        <w:noBreakHyphen/>
        <w:t xml:space="preserve">reviewed, written in English, available in full text, and focused on the U.S. context or </w:t>
      </w:r>
      <w:r w:rsidR="003F3654">
        <w:t>cross-country</w:t>
      </w:r>
      <w:r w:rsidRPr="002C19A9">
        <w:t xml:space="preserve"> analyses incorporating U.S. data. Editorials, </w:t>
      </w:r>
      <w:r w:rsidR="003F3654">
        <w:t>non-peer-reviewed</w:t>
      </w:r>
      <w:r w:rsidRPr="002C19A9">
        <w:t xml:space="preserve"> reports, and duplicate datasets were excluded.</w:t>
      </w:r>
    </w:p>
    <w:p w14:paraId="5EA2556B" w14:textId="5DB63303" w:rsidR="002C19A9" w:rsidRDefault="002C19A9" w:rsidP="002C19A9">
      <w:pPr>
        <w:pStyle w:val="NormalWeb"/>
      </w:pPr>
      <w:r w:rsidRPr="002C19A9">
        <w:t xml:space="preserve">The analysis </w:t>
      </w:r>
      <w:r>
        <w:t xml:space="preserve">was done </w:t>
      </w:r>
      <w:r w:rsidRPr="002C19A9">
        <w:t xml:space="preserve">through thematic </w:t>
      </w:r>
      <w:r w:rsidR="003F3654">
        <w:t>categorisation</w:t>
      </w:r>
      <w:r w:rsidRPr="002C19A9">
        <w:t xml:space="preserve">, </w:t>
      </w:r>
      <w:r w:rsidR="003F3654">
        <w:t>organised</w:t>
      </w:r>
      <w:r w:rsidRPr="002C19A9">
        <w:t xml:space="preserve"> into four domains aligned with </w:t>
      </w:r>
      <w:r>
        <w:t>the guiding research questions.</w:t>
      </w:r>
    </w:p>
    <w:p w14:paraId="1FE7CCF2" w14:textId="77777777" w:rsidR="002C19A9" w:rsidRDefault="002C19A9" w:rsidP="002C19A9">
      <w:pPr>
        <w:spacing w:after="280" w:line="240" w:lineRule="auto"/>
        <w:jc w:val="both"/>
        <w:rPr>
          <w:color w:val="000000"/>
        </w:rPr>
      </w:pPr>
    </w:p>
    <w:p w14:paraId="657765D3"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lastRenderedPageBreak/>
        <w:t>2.1. Review Design</w:t>
      </w:r>
    </w:p>
    <w:p w14:paraId="308A36D4" w14:textId="09E72AE6"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study adopts an integrative literature review (ILR) approach, following a modified version of the framework proposed by Mendes, Silveira, and </w:t>
      </w:r>
      <w:proofErr w:type="spellStart"/>
      <w:r>
        <w:rPr>
          <w:rFonts w:ascii="Times New Roman" w:eastAsia="Times New Roman" w:hAnsi="Times New Roman" w:cs="Times New Roman"/>
          <w:color w:val="000000"/>
        </w:rPr>
        <w:t>Galvão</w:t>
      </w:r>
      <w:proofErr w:type="spellEnd"/>
      <w:r>
        <w:rPr>
          <w:rFonts w:ascii="Times New Roman" w:eastAsia="Times New Roman" w:hAnsi="Times New Roman" w:cs="Times New Roman"/>
          <w:color w:val="000000"/>
        </w:rPr>
        <w:t xml:space="preserve"> (2008). The integrative review method is particularly suited for </w:t>
      </w:r>
      <w:r w:rsidR="00FD6EF9">
        <w:rPr>
          <w:rFonts w:ascii="Times New Roman" w:eastAsia="Times New Roman" w:hAnsi="Times New Roman" w:cs="Times New Roman"/>
          <w:color w:val="000000"/>
        </w:rPr>
        <w:t>synthesising</w:t>
      </w:r>
      <w:r>
        <w:rPr>
          <w:rFonts w:ascii="Times New Roman" w:eastAsia="Times New Roman" w:hAnsi="Times New Roman" w:cs="Times New Roman"/>
          <w:color w:val="000000"/>
        </w:rPr>
        <w:t xml:space="preserve"> research that spans multiple methodological traditions, combining empirical, theoretical, and analytical insights to produce a comprehensive understanding of a complex topic. In contrast to traditional narrative or systematic reviews, the ILR approach allows the integration of both quantitative and qualitative evidence, enabling the identification of conceptual patterns, methodological trends, and knowledge gaps across diverse study types.</w:t>
      </w:r>
    </w:p>
    <w:p w14:paraId="4166416D"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modified Mendes et al. (2008) framework applied in this study comprises four key stages: (1) problem identification and research question formulation; (2) literature search and data selection; (3) critical evaluation and data extraction; and (4) synthesis and thematic categorization. This structured yet flexible framework facilitates the systematic assessment of evolving research domains where interdisciplinary and data-driven approaches are central such as monetary policy uncertainty (MPU) and banking stability.</w:t>
      </w:r>
    </w:p>
    <w:p w14:paraId="0AE8C758"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2.2. Search Strategy and Data Sources</w:t>
      </w:r>
    </w:p>
    <w:p w14:paraId="1F343F28"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comprehensive search was conducted across five major academic databases: </w:t>
      </w:r>
      <w:proofErr w:type="spellStart"/>
      <w:r>
        <w:rPr>
          <w:rFonts w:ascii="Times New Roman" w:eastAsia="Times New Roman" w:hAnsi="Times New Roman" w:cs="Times New Roman"/>
          <w:color w:val="000000"/>
        </w:rPr>
        <w:t>EconLit</w:t>
      </w:r>
      <w:proofErr w:type="spellEnd"/>
      <w:r>
        <w:rPr>
          <w:rFonts w:ascii="Times New Roman" w:eastAsia="Times New Roman" w:hAnsi="Times New Roman" w:cs="Times New Roman"/>
          <w:color w:val="000000"/>
        </w:rPr>
        <w:t xml:space="preserve">, Scopus, SSRN, ScienceDirect, and JSTOR. These databases were selected for their extensive coverage of peer-reviewed journals in economics, finance, and data science. The literature </w:t>
      </w:r>
      <w:proofErr w:type="gramStart"/>
      <w:r>
        <w:rPr>
          <w:rFonts w:ascii="Times New Roman" w:eastAsia="Times New Roman" w:hAnsi="Times New Roman" w:cs="Times New Roman"/>
          <w:color w:val="000000"/>
        </w:rPr>
        <w:t>search</w:t>
      </w:r>
      <w:proofErr w:type="gramEnd"/>
      <w:r>
        <w:rPr>
          <w:rFonts w:ascii="Times New Roman" w:eastAsia="Times New Roman" w:hAnsi="Times New Roman" w:cs="Times New Roman"/>
          <w:color w:val="000000"/>
        </w:rPr>
        <w:t xml:space="preserve"> targeted studies published between 2010 and 2025, capturing both post-crisis and post-pandemic research phases relevant to U.S. monetary policy and banking stability.</w:t>
      </w:r>
    </w:p>
    <w:p w14:paraId="3267A03F"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To ensure relevance and inclusivity, a combination of Boolean operators and thematic descriptors was employed. Search terms included: “monetary policy uncertainty,” “banking stability,” “U.S. banks,” “credit risk,” “liquidity risk,” “capital adequacy,” “AI forecasting,” “machine learning,” “stress testing,” and “financial connectedness.” These terms were combined in various forms (e.g., “monetary policy uncertainty” AND “banking stability;” “AI models” AND “financial risk”) to ensure coverage of both macro-financial and data-driven research streams.</w:t>
      </w:r>
    </w:p>
    <w:p w14:paraId="4C7B6C00"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2.3. Inclusion and Exclusion Criteria</w:t>
      </w:r>
    </w:p>
    <w:p w14:paraId="7C8AB7EA" w14:textId="3B9AB216" w:rsidR="00934EA3" w:rsidRPr="00046990" w:rsidRDefault="00046990" w:rsidP="00046990">
      <w:pPr>
        <w:pStyle w:val="NormalWeb"/>
        <w:jc w:val="both"/>
      </w:pPr>
      <w:r w:rsidRPr="00046990">
        <w:t xml:space="preserve">The inclusion criteria utilized in selecting the literature were carefully designed to be both rigorous and relevant. Only journals, conference papers, and book chapters incorporating empirical or </w:t>
      </w:r>
      <w:proofErr w:type="spellStart"/>
      <w:r w:rsidRPr="00046990">
        <w:t>modeling</w:t>
      </w:r>
      <w:proofErr w:type="spellEnd"/>
      <w:r w:rsidRPr="00046990">
        <w:t xml:space="preserve"> analyses were considered. They included only studies of the U.S. financial system or cross-country studies that explicitly included U.S. information. Publications had to be in English and available in full text through the institutional databases or </w:t>
      </w:r>
      <w:r w:rsidR="00B10B7F">
        <w:t>open-access</w:t>
      </w:r>
      <w:r w:rsidRPr="00046990">
        <w:t xml:space="preserve"> repositories. Third, relevance was determined by the study’s focus on monetary policy uncertainty and its effects on banking stability, risk transmission, or larger financial connectedness. </w:t>
      </w:r>
    </w:p>
    <w:p w14:paraId="7B9C14A0" w14:textId="7959471B" w:rsidR="008059F4" w:rsidRPr="00B10B7F" w:rsidRDefault="00B10B7F" w:rsidP="00B10B7F">
      <w:pPr>
        <w:pStyle w:val="NormalWeb"/>
      </w:pPr>
      <w:r w:rsidRPr="00B10B7F">
        <w:t xml:space="preserve">The </w:t>
      </w:r>
      <w:proofErr w:type="spellStart"/>
      <w:r w:rsidRPr="00B10B7F">
        <w:t>exclusioncriteria</w:t>
      </w:r>
      <w:proofErr w:type="spellEnd"/>
      <w:r w:rsidRPr="00B10B7F">
        <w:t xml:space="preserve"> were selected to exclude work that did not meet criteria for rigor relevance for this review. Editorials, commentaries, policy notes, and other peer reviewed reports were not included, nor were duplicate publications or studies that relied on overlapping datasets. Research </w:t>
      </w:r>
      <w:r w:rsidRPr="00B10B7F">
        <w:lastRenderedPageBreak/>
        <w:t xml:space="preserve">focusing solely on </w:t>
      </w:r>
      <w:proofErr w:type="spellStart"/>
      <w:r w:rsidRPr="00B10B7F">
        <w:t>fiscalor</w:t>
      </w:r>
      <w:proofErr w:type="spellEnd"/>
      <w:r w:rsidRPr="00B10B7F">
        <w:t xml:space="preserve"> political uncertainty without a clear monetary policy component was also abandoned. Finally, work that did not contain a clarified methodological or </w:t>
      </w:r>
      <w:proofErr w:type="spellStart"/>
      <w:r w:rsidRPr="00B10B7F">
        <w:t>empiricalfoundation</w:t>
      </w:r>
      <w:proofErr w:type="spellEnd"/>
      <w:r w:rsidRPr="00B10B7F">
        <w:t xml:space="preserve"> was out of the scope of consideration.</w:t>
      </w:r>
    </w:p>
    <w:p w14:paraId="2DD02C1F"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three-step filtering process was applied: (1) title and abstract screening; (2) full-text review; and (3) verification of relevance and methodological rigor. Reference lists of selected studies were also examined to identify additional sources not captured in the initial database search (snowballing method).</w:t>
      </w:r>
    </w:p>
    <w:p w14:paraId="26396D9E"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2.4. Data Extraction and Thematic Categorization</w:t>
      </w:r>
    </w:p>
    <w:p w14:paraId="042EFD66"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Each included study was systematically reviewed using a structured data extraction matrix capturing:</w:t>
      </w:r>
    </w:p>
    <w:p w14:paraId="19BBF1F9" w14:textId="77777777" w:rsidR="008059F4" w:rsidRDefault="00654302">
      <w:pPr>
        <w:numPr>
          <w:ilvl w:val="0"/>
          <w:numId w:val="4"/>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Author(s), Year, and Publication Source</w:t>
      </w:r>
    </w:p>
    <w:p w14:paraId="5A3E8E9C" w14:textId="77777777" w:rsidR="008059F4" w:rsidRDefault="00654302">
      <w:pPr>
        <w:numPr>
          <w:ilvl w:val="0"/>
          <w:numId w:val="4"/>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Objective and Research Focus</w:t>
      </w:r>
    </w:p>
    <w:p w14:paraId="2CF1D682" w14:textId="77777777" w:rsidR="008059F4" w:rsidRDefault="00654302">
      <w:pPr>
        <w:numPr>
          <w:ilvl w:val="0"/>
          <w:numId w:val="4"/>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Data and Methodological Framework (e.g., VAR, QVAR, DSGE, ML models)</w:t>
      </w:r>
    </w:p>
    <w:p w14:paraId="54BEF8EA" w14:textId="77777777" w:rsidR="008059F4" w:rsidRDefault="00654302">
      <w:pPr>
        <w:numPr>
          <w:ilvl w:val="0"/>
          <w:numId w:val="4"/>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Key Findings and Theoretical Contributions</w:t>
      </w:r>
    </w:p>
    <w:p w14:paraId="3D6011FC" w14:textId="77777777" w:rsidR="008059F4" w:rsidRDefault="00654302">
      <w:pPr>
        <w:numPr>
          <w:ilvl w:val="0"/>
          <w:numId w:val="4"/>
        </w:numPr>
        <w:pBdr>
          <w:top w:val="nil"/>
          <w:left w:val="nil"/>
          <w:bottom w:val="nil"/>
          <w:right w:val="nil"/>
          <w:between w:val="nil"/>
        </w:pBdr>
        <w:jc w:val="both"/>
        <w:rPr>
          <w:color w:val="000000"/>
        </w:rPr>
      </w:pPr>
      <w:r>
        <w:rPr>
          <w:rFonts w:ascii="Times New Roman" w:eastAsia="Times New Roman" w:hAnsi="Times New Roman" w:cs="Times New Roman"/>
          <w:color w:val="000000"/>
        </w:rPr>
        <w:t>Relevance to Banking Stability Dimensions (credit, liquidity, capital)</w:t>
      </w:r>
    </w:p>
    <w:p w14:paraId="299EB662"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Following data extraction, the studies were thematically classified according to the four research questions (RQs) guiding this review. Thematic synthesis was conducted using iterative coding, allowing emerging subthemes to be aligned with predefined conceptual domains.</w:t>
      </w:r>
    </w:p>
    <w:p w14:paraId="48C78C2B"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analysis was thus organized into four domains corresponding to the review’s guiding questions:</w:t>
      </w:r>
    </w:p>
    <w:p w14:paraId="2A591ACD" w14:textId="77777777" w:rsidR="008059F4" w:rsidRDefault="00654302">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Empirical Models and Methods (RQ1): Capturing econometric and AI-based approaches to assessing MPU and financial stability linkages.</w:t>
      </w:r>
    </w:p>
    <w:p w14:paraId="3765E165" w14:textId="77777777" w:rsidR="008059F4" w:rsidRDefault="00654302">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Dimensions of Banking Stability Affected (RQ2): Mapping evidence on credit, liquidity, and capital channels under monetary uncertainty.</w:t>
      </w:r>
    </w:p>
    <w:p w14:paraId="5A84BF00" w14:textId="77777777" w:rsidR="008059F4" w:rsidRDefault="00654302">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AI and Advanced Analytics (RQ3): Synthesizing studies applying artificial intelligence, machine learning, or big data for risk forecasting and stress testing.</w:t>
      </w:r>
    </w:p>
    <w:p w14:paraId="31A03EA3" w14:textId="77777777" w:rsidR="008059F4" w:rsidRDefault="00654302">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Gaps and Future Research (RQ4): Identifying limitations in existing studies, particularly regarding real-time data integration, explainable AI, and macroprudential applications.</w:t>
      </w:r>
    </w:p>
    <w:p w14:paraId="6B8FD2AC"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2.5. Quality Assurance and Analytical Rigor</w:t>
      </w:r>
    </w:p>
    <w:p w14:paraId="0791FA10" w14:textId="61B7CCC6" w:rsidR="008059F4" w:rsidRPr="00843236"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ensure validity and reliability, each study was assessed on three criteria: methodological transparency, data adequacy, and relevance to the review’s conceptual focus. Studies employing recognized econometric or AI </w:t>
      </w:r>
      <w:proofErr w:type="spellStart"/>
      <w:r>
        <w:rPr>
          <w:rFonts w:ascii="Times New Roman" w:eastAsia="Times New Roman" w:hAnsi="Times New Roman" w:cs="Times New Roman"/>
          <w:color w:val="000000"/>
        </w:rPr>
        <w:t>modeling</w:t>
      </w:r>
      <w:proofErr w:type="spellEnd"/>
      <w:r>
        <w:rPr>
          <w:rFonts w:ascii="Times New Roman" w:eastAsia="Times New Roman" w:hAnsi="Times New Roman" w:cs="Times New Roman"/>
          <w:color w:val="000000"/>
        </w:rPr>
        <w:t xml:space="preserve"> standards (e.g., VAR-family, quantile-on-quantile regression, neural networks, ensemble forecasting) were prioritized. Consistency checks were performed by cross-verifying thematic codes against study findings. The synthesis followed the PRISMA-based logic of transparency ensuring replicability in study selection and data </w:t>
      </w:r>
      <w:r w:rsidR="00440CF0" w:rsidRPr="00843236">
        <w:rPr>
          <w:rFonts w:ascii="Times New Roman" w:eastAsia="Times New Roman" w:hAnsi="Times New Roman" w:cs="Times New Roman"/>
          <w:color w:val="000000"/>
        </w:rPr>
        <w:t>categorisation</w:t>
      </w:r>
      <w:r w:rsidRPr="00843236">
        <w:rPr>
          <w:rFonts w:ascii="Times New Roman" w:eastAsia="Times New Roman" w:hAnsi="Times New Roman" w:cs="Times New Roman"/>
          <w:color w:val="000000"/>
        </w:rPr>
        <w:t xml:space="preserve"> while maintaining the interpretive flexibility characteristic of integrative reviews.</w:t>
      </w:r>
    </w:p>
    <w:p w14:paraId="0252B0F8" w14:textId="1057989D" w:rsidR="00440CF0" w:rsidRDefault="00440CF0">
      <w:pPr>
        <w:pBdr>
          <w:top w:val="nil"/>
          <w:left w:val="nil"/>
          <w:bottom w:val="nil"/>
          <w:right w:val="nil"/>
          <w:between w:val="nil"/>
        </w:pBdr>
        <w:spacing w:line="240" w:lineRule="auto"/>
        <w:jc w:val="both"/>
        <w:rPr>
          <w:rFonts w:ascii="Times New Roman" w:hAnsi="Times New Roman" w:cs="Times New Roman"/>
        </w:rPr>
      </w:pPr>
      <w:r w:rsidRPr="00843236">
        <w:rPr>
          <w:rFonts w:ascii="Times New Roman" w:hAnsi="Times New Roman" w:cs="Times New Roman"/>
        </w:rPr>
        <w:t>A total of 4</w:t>
      </w:r>
      <w:r w:rsidR="001F0361" w:rsidRPr="00843236">
        <w:rPr>
          <w:rFonts w:ascii="Times New Roman" w:hAnsi="Times New Roman" w:cs="Times New Roman"/>
        </w:rPr>
        <w:t>12</w:t>
      </w:r>
      <w:r w:rsidRPr="00843236">
        <w:rPr>
          <w:rFonts w:ascii="Times New Roman" w:hAnsi="Times New Roman" w:cs="Times New Roman"/>
        </w:rPr>
        <w:t xml:space="preserve"> articles were extracted from the selected databases. Boolean operators (AND, OR) were used </w:t>
      </w:r>
      <w:r w:rsidR="00241079" w:rsidRPr="00843236">
        <w:rPr>
          <w:rFonts w:ascii="Times New Roman" w:hAnsi="Times New Roman" w:cs="Times New Roman"/>
        </w:rPr>
        <w:t>to search and refine</w:t>
      </w:r>
      <w:r w:rsidRPr="00843236">
        <w:rPr>
          <w:rFonts w:ascii="Times New Roman" w:hAnsi="Times New Roman" w:cs="Times New Roman"/>
        </w:rPr>
        <w:t xml:space="preserve"> terms. After reviewing the articles for irrelevan</w:t>
      </w:r>
      <w:r w:rsidR="00241079" w:rsidRPr="00843236">
        <w:rPr>
          <w:rFonts w:ascii="Times New Roman" w:hAnsi="Times New Roman" w:cs="Times New Roman"/>
        </w:rPr>
        <w:t>ce</w:t>
      </w:r>
      <w:r w:rsidRPr="00843236">
        <w:rPr>
          <w:rFonts w:ascii="Times New Roman" w:hAnsi="Times New Roman" w:cs="Times New Roman"/>
        </w:rPr>
        <w:t xml:space="preserve">, </w:t>
      </w:r>
      <w:r w:rsidR="001F0361" w:rsidRPr="00843236">
        <w:rPr>
          <w:rFonts w:ascii="Times New Roman" w:hAnsi="Times New Roman" w:cs="Times New Roman"/>
        </w:rPr>
        <w:t>310</w:t>
      </w:r>
      <w:r w:rsidRPr="00843236">
        <w:rPr>
          <w:rFonts w:ascii="Times New Roman" w:hAnsi="Times New Roman" w:cs="Times New Roman"/>
        </w:rPr>
        <w:t xml:space="preserve"> articles were </w:t>
      </w:r>
      <w:r w:rsidRPr="00843236">
        <w:rPr>
          <w:rFonts w:ascii="Times New Roman" w:hAnsi="Times New Roman" w:cs="Times New Roman"/>
        </w:rPr>
        <w:lastRenderedPageBreak/>
        <w:t xml:space="preserve">removed </w:t>
      </w:r>
      <w:r w:rsidR="00241079" w:rsidRPr="00843236">
        <w:rPr>
          <w:rFonts w:ascii="Times New Roman" w:hAnsi="Times New Roman" w:cs="Times New Roman"/>
        </w:rPr>
        <w:t>for lack of relevance or incomplete data</w:t>
      </w:r>
      <w:r w:rsidRPr="00843236">
        <w:rPr>
          <w:rFonts w:ascii="Times New Roman" w:hAnsi="Times New Roman" w:cs="Times New Roman"/>
        </w:rPr>
        <w:t>. The remaining 1</w:t>
      </w:r>
      <w:r w:rsidR="001F0361" w:rsidRPr="00843236">
        <w:rPr>
          <w:rFonts w:ascii="Times New Roman" w:hAnsi="Times New Roman" w:cs="Times New Roman"/>
        </w:rPr>
        <w:t>02</w:t>
      </w:r>
      <w:r w:rsidRPr="00843236">
        <w:rPr>
          <w:rFonts w:ascii="Times New Roman" w:hAnsi="Times New Roman" w:cs="Times New Roman"/>
        </w:rPr>
        <w:t xml:space="preserve"> articles were reviewed in full text. There were 3</w:t>
      </w:r>
      <w:r w:rsidR="001F0361" w:rsidRPr="00843236">
        <w:rPr>
          <w:rFonts w:ascii="Times New Roman" w:hAnsi="Times New Roman" w:cs="Times New Roman"/>
        </w:rPr>
        <w:t>66</w:t>
      </w:r>
      <w:r w:rsidRPr="00843236">
        <w:rPr>
          <w:rFonts w:ascii="Times New Roman" w:hAnsi="Times New Roman" w:cs="Times New Roman"/>
        </w:rPr>
        <w:t xml:space="preserve"> articles that were excluded because of methodological </w:t>
      </w:r>
      <w:r w:rsidR="001A0C16" w:rsidRPr="00843236">
        <w:rPr>
          <w:rFonts w:ascii="Times New Roman" w:hAnsi="Times New Roman" w:cs="Times New Roman"/>
        </w:rPr>
        <w:t>rigours</w:t>
      </w:r>
      <w:r w:rsidRPr="00843236">
        <w:rPr>
          <w:rFonts w:ascii="Times New Roman" w:hAnsi="Times New Roman" w:cs="Times New Roman"/>
        </w:rPr>
        <w:t xml:space="preserve">. The final </w:t>
      </w:r>
      <w:r w:rsidR="001A0C16" w:rsidRPr="00843236">
        <w:rPr>
          <w:rFonts w:ascii="Times New Roman" w:hAnsi="Times New Roman" w:cs="Times New Roman"/>
        </w:rPr>
        <w:t>paper</w:t>
      </w:r>
      <w:r w:rsidRPr="00843236">
        <w:rPr>
          <w:rFonts w:ascii="Times New Roman" w:hAnsi="Times New Roman" w:cs="Times New Roman"/>
        </w:rPr>
        <w:t xml:space="preserve"> had </w:t>
      </w:r>
      <w:r w:rsidR="001A0C16" w:rsidRPr="00843236">
        <w:rPr>
          <w:rFonts w:ascii="Times New Roman" w:hAnsi="Times New Roman" w:cs="Times New Roman"/>
        </w:rPr>
        <w:t>46</w:t>
      </w:r>
      <w:r w:rsidRPr="00843236">
        <w:rPr>
          <w:rFonts w:ascii="Times New Roman" w:hAnsi="Times New Roman" w:cs="Times New Roman"/>
        </w:rPr>
        <w:t xml:space="preserve"> studies.</w:t>
      </w:r>
    </w:p>
    <w:p w14:paraId="0491D8EF" w14:textId="570BE564" w:rsidR="00F80A97" w:rsidRPr="00843236" w:rsidRDefault="00F80A97">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875010">
        <w:rPr>
          <w:rFonts w:ascii="Arial" w:hAnsi="Arial" w:cs="Arial"/>
          <w:b/>
          <w:bCs/>
          <w:noProof/>
          <w:sz w:val="30"/>
          <w:szCs w:val="30"/>
        </w:rPr>
        <w:drawing>
          <wp:anchor distT="0" distB="0" distL="114300" distR="114300" simplePos="0" relativeHeight="251659264" behindDoc="0" locked="0" layoutInCell="1" allowOverlap="1" wp14:anchorId="7E6C1241" wp14:editId="69FAECB6">
            <wp:simplePos x="0" y="0"/>
            <wp:positionH relativeFrom="column">
              <wp:posOffset>0</wp:posOffset>
            </wp:positionH>
            <wp:positionV relativeFrom="paragraph">
              <wp:posOffset>329565</wp:posOffset>
            </wp:positionV>
            <wp:extent cx="5486400" cy="3200400"/>
            <wp:effectExtent l="0" t="57150" r="0" b="114300"/>
            <wp:wrapThrough wrapText="bothSides">
              <wp:wrapPolygon edited="0">
                <wp:start x="975" y="-386"/>
                <wp:lineTo x="675" y="-129"/>
                <wp:lineTo x="375" y="14271"/>
                <wp:lineTo x="675" y="20700"/>
                <wp:lineTo x="1050" y="21986"/>
                <wp:lineTo x="1125" y="22243"/>
                <wp:lineTo x="20550" y="22243"/>
                <wp:lineTo x="20700" y="21986"/>
                <wp:lineTo x="20925" y="20829"/>
                <wp:lineTo x="20925" y="20443"/>
                <wp:lineTo x="21300" y="14400"/>
                <wp:lineTo x="21300" y="12214"/>
                <wp:lineTo x="21000" y="10157"/>
                <wp:lineTo x="21075" y="1929"/>
                <wp:lineTo x="20925" y="-129"/>
                <wp:lineTo x="20625" y="-386"/>
                <wp:lineTo x="975" y="-386"/>
              </wp:wrapPolygon>
            </wp:wrapThrough>
            <wp:docPr id="142257994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14:paraId="66B0251E" w14:textId="77777777" w:rsidR="00F80A97" w:rsidRDefault="00F80A97">
      <w:pPr>
        <w:spacing w:before="280" w:after="280" w:line="240" w:lineRule="auto"/>
        <w:jc w:val="both"/>
        <w:rPr>
          <w:rFonts w:ascii="Times New Roman" w:eastAsia="Times New Roman" w:hAnsi="Times New Roman" w:cs="Times New Roman"/>
          <w:b/>
          <w:bCs/>
          <w:color w:val="000000"/>
        </w:rPr>
      </w:pPr>
    </w:p>
    <w:p w14:paraId="4E123C11" w14:textId="77777777" w:rsidR="00F80A97" w:rsidRDefault="00F80A97">
      <w:pPr>
        <w:spacing w:before="280" w:after="280" w:line="240" w:lineRule="auto"/>
        <w:jc w:val="both"/>
        <w:rPr>
          <w:rFonts w:ascii="Times New Roman" w:eastAsia="Times New Roman" w:hAnsi="Times New Roman" w:cs="Times New Roman"/>
          <w:b/>
          <w:bCs/>
          <w:color w:val="000000"/>
        </w:rPr>
      </w:pPr>
    </w:p>
    <w:p w14:paraId="41A57B43" w14:textId="77777777" w:rsidR="00F80A97" w:rsidRDefault="00F80A97">
      <w:pPr>
        <w:spacing w:before="280" w:after="280" w:line="240" w:lineRule="auto"/>
        <w:jc w:val="both"/>
        <w:rPr>
          <w:rFonts w:ascii="Times New Roman" w:eastAsia="Times New Roman" w:hAnsi="Times New Roman" w:cs="Times New Roman"/>
          <w:b/>
          <w:bCs/>
          <w:color w:val="000000"/>
        </w:rPr>
      </w:pPr>
    </w:p>
    <w:p w14:paraId="511EFE3B" w14:textId="77777777" w:rsidR="00F80A97" w:rsidRDefault="00F80A97">
      <w:pPr>
        <w:spacing w:before="280" w:after="280" w:line="240" w:lineRule="auto"/>
        <w:jc w:val="both"/>
        <w:rPr>
          <w:rFonts w:ascii="Times New Roman" w:eastAsia="Times New Roman" w:hAnsi="Times New Roman" w:cs="Times New Roman"/>
          <w:b/>
          <w:bCs/>
          <w:color w:val="000000"/>
        </w:rPr>
      </w:pPr>
    </w:p>
    <w:p w14:paraId="40AC77FF" w14:textId="77777777" w:rsidR="00F80A97" w:rsidRDefault="00F80A97">
      <w:pPr>
        <w:spacing w:before="280" w:after="280" w:line="240" w:lineRule="auto"/>
        <w:jc w:val="both"/>
        <w:rPr>
          <w:rFonts w:ascii="Times New Roman" w:eastAsia="Times New Roman" w:hAnsi="Times New Roman" w:cs="Times New Roman"/>
          <w:b/>
          <w:bCs/>
          <w:color w:val="000000"/>
        </w:rPr>
      </w:pPr>
    </w:p>
    <w:p w14:paraId="75059C5A" w14:textId="77777777" w:rsidR="00F80A97" w:rsidRDefault="00F80A97">
      <w:pPr>
        <w:spacing w:before="280" w:after="280" w:line="240" w:lineRule="auto"/>
        <w:jc w:val="both"/>
        <w:rPr>
          <w:rFonts w:ascii="Times New Roman" w:eastAsia="Times New Roman" w:hAnsi="Times New Roman" w:cs="Times New Roman"/>
          <w:b/>
          <w:bCs/>
          <w:color w:val="000000"/>
        </w:rPr>
      </w:pPr>
    </w:p>
    <w:p w14:paraId="4A87DFC9" w14:textId="77777777" w:rsidR="00F80A97" w:rsidRDefault="00F80A97">
      <w:pPr>
        <w:spacing w:before="280" w:after="280" w:line="240" w:lineRule="auto"/>
        <w:jc w:val="both"/>
        <w:rPr>
          <w:rFonts w:ascii="Times New Roman" w:eastAsia="Times New Roman" w:hAnsi="Times New Roman" w:cs="Times New Roman"/>
          <w:b/>
          <w:bCs/>
          <w:color w:val="000000"/>
        </w:rPr>
      </w:pPr>
    </w:p>
    <w:p w14:paraId="1115EB26" w14:textId="77777777" w:rsidR="00F80A97" w:rsidRDefault="00F80A97">
      <w:pPr>
        <w:spacing w:before="280" w:after="280" w:line="240" w:lineRule="auto"/>
        <w:jc w:val="both"/>
        <w:rPr>
          <w:rFonts w:ascii="Times New Roman" w:eastAsia="Times New Roman" w:hAnsi="Times New Roman" w:cs="Times New Roman"/>
          <w:b/>
          <w:bCs/>
          <w:color w:val="000000"/>
        </w:rPr>
      </w:pPr>
    </w:p>
    <w:p w14:paraId="186A9BFD" w14:textId="77777777" w:rsidR="00F80A97" w:rsidRDefault="00F80A97">
      <w:pPr>
        <w:spacing w:before="280" w:after="280" w:line="240" w:lineRule="auto"/>
        <w:jc w:val="both"/>
        <w:rPr>
          <w:rFonts w:ascii="Times New Roman" w:eastAsia="Times New Roman" w:hAnsi="Times New Roman" w:cs="Times New Roman"/>
          <w:b/>
          <w:bCs/>
          <w:color w:val="000000"/>
        </w:rPr>
      </w:pPr>
    </w:p>
    <w:p w14:paraId="23B9CA83" w14:textId="77777777" w:rsidR="00532D0B" w:rsidRDefault="00532D0B" w:rsidP="00532D0B">
      <w:pPr>
        <w:jc w:val="center"/>
        <w:rPr>
          <w:rFonts w:ascii="Arial" w:hAnsi="Arial" w:cs="Arial"/>
          <w:b/>
          <w:bCs/>
          <w:sz w:val="20"/>
          <w:szCs w:val="20"/>
        </w:rPr>
      </w:pPr>
    </w:p>
    <w:p w14:paraId="4AFFFBF7" w14:textId="18CA4B5C" w:rsidR="00532D0B" w:rsidRPr="00957A5A" w:rsidRDefault="00532D0B" w:rsidP="00532D0B">
      <w:pPr>
        <w:jc w:val="center"/>
        <w:rPr>
          <w:rFonts w:ascii="Arial" w:hAnsi="Arial" w:cs="Arial"/>
          <w:b/>
          <w:bCs/>
          <w:sz w:val="20"/>
          <w:szCs w:val="20"/>
        </w:rPr>
      </w:pPr>
      <w:r>
        <w:rPr>
          <w:rFonts w:ascii="Arial" w:hAnsi="Arial" w:cs="Arial"/>
          <w:b/>
          <w:bCs/>
          <w:sz w:val="20"/>
          <w:szCs w:val="20"/>
        </w:rPr>
        <w:t xml:space="preserve">Figure 1: </w:t>
      </w:r>
      <w:r w:rsidRPr="00957A5A">
        <w:rPr>
          <w:rFonts w:ascii="Arial" w:hAnsi="Arial" w:cs="Arial"/>
          <w:b/>
          <w:bCs/>
          <w:sz w:val="20"/>
          <w:szCs w:val="20"/>
        </w:rPr>
        <w:t>PRISMA Flowchart</w:t>
      </w:r>
    </w:p>
    <w:p w14:paraId="056DDDF3" w14:textId="77777777" w:rsidR="00F80A97" w:rsidRDefault="00F80A97" w:rsidP="00532D0B">
      <w:pPr>
        <w:spacing w:before="280" w:after="280" w:line="240" w:lineRule="auto"/>
        <w:jc w:val="center"/>
        <w:rPr>
          <w:rFonts w:ascii="Times New Roman" w:eastAsia="Times New Roman" w:hAnsi="Times New Roman" w:cs="Times New Roman"/>
          <w:b/>
          <w:bCs/>
          <w:color w:val="000000"/>
        </w:rPr>
      </w:pPr>
    </w:p>
    <w:p w14:paraId="0A3BFA76" w14:textId="77777777" w:rsidR="00F80A97" w:rsidRDefault="00F80A97">
      <w:pPr>
        <w:spacing w:before="280" w:after="280" w:line="240" w:lineRule="auto"/>
        <w:jc w:val="both"/>
        <w:rPr>
          <w:rFonts w:ascii="Times New Roman" w:eastAsia="Times New Roman" w:hAnsi="Times New Roman" w:cs="Times New Roman"/>
          <w:b/>
          <w:bCs/>
          <w:color w:val="000000"/>
        </w:rPr>
      </w:pPr>
    </w:p>
    <w:p w14:paraId="7145227F" w14:textId="77777777" w:rsidR="009E57AB" w:rsidRDefault="009E57AB">
      <w:pPr>
        <w:spacing w:before="280" w:after="280" w:line="240" w:lineRule="auto"/>
        <w:jc w:val="both"/>
        <w:rPr>
          <w:rFonts w:ascii="Times New Roman" w:eastAsia="Times New Roman" w:hAnsi="Times New Roman" w:cs="Times New Roman"/>
          <w:b/>
          <w:bCs/>
          <w:color w:val="000000"/>
        </w:rPr>
      </w:pPr>
    </w:p>
    <w:p w14:paraId="0A212577" w14:textId="77777777" w:rsidR="009E57AB" w:rsidRDefault="009E57AB">
      <w:pPr>
        <w:spacing w:before="280" w:after="280" w:line="240" w:lineRule="auto"/>
        <w:jc w:val="both"/>
        <w:rPr>
          <w:rFonts w:ascii="Times New Roman" w:eastAsia="Times New Roman" w:hAnsi="Times New Roman" w:cs="Times New Roman"/>
          <w:b/>
          <w:bCs/>
          <w:color w:val="000000"/>
        </w:rPr>
      </w:pPr>
    </w:p>
    <w:p w14:paraId="0586FDC4" w14:textId="77777777" w:rsidR="009E57AB" w:rsidRDefault="009E57AB">
      <w:pPr>
        <w:spacing w:before="280" w:after="280" w:line="240" w:lineRule="auto"/>
        <w:jc w:val="both"/>
        <w:rPr>
          <w:rFonts w:ascii="Times New Roman" w:eastAsia="Times New Roman" w:hAnsi="Times New Roman" w:cs="Times New Roman"/>
          <w:b/>
          <w:bCs/>
          <w:color w:val="000000"/>
        </w:rPr>
      </w:pPr>
    </w:p>
    <w:p w14:paraId="79AD81B8" w14:textId="77777777" w:rsidR="009E57AB" w:rsidRDefault="009E57AB">
      <w:pPr>
        <w:spacing w:before="280" w:after="280" w:line="240" w:lineRule="auto"/>
        <w:jc w:val="both"/>
        <w:rPr>
          <w:rFonts w:ascii="Times New Roman" w:eastAsia="Times New Roman" w:hAnsi="Times New Roman" w:cs="Times New Roman"/>
          <w:b/>
          <w:bCs/>
          <w:color w:val="000000"/>
        </w:rPr>
      </w:pPr>
    </w:p>
    <w:p w14:paraId="5C1B9073" w14:textId="77777777" w:rsidR="009E57AB" w:rsidRDefault="009E57AB">
      <w:pPr>
        <w:spacing w:before="280" w:after="280" w:line="240" w:lineRule="auto"/>
        <w:jc w:val="both"/>
        <w:rPr>
          <w:rFonts w:ascii="Times New Roman" w:eastAsia="Times New Roman" w:hAnsi="Times New Roman" w:cs="Times New Roman"/>
          <w:b/>
          <w:bCs/>
          <w:color w:val="000000"/>
        </w:rPr>
      </w:pPr>
    </w:p>
    <w:p w14:paraId="0BD899E3" w14:textId="77777777" w:rsidR="009E57AB" w:rsidRDefault="009E57AB">
      <w:pPr>
        <w:spacing w:before="280" w:after="280" w:line="240" w:lineRule="auto"/>
        <w:jc w:val="both"/>
        <w:rPr>
          <w:rFonts w:ascii="Times New Roman" w:eastAsia="Times New Roman" w:hAnsi="Times New Roman" w:cs="Times New Roman"/>
          <w:b/>
          <w:bCs/>
          <w:color w:val="000000"/>
        </w:rPr>
      </w:pPr>
    </w:p>
    <w:p w14:paraId="4738ECA5" w14:textId="77777777" w:rsidR="009E57AB" w:rsidRDefault="009E57AB">
      <w:pPr>
        <w:spacing w:before="280" w:after="280" w:line="240" w:lineRule="auto"/>
        <w:jc w:val="both"/>
        <w:rPr>
          <w:rFonts w:ascii="Times New Roman" w:eastAsia="Times New Roman" w:hAnsi="Times New Roman" w:cs="Times New Roman"/>
          <w:b/>
          <w:bCs/>
          <w:color w:val="000000"/>
        </w:rPr>
      </w:pPr>
    </w:p>
    <w:p w14:paraId="128A9214" w14:textId="77777777" w:rsidR="009E57AB" w:rsidRDefault="009E57AB">
      <w:pPr>
        <w:spacing w:before="280" w:after="280" w:line="240" w:lineRule="auto"/>
        <w:jc w:val="both"/>
        <w:rPr>
          <w:rFonts w:ascii="Times New Roman" w:eastAsia="Times New Roman" w:hAnsi="Times New Roman" w:cs="Times New Roman"/>
          <w:b/>
          <w:bCs/>
          <w:color w:val="000000"/>
        </w:rPr>
      </w:pPr>
    </w:p>
    <w:p w14:paraId="0632E8BF" w14:textId="62E870CB" w:rsidR="008059F4" w:rsidRDefault="00654302">
      <w:pP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3. Results and Discussion</w:t>
      </w:r>
    </w:p>
    <w:p w14:paraId="6A178BF3" w14:textId="77777777" w:rsidR="008059F4" w:rsidRDefault="00654302">
      <w:pPr>
        <w:spacing w:before="280" w:after="28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b/>
          <w:bCs/>
          <w:color w:val="000000"/>
        </w:rPr>
        <w:t>Table 1. Summary of Key Reviewed Studies</w:t>
      </w:r>
      <w:r>
        <w:rPr>
          <w:rFonts w:ascii="Times New Roman" w:eastAsia="Times New Roman" w:hAnsi="Times New Roman" w:cs="Times New Roman"/>
          <w:color w:val="000000"/>
        </w:rPr>
        <w:t xml:space="preserve"> Columns: </w:t>
      </w:r>
      <w:r>
        <w:rPr>
          <w:rFonts w:ascii="Times New Roman" w:eastAsia="Times New Roman" w:hAnsi="Times New Roman" w:cs="Times New Roman"/>
          <w:i/>
          <w:iCs/>
          <w:color w:val="000000"/>
        </w:rPr>
        <w:t>Author, Year, Data/Model, Objective, Method, Main Findings.</w:t>
      </w:r>
    </w:p>
    <w:tbl>
      <w:tblPr>
        <w:tblStyle w:val="PlainTable3"/>
        <w:tblW w:w="9350" w:type="dxa"/>
        <w:tblLayout w:type="fixed"/>
        <w:tblLook w:val="0400" w:firstRow="0" w:lastRow="0" w:firstColumn="0" w:lastColumn="0" w:noHBand="0" w:noVBand="1"/>
      </w:tblPr>
      <w:tblGrid>
        <w:gridCol w:w="1989"/>
        <w:gridCol w:w="765"/>
        <w:gridCol w:w="1643"/>
        <w:gridCol w:w="1655"/>
        <w:gridCol w:w="1618"/>
        <w:gridCol w:w="1680"/>
      </w:tblGrid>
      <w:tr w:rsidR="008059F4" w14:paraId="50FAA8D7"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tcBorders>
              <w:top w:val="single" w:sz="4" w:space="0" w:color="auto"/>
              <w:bottom w:val="single" w:sz="4" w:space="0" w:color="auto"/>
            </w:tcBorders>
            <w:shd w:val="clear" w:color="auto" w:fill="auto"/>
          </w:tcPr>
          <w:p w14:paraId="2460DBB2" w14:textId="77777777" w:rsidR="008059F4" w:rsidRDefault="00654302">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Author(s)</w:t>
            </w:r>
          </w:p>
        </w:tc>
        <w:tc>
          <w:tcPr>
            <w:tcW w:w="765" w:type="dxa"/>
            <w:tcBorders>
              <w:top w:val="single" w:sz="4" w:space="0" w:color="auto"/>
              <w:bottom w:val="single" w:sz="4" w:space="0" w:color="auto"/>
            </w:tcBorders>
            <w:shd w:val="clear" w:color="auto" w:fill="auto"/>
          </w:tcPr>
          <w:p w14:paraId="32D8FD27" w14:textId="77777777" w:rsidR="008059F4" w:rsidRDefault="00654302">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Year</w:t>
            </w:r>
          </w:p>
        </w:tc>
        <w:tc>
          <w:tcPr>
            <w:tcW w:w="1643" w:type="dxa"/>
            <w:tcBorders>
              <w:top w:val="single" w:sz="4" w:space="0" w:color="auto"/>
              <w:bottom w:val="single" w:sz="4" w:space="0" w:color="auto"/>
            </w:tcBorders>
            <w:shd w:val="clear" w:color="auto" w:fill="auto"/>
          </w:tcPr>
          <w:p w14:paraId="49749191" w14:textId="77777777" w:rsidR="008059F4" w:rsidRDefault="00654302">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Data/Model</w:t>
            </w:r>
          </w:p>
        </w:tc>
        <w:tc>
          <w:tcPr>
            <w:tcW w:w="1655" w:type="dxa"/>
            <w:tcBorders>
              <w:top w:val="single" w:sz="4" w:space="0" w:color="auto"/>
              <w:bottom w:val="single" w:sz="4" w:space="0" w:color="auto"/>
            </w:tcBorders>
            <w:shd w:val="clear" w:color="auto" w:fill="auto"/>
          </w:tcPr>
          <w:p w14:paraId="18013DB2" w14:textId="77777777" w:rsidR="008059F4" w:rsidRDefault="00654302">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Objective</w:t>
            </w:r>
          </w:p>
        </w:tc>
        <w:tc>
          <w:tcPr>
            <w:tcW w:w="1618" w:type="dxa"/>
            <w:tcBorders>
              <w:top w:val="single" w:sz="4" w:space="0" w:color="auto"/>
              <w:bottom w:val="single" w:sz="4" w:space="0" w:color="auto"/>
            </w:tcBorders>
            <w:shd w:val="clear" w:color="auto" w:fill="auto"/>
          </w:tcPr>
          <w:p w14:paraId="02A89D3A" w14:textId="77777777" w:rsidR="008059F4" w:rsidRDefault="00654302">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Method</w:t>
            </w:r>
          </w:p>
        </w:tc>
        <w:tc>
          <w:tcPr>
            <w:tcW w:w="1680" w:type="dxa"/>
            <w:tcBorders>
              <w:top w:val="single" w:sz="4" w:space="0" w:color="auto"/>
              <w:bottom w:val="single" w:sz="4" w:space="0" w:color="auto"/>
            </w:tcBorders>
            <w:shd w:val="clear" w:color="auto" w:fill="auto"/>
          </w:tcPr>
          <w:p w14:paraId="19A45918" w14:textId="77777777" w:rsidR="008059F4" w:rsidRDefault="00654302">
            <w:pPr>
              <w:spacing w:after="160" w:line="259" w:lineRule="auto"/>
              <w:rPr>
                <w:rFonts w:ascii="Times New Roman" w:eastAsia="Times New Roman" w:hAnsi="Times New Roman" w:cs="Times New Roman"/>
                <w:b/>
                <w:bCs/>
              </w:rPr>
            </w:pPr>
            <w:r>
              <w:rPr>
                <w:rFonts w:ascii="Times New Roman" w:eastAsia="Times New Roman" w:hAnsi="Times New Roman" w:cs="Times New Roman"/>
                <w:b/>
                <w:bCs/>
              </w:rPr>
              <w:t>Main Findings</w:t>
            </w:r>
          </w:p>
        </w:tc>
      </w:tr>
      <w:tr w:rsidR="008059F4" w14:paraId="735F2A3B" w14:textId="77777777" w:rsidTr="00843236">
        <w:tc>
          <w:tcPr>
            <w:tcW w:w="1989" w:type="dxa"/>
            <w:tcBorders>
              <w:top w:val="single" w:sz="4" w:space="0" w:color="auto"/>
            </w:tcBorders>
            <w:shd w:val="clear" w:color="auto" w:fill="auto"/>
          </w:tcPr>
          <w:p w14:paraId="3B2C16A6"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Evgenidis</w:t>
            </w:r>
            <w:proofErr w:type="spellEnd"/>
          </w:p>
        </w:tc>
        <w:tc>
          <w:tcPr>
            <w:tcW w:w="765" w:type="dxa"/>
            <w:tcBorders>
              <w:top w:val="single" w:sz="4" w:space="0" w:color="auto"/>
            </w:tcBorders>
            <w:shd w:val="clear" w:color="auto" w:fill="auto"/>
          </w:tcPr>
          <w:p w14:paraId="256DB04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2020</w:t>
            </w:r>
          </w:p>
        </w:tc>
        <w:tc>
          <w:tcPr>
            <w:tcW w:w="1643" w:type="dxa"/>
            <w:tcBorders>
              <w:top w:val="single" w:sz="4" w:space="0" w:color="auto"/>
            </w:tcBorders>
            <w:shd w:val="clear" w:color="auto" w:fill="auto"/>
          </w:tcPr>
          <w:p w14:paraId="7C1062B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Euro Area data; SVAR</w:t>
            </w:r>
          </w:p>
        </w:tc>
        <w:tc>
          <w:tcPr>
            <w:tcW w:w="1655" w:type="dxa"/>
            <w:tcBorders>
              <w:top w:val="single" w:sz="4" w:space="0" w:color="auto"/>
            </w:tcBorders>
            <w:shd w:val="clear" w:color="auto" w:fill="auto"/>
          </w:tcPr>
          <w:p w14:paraId="1BA70468"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Assess impact of unconventional monetary policy on financial stability</w:t>
            </w:r>
          </w:p>
        </w:tc>
        <w:tc>
          <w:tcPr>
            <w:tcW w:w="1618" w:type="dxa"/>
            <w:tcBorders>
              <w:top w:val="single" w:sz="4" w:space="0" w:color="auto"/>
            </w:tcBorders>
            <w:shd w:val="clear" w:color="auto" w:fill="auto"/>
          </w:tcPr>
          <w:p w14:paraId="7160D708"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Structural Vector Autoregressive Model (VAR)</w:t>
            </w:r>
          </w:p>
        </w:tc>
        <w:tc>
          <w:tcPr>
            <w:tcW w:w="1680" w:type="dxa"/>
            <w:tcBorders>
              <w:top w:val="single" w:sz="4" w:space="0" w:color="auto"/>
            </w:tcBorders>
            <w:shd w:val="clear" w:color="auto" w:fill="auto"/>
          </w:tcPr>
          <w:p w14:paraId="2B26322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Liquidity injections mitigate short-term instability but increase medium-term risk-taking</w:t>
            </w:r>
          </w:p>
        </w:tc>
      </w:tr>
      <w:tr w:rsidR="008059F4" w14:paraId="1656911B"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24E40362"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Lamers</w:t>
            </w:r>
            <w:proofErr w:type="spellEnd"/>
            <w:r>
              <w:rPr>
                <w:rFonts w:ascii="Times New Roman" w:eastAsia="Times New Roman" w:hAnsi="Times New Roman" w:cs="Times New Roman"/>
              </w:rPr>
              <w:t xml:space="preserve"> et al.</w:t>
            </w:r>
          </w:p>
        </w:tc>
        <w:tc>
          <w:tcPr>
            <w:tcW w:w="765" w:type="dxa"/>
            <w:shd w:val="clear" w:color="auto" w:fill="auto"/>
          </w:tcPr>
          <w:p w14:paraId="5A629A7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2019</w:t>
            </w:r>
          </w:p>
        </w:tc>
        <w:tc>
          <w:tcPr>
            <w:tcW w:w="1643" w:type="dxa"/>
            <w:shd w:val="clear" w:color="auto" w:fill="auto"/>
          </w:tcPr>
          <w:p w14:paraId="13CBEB1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Panel data; VAR</w:t>
            </w:r>
          </w:p>
        </w:tc>
        <w:tc>
          <w:tcPr>
            <w:tcW w:w="1655" w:type="dxa"/>
            <w:shd w:val="clear" w:color="auto" w:fill="auto"/>
          </w:tcPr>
          <w:p w14:paraId="1105DB5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Examine trade-off between monetary accommodation and bank stability</w:t>
            </w:r>
          </w:p>
        </w:tc>
        <w:tc>
          <w:tcPr>
            <w:tcW w:w="1618" w:type="dxa"/>
            <w:shd w:val="clear" w:color="auto" w:fill="auto"/>
          </w:tcPr>
          <w:p w14:paraId="28BC959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Panel VAR</w:t>
            </w:r>
          </w:p>
        </w:tc>
        <w:tc>
          <w:tcPr>
            <w:tcW w:w="1680" w:type="dxa"/>
            <w:shd w:val="clear" w:color="auto" w:fill="auto"/>
          </w:tcPr>
          <w:p w14:paraId="65C3746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Expansionary policy improves liquidity short-term but erodes solvency over time</w:t>
            </w:r>
          </w:p>
        </w:tc>
      </w:tr>
      <w:tr w:rsidR="008059F4" w14:paraId="4A29814F" w14:textId="77777777" w:rsidTr="00843236">
        <w:tc>
          <w:tcPr>
            <w:tcW w:w="1989" w:type="dxa"/>
            <w:shd w:val="clear" w:color="auto" w:fill="auto"/>
          </w:tcPr>
          <w:p w14:paraId="120976ED"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Chukwukelo</w:t>
            </w:r>
            <w:proofErr w:type="spellEnd"/>
            <w:r>
              <w:rPr>
                <w:rFonts w:ascii="Times New Roman" w:eastAsia="Times New Roman" w:hAnsi="Times New Roman" w:cs="Times New Roman"/>
              </w:rPr>
              <w:t xml:space="preserve"> et al.</w:t>
            </w:r>
          </w:p>
        </w:tc>
        <w:tc>
          <w:tcPr>
            <w:tcW w:w="765" w:type="dxa"/>
            <w:shd w:val="clear" w:color="auto" w:fill="auto"/>
          </w:tcPr>
          <w:p w14:paraId="10242BD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shd w:val="clear" w:color="auto" w:fill="auto"/>
          </w:tcPr>
          <w:p w14:paraId="56B233A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Global commodity price and financial data; BVAR</w:t>
            </w:r>
          </w:p>
        </w:tc>
        <w:tc>
          <w:tcPr>
            <w:tcW w:w="1655" w:type="dxa"/>
            <w:shd w:val="clear" w:color="auto" w:fill="auto"/>
          </w:tcPr>
          <w:p w14:paraId="0D74DDD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Examine how domestic macroeconomic variables respond to global shocks.</w:t>
            </w:r>
          </w:p>
        </w:tc>
        <w:tc>
          <w:tcPr>
            <w:tcW w:w="1618" w:type="dxa"/>
            <w:shd w:val="clear" w:color="auto" w:fill="auto"/>
          </w:tcPr>
          <w:p w14:paraId="576E8BB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Bayesian VAR</w:t>
            </w:r>
          </w:p>
        </w:tc>
        <w:tc>
          <w:tcPr>
            <w:tcW w:w="1680" w:type="dxa"/>
            <w:shd w:val="clear" w:color="auto" w:fill="auto"/>
          </w:tcPr>
          <w:p w14:paraId="46F1ED4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Exchange rate and inflation are highly sensitive to global commodity fluctuations. The BVAR model provides better predictive accuracy than traditional VAR approaches</w:t>
            </w:r>
          </w:p>
        </w:tc>
      </w:tr>
      <w:tr w:rsidR="008059F4" w14:paraId="0C8DE199"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3552817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Afonso &amp; Sousa</w:t>
            </w:r>
            <w:r>
              <w:rPr>
                <w:rFonts w:ascii="Times New Roman" w:eastAsia="Times New Roman" w:hAnsi="Times New Roman" w:cs="Times New Roman"/>
                <w:color w:val="000000"/>
              </w:rPr>
              <w:t xml:space="preserve"> (2012)</w:t>
            </w:r>
          </w:p>
        </w:tc>
        <w:tc>
          <w:tcPr>
            <w:tcW w:w="765" w:type="dxa"/>
            <w:shd w:val="clear" w:color="auto" w:fill="auto"/>
          </w:tcPr>
          <w:p w14:paraId="393DEDA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2021</w:t>
            </w:r>
          </w:p>
        </w:tc>
        <w:tc>
          <w:tcPr>
            <w:tcW w:w="1643" w:type="dxa"/>
            <w:shd w:val="clear" w:color="auto" w:fill="auto"/>
          </w:tcPr>
          <w:p w14:paraId="17D1F7D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Global Data (US, UK, Germany)</w:t>
            </w:r>
          </w:p>
        </w:tc>
        <w:tc>
          <w:tcPr>
            <w:tcW w:w="1655" w:type="dxa"/>
            <w:shd w:val="clear" w:color="auto" w:fill="auto"/>
          </w:tcPr>
          <w:p w14:paraId="6D1D5EA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To investigate the macroeconomic effects of </w:t>
            </w:r>
            <w:r>
              <w:rPr>
                <w:rFonts w:ascii="Times New Roman" w:eastAsia="Times New Roman" w:hAnsi="Times New Roman" w:cs="Times New Roman"/>
              </w:rPr>
              <w:lastRenderedPageBreak/>
              <w:t>fiscal policy shocks, including their impact on GDP, asset markets, and debt dynamics.</w:t>
            </w:r>
          </w:p>
        </w:tc>
        <w:tc>
          <w:tcPr>
            <w:tcW w:w="1618" w:type="dxa"/>
            <w:shd w:val="clear" w:color="auto" w:fill="auto"/>
          </w:tcPr>
          <w:p w14:paraId="1AC4EFF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Bayesian Structural VAR (B-</w:t>
            </w:r>
            <w:r>
              <w:rPr>
                <w:rFonts w:ascii="Times New Roman" w:eastAsia="Times New Roman" w:hAnsi="Times New Roman" w:cs="Times New Roman"/>
              </w:rPr>
              <w:lastRenderedPageBreak/>
              <w:t>SVAR) approach</w:t>
            </w:r>
          </w:p>
        </w:tc>
        <w:tc>
          <w:tcPr>
            <w:tcW w:w="1680" w:type="dxa"/>
            <w:shd w:val="clear" w:color="auto" w:fill="auto"/>
          </w:tcPr>
          <w:p w14:paraId="103641F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 xml:space="preserve">Government spending shocks: small positive effect </w:t>
            </w:r>
            <w:r>
              <w:rPr>
                <w:rFonts w:ascii="Times New Roman" w:eastAsia="Times New Roman" w:hAnsi="Times New Roman" w:cs="Times New Roman"/>
              </w:rPr>
              <w:lastRenderedPageBreak/>
              <w:t>on GDP, crowding-out effects on private sector, positive effect on housing prices, negative effect on stock prices</w:t>
            </w:r>
          </w:p>
        </w:tc>
      </w:tr>
      <w:tr w:rsidR="008059F4" w14:paraId="5E9012A6" w14:textId="77777777" w:rsidTr="00843236">
        <w:tc>
          <w:tcPr>
            <w:tcW w:w="1989" w:type="dxa"/>
            <w:shd w:val="clear" w:color="auto" w:fill="auto"/>
          </w:tcPr>
          <w:p w14:paraId="3A1472E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Bekaert et al.</w:t>
            </w:r>
          </w:p>
        </w:tc>
        <w:tc>
          <w:tcPr>
            <w:tcW w:w="765" w:type="dxa"/>
            <w:shd w:val="clear" w:color="auto" w:fill="auto"/>
          </w:tcPr>
          <w:p w14:paraId="3D88532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2013</w:t>
            </w:r>
          </w:p>
        </w:tc>
        <w:tc>
          <w:tcPr>
            <w:tcW w:w="1643" w:type="dxa"/>
            <w:shd w:val="clear" w:color="auto" w:fill="auto"/>
          </w:tcPr>
          <w:p w14:paraId="31EB774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DSGE model</w:t>
            </w:r>
          </w:p>
        </w:tc>
        <w:tc>
          <w:tcPr>
            <w:tcW w:w="1655" w:type="dxa"/>
            <w:shd w:val="clear" w:color="auto" w:fill="auto"/>
          </w:tcPr>
          <w:p w14:paraId="314AE24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Analyse risk, uncertainty and monetary policy rules. </w:t>
            </w:r>
          </w:p>
        </w:tc>
        <w:tc>
          <w:tcPr>
            <w:tcW w:w="1618" w:type="dxa"/>
            <w:shd w:val="clear" w:color="auto" w:fill="auto"/>
          </w:tcPr>
          <w:p w14:paraId="20D7028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Dynamic Stochastic General Equilibrium Model (DSGE)</w:t>
            </w:r>
          </w:p>
        </w:tc>
        <w:tc>
          <w:tcPr>
            <w:tcW w:w="1680" w:type="dxa"/>
            <w:shd w:val="clear" w:color="auto" w:fill="auto"/>
          </w:tcPr>
          <w:p w14:paraId="7388B4E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MPU propagates through credit spreads and weakens central bank credibility</w:t>
            </w:r>
          </w:p>
        </w:tc>
      </w:tr>
      <w:tr w:rsidR="008059F4" w14:paraId="455ED4DD"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58284E5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Fernández-</w:t>
            </w:r>
            <w:proofErr w:type="spellStart"/>
            <w:r>
              <w:rPr>
                <w:rFonts w:ascii="Times New Roman" w:eastAsia="Times New Roman" w:hAnsi="Times New Roman" w:cs="Times New Roman"/>
              </w:rPr>
              <w:t>Villaverde</w:t>
            </w:r>
            <w:proofErr w:type="spellEnd"/>
            <w:r>
              <w:rPr>
                <w:rFonts w:ascii="Times New Roman" w:eastAsia="Times New Roman" w:hAnsi="Times New Roman" w:cs="Times New Roman"/>
              </w:rPr>
              <w:t xml:space="preserve"> et al</w:t>
            </w:r>
          </w:p>
        </w:tc>
        <w:tc>
          <w:tcPr>
            <w:tcW w:w="765" w:type="dxa"/>
            <w:shd w:val="clear" w:color="auto" w:fill="auto"/>
          </w:tcPr>
          <w:p w14:paraId="1D51FF8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2015</w:t>
            </w:r>
          </w:p>
        </w:tc>
        <w:tc>
          <w:tcPr>
            <w:tcW w:w="1643" w:type="dxa"/>
            <w:shd w:val="clear" w:color="auto" w:fill="auto"/>
          </w:tcPr>
          <w:p w14:paraId="6DC4A00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 DSGE</w:t>
            </w:r>
          </w:p>
        </w:tc>
        <w:tc>
          <w:tcPr>
            <w:tcW w:w="1655" w:type="dxa"/>
            <w:shd w:val="clear" w:color="auto" w:fill="auto"/>
          </w:tcPr>
          <w:p w14:paraId="2B3D13E7"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how uncertainty shocks in fiscal policy (taxes, spending) affect macroeconomic activity and financial conditions</w:t>
            </w:r>
          </w:p>
        </w:tc>
        <w:tc>
          <w:tcPr>
            <w:tcW w:w="1618" w:type="dxa"/>
            <w:shd w:val="clear" w:color="auto" w:fill="auto"/>
          </w:tcPr>
          <w:p w14:paraId="61313E1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DSGE</w:t>
            </w:r>
          </w:p>
        </w:tc>
        <w:tc>
          <w:tcPr>
            <w:tcW w:w="1680" w:type="dxa"/>
            <w:shd w:val="clear" w:color="auto" w:fill="auto"/>
          </w:tcPr>
          <w:p w14:paraId="3927C28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Fiscal policy uncertainty shocks generate large and persistent declines in output and investment.</w:t>
            </w:r>
          </w:p>
        </w:tc>
      </w:tr>
      <w:tr w:rsidR="008059F4" w14:paraId="2BDC744B" w14:textId="77777777" w:rsidTr="00843236">
        <w:tc>
          <w:tcPr>
            <w:tcW w:w="1989" w:type="dxa"/>
            <w:shd w:val="clear" w:color="auto" w:fill="auto"/>
          </w:tcPr>
          <w:p w14:paraId="62190CFB"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Laeven</w:t>
            </w:r>
            <w:proofErr w:type="spellEnd"/>
            <w:r>
              <w:rPr>
                <w:rFonts w:ascii="Times New Roman" w:eastAsia="Times New Roman" w:hAnsi="Times New Roman" w:cs="Times New Roman"/>
              </w:rPr>
              <w:t xml:space="preserve"> et al., 2022</w:t>
            </w:r>
          </w:p>
        </w:tc>
        <w:tc>
          <w:tcPr>
            <w:tcW w:w="765" w:type="dxa"/>
            <w:shd w:val="clear" w:color="auto" w:fill="auto"/>
          </w:tcPr>
          <w:p w14:paraId="7613EC3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2022</w:t>
            </w:r>
          </w:p>
        </w:tc>
        <w:tc>
          <w:tcPr>
            <w:tcW w:w="1643" w:type="dxa"/>
            <w:shd w:val="clear" w:color="auto" w:fill="auto"/>
          </w:tcPr>
          <w:p w14:paraId="7559336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Theoretical model; Empirical evidence from ECB research task force</w:t>
            </w:r>
          </w:p>
        </w:tc>
        <w:tc>
          <w:tcPr>
            <w:tcW w:w="1655" w:type="dxa"/>
            <w:shd w:val="clear" w:color="auto" w:fill="auto"/>
          </w:tcPr>
          <w:p w14:paraId="7A15A5F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Analyse trade-offs and </w:t>
            </w:r>
            <w:proofErr w:type="spellStart"/>
            <w:r>
              <w:rPr>
                <w:rFonts w:ascii="Times New Roman" w:eastAsia="Times New Roman" w:hAnsi="Times New Roman" w:cs="Times New Roman"/>
              </w:rPr>
              <w:t>spillovers</w:t>
            </w:r>
            <w:proofErr w:type="spellEnd"/>
            <w:r>
              <w:rPr>
                <w:rFonts w:ascii="Times New Roman" w:eastAsia="Times New Roman" w:hAnsi="Times New Roman" w:cs="Times New Roman"/>
              </w:rPr>
              <w:t xml:space="preserve"> between monetary policy and macroprudential policy, and their combined effects on financial stability and </w:t>
            </w:r>
            <w:r>
              <w:rPr>
                <w:rFonts w:ascii="Times New Roman" w:eastAsia="Times New Roman" w:hAnsi="Times New Roman" w:cs="Times New Roman"/>
              </w:rPr>
              <w:lastRenderedPageBreak/>
              <w:t>economic growth.</w:t>
            </w:r>
          </w:p>
        </w:tc>
        <w:tc>
          <w:tcPr>
            <w:tcW w:w="1618" w:type="dxa"/>
            <w:shd w:val="clear" w:color="auto" w:fill="auto"/>
          </w:tcPr>
          <w:p w14:paraId="2B8E0EA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DSGE</w:t>
            </w:r>
          </w:p>
        </w:tc>
        <w:tc>
          <w:tcPr>
            <w:tcW w:w="1680" w:type="dxa"/>
            <w:shd w:val="clear" w:color="auto" w:fill="auto"/>
          </w:tcPr>
          <w:p w14:paraId="03D5604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Monetary policy supports credit supply but can increase financial stability risks. Macroprudential policy effectively limits systemic risk but may shorten economic </w:t>
            </w:r>
            <w:r>
              <w:rPr>
                <w:rFonts w:ascii="Times New Roman" w:eastAsia="Times New Roman" w:hAnsi="Times New Roman" w:cs="Times New Roman"/>
              </w:rPr>
              <w:lastRenderedPageBreak/>
              <w:t>expansions by restricting credit to productive activities</w:t>
            </w:r>
          </w:p>
        </w:tc>
      </w:tr>
      <w:tr w:rsidR="008059F4" w14:paraId="588CF6B7"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43662090"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Monje</w:t>
            </w:r>
            <w:proofErr w:type="spellEnd"/>
            <w:r>
              <w:rPr>
                <w:rFonts w:ascii="Times New Roman" w:eastAsia="Times New Roman" w:hAnsi="Times New Roman" w:cs="Times New Roman"/>
              </w:rPr>
              <w:t xml:space="preserve"> et al.</w:t>
            </w:r>
          </w:p>
        </w:tc>
        <w:tc>
          <w:tcPr>
            <w:tcW w:w="765" w:type="dxa"/>
            <w:shd w:val="clear" w:color="auto" w:fill="auto"/>
          </w:tcPr>
          <w:p w14:paraId="3FFBFA7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shd w:val="clear" w:color="auto" w:fill="auto"/>
          </w:tcPr>
          <w:p w14:paraId="40C3C1D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Global financial markets; ML</w:t>
            </w:r>
          </w:p>
        </w:tc>
        <w:tc>
          <w:tcPr>
            <w:tcW w:w="1655" w:type="dxa"/>
            <w:shd w:val="clear" w:color="auto" w:fill="auto"/>
          </w:tcPr>
          <w:p w14:paraId="30F0AB4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Assess AI-based stress testing under uncertainty</w:t>
            </w:r>
          </w:p>
        </w:tc>
        <w:tc>
          <w:tcPr>
            <w:tcW w:w="1618" w:type="dxa"/>
            <w:shd w:val="clear" w:color="auto" w:fill="auto"/>
          </w:tcPr>
          <w:p w14:paraId="1BE6950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ML &amp; AI-based stress testing</w:t>
            </w:r>
          </w:p>
        </w:tc>
        <w:tc>
          <w:tcPr>
            <w:tcW w:w="1680" w:type="dxa"/>
            <w:shd w:val="clear" w:color="auto" w:fill="auto"/>
          </w:tcPr>
          <w:p w14:paraId="77F04B7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AI enhances early-warning signals for credit and liquidity deterioration</w:t>
            </w:r>
          </w:p>
        </w:tc>
      </w:tr>
      <w:tr w:rsidR="008059F4" w14:paraId="4E3CCF70" w14:textId="77777777" w:rsidTr="00843236">
        <w:tc>
          <w:tcPr>
            <w:tcW w:w="1989" w:type="dxa"/>
            <w:shd w:val="clear" w:color="auto" w:fill="auto"/>
          </w:tcPr>
          <w:p w14:paraId="32E1B18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Yeo et al</w:t>
            </w:r>
          </w:p>
        </w:tc>
        <w:tc>
          <w:tcPr>
            <w:tcW w:w="765" w:type="dxa"/>
            <w:shd w:val="clear" w:color="auto" w:fill="auto"/>
          </w:tcPr>
          <w:p w14:paraId="176398B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shd w:val="clear" w:color="auto" w:fill="auto"/>
          </w:tcPr>
          <w:p w14:paraId="62E5E80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analysis</w:t>
            </w:r>
          </w:p>
        </w:tc>
        <w:tc>
          <w:tcPr>
            <w:tcW w:w="1655" w:type="dxa"/>
            <w:shd w:val="clear" w:color="auto" w:fill="auto"/>
          </w:tcPr>
          <w:p w14:paraId="2902A4E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Evaluate </w:t>
            </w:r>
            <w:proofErr w:type="spellStart"/>
            <w:r>
              <w:rPr>
                <w:rFonts w:ascii="Times New Roman" w:eastAsia="Times New Roman" w:hAnsi="Times New Roman" w:cs="Times New Roman"/>
              </w:rPr>
              <w:t>explainability</w:t>
            </w:r>
            <w:proofErr w:type="spellEnd"/>
            <w:r>
              <w:rPr>
                <w:rFonts w:ascii="Times New Roman" w:eastAsia="Times New Roman" w:hAnsi="Times New Roman" w:cs="Times New Roman"/>
              </w:rPr>
              <w:t xml:space="preserve"> in AI for financial supervision</w:t>
            </w:r>
          </w:p>
        </w:tc>
        <w:tc>
          <w:tcPr>
            <w:tcW w:w="1618" w:type="dxa"/>
            <w:shd w:val="clear" w:color="auto" w:fill="auto"/>
          </w:tcPr>
          <w:p w14:paraId="657C849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XAI frameworks</w:t>
            </w:r>
          </w:p>
        </w:tc>
        <w:tc>
          <w:tcPr>
            <w:tcW w:w="1680" w:type="dxa"/>
            <w:shd w:val="clear" w:color="auto" w:fill="auto"/>
          </w:tcPr>
          <w:p w14:paraId="74F74C7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Lack of interpretability in ML models hinders regulatory adoption</w:t>
            </w:r>
          </w:p>
        </w:tc>
      </w:tr>
      <w:tr w:rsidR="008059F4" w14:paraId="4A2E18EB"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0DEED8A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Baker et al.</w:t>
            </w:r>
          </w:p>
        </w:tc>
        <w:tc>
          <w:tcPr>
            <w:tcW w:w="765" w:type="dxa"/>
            <w:shd w:val="clear" w:color="auto" w:fill="auto"/>
          </w:tcPr>
          <w:p w14:paraId="1EFB284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2016</w:t>
            </w:r>
          </w:p>
        </w:tc>
        <w:tc>
          <w:tcPr>
            <w:tcW w:w="1643" w:type="dxa"/>
            <w:shd w:val="clear" w:color="auto" w:fill="auto"/>
          </w:tcPr>
          <w:p w14:paraId="24453E48"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News-based EPU index</w:t>
            </w:r>
          </w:p>
        </w:tc>
        <w:tc>
          <w:tcPr>
            <w:tcW w:w="1655" w:type="dxa"/>
            <w:shd w:val="clear" w:color="auto" w:fill="auto"/>
          </w:tcPr>
          <w:p w14:paraId="0F7307C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Develop EPU index using NLP</w:t>
            </w:r>
          </w:p>
        </w:tc>
        <w:tc>
          <w:tcPr>
            <w:tcW w:w="1618" w:type="dxa"/>
            <w:shd w:val="clear" w:color="auto" w:fill="auto"/>
          </w:tcPr>
          <w:p w14:paraId="4AFD486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NLP/Text Mining</w:t>
            </w:r>
          </w:p>
        </w:tc>
        <w:tc>
          <w:tcPr>
            <w:tcW w:w="1680" w:type="dxa"/>
            <w:shd w:val="clear" w:color="auto" w:fill="auto"/>
          </w:tcPr>
          <w:p w14:paraId="71CFC10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EPU index captures spikes in uncertainty; correlates with lending and market volatility</w:t>
            </w:r>
          </w:p>
        </w:tc>
      </w:tr>
      <w:tr w:rsidR="008059F4" w14:paraId="3C8F84C7" w14:textId="77777777" w:rsidTr="00843236">
        <w:tc>
          <w:tcPr>
            <w:tcW w:w="1989" w:type="dxa"/>
            <w:shd w:val="clear" w:color="auto" w:fill="auto"/>
          </w:tcPr>
          <w:p w14:paraId="657EB95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Hamdi &amp; Hassen</w:t>
            </w:r>
          </w:p>
        </w:tc>
        <w:tc>
          <w:tcPr>
            <w:tcW w:w="765" w:type="dxa"/>
            <w:shd w:val="clear" w:color="auto" w:fill="auto"/>
          </w:tcPr>
          <w:p w14:paraId="499889B5" w14:textId="2399E169"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w:t>
            </w:r>
            <w:r w:rsidR="00485F43">
              <w:rPr>
                <w:rFonts w:ascii="Times New Roman" w:eastAsia="Times New Roman" w:hAnsi="Times New Roman" w:cs="Times New Roman"/>
              </w:rPr>
              <w:t>2</w:t>
            </w:r>
          </w:p>
        </w:tc>
        <w:tc>
          <w:tcPr>
            <w:tcW w:w="1643" w:type="dxa"/>
            <w:shd w:val="clear" w:color="auto" w:fill="auto"/>
          </w:tcPr>
          <w:p w14:paraId="7BE7B57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Tunisian banks; EPU data</w:t>
            </w:r>
          </w:p>
        </w:tc>
        <w:tc>
          <w:tcPr>
            <w:tcW w:w="1655" w:type="dxa"/>
            <w:shd w:val="clear" w:color="auto" w:fill="auto"/>
          </w:tcPr>
          <w:p w14:paraId="0328EEAC"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Examine EPU’s effect on credit risk and loan performance</w:t>
            </w:r>
          </w:p>
        </w:tc>
        <w:tc>
          <w:tcPr>
            <w:tcW w:w="1618" w:type="dxa"/>
            <w:shd w:val="clear" w:color="auto" w:fill="auto"/>
          </w:tcPr>
          <w:p w14:paraId="5458F38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Panel regression</w:t>
            </w:r>
          </w:p>
        </w:tc>
        <w:tc>
          <w:tcPr>
            <w:tcW w:w="1680" w:type="dxa"/>
            <w:shd w:val="clear" w:color="auto" w:fill="auto"/>
          </w:tcPr>
          <w:p w14:paraId="73847BD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EPU increases credit risk and reduces loan performance, especially in state-owned banks</w:t>
            </w:r>
          </w:p>
        </w:tc>
      </w:tr>
      <w:tr w:rsidR="008059F4" w14:paraId="771A4627"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68E59D6F"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Bordo</w:t>
            </w:r>
            <w:proofErr w:type="spellEnd"/>
            <w:r>
              <w:rPr>
                <w:rFonts w:ascii="Times New Roman" w:eastAsia="Times New Roman" w:hAnsi="Times New Roman" w:cs="Times New Roman"/>
              </w:rPr>
              <w:t xml:space="preserve"> et al.</w:t>
            </w:r>
          </w:p>
        </w:tc>
        <w:tc>
          <w:tcPr>
            <w:tcW w:w="765" w:type="dxa"/>
            <w:shd w:val="clear" w:color="auto" w:fill="auto"/>
          </w:tcPr>
          <w:p w14:paraId="4BD58EA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2016</w:t>
            </w:r>
          </w:p>
        </w:tc>
        <w:tc>
          <w:tcPr>
            <w:tcW w:w="1643" w:type="dxa"/>
            <w:shd w:val="clear" w:color="auto" w:fill="auto"/>
          </w:tcPr>
          <w:p w14:paraId="5ACF7D8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U.S. bank-level data</w:t>
            </w:r>
          </w:p>
        </w:tc>
        <w:tc>
          <w:tcPr>
            <w:tcW w:w="1655" w:type="dxa"/>
            <w:shd w:val="clear" w:color="auto" w:fill="auto"/>
          </w:tcPr>
          <w:p w14:paraId="650EA4F6"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EPU’s effect on credit channel</w:t>
            </w:r>
          </w:p>
        </w:tc>
        <w:tc>
          <w:tcPr>
            <w:tcW w:w="1618" w:type="dxa"/>
            <w:shd w:val="clear" w:color="auto" w:fill="auto"/>
          </w:tcPr>
          <w:p w14:paraId="7DDB6F2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Panel data analysis</w:t>
            </w:r>
          </w:p>
        </w:tc>
        <w:tc>
          <w:tcPr>
            <w:tcW w:w="1680" w:type="dxa"/>
            <w:shd w:val="clear" w:color="auto" w:fill="auto"/>
          </w:tcPr>
          <w:p w14:paraId="6644C3D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EPU reduces credit supply and increases bank risk aversion</w:t>
            </w:r>
          </w:p>
        </w:tc>
      </w:tr>
      <w:tr w:rsidR="008059F4" w14:paraId="29EBC96A" w14:textId="77777777" w:rsidTr="00843236">
        <w:tc>
          <w:tcPr>
            <w:tcW w:w="1989" w:type="dxa"/>
            <w:shd w:val="clear" w:color="auto" w:fill="auto"/>
          </w:tcPr>
          <w:p w14:paraId="46023CB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Chen et al.</w:t>
            </w:r>
          </w:p>
        </w:tc>
        <w:tc>
          <w:tcPr>
            <w:tcW w:w="765" w:type="dxa"/>
            <w:shd w:val="clear" w:color="auto" w:fill="auto"/>
          </w:tcPr>
          <w:p w14:paraId="5EDFAD0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2018</w:t>
            </w:r>
          </w:p>
        </w:tc>
        <w:tc>
          <w:tcPr>
            <w:tcW w:w="1643" w:type="dxa"/>
            <w:shd w:val="clear" w:color="auto" w:fill="auto"/>
          </w:tcPr>
          <w:p w14:paraId="45FD544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Chinese banks; EPU data</w:t>
            </w:r>
          </w:p>
        </w:tc>
        <w:tc>
          <w:tcPr>
            <w:tcW w:w="1655" w:type="dxa"/>
            <w:shd w:val="clear" w:color="auto" w:fill="auto"/>
          </w:tcPr>
          <w:p w14:paraId="22983D1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Study EPU’s impact on bank risk and </w:t>
            </w:r>
            <w:r>
              <w:rPr>
                <w:rFonts w:ascii="Times New Roman" w:eastAsia="Times New Roman" w:hAnsi="Times New Roman" w:cs="Times New Roman"/>
              </w:rPr>
              <w:lastRenderedPageBreak/>
              <w:t xml:space="preserve">lending </w:t>
            </w:r>
            <w:proofErr w:type="spellStart"/>
            <w:r>
              <w:rPr>
                <w:rFonts w:ascii="Times New Roman" w:eastAsia="Times New Roman" w:hAnsi="Times New Roman" w:cs="Times New Roman"/>
              </w:rPr>
              <w:t>behavious</w:t>
            </w:r>
            <w:proofErr w:type="spellEnd"/>
          </w:p>
        </w:tc>
        <w:tc>
          <w:tcPr>
            <w:tcW w:w="1618" w:type="dxa"/>
            <w:shd w:val="clear" w:color="auto" w:fill="auto"/>
          </w:tcPr>
          <w:p w14:paraId="456C151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Panel regression</w:t>
            </w:r>
          </w:p>
        </w:tc>
        <w:tc>
          <w:tcPr>
            <w:tcW w:w="1680" w:type="dxa"/>
            <w:shd w:val="clear" w:color="auto" w:fill="auto"/>
          </w:tcPr>
          <w:p w14:paraId="5E70D6C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EPU raises credit risk and NPLs; banks tighten lending </w:t>
            </w:r>
            <w:r>
              <w:rPr>
                <w:rFonts w:ascii="Times New Roman" w:eastAsia="Times New Roman" w:hAnsi="Times New Roman" w:cs="Times New Roman"/>
              </w:rPr>
              <w:lastRenderedPageBreak/>
              <w:t>under uncertainty</w:t>
            </w:r>
          </w:p>
        </w:tc>
      </w:tr>
      <w:tr w:rsidR="008059F4" w14:paraId="53C05815"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559AA16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Berger et al.</w:t>
            </w:r>
          </w:p>
        </w:tc>
        <w:tc>
          <w:tcPr>
            <w:tcW w:w="765" w:type="dxa"/>
            <w:shd w:val="clear" w:color="auto" w:fill="auto"/>
          </w:tcPr>
          <w:p w14:paraId="282FBC1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2024</w:t>
            </w:r>
          </w:p>
        </w:tc>
        <w:tc>
          <w:tcPr>
            <w:tcW w:w="1643" w:type="dxa"/>
            <w:shd w:val="clear" w:color="auto" w:fill="auto"/>
          </w:tcPr>
          <w:p w14:paraId="4A4FDB5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Global Government Guarantees; liquidity data</w:t>
            </w:r>
          </w:p>
        </w:tc>
        <w:tc>
          <w:tcPr>
            <w:tcW w:w="1655" w:type="dxa"/>
            <w:shd w:val="clear" w:color="auto" w:fill="auto"/>
          </w:tcPr>
          <w:p w14:paraId="749E13F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Investigate EPU and liquidity hoarding</w:t>
            </w:r>
          </w:p>
        </w:tc>
        <w:tc>
          <w:tcPr>
            <w:tcW w:w="1618" w:type="dxa"/>
            <w:shd w:val="clear" w:color="auto" w:fill="auto"/>
          </w:tcPr>
          <w:p w14:paraId="6F70942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Regression analysis</w:t>
            </w:r>
          </w:p>
        </w:tc>
        <w:tc>
          <w:tcPr>
            <w:tcW w:w="1680" w:type="dxa"/>
            <w:shd w:val="clear" w:color="auto" w:fill="auto"/>
          </w:tcPr>
          <w:p w14:paraId="4CF0FA5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Banks with low liquidity hoard more under EPU; peer-bank </w:t>
            </w:r>
            <w:proofErr w:type="spellStart"/>
            <w:r>
              <w:rPr>
                <w:rFonts w:ascii="Times New Roman" w:eastAsia="Times New Roman" w:hAnsi="Times New Roman" w:cs="Times New Roman"/>
              </w:rPr>
              <w:t>spillovers</w:t>
            </w:r>
            <w:proofErr w:type="spellEnd"/>
            <w:r>
              <w:rPr>
                <w:rFonts w:ascii="Times New Roman" w:eastAsia="Times New Roman" w:hAnsi="Times New Roman" w:cs="Times New Roman"/>
              </w:rPr>
              <w:t xml:space="preserve"> intensify hoarding</w:t>
            </w:r>
          </w:p>
        </w:tc>
      </w:tr>
      <w:tr w:rsidR="008059F4" w14:paraId="55719792" w14:textId="77777777" w:rsidTr="00843236">
        <w:tc>
          <w:tcPr>
            <w:tcW w:w="1989" w:type="dxa"/>
            <w:shd w:val="clear" w:color="auto" w:fill="auto"/>
          </w:tcPr>
          <w:p w14:paraId="1500093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Berger et al.</w:t>
            </w:r>
          </w:p>
        </w:tc>
        <w:tc>
          <w:tcPr>
            <w:tcW w:w="765" w:type="dxa"/>
            <w:shd w:val="clear" w:color="auto" w:fill="auto"/>
          </w:tcPr>
          <w:p w14:paraId="3D6EC99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2022</w:t>
            </w:r>
          </w:p>
        </w:tc>
        <w:tc>
          <w:tcPr>
            <w:tcW w:w="1643" w:type="dxa"/>
            <w:shd w:val="clear" w:color="auto" w:fill="auto"/>
          </w:tcPr>
          <w:p w14:paraId="5E397A2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U.S. banks; extended liquidity data</w:t>
            </w:r>
          </w:p>
        </w:tc>
        <w:tc>
          <w:tcPr>
            <w:tcW w:w="1655" w:type="dxa"/>
            <w:shd w:val="clear" w:color="auto" w:fill="auto"/>
          </w:tcPr>
          <w:p w14:paraId="5E1110F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Confirm EPU’s role in liquidity hoarding</w:t>
            </w:r>
          </w:p>
        </w:tc>
        <w:tc>
          <w:tcPr>
            <w:tcW w:w="1618" w:type="dxa"/>
            <w:shd w:val="clear" w:color="auto" w:fill="auto"/>
          </w:tcPr>
          <w:p w14:paraId="4FC6021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Empirical analysis</w:t>
            </w:r>
          </w:p>
        </w:tc>
        <w:tc>
          <w:tcPr>
            <w:tcW w:w="1680" w:type="dxa"/>
            <w:shd w:val="clear" w:color="auto" w:fill="auto"/>
          </w:tcPr>
          <w:p w14:paraId="7A4C1FEC"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EPU drives asset, liability, and off-balance-sheet hoarding</w:t>
            </w:r>
          </w:p>
        </w:tc>
      </w:tr>
      <w:tr w:rsidR="008059F4" w14:paraId="073BFA1B"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01D0992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Miranda-</w:t>
            </w:r>
            <w:proofErr w:type="spellStart"/>
            <w:r>
              <w:rPr>
                <w:rFonts w:ascii="Times New Roman" w:eastAsia="Times New Roman" w:hAnsi="Times New Roman" w:cs="Times New Roman"/>
              </w:rPr>
              <w:t>Agrippino</w:t>
            </w:r>
            <w:proofErr w:type="spellEnd"/>
            <w:r>
              <w:rPr>
                <w:rFonts w:ascii="Times New Roman" w:eastAsia="Times New Roman" w:hAnsi="Times New Roman" w:cs="Times New Roman"/>
              </w:rPr>
              <w:t>, S., &amp; Rey</w:t>
            </w:r>
          </w:p>
        </w:tc>
        <w:tc>
          <w:tcPr>
            <w:tcW w:w="765" w:type="dxa"/>
            <w:shd w:val="clear" w:color="auto" w:fill="auto"/>
          </w:tcPr>
          <w:p w14:paraId="3A9124B8"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2020</w:t>
            </w:r>
          </w:p>
        </w:tc>
        <w:tc>
          <w:tcPr>
            <w:tcW w:w="1643" w:type="dxa"/>
            <w:shd w:val="clear" w:color="auto" w:fill="auto"/>
          </w:tcPr>
          <w:p w14:paraId="6D3A8AB9"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Monthly global financial data (1980–2010)</w:t>
            </w:r>
          </w:p>
        </w:tc>
        <w:tc>
          <w:tcPr>
            <w:tcW w:w="1655" w:type="dxa"/>
            <w:shd w:val="clear" w:color="auto" w:fill="auto"/>
          </w:tcPr>
          <w:p w14:paraId="79E8D0E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Analyse how U.S. monetary policy shocks transmit internationally via the “Global Financial Cycle,” affecting asset prices, credit flows, and leverage worldwide.</w:t>
            </w:r>
          </w:p>
        </w:tc>
        <w:tc>
          <w:tcPr>
            <w:tcW w:w="1618" w:type="dxa"/>
            <w:shd w:val="clear" w:color="auto" w:fill="auto"/>
          </w:tcPr>
          <w:p w14:paraId="73A3AEF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Estimate a Bayesian VAR including U.S. and global variables</w:t>
            </w:r>
          </w:p>
        </w:tc>
        <w:tc>
          <w:tcPr>
            <w:tcW w:w="1680" w:type="dxa"/>
            <w:shd w:val="clear" w:color="auto" w:fill="auto"/>
          </w:tcPr>
          <w:p w14:paraId="697D4E9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U.S. monetary policy is a key driver of the Global Financial Cycle, challenging the idea that flexible exchange rates guarantee monetary independence.</w:t>
            </w:r>
          </w:p>
        </w:tc>
      </w:tr>
      <w:tr w:rsidR="008059F4" w14:paraId="403EF000" w14:textId="77777777" w:rsidTr="00843236">
        <w:tc>
          <w:tcPr>
            <w:tcW w:w="1989" w:type="dxa"/>
            <w:shd w:val="clear" w:color="auto" w:fill="auto"/>
          </w:tcPr>
          <w:p w14:paraId="22F680BA"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Davydov</w:t>
            </w:r>
            <w:proofErr w:type="spellEnd"/>
            <w:r>
              <w:rPr>
                <w:rFonts w:ascii="Times New Roman" w:eastAsia="Times New Roman" w:hAnsi="Times New Roman" w:cs="Times New Roman"/>
              </w:rPr>
              <w:t xml:space="preserve"> et al.</w:t>
            </w:r>
          </w:p>
        </w:tc>
        <w:tc>
          <w:tcPr>
            <w:tcW w:w="765" w:type="dxa"/>
            <w:shd w:val="clear" w:color="auto" w:fill="auto"/>
          </w:tcPr>
          <w:p w14:paraId="65B52BC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2024</w:t>
            </w:r>
          </w:p>
        </w:tc>
        <w:tc>
          <w:tcPr>
            <w:tcW w:w="1643" w:type="dxa"/>
            <w:shd w:val="clear" w:color="auto" w:fill="auto"/>
          </w:tcPr>
          <w:p w14:paraId="725D1A5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Bank governance data</w:t>
            </w:r>
          </w:p>
        </w:tc>
        <w:tc>
          <w:tcPr>
            <w:tcW w:w="1655" w:type="dxa"/>
            <w:shd w:val="clear" w:color="auto" w:fill="auto"/>
          </w:tcPr>
          <w:p w14:paraId="78C8DD3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Assess board diversity’s role in liquidity hoarding</w:t>
            </w:r>
          </w:p>
        </w:tc>
        <w:tc>
          <w:tcPr>
            <w:tcW w:w="1618" w:type="dxa"/>
            <w:shd w:val="clear" w:color="auto" w:fill="auto"/>
          </w:tcPr>
          <w:p w14:paraId="4CDB5DD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Panel regression</w:t>
            </w:r>
          </w:p>
        </w:tc>
        <w:tc>
          <w:tcPr>
            <w:tcW w:w="1680" w:type="dxa"/>
            <w:shd w:val="clear" w:color="auto" w:fill="auto"/>
          </w:tcPr>
          <w:p w14:paraId="16AB2F3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Gender-diverse boards mitigate liquidity hoarding under EPU</w:t>
            </w:r>
          </w:p>
        </w:tc>
      </w:tr>
      <w:tr w:rsidR="008059F4" w14:paraId="59D111C7"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498A117B"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Ndubueze</w:t>
            </w:r>
            <w:proofErr w:type="spellEnd"/>
          </w:p>
        </w:tc>
        <w:tc>
          <w:tcPr>
            <w:tcW w:w="765" w:type="dxa"/>
            <w:shd w:val="clear" w:color="auto" w:fill="auto"/>
          </w:tcPr>
          <w:p w14:paraId="50CD8196"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shd w:val="clear" w:color="auto" w:fill="auto"/>
          </w:tcPr>
          <w:p w14:paraId="76F1328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UK banks; Capital Adequacy Ratios (CAR) data</w:t>
            </w:r>
          </w:p>
        </w:tc>
        <w:tc>
          <w:tcPr>
            <w:tcW w:w="1655" w:type="dxa"/>
            <w:shd w:val="clear" w:color="auto" w:fill="auto"/>
          </w:tcPr>
          <w:p w14:paraId="1E2C597C"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Examine CAR’s role in risk-taking</w:t>
            </w:r>
          </w:p>
        </w:tc>
        <w:tc>
          <w:tcPr>
            <w:tcW w:w="1618" w:type="dxa"/>
            <w:shd w:val="clear" w:color="auto" w:fill="auto"/>
          </w:tcPr>
          <w:p w14:paraId="2671A80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Panel regression</w:t>
            </w:r>
          </w:p>
        </w:tc>
        <w:tc>
          <w:tcPr>
            <w:tcW w:w="1680" w:type="dxa"/>
            <w:shd w:val="clear" w:color="auto" w:fill="auto"/>
          </w:tcPr>
          <w:p w14:paraId="71475D3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Higher CAR reduces risk-taking; Basel III enhances resilience</w:t>
            </w:r>
          </w:p>
        </w:tc>
      </w:tr>
      <w:tr w:rsidR="008059F4" w14:paraId="41639DEE" w14:textId="77777777" w:rsidTr="00843236">
        <w:tc>
          <w:tcPr>
            <w:tcW w:w="1989" w:type="dxa"/>
            <w:shd w:val="clear" w:color="auto" w:fill="auto"/>
          </w:tcPr>
          <w:p w14:paraId="44A3DBA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Nguyen et al.</w:t>
            </w:r>
          </w:p>
        </w:tc>
        <w:tc>
          <w:tcPr>
            <w:tcW w:w="765" w:type="dxa"/>
            <w:shd w:val="clear" w:color="auto" w:fill="auto"/>
          </w:tcPr>
          <w:p w14:paraId="5D2F7AA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2024</w:t>
            </w:r>
          </w:p>
        </w:tc>
        <w:tc>
          <w:tcPr>
            <w:tcW w:w="1643" w:type="dxa"/>
            <w:shd w:val="clear" w:color="auto" w:fill="auto"/>
          </w:tcPr>
          <w:p w14:paraId="018032D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Global banks; EPU &amp; CAR data</w:t>
            </w:r>
          </w:p>
        </w:tc>
        <w:tc>
          <w:tcPr>
            <w:tcW w:w="1655" w:type="dxa"/>
            <w:shd w:val="clear" w:color="auto" w:fill="auto"/>
          </w:tcPr>
          <w:p w14:paraId="2E2BB029"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MPU’s effect on risk-taking</w:t>
            </w:r>
          </w:p>
        </w:tc>
        <w:tc>
          <w:tcPr>
            <w:tcW w:w="1618" w:type="dxa"/>
            <w:shd w:val="clear" w:color="auto" w:fill="auto"/>
          </w:tcPr>
          <w:p w14:paraId="5D11DC0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Quantile regression</w:t>
            </w:r>
          </w:p>
        </w:tc>
        <w:tc>
          <w:tcPr>
            <w:tcW w:w="1680" w:type="dxa"/>
            <w:shd w:val="clear" w:color="auto" w:fill="auto"/>
          </w:tcPr>
          <w:p w14:paraId="1131DFC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MPU induces aggressive risk-taking under volatile conditions</w:t>
            </w:r>
          </w:p>
        </w:tc>
      </w:tr>
      <w:tr w:rsidR="008059F4" w14:paraId="2239CB21"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25AE80D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Olawale</w:t>
            </w:r>
          </w:p>
        </w:tc>
        <w:tc>
          <w:tcPr>
            <w:tcW w:w="765" w:type="dxa"/>
            <w:shd w:val="clear" w:color="auto" w:fill="auto"/>
          </w:tcPr>
          <w:p w14:paraId="32926A1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2024</w:t>
            </w:r>
          </w:p>
        </w:tc>
        <w:tc>
          <w:tcPr>
            <w:tcW w:w="1643" w:type="dxa"/>
            <w:shd w:val="clear" w:color="auto" w:fill="auto"/>
          </w:tcPr>
          <w:p w14:paraId="35FDAD7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Nigerian banks; CAR data</w:t>
            </w:r>
          </w:p>
        </w:tc>
        <w:tc>
          <w:tcPr>
            <w:tcW w:w="1655" w:type="dxa"/>
            <w:shd w:val="clear" w:color="auto" w:fill="auto"/>
          </w:tcPr>
          <w:p w14:paraId="5FF5247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Assess capital adequacy and financial stability</w:t>
            </w:r>
          </w:p>
        </w:tc>
        <w:tc>
          <w:tcPr>
            <w:tcW w:w="1618" w:type="dxa"/>
            <w:shd w:val="clear" w:color="auto" w:fill="auto"/>
          </w:tcPr>
          <w:p w14:paraId="5A83FE4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Empirical analysis</w:t>
            </w:r>
          </w:p>
        </w:tc>
        <w:tc>
          <w:tcPr>
            <w:tcW w:w="1680" w:type="dxa"/>
            <w:shd w:val="clear" w:color="auto" w:fill="auto"/>
          </w:tcPr>
          <w:p w14:paraId="14BFEED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Strong CAR buffers reduce liquidity crises under MPU</w:t>
            </w:r>
          </w:p>
        </w:tc>
      </w:tr>
      <w:tr w:rsidR="008059F4" w14:paraId="1162CC0A" w14:textId="77777777" w:rsidTr="00843236">
        <w:tc>
          <w:tcPr>
            <w:tcW w:w="1989" w:type="dxa"/>
            <w:shd w:val="clear" w:color="auto" w:fill="auto"/>
          </w:tcPr>
          <w:p w14:paraId="1E32667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Cole and White</w:t>
            </w:r>
          </w:p>
        </w:tc>
        <w:tc>
          <w:tcPr>
            <w:tcW w:w="765" w:type="dxa"/>
            <w:shd w:val="clear" w:color="auto" w:fill="auto"/>
          </w:tcPr>
          <w:p w14:paraId="0E92976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2010</w:t>
            </w:r>
          </w:p>
        </w:tc>
        <w:tc>
          <w:tcPr>
            <w:tcW w:w="1643" w:type="dxa"/>
            <w:shd w:val="clear" w:color="auto" w:fill="auto"/>
          </w:tcPr>
          <w:p w14:paraId="28C7745B"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U.S. banks; ML model</w:t>
            </w:r>
          </w:p>
        </w:tc>
        <w:tc>
          <w:tcPr>
            <w:tcW w:w="1655" w:type="dxa"/>
            <w:shd w:val="clear" w:color="auto" w:fill="auto"/>
          </w:tcPr>
          <w:p w14:paraId="06C79F6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Predict financial distress under MPU</w:t>
            </w:r>
          </w:p>
        </w:tc>
        <w:tc>
          <w:tcPr>
            <w:tcW w:w="1618" w:type="dxa"/>
            <w:shd w:val="clear" w:color="auto" w:fill="auto"/>
          </w:tcPr>
          <w:p w14:paraId="333AEBD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Logistic regression, Decision Trees</w:t>
            </w:r>
          </w:p>
        </w:tc>
        <w:tc>
          <w:tcPr>
            <w:tcW w:w="1680" w:type="dxa"/>
            <w:shd w:val="clear" w:color="auto" w:fill="auto"/>
          </w:tcPr>
          <w:p w14:paraId="767569A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ML models accurately forecast distress using capital, liquidity, and loan data</w:t>
            </w:r>
          </w:p>
        </w:tc>
      </w:tr>
      <w:tr w:rsidR="008059F4" w14:paraId="04CE86ED"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163A6118"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Akubilla</w:t>
            </w:r>
            <w:proofErr w:type="spellEnd"/>
            <w:r>
              <w:rPr>
                <w:rFonts w:ascii="Times New Roman" w:eastAsia="Times New Roman" w:hAnsi="Times New Roman" w:cs="Times New Roman"/>
              </w:rPr>
              <w:t xml:space="preserve"> et al.</w:t>
            </w:r>
          </w:p>
        </w:tc>
        <w:tc>
          <w:tcPr>
            <w:tcW w:w="765" w:type="dxa"/>
            <w:shd w:val="clear" w:color="auto" w:fill="auto"/>
          </w:tcPr>
          <w:p w14:paraId="58AB97C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shd w:val="clear" w:color="auto" w:fill="auto"/>
          </w:tcPr>
          <w:p w14:paraId="49EB9B9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supply chain risk</w:t>
            </w:r>
          </w:p>
        </w:tc>
        <w:tc>
          <w:tcPr>
            <w:tcW w:w="1655" w:type="dxa"/>
            <w:shd w:val="clear" w:color="auto" w:fill="auto"/>
          </w:tcPr>
          <w:p w14:paraId="6EBDD7C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Explore XAI in risk mitigation</w:t>
            </w:r>
          </w:p>
        </w:tc>
        <w:tc>
          <w:tcPr>
            <w:tcW w:w="1618" w:type="dxa"/>
            <w:shd w:val="clear" w:color="auto" w:fill="auto"/>
          </w:tcPr>
          <w:p w14:paraId="040D111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analysis</w:t>
            </w:r>
          </w:p>
        </w:tc>
        <w:tc>
          <w:tcPr>
            <w:tcW w:w="1680" w:type="dxa"/>
            <w:shd w:val="clear" w:color="auto" w:fill="auto"/>
          </w:tcPr>
          <w:p w14:paraId="04567B8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XAI enhances trust and transparency in AI-driven risk models</w:t>
            </w:r>
          </w:p>
        </w:tc>
      </w:tr>
      <w:tr w:rsidR="008059F4" w14:paraId="0E2B7209" w14:textId="77777777" w:rsidTr="00843236">
        <w:tc>
          <w:tcPr>
            <w:tcW w:w="1989" w:type="dxa"/>
            <w:shd w:val="clear" w:color="auto" w:fill="auto"/>
          </w:tcPr>
          <w:p w14:paraId="021AD624"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Adaji</w:t>
            </w:r>
            <w:proofErr w:type="spellEnd"/>
            <w:r>
              <w:rPr>
                <w:rFonts w:ascii="Times New Roman" w:eastAsia="Times New Roman" w:hAnsi="Times New Roman" w:cs="Times New Roman"/>
              </w:rPr>
              <w:t xml:space="preserve"> et al.</w:t>
            </w:r>
          </w:p>
        </w:tc>
        <w:tc>
          <w:tcPr>
            <w:tcW w:w="765" w:type="dxa"/>
            <w:shd w:val="clear" w:color="auto" w:fill="auto"/>
          </w:tcPr>
          <w:p w14:paraId="5A95E4B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shd w:val="clear" w:color="auto" w:fill="auto"/>
          </w:tcPr>
          <w:p w14:paraId="43741ED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AI governance</w:t>
            </w:r>
          </w:p>
        </w:tc>
        <w:tc>
          <w:tcPr>
            <w:tcW w:w="1655" w:type="dxa"/>
            <w:shd w:val="clear" w:color="auto" w:fill="auto"/>
          </w:tcPr>
          <w:p w14:paraId="58CF1CB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Examine ethical AI deployment</w:t>
            </w:r>
          </w:p>
        </w:tc>
        <w:tc>
          <w:tcPr>
            <w:tcW w:w="1618" w:type="dxa"/>
            <w:shd w:val="clear" w:color="auto" w:fill="auto"/>
          </w:tcPr>
          <w:p w14:paraId="1C8D0AFF"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analysis</w:t>
            </w:r>
          </w:p>
        </w:tc>
        <w:tc>
          <w:tcPr>
            <w:tcW w:w="1680" w:type="dxa"/>
            <w:shd w:val="clear" w:color="auto" w:fill="auto"/>
          </w:tcPr>
          <w:p w14:paraId="69EB97C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Business analysts play key role in ethical AI for financial systems</w:t>
            </w:r>
          </w:p>
        </w:tc>
      </w:tr>
      <w:tr w:rsidR="008059F4" w14:paraId="5B17631F"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33C27F96"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Umoh</w:t>
            </w:r>
            <w:proofErr w:type="spellEnd"/>
            <w:r>
              <w:rPr>
                <w:rFonts w:ascii="Times New Roman" w:eastAsia="Times New Roman" w:hAnsi="Times New Roman" w:cs="Times New Roman"/>
              </w:rPr>
              <w:t xml:space="preserve"> et al.</w:t>
            </w:r>
          </w:p>
        </w:tc>
        <w:tc>
          <w:tcPr>
            <w:tcW w:w="765" w:type="dxa"/>
            <w:shd w:val="clear" w:color="auto" w:fill="auto"/>
          </w:tcPr>
          <w:p w14:paraId="47A57FCC"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shd w:val="clear" w:color="auto" w:fill="auto"/>
          </w:tcPr>
          <w:p w14:paraId="33249AF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AI &amp; decision-making</w:t>
            </w:r>
          </w:p>
        </w:tc>
        <w:tc>
          <w:tcPr>
            <w:tcW w:w="1655" w:type="dxa"/>
            <w:shd w:val="clear" w:color="auto" w:fill="auto"/>
          </w:tcPr>
          <w:p w14:paraId="1E58BD42" w14:textId="77777777" w:rsidR="008059F4" w:rsidRDefault="00654302">
            <w:pPr>
              <w:spacing w:after="160" w:line="259" w:lineRule="auto"/>
              <w:rPr>
                <w:rFonts w:ascii="Times New Roman" w:eastAsia="Times New Roman" w:hAnsi="Times New Roman" w:cs="Times New Roman"/>
              </w:rPr>
            </w:pP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AI-human interaction in finance</w:t>
            </w:r>
          </w:p>
        </w:tc>
        <w:tc>
          <w:tcPr>
            <w:tcW w:w="1618" w:type="dxa"/>
            <w:shd w:val="clear" w:color="auto" w:fill="auto"/>
          </w:tcPr>
          <w:p w14:paraId="4D615F2C"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Conceptual analysis</w:t>
            </w:r>
          </w:p>
        </w:tc>
        <w:tc>
          <w:tcPr>
            <w:tcW w:w="1680" w:type="dxa"/>
            <w:shd w:val="clear" w:color="auto" w:fill="auto"/>
          </w:tcPr>
          <w:p w14:paraId="2B8CFEC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AI enhances resilience but needs human oversight</w:t>
            </w:r>
          </w:p>
        </w:tc>
      </w:tr>
      <w:tr w:rsidR="008059F4" w14:paraId="12E1283D" w14:textId="77777777" w:rsidTr="00843236">
        <w:tc>
          <w:tcPr>
            <w:tcW w:w="1989" w:type="dxa"/>
            <w:shd w:val="clear" w:color="auto" w:fill="auto"/>
          </w:tcPr>
          <w:p w14:paraId="2B429100"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Prajapati</w:t>
            </w:r>
          </w:p>
        </w:tc>
        <w:tc>
          <w:tcPr>
            <w:tcW w:w="765" w:type="dxa"/>
            <w:shd w:val="clear" w:color="auto" w:fill="auto"/>
          </w:tcPr>
          <w:p w14:paraId="33C186B1"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2025</w:t>
            </w:r>
          </w:p>
        </w:tc>
        <w:tc>
          <w:tcPr>
            <w:tcW w:w="1643" w:type="dxa"/>
            <w:shd w:val="clear" w:color="auto" w:fill="auto"/>
          </w:tcPr>
          <w:p w14:paraId="2258F80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Industry case study</w:t>
            </w:r>
          </w:p>
        </w:tc>
        <w:tc>
          <w:tcPr>
            <w:tcW w:w="1655" w:type="dxa"/>
            <w:shd w:val="clear" w:color="auto" w:fill="auto"/>
          </w:tcPr>
          <w:p w14:paraId="4A3052E7"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Explore AI-generated synthetic data in stress testing</w:t>
            </w:r>
          </w:p>
        </w:tc>
        <w:tc>
          <w:tcPr>
            <w:tcW w:w="1618" w:type="dxa"/>
            <w:shd w:val="clear" w:color="auto" w:fill="auto"/>
          </w:tcPr>
          <w:p w14:paraId="3AE93565"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Case analysis</w:t>
            </w:r>
          </w:p>
        </w:tc>
        <w:tc>
          <w:tcPr>
            <w:tcW w:w="1680" w:type="dxa"/>
            <w:shd w:val="clear" w:color="auto" w:fill="auto"/>
          </w:tcPr>
          <w:p w14:paraId="1FB2367D"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AI enables dynamic, real-time stress testing for financial institutions</w:t>
            </w:r>
          </w:p>
        </w:tc>
      </w:tr>
      <w:tr w:rsidR="008059F4" w14:paraId="2B39D5F6"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62D162EE"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Kwan et al.</w:t>
            </w:r>
          </w:p>
        </w:tc>
        <w:tc>
          <w:tcPr>
            <w:tcW w:w="765" w:type="dxa"/>
            <w:shd w:val="clear" w:color="auto" w:fill="auto"/>
          </w:tcPr>
          <w:p w14:paraId="15CD3C33"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2023</w:t>
            </w:r>
          </w:p>
        </w:tc>
        <w:tc>
          <w:tcPr>
            <w:tcW w:w="1643" w:type="dxa"/>
            <w:shd w:val="clear" w:color="auto" w:fill="auto"/>
          </w:tcPr>
          <w:p w14:paraId="7D8B2E0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COVID-19 case study</w:t>
            </w:r>
          </w:p>
        </w:tc>
        <w:tc>
          <w:tcPr>
            <w:tcW w:w="1655" w:type="dxa"/>
            <w:shd w:val="clear" w:color="auto" w:fill="auto"/>
          </w:tcPr>
          <w:p w14:paraId="5F723AB4"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Assess digital stress testing </w:t>
            </w:r>
            <w:r>
              <w:rPr>
                <w:rFonts w:ascii="Times New Roman" w:eastAsia="Times New Roman" w:hAnsi="Times New Roman" w:cs="Times New Roman"/>
              </w:rPr>
              <w:lastRenderedPageBreak/>
              <w:t>during pandemic</w:t>
            </w:r>
          </w:p>
        </w:tc>
        <w:tc>
          <w:tcPr>
            <w:tcW w:w="1618" w:type="dxa"/>
            <w:shd w:val="clear" w:color="auto" w:fill="auto"/>
          </w:tcPr>
          <w:p w14:paraId="3C42FC02"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Empirical case study</w:t>
            </w:r>
          </w:p>
        </w:tc>
        <w:tc>
          <w:tcPr>
            <w:tcW w:w="1680" w:type="dxa"/>
            <w:shd w:val="clear" w:color="auto" w:fill="auto"/>
          </w:tcPr>
          <w:p w14:paraId="70CAB2CA" w14:textId="77777777" w:rsidR="008059F4" w:rsidRDefault="00654302">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Real-time AI simulations </w:t>
            </w:r>
            <w:r>
              <w:rPr>
                <w:rFonts w:ascii="Times New Roman" w:eastAsia="Times New Roman" w:hAnsi="Times New Roman" w:cs="Times New Roman"/>
              </w:rPr>
              <w:lastRenderedPageBreak/>
              <w:t>improved capital and liquidity management</w:t>
            </w:r>
          </w:p>
        </w:tc>
      </w:tr>
      <w:tr w:rsidR="008059F4" w14:paraId="2850AEF2" w14:textId="77777777" w:rsidTr="00843236">
        <w:tc>
          <w:tcPr>
            <w:tcW w:w="1989" w:type="dxa"/>
            <w:shd w:val="clear" w:color="auto" w:fill="auto"/>
          </w:tcPr>
          <w:p w14:paraId="64D20B77"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lastRenderedPageBreak/>
              <w:t>Aladwani</w:t>
            </w:r>
            <w:proofErr w:type="spellEnd"/>
          </w:p>
        </w:tc>
        <w:tc>
          <w:tcPr>
            <w:tcW w:w="765" w:type="dxa"/>
            <w:shd w:val="clear" w:color="auto" w:fill="auto"/>
          </w:tcPr>
          <w:p w14:paraId="690ED0E9"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2025</w:t>
            </w:r>
          </w:p>
        </w:tc>
        <w:tc>
          <w:tcPr>
            <w:tcW w:w="1643" w:type="dxa"/>
            <w:shd w:val="clear" w:color="auto" w:fill="auto"/>
          </w:tcPr>
          <w:p w14:paraId="78715E12"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Vietnamese stock market data</w:t>
            </w:r>
          </w:p>
        </w:tc>
        <w:tc>
          <w:tcPr>
            <w:tcW w:w="1655" w:type="dxa"/>
            <w:shd w:val="clear" w:color="auto" w:fill="auto"/>
          </w:tcPr>
          <w:p w14:paraId="3032DA2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Examine asymmetric reactions of energy markets on stock performance</w:t>
            </w:r>
          </w:p>
        </w:tc>
        <w:tc>
          <w:tcPr>
            <w:tcW w:w="1618" w:type="dxa"/>
            <w:shd w:val="clear" w:color="auto" w:fill="auto"/>
          </w:tcPr>
          <w:p w14:paraId="29E86064"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Quantile regression</w:t>
            </w:r>
          </w:p>
        </w:tc>
        <w:tc>
          <w:tcPr>
            <w:tcW w:w="1680" w:type="dxa"/>
            <w:shd w:val="clear" w:color="auto" w:fill="auto"/>
          </w:tcPr>
          <w:p w14:paraId="52C69BB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Crude oil and gas markets show asymmetric effects on Vietnamese stocks under uncertainty</w:t>
            </w:r>
          </w:p>
        </w:tc>
      </w:tr>
      <w:tr w:rsidR="008059F4" w14:paraId="1891BED6"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3A54503B"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Aor</w:t>
            </w:r>
            <w:proofErr w:type="spellEnd"/>
            <w:r>
              <w:rPr>
                <w:rFonts w:ascii="Times New Roman" w:eastAsia="Times New Roman" w:hAnsi="Times New Roman" w:cs="Times New Roman"/>
              </w:rPr>
              <w:t xml:space="preserve"> et al.</w:t>
            </w:r>
          </w:p>
        </w:tc>
        <w:tc>
          <w:tcPr>
            <w:tcW w:w="765" w:type="dxa"/>
            <w:shd w:val="clear" w:color="auto" w:fill="auto"/>
          </w:tcPr>
          <w:p w14:paraId="4F96CAD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2021</w:t>
            </w:r>
          </w:p>
        </w:tc>
        <w:tc>
          <w:tcPr>
            <w:tcW w:w="1643" w:type="dxa"/>
            <w:shd w:val="clear" w:color="auto" w:fill="auto"/>
          </w:tcPr>
          <w:p w14:paraId="66F15B8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Global equity markets; SVAR</w:t>
            </w:r>
          </w:p>
        </w:tc>
        <w:tc>
          <w:tcPr>
            <w:tcW w:w="1655" w:type="dxa"/>
            <w:shd w:val="clear" w:color="auto" w:fill="auto"/>
          </w:tcPr>
          <w:p w14:paraId="5451ECD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Assess U.S. MPU shock effects on international equity</w:t>
            </w:r>
          </w:p>
        </w:tc>
        <w:tc>
          <w:tcPr>
            <w:tcW w:w="1618" w:type="dxa"/>
            <w:shd w:val="clear" w:color="auto" w:fill="auto"/>
          </w:tcPr>
          <w:p w14:paraId="65F7CBE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Structural VAR</w:t>
            </w:r>
          </w:p>
        </w:tc>
        <w:tc>
          <w:tcPr>
            <w:tcW w:w="1680" w:type="dxa"/>
            <w:shd w:val="clear" w:color="auto" w:fill="auto"/>
          </w:tcPr>
          <w:p w14:paraId="6E56F21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U.S. MPU significantly affects global equity volatility and systemic risk</w:t>
            </w:r>
          </w:p>
        </w:tc>
      </w:tr>
      <w:tr w:rsidR="008059F4" w14:paraId="7946834F" w14:textId="77777777" w:rsidTr="00843236">
        <w:tc>
          <w:tcPr>
            <w:tcW w:w="1989" w:type="dxa"/>
            <w:shd w:val="clear" w:color="auto" w:fill="auto"/>
          </w:tcPr>
          <w:p w14:paraId="2A52DC0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Arshad et al.</w:t>
            </w:r>
          </w:p>
        </w:tc>
        <w:tc>
          <w:tcPr>
            <w:tcW w:w="765" w:type="dxa"/>
            <w:shd w:val="clear" w:color="auto" w:fill="auto"/>
          </w:tcPr>
          <w:p w14:paraId="47CED80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shd w:val="clear" w:color="auto" w:fill="auto"/>
          </w:tcPr>
          <w:p w14:paraId="65431B59"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Asian equity markets; BBD index</w:t>
            </w:r>
          </w:p>
        </w:tc>
        <w:tc>
          <w:tcPr>
            <w:tcW w:w="1655" w:type="dxa"/>
            <w:shd w:val="clear" w:color="auto" w:fill="auto"/>
          </w:tcPr>
          <w:p w14:paraId="5A7D211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Explore heterogeneous effects of U.S. MPU across market types</w:t>
            </w:r>
          </w:p>
        </w:tc>
        <w:tc>
          <w:tcPr>
            <w:tcW w:w="1618" w:type="dxa"/>
            <w:shd w:val="clear" w:color="auto" w:fill="auto"/>
          </w:tcPr>
          <w:p w14:paraId="0D6C321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Quantile-on-Quantile regression</w:t>
            </w:r>
          </w:p>
        </w:tc>
        <w:tc>
          <w:tcPr>
            <w:tcW w:w="1680" w:type="dxa"/>
            <w:shd w:val="clear" w:color="auto" w:fill="auto"/>
          </w:tcPr>
          <w:p w14:paraId="0AC9C2E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effects vary across developed, emerging, and frontier markets; regime-dependent impact</w:t>
            </w:r>
          </w:p>
        </w:tc>
      </w:tr>
      <w:tr w:rsidR="008059F4" w14:paraId="6261A18E"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21286FC7"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Aysan</w:t>
            </w:r>
            <w:proofErr w:type="spellEnd"/>
            <w:r>
              <w:rPr>
                <w:rFonts w:ascii="Times New Roman" w:eastAsia="Times New Roman" w:hAnsi="Times New Roman" w:cs="Times New Roman"/>
              </w:rPr>
              <w:t xml:space="preserve"> et al.</w:t>
            </w:r>
          </w:p>
        </w:tc>
        <w:tc>
          <w:tcPr>
            <w:tcW w:w="765" w:type="dxa"/>
            <w:shd w:val="clear" w:color="auto" w:fill="auto"/>
          </w:tcPr>
          <w:p w14:paraId="2754E55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shd w:val="clear" w:color="auto" w:fill="auto"/>
          </w:tcPr>
          <w:p w14:paraId="7EEFB982"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Metaverse-linked financial assets</w:t>
            </w:r>
          </w:p>
        </w:tc>
        <w:tc>
          <w:tcPr>
            <w:tcW w:w="1655" w:type="dxa"/>
            <w:shd w:val="clear" w:color="auto" w:fill="auto"/>
          </w:tcPr>
          <w:p w14:paraId="4DACAE2E"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connectedness under uncertainty</w:t>
            </w:r>
          </w:p>
        </w:tc>
        <w:tc>
          <w:tcPr>
            <w:tcW w:w="1618" w:type="dxa"/>
            <w:shd w:val="clear" w:color="auto" w:fill="auto"/>
          </w:tcPr>
          <w:p w14:paraId="74A3019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Quantile-Time-Frequency analysis</w:t>
            </w:r>
          </w:p>
        </w:tc>
        <w:tc>
          <w:tcPr>
            <w:tcW w:w="1680" w:type="dxa"/>
            <w:shd w:val="clear" w:color="auto" w:fill="auto"/>
          </w:tcPr>
          <w:p w14:paraId="2C80C06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increases volatility and connectedness in emerging digital asset markets</w:t>
            </w:r>
          </w:p>
        </w:tc>
      </w:tr>
      <w:tr w:rsidR="008059F4" w14:paraId="1317703F" w14:textId="77777777" w:rsidTr="00843236">
        <w:tc>
          <w:tcPr>
            <w:tcW w:w="1989" w:type="dxa"/>
            <w:shd w:val="clear" w:color="auto" w:fill="auto"/>
          </w:tcPr>
          <w:p w14:paraId="567FADA2"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Galloppo</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Paimanova</w:t>
            </w:r>
            <w:proofErr w:type="spellEnd"/>
          </w:p>
        </w:tc>
        <w:tc>
          <w:tcPr>
            <w:tcW w:w="765" w:type="dxa"/>
            <w:shd w:val="clear" w:color="auto" w:fill="auto"/>
          </w:tcPr>
          <w:p w14:paraId="7B35130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2017</w:t>
            </w:r>
          </w:p>
        </w:tc>
        <w:tc>
          <w:tcPr>
            <w:tcW w:w="1643" w:type="dxa"/>
            <w:shd w:val="clear" w:color="auto" w:fill="auto"/>
          </w:tcPr>
          <w:p w14:paraId="3E27614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BRICS stock markets; TVP-VAR</w:t>
            </w:r>
          </w:p>
        </w:tc>
        <w:tc>
          <w:tcPr>
            <w:tcW w:w="1655" w:type="dxa"/>
            <w:shd w:val="clear" w:color="auto" w:fill="auto"/>
          </w:tcPr>
          <w:p w14:paraId="07CB14E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Investigate U.S. MPU impact on BRICS financial systems</w:t>
            </w:r>
          </w:p>
        </w:tc>
        <w:tc>
          <w:tcPr>
            <w:tcW w:w="1618" w:type="dxa"/>
            <w:shd w:val="clear" w:color="auto" w:fill="auto"/>
          </w:tcPr>
          <w:p w14:paraId="14ED4898"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Time-Varying Parameter VAR</w:t>
            </w:r>
          </w:p>
        </w:tc>
        <w:tc>
          <w:tcPr>
            <w:tcW w:w="1680" w:type="dxa"/>
            <w:shd w:val="clear" w:color="auto" w:fill="auto"/>
          </w:tcPr>
          <w:p w14:paraId="6E06B9E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MPU drives dynamic volatility and </w:t>
            </w:r>
            <w:proofErr w:type="spellStart"/>
            <w:r>
              <w:rPr>
                <w:rFonts w:ascii="Times New Roman" w:eastAsia="Times New Roman" w:hAnsi="Times New Roman" w:cs="Times New Roman"/>
              </w:rPr>
              <w:t>spillovers</w:t>
            </w:r>
            <w:proofErr w:type="spellEnd"/>
            <w:r>
              <w:rPr>
                <w:rFonts w:ascii="Times New Roman" w:eastAsia="Times New Roman" w:hAnsi="Times New Roman" w:cs="Times New Roman"/>
              </w:rPr>
              <w:t xml:space="preserve"> in BRICS markets</w:t>
            </w:r>
          </w:p>
        </w:tc>
      </w:tr>
      <w:tr w:rsidR="008059F4" w14:paraId="57DD8BB2"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0539EEBE"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Basel Committee</w:t>
            </w:r>
          </w:p>
        </w:tc>
        <w:tc>
          <w:tcPr>
            <w:tcW w:w="765" w:type="dxa"/>
            <w:shd w:val="clear" w:color="auto" w:fill="auto"/>
          </w:tcPr>
          <w:p w14:paraId="1A8897F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2013</w:t>
            </w:r>
          </w:p>
        </w:tc>
        <w:tc>
          <w:tcPr>
            <w:tcW w:w="1643" w:type="dxa"/>
            <w:shd w:val="clear" w:color="auto" w:fill="auto"/>
          </w:tcPr>
          <w:p w14:paraId="05398C69"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Basel III framework</w:t>
            </w:r>
          </w:p>
        </w:tc>
        <w:tc>
          <w:tcPr>
            <w:tcW w:w="1655" w:type="dxa"/>
            <w:shd w:val="clear" w:color="auto" w:fill="auto"/>
          </w:tcPr>
          <w:p w14:paraId="0BCC50C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Define liquidity coverage and monitoring tools</w:t>
            </w:r>
          </w:p>
        </w:tc>
        <w:tc>
          <w:tcPr>
            <w:tcW w:w="1618" w:type="dxa"/>
            <w:shd w:val="clear" w:color="auto" w:fill="auto"/>
          </w:tcPr>
          <w:p w14:paraId="38443B8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Regulatory framework</w:t>
            </w:r>
          </w:p>
        </w:tc>
        <w:tc>
          <w:tcPr>
            <w:tcW w:w="1680" w:type="dxa"/>
            <w:shd w:val="clear" w:color="auto" w:fill="auto"/>
          </w:tcPr>
          <w:p w14:paraId="2CABDA2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Basel III enhances liquidity resilience but may be offset by high MPU conditions</w:t>
            </w:r>
          </w:p>
        </w:tc>
      </w:tr>
      <w:tr w:rsidR="008059F4" w14:paraId="2DBBA35E" w14:textId="77777777" w:rsidTr="00843236">
        <w:tc>
          <w:tcPr>
            <w:tcW w:w="1989" w:type="dxa"/>
            <w:shd w:val="clear" w:color="auto" w:fill="auto"/>
          </w:tcPr>
          <w:p w14:paraId="694510F7"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lastRenderedPageBreak/>
              <w:t>Belhoula</w:t>
            </w:r>
            <w:proofErr w:type="spellEnd"/>
            <w:r>
              <w:rPr>
                <w:rFonts w:ascii="Times New Roman" w:eastAsia="Times New Roman" w:hAnsi="Times New Roman" w:cs="Times New Roman"/>
              </w:rPr>
              <w:t xml:space="preserve"> et al.</w:t>
            </w:r>
          </w:p>
        </w:tc>
        <w:tc>
          <w:tcPr>
            <w:tcW w:w="765" w:type="dxa"/>
            <w:shd w:val="clear" w:color="auto" w:fill="auto"/>
          </w:tcPr>
          <w:p w14:paraId="19A8C3C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2024a</w:t>
            </w:r>
          </w:p>
        </w:tc>
        <w:tc>
          <w:tcPr>
            <w:tcW w:w="1643" w:type="dxa"/>
            <w:shd w:val="clear" w:color="auto" w:fill="auto"/>
          </w:tcPr>
          <w:p w14:paraId="7A6A656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European gas markets</w:t>
            </w:r>
          </w:p>
        </w:tc>
        <w:tc>
          <w:tcPr>
            <w:tcW w:w="1655" w:type="dxa"/>
            <w:shd w:val="clear" w:color="auto" w:fill="auto"/>
          </w:tcPr>
          <w:p w14:paraId="5EC20E24"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Assess speculation and efficiency under crisis</w:t>
            </w:r>
          </w:p>
        </w:tc>
        <w:tc>
          <w:tcPr>
            <w:tcW w:w="1618" w:type="dxa"/>
            <w:shd w:val="clear" w:color="auto" w:fill="auto"/>
          </w:tcPr>
          <w:p w14:paraId="55A56B8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Volatility </w:t>
            </w:r>
            <w:proofErr w:type="spellStart"/>
            <w:r>
              <w:rPr>
                <w:rFonts w:ascii="Times New Roman" w:eastAsia="Times New Roman" w:hAnsi="Times New Roman" w:cs="Times New Roman"/>
              </w:rPr>
              <w:t>modeling</w:t>
            </w:r>
            <w:proofErr w:type="spellEnd"/>
          </w:p>
        </w:tc>
        <w:tc>
          <w:tcPr>
            <w:tcW w:w="1680" w:type="dxa"/>
            <w:shd w:val="clear" w:color="auto" w:fill="auto"/>
          </w:tcPr>
          <w:p w14:paraId="461BA5F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COVID-19 and geopolitical shocks amplify speculation and reduce market efficiency</w:t>
            </w:r>
          </w:p>
        </w:tc>
      </w:tr>
      <w:tr w:rsidR="008059F4" w14:paraId="20EE4ABD"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1277196E"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Belhoula</w:t>
            </w:r>
            <w:proofErr w:type="spellEnd"/>
          </w:p>
        </w:tc>
        <w:tc>
          <w:tcPr>
            <w:tcW w:w="765" w:type="dxa"/>
            <w:shd w:val="clear" w:color="auto" w:fill="auto"/>
          </w:tcPr>
          <w:p w14:paraId="7E1740F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shd w:val="clear" w:color="auto" w:fill="auto"/>
          </w:tcPr>
          <w:p w14:paraId="5D25144F"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Macroeconomic data: GDP, consumption, industrial production, unemployment</w:t>
            </w:r>
          </w:p>
        </w:tc>
        <w:tc>
          <w:tcPr>
            <w:tcW w:w="1655" w:type="dxa"/>
            <w:shd w:val="clear" w:color="auto" w:fill="auto"/>
          </w:tcPr>
          <w:p w14:paraId="7288F1D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Construct the first Economic Policy Uncertainty (EPU) index</w:t>
            </w:r>
          </w:p>
        </w:tc>
        <w:tc>
          <w:tcPr>
            <w:tcW w:w="1618" w:type="dxa"/>
            <w:shd w:val="clear" w:color="auto" w:fill="auto"/>
          </w:tcPr>
          <w:p w14:paraId="0AB2A87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VAR; EPU and macroeconomic indicators</w:t>
            </w:r>
          </w:p>
        </w:tc>
        <w:tc>
          <w:tcPr>
            <w:tcW w:w="1680" w:type="dxa"/>
            <w:shd w:val="clear" w:color="auto" w:fill="auto"/>
          </w:tcPr>
          <w:p w14:paraId="02F58B5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Rising EPU significantly predicts declines in GDP, consumption, and industrial production. </w:t>
            </w:r>
          </w:p>
        </w:tc>
      </w:tr>
      <w:tr w:rsidR="008059F4" w14:paraId="35A2F076" w14:textId="77777777" w:rsidTr="00843236">
        <w:tc>
          <w:tcPr>
            <w:tcW w:w="1989" w:type="dxa"/>
            <w:shd w:val="clear" w:color="auto" w:fill="auto"/>
          </w:tcPr>
          <w:p w14:paraId="70B603D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Dong et al.</w:t>
            </w:r>
          </w:p>
        </w:tc>
        <w:tc>
          <w:tcPr>
            <w:tcW w:w="765" w:type="dxa"/>
            <w:shd w:val="clear" w:color="auto" w:fill="auto"/>
          </w:tcPr>
          <w:p w14:paraId="11BEFF8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2025</w:t>
            </w:r>
          </w:p>
        </w:tc>
        <w:tc>
          <w:tcPr>
            <w:tcW w:w="1643" w:type="dxa"/>
            <w:shd w:val="clear" w:color="auto" w:fill="auto"/>
          </w:tcPr>
          <w:p w14:paraId="675E2B4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Commodity markets; ML model</w:t>
            </w:r>
          </w:p>
        </w:tc>
        <w:tc>
          <w:tcPr>
            <w:tcW w:w="1655" w:type="dxa"/>
            <w:shd w:val="clear" w:color="auto" w:fill="auto"/>
          </w:tcPr>
          <w:p w14:paraId="22AEE39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Explore speculative connectedness under MPU</w:t>
            </w:r>
          </w:p>
        </w:tc>
        <w:tc>
          <w:tcPr>
            <w:tcW w:w="1618" w:type="dxa"/>
            <w:shd w:val="clear" w:color="auto" w:fill="auto"/>
          </w:tcPr>
          <w:p w14:paraId="2A5EC6F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Dynamic Quantile-Frequency analysis</w:t>
            </w:r>
          </w:p>
        </w:tc>
        <w:tc>
          <w:tcPr>
            <w:tcW w:w="1680" w:type="dxa"/>
            <w:shd w:val="clear" w:color="auto" w:fill="auto"/>
          </w:tcPr>
          <w:p w14:paraId="1102DB4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drives nonlinear connectedness across energy, finance, and commodities</w:t>
            </w:r>
          </w:p>
        </w:tc>
      </w:tr>
      <w:tr w:rsidR="008059F4" w14:paraId="0376A381"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46EFA52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Koch</w:t>
            </w:r>
          </w:p>
        </w:tc>
        <w:tc>
          <w:tcPr>
            <w:tcW w:w="765" w:type="dxa"/>
            <w:shd w:val="clear" w:color="auto" w:fill="auto"/>
          </w:tcPr>
          <w:p w14:paraId="729F8B2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2015</w:t>
            </w:r>
          </w:p>
        </w:tc>
        <w:tc>
          <w:tcPr>
            <w:tcW w:w="1643" w:type="dxa"/>
            <w:shd w:val="clear" w:color="auto" w:fill="auto"/>
          </w:tcPr>
          <w:p w14:paraId="6DAB3E8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U.S. bank-level data</w:t>
            </w:r>
          </w:p>
        </w:tc>
        <w:tc>
          <w:tcPr>
            <w:tcW w:w="1655" w:type="dxa"/>
            <w:shd w:val="clear" w:color="auto" w:fill="auto"/>
          </w:tcPr>
          <w:p w14:paraId="5D8A7A3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Examine how Regulation Q deposit interest rate ceilings acted as credit supply shifters, influencing bank lending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and credit availability.</w:t>
            </w:r>
          </w:p>
        </w:tc>
        <w:tc>
          <w:tcPr>
            <w:tcW w:w="1618" w:type="dxa"/>
            <w:shd w:val="clear" w:color="auto" w:fill="auto"/>
          </w:tcPr>
          <w:p w14:paraId="247F5A3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Panel regression</w:t>
            </w:r>
          </w:p>
        </w:tc>
        <w:tc>
          <w:tcPr>
            <w:tcW w:w="1680" w:type="dxa"/>
            <w:shd w:val="clear" w:color="auto" w:fill="auto"/>
          </w:tcPr>
          <w:p w14:paraId="44B589D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Regulation Q acted as a credit supply shifter, not just a passive regulatory </w:t>
            </w:r>
            <w:proofErr w:type="spellStart"/>
            <w:r>
              <w:rPr>
                <w:rFonts w:ascii="Times New Roman" w:eastAsia="Times New Roman" w:hAnsi="Times New Roman" w:cs="Times New Roman"/>
              </w:rPr>
              <w:t>artifact</w:t>
            </w:r>
            <w:proofErr w:type="spellEnd"/>
          </w:p>
        </w:tc>
      </w:tr>
      <w:tr w:rsidR="008059F4" w14:paraId="36BA64B3" w14:textId="77777777" w:rsidTr="00843236">
        <w:tc>
          <w:tcPr>
            <w:tcW w:w="1989" w:type="dxa"/>
            <w:shd w:val="clear" w:color="auto" w:fill="auto"/>
          </w:tcPr>
          <w:p w14:paraId="796B328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Liu et al.</w:t>
            </w:r>
          </w:p>
        </w:tc>
        <w:tc>
          <w:tcPr>
            <w:tcW w:w="765" w:type="dxa"/>
            <w:shd w:val="clear" w:color="auto" w:fill="auto"/>
          </w:tcPr>
          <w:p w14:paraId="207E346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2025</w:t>
            </w:r>
          </w:p>
        </w:tc>
        <w:tc>
          <w:tcPr>
            <w:tcW w:w="1643" w:type="dxa"/>
            <w:shd w:val="clear" w:color="auto" w:fill="auto"/>
          </w:tcPr>
          <w:p w14:paraId="24ACC7F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U.S. energy futures; network models</w:t>
            </w:r>
          </w:p>
        </w:tc>
        <w:tc>
          <w:tcPr>
            <w:tcW w:w="1655" w:type="dxa"/>
            <w:shd w:val="clear" w:color="auto" w:fill="auto"/>
          </w:tcPr>
          <w:p w14:paraId="137FBD8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Study speculation and volatility dynamics</w:t>
            </w:r>
          </w:p>
        </w:tc>
        <w:tc>
          <w:tcPr>
            <w:tcW w:w="1618" w:type="dxa"/>
            <w:shd w:val="clear" w:color="auto" w:fill="auto"/>
          </w:tcPr>
          <w:p w14:paraId="2695938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Frequency domain analysis</w:t>
            </w:r>
          </w:p>
        </w:tc>
        <w:tc>
          <w:tcPr>
            <w:tcW w:w="1680" w:type="dxa"/>
            <w:shd w:val="clear" w:color="auto" w:fill="auto"/>
          </w:tcPr>
          <w:p w14:paraId="53491BC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Speculative behaviour under MPU intensifies volatility in energy futures markets</w:t>
            </w:r>
          </w:p>
        </w:tc>
      </w:tr>
      <w:tr w:rsidR="008059F4" w14:paraId="25C6AEF2"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27B5F99A"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Mendes et al.</w:t>
            </w:r>
          </w:p>
        </w:tc>
        <w:tc>
          <w:tcPr>
            <w:tcW w:w="765" w:type="dxa"/>
            <w:shd w:val="clear" w:color="auto" w:fill="auto"/>
          </w:tcPr>
          <w:p w14:paraId="0B3542DE"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2008</w:t>
            </w:r>
          </w:p>
        </w:tc>
        <w:tc>
          <w:tcPr>
            <w:tcW w:w="1643" w:type="dxa"/>
            <w:shd w:val="clear" w:color="auto" w:fill="auto"/>
          </w:tcPr>
          <w:p w14:paraId="155301CA"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Conceptual framework</w:t>
            </w:r>
          </w:p>
        </w:tc>
        <w:tc>
          <w:tcPr>
            <w:tcW w:w="1655" w:type="dxa"/>
            <w:shd w:val="clear" w:color="auto" w:fill="auto"/>
          </w:tcPr>
          <w:p w14:paraId="2C784C4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Propose integrative literature review method</w:t>
            </w:r>
          </w:p>
        </w:tc>
        <w:tc>
          <w:tcPr>
            <w:tcW w:w="1618" w:type="dxa"/>
            <w:shd w:val="clear" w:color="auto" w:fill="auto"/>
          </w:tcPr>
          <w:p w14:paraId="1E12BB2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Methodological synthesis</w:t>
            </w:r>
          </w:p>
        </w:tc>
        <w:tc>
          <w:tcPr>
            <w:tcW w:w="1680" w:type="dxa"/>
            <w:shd w:val="clear" w:color="auto" w:fill="auto"/>
          </w:tcPr>
          <w:p w14:paraId="4FA2709A"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ILR enables cross-method synthesis for complex, </w:t>
            </w:r>
            <w:r>
              <w:rPr>
                <w:rFonts w:ascii="Times New Roman" w:eastAsia="Times New Roman" w:hAnsi="Times New Roman" w:cs="Times New Roman"/>
              </w:rPr>
              <w:lastRenderedPageBreak/>
              <w:t>interdisciplinary topics</w:t>
            </w:r>
          </w:p>
        </w:tc>
      </w:tr>
      <w:tr w:rsidR="008059F4" w14:paraId="7BBE257C" w14:textId="77777777" w:rsidTr="00843236">
        <w:tc>
          <w:tcPr>
            <w:tcW w:w="1989" w:type="dxa"/>
            <w:shd w:val="clear" w:color="auto" w:fill="auto"/>
          </w:tcPr>
          <w:p w14:paraId="52323C1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lastRenderedPageBreak/>
              <w:t>Nguyen et al.</w:t>
            </w:r>
          </w:p>
        </w:tc>
        <w:tc>
          <w:tcPr>
            <w:tcW w:w="765" w:type="dxa"/>
            <w:shd w:val="clear" w:color="auto" w:fill="auto"/>
          </w:tcPr>
          <w:p w14:paraId="6C378DA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shd w:val="clear" w:color="auto" w:fill="auto"/>
          </w:tcPr>
          <w:p w14:paraId="2A4216F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Global banks; excess liquidity data</w:t>
            </w:r>
          </w:p>
        </w:tc>
        <w:tc>
          <w:tcPr>
            <w:tcW w:w="1655" w:type="dxa"/>
            <w:shd w:val="clear" w:color="auto" w:fill="auto"/>
          </w:tcPr>
          <w:p w14:paraId="4477A65F"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Examine MPU’s moderating role in risk-taking</w:t>
            </w:r>
          </w:p>
        </w:tc>
        <w:tc>
          <w:tcPr>
            <w:tcW w:w="1618" w:type="dxa"/>
            <w:shd w:val="clear" w:color="auto" w:fill="auto"/>
          </w:tcPr>
          <w:p w14:paraId="3D365D88"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Panel regression</w:t>
            </w:r>
          </w:p>
        </w:tc>
        <w:tc>
          <w:tcPr>
            <w:tcW w:w="1680" w:type="dxa"/>
            <w:shd w:val="clear" w:color="auto" w:fill="auto"/>
          </w:tcPr>
          <w:p w14:paraId="69AF0E22"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amplifies risk-taking under excess liquidity; lessons from GFC emphasized</w:t>
            </w:r>
          </w:p>
        </w:tc>
      </w:tr>
      <w:tr w:rsidR="008059F4" w14:paraId="03E55845"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48B0FEE8"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Niu</w:t>
            </w:r>
            <w:proofErr w:type="spellEnd"/>
            <w:r>
              <w:rPr>
                <w:rFonts w:ascii="Times New Roman" w:eastAsia="Times New Roman" w:hAnsi="Times New Roman" w:cs="Times New Roman"/>
              </w:rPr>
              <w:t xml:space="preserve"> et al.</w:t>
            </w:r>
          </w:p>
        </w:tc>
        <w:tc>
          <w:tcPr>
            <w:tcW w:w="765" w:type="dxa"/>
            <w:shd w:val="clear" w:color="auto" w:fill="auto"/>
          </w:tcPr>
          <w:p w14:paraId="492FE3AC" w14:textId="2E5FA1A4" w:rsidR="008059F4" w:rsidRDefault="00654302">
            <w:pPr>
              <w:rPr>
                <w:rFonts w:ascii="Times New Roman" w:eastAsia="Times New Roman" w:hAnsi="Times New Roman" w:cs="Times New Roman"/>
              </w:rPr>
            </w:pPr>
            <w:r>
              <w:rPr>
                <w:rFonts w:ascii="Times New Roman" w:eastAsia="Times New Roman" w:hAnsi="Times New Roman" w:cs="Times New Roman"/>
              </w:rPr>
              <w:t>202</w:t>
            </w:r>
            <w:r w:rsidR="004873B7">
              <w:rPr>
                <w:rFonts w:ascii="Times New Roman" w:eastAsia="Times New Roman" w:hAnsi="Times New Roman" w:cs="Times New Roman"/>
              </w:rPr>
              <w:t>2</w:t>
            </w:r>
          </w:p>
        </w:tc>
        <w:tc>
          <w:tcPr>
            <w:tcW w:w="1643" w:type="dxa"/>
            <w:shd w:val="clear" w:color="auto" w:fill="auto"/>
          </w:tcPr>
          <w:p w14:paraId="4D3E0BB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Gold market sentiment data</w:t>
            </w:r>
          </w:p>
        </w:tc>
        <w:tc>
          <w:tcPr>
            <w:tcW w:w="1655" w:type="dxa"/>
            <w:shd w:val="clear" w:color="auto" w:fill="auto"/>
          </w:tcPr>
          <w:p w14:paraId="605410DE"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Predict gold volatility via cross-market sentiment</w:t>
            </w:r>
          </w:p>
        </w:tc>
        <w:tc>
          <w:tcPr>
            <w:tcW w:w="1618" w:type="dxa"/>
            <w:shd w:val="clear" w:color="auto" w:fill="auto"/>
          </w:tcPr>
          <w:p w14:paraId="141806FE"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Behavioral</w:t>
            </w:r>
            <w:proofErr w:type="spellEnd"/>
            <w:r>
              <w:rPr>
                <w:rFonts w:ascii="Times New Roman" w:eastAsia="Times New Roman" w:hAnsi="Times New Roman" w:cs="Times New Roman"/>
              </w:rPr>
              <w:t xml:space="preserve"> finance </w:t>
            </w:r>
            <w:proofErr w:type="spellStart"/>
            <w:r>
              <w:rPr>
                <w:rFonts w:ascii="Times New Roman" w:eastAsia="Times New Roman" w:hAnsi="Times New Roman" w:cs="Times New Roman"/>
              </w:rPr>
              <w:t>modeling</w:t>
            </w:r>
            <w:proofErr w:type="spellEnd"/>
          </w:p>
        </w:tc>
        <w:tc>
          <w:tcPr>
            <w:tcW w:w="1680" w:type="dxa"/>
            <w:shd w:val="clear" w:color="auto" w:fill="auto"/>
          </w:tcPr>
          <w:p w14:paraId="78D0F8CA"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Sentiment and speculation under MPU improve volatility forecasting accuracy</w:t>
            </w:r>
          </w:p>
        </w:tc>
      </w:tr>
      <w:tr w:rsidR="008059F4" w14:paraId="73492F2B" w14:textId="77777777" w:rsidTr="00843236">
        <w:tc>
          <w:tcPr>
            <w:tcW w:w="1989" w:type="dxa"/>
            <w:shd w:val="clear" w:color="auto" w:fill="auto"/>
          </w:tcPr>
          <w:p w14:paraId="1077FE59"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Olawale</w:t>
            </w:r>
          </w:p>
        </w:tc>
        <w:tc>
          <w:tcPr>
            <w:tcW w:w="765" w:type="dxa"/>
            <w:shd w:val="clear" w:color="auto" w:fill="auto"/>
          </w:tcPr>
          <w:p w14:paraId="66656768"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shd w:val="clear" w:color="auto" w:fill="auto"/>
          </w:tcPr>
          <w:p w14:paraId="5B3D0122"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Nigerian banks; CAR data</w:t>
            </w:r>
          </w:p>
        </w:tc>
        <w:tc>
          <w:tcPr>
            <w:tcW w:w="1655" w:type="dxa"/>
            <w:shd w:val="clear" w:color="auto" w:fill="auto"/>
          </w:tcPr>
          <w:p w14:paraId="4E6154F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Assess capital adequacy and resilience</w:t>
            </w:r>
          </w:p>
        </w:tc>
        <w:tc>
          <w:tcPr>
            <w:tcW w:w="1618" w:type="dxa"/>
            <w:shd w:val="clear" w:color="auto" w:fill="auto"/>
          </w:tcPr>
          <w:p w14:paraId="0705328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Empirical analysis</w:t>
            </w:r>
          </w:p>
        </w:tc>
        <w:tc>
          <w:tcPr>
            <w:tcW w:w="1680" w:type="dxa"/>
            <w:shd w:val="clear" w:color="auto" w:fill="auto"/>
          </w:tcPr>
          <w:p w14:paraId="6D6FC0E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Strong CAR buffers enhance stability under volatile economic conditions</w:t>
            </w:r>
          </w:p>
        </w:tc>
      </w:tr>
      <w:tr w:rsidR="008059F4" w14:paraId="7ABD1177"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59A3743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Li &amp; Zhong</w:t>
            </w:r>
          </w:p>
        </w:tc>
        <w:tc>
          <w:tcPr>
            <w:tcW w:w="765" w:type="dxa"/>
            <w:shd w:val="clear" w:color="auto" w:fill="auto"/>
          </w:tcPr>
          <w:p w14:paraId="6EAD411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2019</w:t>
            </w:r>
          </w:p>
        </w:tc>
        <w:tc>
          <w:tcPr>
            <w:tcW w:w="1643" w:type="dxa"/>
            <w:shd w:val="clear" w:color="auto" w:fill="auto"/>
          </w:tcPr>
          <w:p w14:paraId="07A7A9B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Economic policy uncertainty (EPU) shocks effect on financial conditions index (FCI)</w:t>
            </w:r>
          </w:p>
        </w:tc>
        <w:tc>
          <w:tcPr>
            <w:tcW w:w="1655" w:type="dxa"/>
            <w:shd w:val="clear" w:color="auto" w:fill="auto"/>
          </w:tcPr>
          <w:p w14:paraId="46258899"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Link capital adequacy to risk-taking</w:t>
            </w:r>
          </w:p>
        </w:tc>
        <w:tc>
          <w:tcPr>
            <w:tcW w:w="1618" w:type="dxa"/>
            <w:shd w:val="clear" w:color="auto" w:fill="auto"/>
          </w:tcPr>
          <w:p w14:paraId="28F6303F"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VAR framework</w:t>
            </w:r>
          </w:p>
        </w:tc>
        <w:tc>
          <w:tcPr>
            <w:tcW w:w="1680" w:type="dxa"/>
            <w:shd w:val="clear" w:color="auto" w:fill="auto"/>
          </w:tcPr>
          <w:p w14:paraId="07A5B27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EPU is the most significant external driver of declines in China’s CFCI (interest rates, exchange rates, housing, stock market)</w:t>
            </w:r>
          </w:p>
        </w:tc>
      </w:tr>
      <w:tr w:rsidR="008059F4" w14:paraId="53F7A89F" w14:textId="77777777" w:rsidTr="00843236">
        <w:tc>
          <w:tcPr>
            <w:tcW w:w="1989" w:type="dxa"/>
            <w:shd w:val="clear" w:color="auto" w:fill="auto"/>
          </w:tcPr>
          <w:p w14:paraId="4253FAF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Tang &amp; Yang</w:t>
            </w:r>
          </w:p>
        </w:tc>
        <w:tc>
          <w:tcPr>
            <w:tcW w:w="765" w:type="dxa"/>
            <w:shd w:val="clear" w:color="auto" w:fill="auto"/>
          </w:tcPr>
          <w:p w14:paraId="2ACEBB0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shd w:val="clear" w:color="auto" w:fill="auto"/>
          </w:tcPr>
          <w:p w14:paraId="57E8EBD4"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Chinese firms; MPU index</w:t>
            </w:r>
          </w:p>
        </w:tc>
        <w:tc>
          <w:tcPr>
            <w:tcW w:w="1655" w:type="dxa"/>
            <w:shd w:val="clear" w:color="auto" w:fill="auto"/>
          </w:tcPr>
          <w:p w14:paraId="1DAC1562"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Explore MPU’s effect on financial risk via investment</w:t>
            </w:r>
          </w:p>
        </w:tc>
        <w:tc>
          <w:tcPr>
            <w:tcW w:w="1618" w:type="dxa"/>
            <w:shd w:val="clear" w:color="auto" w:fill="auto"/>
          </w:tcPr>
          <w:p w14:paraId="6DBD239F"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Regression analysis</w:t>
            </w:r>
          </w:p>
        </w:tc>
        <w:tc>
          <w:tcPr>
            <w:tcW w:w="1680" w:type="dxa"/>
            <w:shd w:val="clear" w:color="auto" w:fill="auto"/>
          </w:tcPr>
          <w:p w14:paraId="0C0C6E7F"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reduces corporate investment, indirectly weakening bank asset quality</w:t>
            </w:r>
          </w:p>
        </w:tc>
      </w:tr>
      <w:tr w:rsidR="008059F4" w14:paraId="713DE340"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5F0CB539" w14:textId="77777777" w:rsidR="008059F4" w:rsidRDefault="00654302">
            <w:pPr>
              <w:rPr>
                <w:rFonts w:ascii="Times New Roman" w:eastAsia="Times New Roman" w:hAnsi="Times New Roman" w:cs="Times New Roman"/>
              </w:rPr>
            </w:pPr>
            <w:r>
              <w:rPr>
                <w:rFonts w:ascii="Times New Roman" w:eastAsia="Times New Roman" w:hAnsi="Times New Roman" w:cs="Times New Roman"/>
                <w:color w:val="000000"/>
              </w:rPr>
              <w:t>Zhang &amp; Wang</w:t>
            </w:r>
          </w:p>
        </w:tc>
        <w:tc>
          <w:tcPr>
            <w:tcW w:w="765" w:type="dxa"/>
            <w:shd w:val="clear" w:color="auto" w:fill="auto"/>
          </w:tcPr>
          <w:p w14:paraId="0591474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2023</w:t>
            </w:r>
          </w:p>
        </w:tc>
        <w:tc>
          <w:tcPr>
            <w:tcW w:w="1643" w:type="dxa"/>
            <w:shd w:val="clear" w:color="auto" w:fill="auto"/>
          </w:tcPr>
          <w:p w14:paraId="3167C35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International bank data</w:t>
            </w:r>
          </w:p>
        </w:tc>
        <w:tc>
          <w:tcPr>
            <w:tcW w:w="1655" w:type="dxa"/>
            <w:shd w:val="clear" w:color="auto" w:fill="auto"/>
          </w:tcPr>
          <w:p w14:paraId="74BD869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Evaluate MPU’s impact on bank stability</w:t>
            </w:r>
          </w:p>
        </w:tc>
        <w:tc>
          <w:tcPr>
            <w:tcW w:w="1618" w:type="dxa"/>
            <w:shd w:val="clear" w:color="auto" w:fill="auto"/>
          </w:tcPr>
          <w:p w14:paraId="25E1529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Panel regression</w:t>
            </w:r>
          </w:p>
        </w:tc>
        <w:tc>
          <w:tcPr>
            <w:tcW w:w="1680" w:type="dxa"/>
            <w:shd w:val="clear" w:color="auto" w:fill="auto"/>
          </w:tcPr>
          <w:p w14:paraId="5029DE3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MPU increases instability across banking systems globally, </w:t>
            </w:r>
            <w:r>
              <w:rPr>
                <w:rFonts w:ascii="Times New Roman" w:eastAsia="Times New Roman" w:hAnsi="Times New Roman" w:cs="Times New Roman"/>
              </w:rPr>
              <w:lastRenderedPageBreak/>
              <w:t>especially in emerging markets</w:t>
            </w:r>
          </w:p>
        </w:tc>
      </w:tr>
      <w:tr w:rsidR="008059F4" w14:paraId="11134738" w14:textId="77777777" w:rsidTr="00843236">
        <w:tc>
          <w:tcPr>
            <w:tcW w:w="1989" w:type="dxa"/>
            <w:shd w:val="clear" w:color="auto" w:fill="auto"/>
          </w:tcPr>
          <w:p w14:paraId="6E440C34"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lastRenderedPageBreak/>
              <w:t>Wang et al.</w:t>
            </w:r>
          </w:p>
        </w:tc>
        <w:tc>
          <w:tcPr>
            <w:tcW w:w="765" w:type="dxa"/>
            <w:shd w:val="clear" w:color="auto" w:fill="auto"/>
          </w:tcPr>
          <w:p w14:paraId="43950DC4"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2024a</w:t>
            </w:r>
          </w:p>
        </w:tc>
        <w:tc>
          <w:tcPr>
            <w:tcW w:w="1643" w:type="dxa"/>
            <w:shd w:val="clear" w:color="auto" w:fill="auto"/>
          </w:tcPr>
          <w:p w14:paraId="483E012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Options market data</w:t>
            </w:r>
          </w:p>
        </w:tc>
        <w:tc>
          <w:tcPr>
            <w:tcW w:w="1655" w:type="dxa"/>
            <w:shd w:val="clear" w:color="auto" w:fill="auto"/>
          </w:tcPr>
          <w:p w14:paraId="0DC0078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Investigate MPU’s role in hedging vs. speculation</w:t>
            </w:r>
          </w:p>
        </w:tc>
        <w:tc>
          <w:tcPr>
            <w:tcW w:w="1618" w:type="dxa"/>
            <w:shd w:val="clear" w:color="auto" w:fill="auto"/>
          </w:tcPr>
          <w:p w14:paraId="1AEE446D"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Empirical analysis</w:t>
            </w:r>
          </w:p>
        </w:tc>
        <w:tc>
          <w:tcPr>
            <w:tcW w:w="1680" w:type="dxa"/>
            <w:shd w:val="clear" w:color="auto" w:fill="auto"/>
          </w:tcPr>
          <w:p w14:paraId="41C3D6C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MPU drives speculative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in options markets, reducing hedging effectiveness</w:t>
            </w:r>
          </w:p>
        </w:tc>
      </w:tr>
      <w:tr w:rsidR="008059F4" w14:paraId="1EBF9A08"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shd w:val="clear" w:color="auto" w:fill="auto"/>
          </w:tcPr>
          <w:p w14:paraId="2B9FE84A"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Wang et al.</w:t>
            </w:r>
          </w:p>
        </w:tc>
        <w:tc>
          <w:tcPr>
            <w:tcW w:w="765" w:type="dxa"/>
            <w:shd w:val="clear" w:color="auto" w:fill="auto"/>
          </w:tcPr>
          <w:p w14:paraId="309F3A8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2024b</w:t>
            </w:r>
          </w:p>
        </w:tc>
        <w:tc>
          <w:tcPr>
            <w:tcW w:w="1643" w:type="dxa"/>
            <w:shd w:val="clear" w:color="auto" w:fill="auto"/>
          </w:tcPr>
          <w:p w14:paraId="6794DFC6"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Crypto, energy tokens, renewables</w:t>
            </w:r>
          </w:p>
        </w:tc>
        <w:tc>
          <w:tcPr>
            <w:tcW w:w="1655" w:type="dxa"/>
            <w:shd w:val="clear" w:color="auto" w:fill="auto"/>
          </w:tcPr>
          <w:p w14:paraId="55599881" w14:textId="77777777" w:rsidR="008059F4" w:rsidRDefault="00654302">
            <w:pPr>
              <w:rPr>
                <w:rFonts w:ascii="Times New Roman" w:eastAsia="Times New Roman" w:hAnsi="Times New Roman" w:cs="Times New Roman"/>
              </w:rPr>
            </w:pP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connectedness under MPU</w:t>
            </w:r>
          </w:p>
        </w:tc>
        <w:tc>
          <w:tcPr>
            <w:tcW w:w="1618" w:type="dxa"/>
            <w:shd w:val="clear" w:color="auto" w:fill="auto"/>
          </w:tcPr>
          <w:p w14:paraId="693C6414"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Quantile-Frequency analysis</w:t>
            </w:r>
          </w:p>
        </w:tc>
        <w:tc>
          <w:tcPr>
            <w:tcW w:w="1680" w:type="dxa"/>
            <w:shd w:val="clear" w:color="auto" w:fill="auto"/>
          </w:tcPr>
          <w:p w14:paraId="4CD83D97"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increases volatility and interdependence across digital and energy assets</w:t>
            </w:r>
          </w:p>
        </w:tc>
      </w:tr>
      <w:tr w:rsidR="008059F4" w14:paraId="73616EF0" w14:textId="77777777" w:rsidTr="00843236">
        <w:tc>
          <w:tcPr>
            <w:tcW w:w="1989" w:type="dxa"/>
            <w:shd w:val="clear" w:color="auto" w:fill="auto"/>
          </w:tcPr>
          <w:p w14:paraId="3784E60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Younis et al.</w:t>
            </w:r>
          </w:p>
        </w:tc>
        <w:tc>
          <w:tcPr>
            <w:tcW w:w="765" w:type="dxa"/>
            <w:shd w:val="clear" w:color="auto" w:fill="auto"/>
          </w:tcPr>
          <w:p w14:paraId="007921BE"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2024</w:t>
            </w:r>
          </w:p>
        </w:tc>
        <w:tc>
          <w:tcPr>
            <w:tcW w:w="1643" w:type="dxa"/>
            <w:shd w:val="clear" w:color="auto" w:fill="auto"/>
          </w:tcPr>
          <w:p w14:paraId="421013EC"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Industry-specific equity data</w:t>
            </w:r>
          </w:p>
        </w:tc>
        <w:tc>
          <w:tcPr>
            <w:tcW w:w="1655" w:type="dxa"/>
            <w:shd w:val="clear" w:color="auto" w:fill="auto"/>
          </w:tcPr>
          <w:p w14:paraId="7DD90A6A"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Assess uncertainty effects on sectoral equity</w:t>
            </w:r>
          </w:p>
        </w:tc>
        <w:tc>
          <w:tcPr>
            <w:tcW w:w="1618" w:type="dxa"/>
            <w:shd w:val="clear" w:color="auto" w:fill="auto"/>
          </w:tcPr>
          <w:p w14:paraId="0A718D5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 xml:space="preserve">Computational </w:t>
            </w:r>
            <w:proofErr w:type="spellStart"/>
            <w:r>
              <w:rPr>
                <w:rFonts w:ascii="Times New Roman" w:eastAsia="Times New Roman" w:hAnsi="Times New Roman" w:cs="Times New Roman"/>
              </w:rPr>
              <w:t>modeling</w:t>
            </w:r>
            <w:proofErr w:type="spellEnd"/>
          </w:p>
        </w:tc>
        <w:tc>
          <w:tcPr>
            <w:tcW w:w="1680" w:type="dxa"/>
            <w:shd w:val="clear" w:color="auto" w:fill="auto"/>
          </w:tcPr>
          <w:p w14:paraId="41479D11"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MPU and trade uncertainty jointly affect sector-specific stock performance</w:t>
            </w:r>
          </w:p>
        </w:tc>
      </w:tr>
      <w:tr w:rsidR="008059F4" w14:paraId="0C27F217" w14:textId="77777777" w:rsidTr="00843236">
        <w:trPr>
          <w:cnfStyle w:val="000000100000" w:firstRow="0" w:lastRow="0" w:firstColumn="0" w:lastColumn="0" w:oddVBand="0" w:evenVBand="0" w:oddHBand="1" w:evenHBand="0" w:firstRowFirstColumn="0" w:firstRowLastColumn="0" w:lastRowFirstColumn="0" w:lastRowLastColumn="0"/>
        </w:trPr>
        <w:tc>
          <w:tcPr>
            <w:tcW w:w="1989" w:type="dxa"/>
            <w:tcBorders>
              <w:bottom w:val="single" w:sz="4" w:space="0" w:color="auto"/>
            </w:tcBorders>
            <w:shd w:val="clear" w:color="auto" w:fill="auto"/>
          </w:tcPr>
          <w:p w14:paraId="7BE9DE40"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Zhang et al.</w:t>
            </w:r>
          </w:p>
        </w:tc>
        <w:tc>
          <w:tcPr>
            <w:tcW w:w="765" w:type="dxa"/>
            <w:tcBorders>
              <w:bottom w:val="single" w:sz="4" w:space="0" w:color="auto"/>
            </w:tcBorders>
            <w:shd w:val="clear" w:color="auto" w:fill="auto"/>
          </w:tcPr>
          <w:p w14:paraId="56004133"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2023</w:t>
            </w:r>
          </w:p>
        </w:tc>
        <w:tc>
          <w:tcPr>
            <w:tcW w:w="1643" w:type="dxa"/>
            <w:tcBorders>
              <w:bottom w:val="single" w:sz="4" w:space="0" w:color="auto"/>
            </w:tcBorders>
            <w:shd w:val="clear" w:color="auto" w:fill="auto"/>
          </w:tcPr>
          <w:p w14:paraId="62D2166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Oil prices; geopolitical conflict</w:t>
            </w:r>
          </w:p>
        </w:tc>
        <w:tc>
          <w:tcPr>
            <w:tcW w:w="1655" w:type="dxa"/>
            <w:tcBorders>
              <w:bottom w:val="single" w:sz="4" w:space="0" w:color="auto"/>
            </w:tcBorders>
            <w:shd w:val="clear" w:color="auto" w:fill="auto"/>
          </w:tcPr>
          <w:p w14:paraId="30B2FF5B"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Examine Russia–Ukraine war’s impact on oil</w:t>
            </w:r>
          </w:p>
        </w:tc>
        <w:tc>
          <w:tcPr>
            <w:tcW w:w="1618" w:type="dxa"/>
            <w:tcBorders>
              <w:bottom w:val="single" w:sz="4" w:space="0" w:color="auto"/>
            </w:tcBorders>
            <w:shd w:val="clear" w:color="auto" w:fill="auto"/>
          </w:tcPr>
          <w:p w14:paraId="5DFB22E5"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Case study analysis</w:t>
            </w:r>
          </w:p>
        </w:tc>
        <w:tc>
          <w:tcPr>
            <w:tcW w:w="1680" w:type="dxa"/>
            <w:tcBorders>
              <w:bottom w:val="single" w:sz="4" w:space="0" w:color="auto"/>
            </w:tcBorders>
            <w:shd w:val="clear" w:color="auto" w:fill="auto"/>
          </w:tcPr>
          <w:p w14:paraId="0676870F" w14:textId="77777777" w:rsidR="008059F4" w:rsidRDefault="00654302">
            <w:pPr>
              <w:rPr>
                <w:rFonts w:ascii="Times New Roman" w:eastAsia="Times New Roman" w:hAnsi="Times New Roman" w:cs="Times New Roman"/>
              </w:rPr>
            </w:pPr>
            <w:r>
              <w:rPr>
                <w:rFonts w:ascii="Times New Roman" w:eastAsia="Times New Roman" w:hAnsi="Times New Roman" w:cs="Times New Roman"/>
              </w:rPr>
              <w:t>Geopolitical shocks amplify oil price volatility and market instability under MPU</w:t>
            </w:r>
          </w:p>
        </w:tc>
      </w:tr>
    </w:tbl>
    <w:p w14:paraId="737F1333"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Thematic Categories:</w:t>
      </w:r>
    </w:p>
    <w:p w14:paraId="6D108A3B"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3.1 Empirical Models and Methods (RQ1)</w:t>
      </w:r>
    </w:p>
    <w:p w14:paraId="2E93D945"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literature assessing the nexus between monetary policy uncertainty (MPU) and U.S. banking stability employs a diverse blend of econometric, structural, and data-driven methodologies. These models differ not only in their technical frameworks but also in their capacity to capture the dynamic, nonlinear, and state-dependent effects of uncertainty on the financial system. Four dominant methodological streams emerge from the reviewed studies: vector autoregressive (VAR)–based models, dynamic stochastic general equilibrium (DSGE) frameworks, machine learning (ML) and volatility forecasting tools, and the use of policy uncertainty indices such as the Baker–Bloom–Davis (BBD) index.</w:t>
      </w:r>
    </w:p>
    <w:p w14:paraId="7902EBD4"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lastRenderedPageBreak/>
        <w:t>VAR, BVAR, and SVAR Frameworks: Tracing Dynamic Transmission Mechanisms</w:t>
      </w:r>
    </w:p>
    <w:p w14:paraId="001E13F6"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Traditional and Bayesian vector autoregressive models remain the cornerstone of empirical investigation into how monetary policy shocks transmit to the banking sector. Studies such as </w:t>
      </w:r>
      <w:proofErr w:type="spellStart"/>
      <w:r>
        <w:rPr>
          <w:rFonts w:ascii="Times New Roman" w:eastAsia="Times New Roman" w:hAnsi="Times New Roman" w:cs="Times New Roman"/>
          <w:color w:val="000000"/>
        </w:rPr>
        <w:t>Evgenidis</w:t>
      </w:r>
      <w:proofErr w:type="spellEnd"/>
      <w:r>
        <w:rPr>
          <w:rFonts w:ascii="Times New Roman" w:eastAsia="Times New Roman" w:hAnsi="Times New Roman" w:cs="Times New Roman"/>
          <w:color w:val="000000"/>
        </w:rPr>
        <w:t xml:space="preserve"> (2020) and </w:t>
      </w:r>
      <w:proofErr w:type="spellStart"/>
      <w:r>
        <w:rPr>
          <w:rFonts w:ascii="Times New Roman" w:eastAsia="Times New Roman" w:hAnsi="Times New Roman" w:cs="Times New Roman"/>
          <w:color w:val="000000"/>
        </w:rPr>
        <w:t>Aor</w:t>
      </w:r>
      <w:proofErr w:type="spellEnd"/>
      <w:r>
        <w:rPr>
          <w:rFonts w:ascii="Times New Roman" w:eastAsia="Times New Roman" w:hAnsi="Times New Roman" w:cs="Times New Roman"/>
          <w:color w:val="000000"/>
        </w:rPr>
        <w:t xml:space="preserve"> et al. (2021) apply structural VAR (SVAR) and panel VAR approaches to model the interdependence between policy shocks, credit conditions, and systemic stability indicators. The strength of these models lies in their ability to trace short- and medium-term responses of bank-level variables such as loan growth, interest margins, and funding liquidity to identified policy shocks.</w:t>
      </w:r>
    </w:p>
    <w:p w14:paraId="1CF0863B"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instance, </w:t>
      </w:r>
      <w:proofErr w:type="spellStart"/>
      <w:r>
        <w:rPr>
          <w:rFonts w:ascii="Times New Roman" w:eastAsia="Times New Roman" w:hAnsi="Times New Roman" w:cs="Times New Roman"/>
          <w:color w:val="000000"/>
        </w:rPr>
        <w:t>Evgenidis</w:t>
      </w:r>
      <w:proofErr w:type="spellEnd"/>
      <w:r>
        <w:rPr>
          <w:rFonts w:ascii="Times New Roman" w:eastAsia="Times New Roman" w:hAnsi="Times New Roman" w:cs="Times New Roman"/>
          <w:color w:val="000000"/>
        </w:rPr>
        <w:t xml:space="preserve"> (2020) used a structural identification scheme within a VAR framework to explore the impact of unconventional monetary policy in the Euro Area, revealing that liquidity injections and asset purchases can mitigate short-term instability but also amplify medium-term risk-taking a dynamic highly relevant to U.S. monetary settings during post-2008 and post-COVID periods. Similarly, </w:t>
      </w:r>
      <w:proofErr w:type="spellStart"/>
      <w:r>
        <w:rPr>
          <w:rFonts w:ascii="Times New Roman" w:eastAsia="Times New Roman" w:hAnsi="Times New Roman" w:cs="Times New Roman"/>
          <w:color w:val="000000"/>
        </w:rPr>
        <w:t>Lamers</w:t>
      </w:r>
      <w:proofErr w:type="spellEnd"/>
      <w:r>
        <w:rPr>
          <w:rFonts w:ascii="Times New Roman" w:eastAsia="Times New Roman" w:hAnsi="Times New Roman" w:cs="Times New Roman"/>
          <w:color w:val="000000"/>
        </w:rPr>
        <w:t xml:space="preserve"> et al. (2019) employed a panel VAR to examine the delicate balance between monetary accommodation and bank stability. Their findings highlight that expansionary policy shocks initially improve liquidity and profitability but can erode solvency resilience over time through excessive leverage </w:t>
      </w:r>
      <w:proofErr w:type="spellStart"/>
      <w:r>
        <w:rPr>
          <w:rFonts w:ascii="Times New Roman" w:eastAsia="Times New Roman" w:hAnsi="Times New Roman" w:cs="Times New Roman"/>
          <w:color w:val="000000"/>
        </w:rPr>
        <w:t>buildup</w:t>
      </w:r>
      <w:proofErr w:type="spellEnd"/>
      <w:r>
        <w:rPr>
          <w:rFonts w:ascii="Times New Roman" w:eastAsia="Times New Roman" w:hAnsi="Times New Roman" w:cs="Times New Roman"/>
          <w:color w:val="000000"/>
        </w:rPr>
        <w:t>.</w:t>
      </w:r>
    </w:p>
    <w:p w14:paraId="525A5250"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Bayesian VAR (BVAR) extensions, as used in </w:t>
      </w:r>
      <w:proofErr w:type="spellStart"/>
      <w:r>
        <w:rPr>
          <w:rFonts w:ascii="Times New Roman" w:eastAsia="Times New Roman" w:hAnsi="Times New Roman" w:cs="Times New Roman"/>
          <w:color w:val="000000"/>
        </w:rPr>
        <w:t>Chukwukelo</w:t>
      </w:r>
      <w:proofErr w:type="spellEnd"/>
      <w:r>
        <w:rPr>
          <w:rFonts w:ascii="Times New Roman" w:eastAsia="Times New Roman" w:hAnsi="Times New Roman" w:cs="Times New Roman"/>
          <w:color w:val="000000"/>
        </w:rPr>
        <w:t xml:space="preserve"> et al. (2025) and Afonso &amp; Sousa (2012), allow the incorporation of prior information and uncertainty distributions, improving the estimation of complex systems under volatile conditions. This probabilistic flexibility enables a better representation of uncertainty transmission to bank balance sheets.</w:t>
      </w:r>
    </w:p>
    <w:p w14:paraId="6E1496DC"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DSGE-Based Uncertainty </w:t>
      </w:r>
      <w:proofErr w:type="spellStart"/>
      <w:r>
        <w:rPr>
          <w:rFonts w:ascii="Times New Roman" w:eastAsia="Times New Roman" w:hAnsi="Times New Roman" w:cs="Times New Roman"/>
          <w:b/>
          <w:bCs/>
          <w:color w:val="000000"/>
        </w:rPr>
        <w:t>Modeling</w:t>
      </w:r>
      <w:proofErr w:type="spellEnd"/>
      <w:r>
        <w:rPr>
          <w:rFonts w:ascii="Times New Roman" w:eastAsia="Times New Roman" w:hAnsi="Times New Roman" w:cs="Times New Roman"/>
          <w:b/>
          <w:bCs/>
          <w:color w:val="000000"/>
        </w:rPr>
        <w:t>: Linking Policy Shocks to Financial Stability</w:t>
      </w:r>
    </w:p>
    <w:p w14:paraId="26EC60EC"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Dynamic stochastic general equilibrium (DSGE) models provide a theoretical macro-financial backbone for understanding MPU’s structural channels. Bekaert et al. (2013) and Fernández-</w:t>
      </w:r>
      <w:proofErr w:type="spellStart"/>
      <w:r>
        <w:rPr>
          <w:rFonts w:ascii="Times New Roman" w:eastAsia="Times New Roman" w:hAnsi="Times New Roman" w:cs="Times New Roman"/>
          <w:color w:val="000000"/>
        </w:rPr>
        <w:t>Villaverde</w:t>
      </w:r>
      <w:proofErr w:type="spellEnd"/>
      <w:r>
        <w:rPr>
          <w:rFonts w:ascii="Times New Roman" w:eastAsia="Times New Roman" w:hAnsi="Times New Roman" w:cs="Times New Roman"/>
          <w:color w:val="000000"/>
        </w:rPr>
        <w:t xml:space="preserve"> et al., (2015) extend DSGE frameworks by integrating uncertainty shocks directly into the policy and financial blocks of the model. These studies demonstrate how unexpected changes in the monetary stance captured as variance shocks to interest-rate rules can propagate through credit spreads, investment dynamics, and bank capital buffers.</w:t>
      </w:r>
    </w:p>
    <w:p w14:paraId="554EFFE5"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DSGE approach captures general equilibrium feedback loops often missed by reduced-form econometric models. Fernández-</w:t>
      </w:r>
      <w:proofErr w:type="spellStart"/>
      <w:r>
        <w:rPr>
          <w:rFonts w:ascii="Times New Roman" w:eastAsia="Times New Roman" w:hAnsi="Times New Roman" w:cs="Times New Roman"/>
          <w:color w:val="000000"/>
        </w:rPr>
        <w:t>Villaverde</w:t>
      </w:r>
      <w:proofErr w:type="spellEnd"/>
      <w:r>
        <w:rPr>
          <w:rFonts w:ascii="Times New Roman" w:eastAsia="Times New Roman" w:hAnsi="Times New Roman" w:cs="Times New Roman"/>
          <w:color w:val="000000"/>
        </w:rPr>
        <w:t xml:space="preserve"> et al., (2015), for example, models how uncertainty interacts with forward guidance and expectations, finding that rising MPU amplifies the volatility of long-term yields and weakens the credibility of central bank communication. This mechanism translates into broader financial instability as bank funding costs rise. Similarly, the </w:t>
      </w:r>
      <w:r>
        <w:rPr>
          <w:rFonts w:ascii="Times New Roman" w:eastAsia="Times New Roman" w:hAnsi="Times New Roman" w:cs="Times New Roman"/>
          <w:i/>
          <w:iCs/>
          <w:color w:val="000000"/>
        </w:rPr>
        <w:t>work1250.pdf</w:t>
      </w:r>
      <w:r>
        <w:rPr>
          <w:rFonts w:ascii="Times New Roman" w:eastAsia="Times New Roman" w:hAnsi="Times New Roman" w:cs="Times New Roman"/>
          <w:color w:val="000000"/>
        </w:rPr>
        <w:t xml:space="preserve"> paper explores how DSGE-based simulations can assess financial stability trade-offs under uncertain policy rules, showing that credibility shocks have a disproportionately adverse effect on banking sector resilience.</w:t>
      </w:r>
    </w:p>
    <w:p w14:paraId="52BBDCF1"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However, while DSGE models excel at representing theoretical propagation mechanisms, their empirical calibration often depends on assumptions that may not capture real-time </w:t>
      </w:r>
      <w:proofErr w:type="spellStart"/>
      <w:r>
        <w:rPr>
          <w:rFonts w:ascii="Times New Roman" w:eastAsia="Times New Roman" w:hAnsi="Times New Roman" w:cs="Times New Roman"/>
          <w:color w:val="000000"/>
        </w:rPr>
        <w:t>behavioral</w:t>
      </w:r>
      <w:proofErr w:type="spellEnd"/>
      <w:r>
        <w:rPr>
          <w:rFonts w:ascii="Times New Roman" w:eastAsia="Times New Roman" w:hAnsi="Times New Roman" w:cs="Times New Roman"/>
          <w:color w:val="000000"/>
        </w:rPr>
        <w:t xml:space="preserve"> shifts in markets. As noted in </w:t>
      </w:r>
      <w:proofErr w:type="spellStart"/>
      <w:r>
        <w:rPr>
          <w:rFonts w:ascii="Times New Roman" w:eastAsia="Times New Roman" w:hAnsi="Times New Roman" w:cs="Times New Roman"/>
          <w:color w:val="000000"/>
        </w:rPr>
        <w:t>Laeven</w:t>
      </w:r>
      <w:proofErr w:type="spellEnd"/>
      <w:r>
        <w:rPr>
          <w:rFonts w:ascii="Times New Roman" w:eastAsia="Times New Roman" w:hAnsi="Times New Roman" w:cs="Times New Roman"/>
          <w:color w:val="000000"/>
        </w:rPr>
        <w:t xml:space="preserve"> et al. (2022), the complexity of linking macro-level policy shocks to granular bank-level data limits the operational use of DSGE models for day-to-day supervisory risk assessment.</w:t>
      </w:r>
    </w:p>
    <w:p w14:paraId="0C17E0D9"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lastRenderedPageBreak/>
        <w:t>Machine Learning and Volatility Forecasting: A New Frontier for Predictive Stability Analysis</w:t>
      </w:r>
    </w:p>
    <w:p w14:paraId="0B198967"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More recent studies incorporate machine learning (ML) methods to enhance forecasting accuracy and capture nonlinear, high-frequency relationships between MPU indicators and banking risk metrics. Within the uploaded dataset, both the </w:t>
      </w:r>
      <w:r>
        <w:rPr>
          <w:rFonts w:ascii="Times New Roman" w:eastAsia="Times New Roman" w:hAnsi="Times New Roman" w:cs="Times New Roman"/>
          <w:i/>
          <w:iCs/>
          <w:color w:val="000000"/>
        </w:rPr>
        <w:t>economies-11-00017.pdf</w:t>
      </w:r>
      <w:r>
        <w:rPr>
          <w:rFonts w:ascii="Times New Roman" w:eastAsia="Times New Roman" w:hAnsi="Times New Roman" w:cs="Times New Roman"/>
          <w:color w:val="000000"/>
        </w:rPr>
        <w:t xml:space="preserve"> and </w:t>
      </w:r>
      <w:r>
        <w:rPr>
          <w:rFonts w:ascii="Times New Roman" w:eastAsia="Times New Roman" w:hAnsi="Times New Roman" w:cs="Times New Roman"/>
          <w:i/>
          <w:iCs/>
          <w:color w:val="000000"/>
        </w:rPr>
        <w:t>1774372304.pdf</w:t>
      </w:r>
      <w:r>
        <w:rPr>
          <w:rFonts w:ascii="Times New Roman" w:eastAsia="Times New Roman" w:hAnsi="Times New Roman" w:cs="Times New Roman"/>
          <w:color w:val="000000"/>
        </w:rPr>
        <w:t xml:space="preserve"> articles emphasize the growing relevance of ML algorithms such as random forests, neural networks, and gradient-boosting ensembles in predicting volatility and systemic stress indices under policy uncertainty.</w:t>
      </w:r>
    </w:p>
    <w:p w14:paraId="6DB8DA1B"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These models, unlike linear VARs, can flexibly map complex dependencies between multiple uncertainty measures (monetary, fiscal, geopolitical) and stability proxies (e.g., nonperforming loans, liquidity coverage ratios). They have proven particularly valuable for stress-testing exercises where nonlinear tail-risk dynamics dominate. As documented in Dong et al. (2025) and Younis et al. (2024), ML approaches outperform traditional econometric models in identifying early-warning signals for credit and liquidity deterioration during periods of heightened uncertainty.</w:t>
      </w:r>
    </w:p>
    <w:p w14:paraId="679425A8"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However, despite their predictive accuracy, ML models often lack interpretability, raising challenges for regulatory transparency and policy communication. As Yeo, Van Der Heever, Mao, Cambria, </w:t>
      </w:r>
      <w:proofErr w:type="spellStart"/>
      <w:r>
        <w:rPr>
          <w:rFonts w:ascii="Times New Roman" w:eastAsia="Times New Roman" w:hAnsi="Times New Roman" w:cs="Times New Roman"/>
          <w:color w:val="000000"/>
        </w:rPr>
        <w:t>Satapathy</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Mengaldo</w:t>
      </w:r>
      <w:proofErr w:type="spellEnd"/>
      <w:r>
        <w:rPr>
          <w:rFonts w:ascii="Times New Roman" w:eastAsia="Times New Roman" w:hAnsi="Times New Roman" w:cs="Times New Roman"/>
          <w:color w:val="000000"/>
        </w:rPr>
        <w:t xml:space="preserve"> (2025) emphasise, explainable-AI techniques are necessary to translate ML insights into actionable supervisory decisions.</w:t>
      </w:r>
    </w:p>
    <w:p w14:paraId="397594F1"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Policy Uncertainty Indices: Measurement Foundations and Empirical Integration</w:t>
      </w:r>
    </w:p>
    <w:p w14:paraId="6EDFC581"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Across all empirical frameworks, the Baker, Bloom, and Davis (BBD) policy uncertainty index remains the most commonly employed metric for capturing U.S. MPU. This index, derived from frequency-weighted news coverage of monetary and policy terms, has been integrated into VARs, DSGE simulations, and ML forecasting pipelines alike (Bekaert et al., 2013; </w:t>
      </w:r>
      <w:proofErr w:type="spellStart"/>
      <w:r>
        <w:rPr>
          <w:rFonts w:ascii="Times New Roman" w:eastAsia="Times New Roman" w:hAnsi="Times New Roman" w:cs="Times New Roman"/>
          <w:color w:val="000000"/>
        </w:rPr>
        <w:t>Chukwukelo</w:t>
      </w:r>
      <w:proofErr w:type="spellEnd"/>
      <w:r>
        <w:rPr>
          <w:rFonts w:ascii="Times New Roman" w:eastAsia="Times New Roman" w:hAnsi="Times New Roman" w:cs="Times New Roman"/>
          <w:color w:val="000000"/>
        </w:rPr>
        <w:t xml:space="preserve"> et al, 2025; Arshad et al., 2024). The BBD index provides a standardized proxy for uncertainty shocks, allowing cross-temporal and cross-country comparisons.</w:t>
      </w:r>
    </w:p>
    <w:p w14:paraId="19A8CB8B"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Researchers often supplement the BBD measure with volatility-based proxies such as interest-rate dispersion, credit default swap (CDS) spreads, or market-implied uncertainty indices. For instance, Zhang &amp; Wang (2023) and </w:t>
      </w:r>
      <w:proofErr w:type="spellStart"/>
      <w:r>
        <w:rPr>
          <w:rFonts w:ascii="Times New Roman" w:eastAsia="Times New Roman" w:hAnsi="Times New Roman" w:cs="Times New Roman"/>
          <w:color w:val="000000"/>
        </w:rPr>
        <w:t>Galloppo</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Paimanova</w:t>
      </w:r>
      <w:proofErr w:type="spellEnd"/>
      <w:r>
        <w:rPr>
          <w:rFonts w:ascii="Times New Roman" w:eastAsia="Times New Roman" w:hAnsi="Times New Roman" w:cs="Times New Roman"/>
          <w:color w:val="000000"/>
        </w:rPr>
        <w:t xml:space="preserve"> (2017) illustrate how combining MPU indices with financial market volatility data refines the identification of uncertainty-driven stress episodes.</w:t>
      </w:r>
    </w:p>
    <w:p w14:paraId="7B9559B3"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Nevertheless, the reliance on textual indices introduces measurement bias, as news sentiment and coverage intensity may not perfectly mirror underlying policy ambiguity. As a result, several studies propose hybrid measures combining macro volatility indicators with text-based indices to improve robustness (</w:t>
      </w:r>
      <w:proofErr w:type="spellStart"/>
      <w:r>
        <w:rPr>
          <w:rFonts w:ascii="Times New Roman" w:eastAsia="Times New Roman" w:hAnsi="Times New Roman" w:cs="Times New Roman"/>
          <w:color w:val="000000"/>
        </w:rPr>
        <w:t>Belhoula</w:t>
      </w:r>
      <w:proofErr w:type="spellEnd"/>
      <w:r>
        <w:rPr>
          <w:rFonts w:ascii="Times New Roman" w:eastAsia="Times New Roman" w:hAnsi="Times New Roman" w:cs="Times New Roman"/>
          <w:color w:val="000000"/>
        </w:rPr>
        <w:t>, 2024).</w:t>
      </w:r>
    </w:p>
    <w:p w14:paraId="2B9F2FCD" w14:textId="77777777" w:rsidR="008059F4" w:rsidRDefault="00654302">
      <w:pPr>
        <w:pStyle w:val="Heading3"/>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Synthesis and Thematic Insights</w:t>
      </w:r>
    </w:p>
    <w:p w14:paraId="14F9840C"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Overall, empirical literature reveals an evolution in methodology from traditional VAR and DSGE frameworks to hybrid ML–econometric models capable of accommodating the nonlinear and regime-dependent nature of policy uncertainty. VAR-type models remain essential for causal identification and dynamic analysis, DSGE models provide theoretical coherence, and ML techniques extend predictive capability and real-time adaptability. The integration of uncertainty indices like BBD ensures consistent empirical grounding across these diverse methods.</w:t>
      </w:r>
    </w:p>
    <w:p w14:paraId="434B7928"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What remains less developed though increasingly recognized is the methodological bridge between AI-driven forecasts and structural macro-financial models. Few studies explicitly </w:t>
      </w:r>
      <w:r>
        <w:rPr>
          <w:rFonts w:ascii="Times New Roman" w:eastAsia="Times New Roman" w:hAnsi="Times New Roman" w:cs="Times New Roman"/>
          <w:color w:val="000000"/>
        </w:rPr>
        <w:lastRenderedPageBreak/>
        <w:t>integrate ML-derived uncertainty forecasts within DSGE or VAR systems, indicating a promising direction for future U.S. banking stability research.</w:t>
      </w:r>
    </w:p>
    <w:p w14:paraId="4173C13B"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3.2 Dimensions of Banking Stability Affected (RQ2)</w:t>
      </w:r>
    </w:p>
    <w:p w14:paraId="10C8DC23" w14:textId="77777777" w:rsidR="008059F4" w:rsidRDefault="00654302">
      <w:pPr>
        <w:rPr>
          <w:rFonts w:ascii="Times New Roman" w:eastAsia="Times New Roman" w:hAnsi="Times New Roman" w:cs="Times New Roman"/>
        </w:rPr>
      </w:pPr>
      <w:r>
        <w:rPr>
          <w:rFonts w:ascii="Times New Roman" w:eastAsia="Times New Roman" w:hAnsi="Times New Roman" w:cs="Times New Roman"/>
          <w:b/>
          <w:bCs/>
        </w:rPr>
        <w:t>3.2.1 Effects on Credit Supply and Loan Performance</w:t>
      </w:r>
    </w:p>
    <w:p w14:paraId="04B1ED2E"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increased volatility of economic policy enables the lending sector to go considerably slower as banks become more risk-conscious. But </w:t>
      </w:r>
      <w:proofErr w:type="spellStart"/>
      <w:r>
        <w:rPr>
          <w:rFonts w:ascii="Times New Roman" w:eastAsia="Times New Roman" w:hAnsi="Times New Roman" w:cs="Times New Roman"/>
          <w:color w:val="000000"/>
        </w:rPr>
        <w:t>Bordo</w:t>
      </w:r>
      <w:proofErr w:type="spellEnd"/>
      <w:r>
        <w:rPr>
          <w:rFonts w:ascii="Times New Roman" w:eastAsia="Times New Roman" w:hAnsi="Times New Roman" w:cs="Times New Roman"/>
          <w:color w:val="000000"/>
        </w:rPr>
        <w:t xml:space="preserve"> et al. (2016) indicate that U.S. policy changes in the late 1990s and into the Great Recession in particular led to more credit-slack growth, particularly when the economy changed policy. This is particularly strongly felt in banks with weak capital buffers and poor liquidity, as banks are likely to play a role in lending.</w:t>
      </w:r>
    </w:p>
    <w:p w14:paraId="38E4B59C" w14:textId="4DB0BDC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Banks are more likely to lend, and their lending conditions become less limitless as banks' anxiety increases. This shift occurs because there is more loan default risk in uncertainty when loan defaults occur during periods of uncertainty, in which the borrower is facing economic instability and policy changes. In the banking sector, Hamdi and Hassen (202</w:t>
      </w:r>
      <w:r w:rsidR="0090552F">
        <w:rPr>
          <w:rFonts w:ascii="Times New Roman" w:eastAsia="Times New Roman" w:hAnsi="Times New Roman" w:cs="Times New Roman"/>
          <w:color w:val="000000"/>
        </w:rPr>
        <w:t>2</w:t>
      </w:r>
      <w:r>
        <w:rPr>
          <w:rFonts w:ascii="Times New Roman" w:eastAsia="Times New Roman" w:hAnsi="Times New Roman" w:cs="Times New Roman"/>
          <w:color w:val="000000"/>
        </w:rPr>
        <w:t>) found that economic policy uncertainty increased credit risk while simultaneously undercutting loans and deflating loan performance, especially in state-owned banks. We believe these findings are consistent with Baker et al. (2016), who found that global policy uncertainty is related to the decline in bank lending, especially in countries relying on banking for credit distribution.</w:t>
      </w:r>
    </w:p>
    <w:p w14:paraId="3917E87B"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Among these non-performing loans, it is important to note that banks more generally have a greater likelihood of NPLs when economic conditions are unstable; borrowers and lenders are more likely to identify loans as NPLs as a result of increased uncertainty about how to repay. Chen et al. (2018) argue that there is more credit risk because increasing economic uncertainty puts more credit risk on lenders as they cannot repay loans, taking credit risk as the economy fluctuates. This situation forces banks to tighten their lending policies or reduce the volume of loans they issue, further lowering economic activity.</w:t>
      </w:r>
    </w:p>
    <w:p w14:paraId="653E831C" w14:textId="77777777" w:rsidR="008059F4" w:rsidRDefault="00654302">
      <w:pPr>
        <w:rPr>
          <w:rFonts w:ascii="Times New Roman" w:eastAsia="Times New Roman" w:hAnsi="Times New Roman" w:cs="Times New Roman"/>
        </w:rPr>
      </w:pPr>
      <w:r>
        <w:rPr>
          <w:rFonts w:ascii="Times New Roman" w:eastAsia="Times New Roman" w:hAnsi="Times New Roman" w:cs="Times New Roman"/>
          <w:b/>
          <w:bCs/>
        </w:rPr>
        <w:t>3.2.2 Liquidity Pressures and Funding Stability</w:t>
      </w:r>
    </w:p>
    <w:p w14:paraId="2A38AD81" w14:textId="618F1301" w:rsidR="008059F4" w:rsidRDefault="00654302">
      <w:pPr>
        <w:spacing w:line="259" w:lineRule="auto"/>
        <w:jc w:val="both"/>
        <w:rPr>
          <w:rFonts w:ascii="Times New Roman" w:eastAsia="Times New Roman" w:hAnsi="Times New Roman" w:cs="Times New Roman"/>
        </w:rPr>
      </w:pPr>
      <w:r>
        <w:rPr>
          <w:rFonts w:ascii="Times New Roman" w:eastAsia="Times New Roman" w:hAnsi="Times New Roman" w:cs="Times New Roman"/>
        </w:rPr>
        <w:t xml:space="preserve">Liquidity is the central factor of banking stability and is particularly sensitive to </w:t>
      </w:r>
      <w:r w:rsidR="006446B9">
        <w:rPr>
          <w:rFonts w:ascii="Times New Roman" w:eastAsia="Times New Roman" w:hAnsi="Times New Roman" w:cs="Times New Roman"/>
        </w:rPr>
        <w:t>MPU</w:t>
      </w:r>
      <w:r>
        <w:rPr>
          <w:rFonts w:ascii="Times New Roman" w:eastAsia="Times New Roman" w:hAnsi="Times New Roman" w:cs="Times New Roman"/>
        </w:rPr>
        <w:t xml:space="preserve">. Banks rely on stable liquidity positions for withdrawals and lending. For instance, when faced with more uncertainty, banks are often looted for liquidity to shield from shocks. In particular, U.S. banks increased liquid assets after the 2008 financial crisis because of high </w:t>
      </w:r>
      <w:r w:rsidR="006446B9">
        <w:rPr>
          <w:rFonts w:ascii="Times New Roman" w:eastAsia="Times New Roman" w:hAnsi="Times New Roman" w:cs="Times New Roman"/>
        </w:rPr>
        <w:t>M</w:t>
      </w:r>
      <w:r>
        <w:rPr>
          <w:rFonts w:ascii="Times New Roman" w:eastAsia="Times New Roman" w:hAnsi="Times New Roman" w:cs="Times New Roman"/>
        </w:rPr>
        <w:t xml:space="preserve">PU. For example, Berger et al. (2024) identified banks with low initial liquidity and more vulnerability to peer-bank </w:t>
      </w:r>
      <w:proofErr w:type="spellStart"/>
      <w:r>
        <w:rPr>
          <w:rFonts w:ascii="Times New Roman" w:eastAsia="Times New Roman" w:hAnsi="Times New Roman" w:cs="Times New Roman"/>
        </w:rPr>
        <w:t>spillovers</w:t>
      </w:r>
      <w:proofErr w:type="spellEnd"/>
      <w:r>
        <w:rPr>
          <w:rFonts w:ascii="Times New Roman" w:eastAsia="Times New Roman" w:hAnsi="Times New Roman" w:cs="Times New Roman"/>
        </w:rPr>
        <w:t xml:space="preserve"> as more likely to hoard liquidity during low policy uncertainty. The other study by Berger et al. (2022) used a full range of bank liquidity hoarding to confirm that </w:t>
      </w:r>
      <w:r w:rsidR="006446B9">
        <w:rPr>
          <w:rFonts w:ascii="Times New Roman" w:eastAsia="Times New Roman" w:hAnsi="Times New Roman" w:cs="Times New Roman"/>
        </w:rPr>
        <w:t>M</w:t>
      </w:r>
      <w:r>
        <w:rPr>
          <w:rFonts w:ascii="Times New Roman" w:eastAsia="Times New Roman" w:hAnsi="Times New Roman" w:cs="Times New Roman"/>
        </w:rPr>
        <w:t xml:space="preserve">PU is widely dominant in asset, liability, and off-balance-sheet hoarding. </w:t>
      </w:r>
    </w:p>
    <w:p w14:paraId="5B64E9A8"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Adding to liquidity pressures is the reduction in lending. The relationship between liquidity and credit extends, Baker et al. (2014) argue, when uncertainty worsens; banks find an exchange-off between holding liquid assets and extending credit. As banks become more cautious, they no longer will lend more, resulting in a fall in financial confidence. In particular, this phenomenon arises particularly well in monetary contraction periods when the costs of borrowing increase, and banks need to take more conservative lending decisions so that they can control their liquid assets.</w:t>
      </w:r>
    </w:p>
    <w:p w14:paraId="4964A9EC"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There is also a role for international factors, such as international capital flows and geopolitical instability, in liquidity as well. For example, Miranda-</w:t>
      </w:r>
      <w:proofErr w:type="spellStart"/>
      <w:r>
        <w:rPr>
          <w:rFonts w:ascii="Times New Roman" w:eastAsia="Times New Roman" w:hAnsi="Times New Roman" w:cs="Times New Roman"/>
          <w:color w:val="000000"/>
        </w:rPr>
        <w:t>Agrippino</w:t>
      </w:r>
      <w:proofErr w:type="spellEnd"/>
      <w:r>
        <w:rPr>
          <w:rFonts w:ascii="Times New Roman" w:eastAsia="Times New Roman" w:hAnsi="Times New Roman" w:cs="Times New Roman"/>
          <w:color w:val="000000"/>
        </w:rPr>
        <w:t>, &amp; Rey (2020) point out that the effects of U.S. monetary policy uncertainty not only shape domestic liquidity but also affect global credit markets. The difficulty of taking long-term investments that global investors are unwilling to make by themselves has further limited liquidity available for banks, particularly in developing economies. This global dimension of liquidity pressures demonstrates the connections between banking stability in a globalized financial system.</w:t>
      </w:r>
    </w:p>
    <w:p w14:paraId="35D79F0C" w14:textId="074E544D" w:rsidR="008059F4" w:rsidRDefault="00654302">
      <w:pPr>
        <w:spacing w:line="259" w:lineRule="auto"/>
        <w:jc w:val="both"/>
        <w:rPr>
          <w:rFonts w:ascii="Times New Roman" w:eastAsia="Times New Roman" w:hAnsi="Times New Roman" w:cs="Times New Roman"/>
        </w:rPr>
      </w:pPr>
      <w:r>
        <w:rPr>
          <w:rFonts w:ascii="Times New Roman" w:eastAsia="Times New Roman" w:hAnsi="Times New Roman" w:cs="Times New Roman"/>
        </w:rPr>
        <w:t xml:space="preserve">Also, regulatory structures like Basel III are not overstated in how they relate to liquidity risk. But even without these regulatory guarantees, the </w:t>
      </w:r>
      <w:r w:rsidR="006446B9">
        <w:rPr>
          <w:rFonts w:ascii="Times New Roman" w:eastAsia="Times New Roman" w:hAnsi="Times New Roman" w:cs="Times New Roman"/>
        </w:rPr>
        <w:t>M</w:t>
      </w:r>
      <w:r>
        <w:rPr>
          <w:rFonts w:ascii="Times New Roman" w:eastAsia="Times New Roman" w:hAnsi="Times New Roman" w:cs="Times New Roman"/>
        </w:rPr>
        <w:t xml:space="preserve">PU, even if it has been introduced by Basel III, will still damage bank liquidity. Berger et al. (2024) show that banks tend to hold liquidity when they are exposed to increased </w:t>
      </w:r>
      <w:r w:rsidR="006446B9">
        <w:rPr>
          <w:rFonts w:ascii="Times New Roman" w:eastAsia="Times New Roman" w:hAnsi="Times New Roman" w:cs="Times New Roman"/>
        </w:rPr>
        <w:t>M</w:t>
      </w:r>
      <w:r>
        <w:rPr>
          <w:rFonts w:ascii="Times New Roman" w:eastAsia="Times New Roman" w:hAnsi="Times New Roman" w:cs="Times New Roman"/>
        </w:rPr>
        <w:t xml:space="preserve">PU which may counteract the stabilizing effect of Basel III. According to </w:t>
      </w:r>
      <w:proofErr w:type="spellStart"/>
      <w:r>
        <w:rPr>
          <w:rFonts w:ascii="Times New Roman" w:eastAsia="Times New Roman" w:hAnsi="Times New Roman" w:cs="Times New Roman"/>
        </w:rPr>
        <w:t>Davydov</w:t>
      </w:r>
      <w:proofErr w:type="spellEnd"/>
      <w:r>
        <w:rPr>
          <w:rFonts w:ascii="Times New Roman" w:eastAsia="Times New Roman" w:hAnsi="Times New Roman" w:cs="Times New Roman"/>
        </w:rPr>
        <w:t xml:space="preserve"> et al. (2024), regulatory compliance alone may not be sufficient to fully mitigate liquidity risk when banks anticipate unpredictable or disruptive policy shifts.</w:t>
      </w:r>
    </w:p>
    <w:p w14:paraId="2BFD60CF" w14:textId="77777777" w:rsidR="008059F4" w:rsidRDefault="00654302">
      <w:pPr>
        <w:rPr>
          <w:rFonts w:ascii="Times New Roman" w:eastAsia="Times New Roman" w:hAnsi="Times New Roman" w:cs="Times New Roman"/>
        </w:rPr>
      </w:pPr>
      <w:r>
        <w:rPr>
          <w:rFonts w:ascii="Times New Roman" w:eastAsia="Times New Roman" w:hAnsi="Times New Roman" w:cs="Times New Roman"/>
          <w:b/>
          <w:bCs/>
        </w:rPr>
        <w:t xml:space="preserve">3.2.3 Capital Adequacy and Risk-Taking </w:t>
      </w:r>
      <w:proofErr w:type="spellStart"/>
      <w:r>
        <w:rPr>
          <w:rFonts w:ascii="Times New Roman" w:eastAsia="Times New Roman" w:hAnsi="Times New Roman" w:cs="Times New Roman"/>
          <w:b/>
          <w:bCs/>
        </w:rPr>
        <w:t>Behavior</w:t>
      </w:r>
      <w:proofErr w:type="spellEnd"/>
    </w:p>
    <w:p w14:paraId="3277A9AF"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The Capital Adequacy Ratio (CAR</w:t>
      </w:r>
      <w:r>
        <w:rPr>
          <w:rFonts w:ascii="Times New Roman" w:eastAsia="Times New Roman" w:hAnsi="Times New Roman" w:cs="Times New Roman"/>
          <w:color w:val="000000"/>
        </w:rPr>
        <w:t xml:space="preserve">) is a fundamental component of banking stability that enables banks to accumulate enough capital to continue operating and sustain financial stress during the financial crisis. A well-capitalized bank will be better equipped to take on economic shocks and risks. </w:t>
      </w:r>
      <w:proofErr w:type="spellStart"/>
      <w:r>
        <w:rPr>
          <w:rFonts w:ascii="Times New Roman" w:eastAsia="Times New Roman" w:hAnsi="Times New Roman" w:cs="Times New Roman"/>
          <w:color w:val="000000"/>
        </w:rPr>
        <w:t>Ndubueze</w:t>
      </w:r>
      <w:proofErr w:type="spellEnd"/>
      <w:r>
        <w:rPr>
          <w:rFonts w:ascii="Times New Roman" w:eastAsia="Times New Roman" w:hAnsi="Times New Roman" w:cs="Times New Roman"/>
          <w:color w:val="000000"/>
        </w:rPr>
        <w:t xml:space="preserve"> (2025) studies the role of higher CAR levels for better risk-taking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among UK banks, mentioning that Basel III capital regulations have made banks less likely to be exposed to excessive risk-taking through higher capital buffers.</w:t>
      </w:r>
    </w:p>
    <w:p w14:paraId="33B5792A"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However, the role of capital adequacy in risk-taking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is not linear. While higher capital ratios typically lead to less risk exposure, monetary policy uncertainty can also induce aggressive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particularly if banks sense the imminent policy shift that could evoke new policy rules triggering higher asset prices or short-term profitability opportunities. Such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will be particularly a focus of CAR when economic conditions are volatile. As Nguyen et al. (2024), in such situation’s banks might adjust risk-taking strategies to maintain profitability, but risk exposure is damaging long-term stability at risk.</w:t>
      </w:r>
    </w:p>
    <w:p w14:paraId="53F60AE3"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Economic policy uncertainty is also often associated with market volatility, which influences the risk profiles of financial institutions. For example, Li &amp; </w:t>
      </w:r>
      <w:proofErr w:type="gramStart"/>
      <w:r>
        <w:rPr>
          <w:rFonts w:ascii="Times New Roman" w:eastAsia="Times New Roman" w:hAnsi="Times New Roman" w:cs="Times New Roman"/>
          <w:color w:val="000000"/>
        </w:rPr>
        <w:t>Zhong  (</w:t>
      </w:r>
      <w:proofErr w:type="gramEnd"/>
      <w:r>
        <w:rPr>
          <w:rFonts w:ascii="Times New Roman" w:eastAsia="Times New Roman" w:hAnsi="Times New Roman" w:cs="Times New Roman"/>
          <w:color w:val="000000"/>
        </w:rPr>
        <w:t xml:space="preserve">2019) observe that banks in high-uncertainty areas tend to increase their exposure to high-yield assets, seeking more profits for a “better return,” as they hope to compensate for perceived risk. This risk-taking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can further weaken stability because it creates a contradiction between the risk appetite of the bank and capital adequacy. In the face of economic recession, banks with inadequate capital buffers will be more likely to suffer insolvency.</w:t>
      </w:r>
    </w:p>
    <w:p w14:paraId="210C7D02"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Further, capital regulation is crucial in ensuring that banks have sufficient buffers to absorb unpredictable losses. The Basel III framework, which requires high capital requirements, aims to prevent financial institutions from being risky during policy uncertainty. Olawale (2024) also shows that better capitalized banks are less likely to suffer from liquidity crises because they can respond more effectively to shocks and retain lending even during downturns.</w:t>
      </w:r>
    </w:p>
    <w:p w14:paraId="772487B2" w14:textId="77777777" w:rsidR="008059F4" w:rsidRDefault="00654302">
      <w:pPr>
        <w:spacing w:before="280" w:line="240" w:lineRule="auto"/>
        <w:jc w:val="both"/>
        <w:rPr>
          <w:rFonts w:ascii="Times New Roman" w:eastAsia="Times New Roman" w:hAnsi="Times New Roman" w:cs="Times New Roman"/>
          <w:color w:val="000000"/>
        </w:rPr>
      </w:pPr>
      <w:bookmarkStart w:id="2" w:name="_haxs1dt3sk51" w:colFirst="0" w:colLast="0"/>
      <w:bookmarkEnd w:id="2"/>
      <w:r>
        <w:rPr>
          <w:rFonts w:ascii="Times New Roman" w:eastAsia="Times New Roman" w:hAnsi="Times New Roman" w:cs="Times New Roman"/>
          <w:b/>
          <w:bCs/>
          <w:color w:val="000000"/>
        </w:rPr>
        <w:t>3.3 Role of AI and Advanced Analytics (RQ3)</w:t>
      </w:r>
    </w:p>
    <w:p w14:paraId="4F76ACED" w14:textId="77777777" w:rsidR="008059F4" w:rsidRDefault="00654302">
      <w:pPr>
        <w:rPr>
          <w:rFonts w:ascii="Times New Roman" w:eastAsia="Times New Roman" w:hAnsi="Times New Roman" w:cs="Times New Roman"/>
        </w:rPr>
      </w:pPr>
      <w:bookmarkStart w:id="3" w:name="_ks922g4di87f" w:colFirst="0" w:colLast="0"/>
      <w:bookmarkEnd w:id="3"/>
      <w:r>
        <w:rPr>
          <w:rFonts w:ascii="Times New Roman" w:eastAsia="Times New Roman" w:hAnsi="Times New Roman" w:cs="Times New Roman"/>
          <w:b/>
          <w:bCs/>
        </w:rPr>
        <w:t>3.3.1 AI/ML in Predicting Bank Distress</w:t>
      </w:r>
    </w:p>
    <w:p w14:paraId="16D4E448"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One potential use of AI/ML for banking is the ability to predict distress using the analysis of large datasets, such as transaction history, market conditions, and macroeconomic conditions (</w:t>
      </w:r>
      <w:proofErr w:type="spellStart"/>
      <w:r>
        <w:rPr>
          <w:rFonts w:ascii="Times New Roman" w:eastAsia="Times New Roman" w:hAnsi="Times New Roman" w:cs="Times New Roman"/>
          <w:color w:val="000000"/>
        </w:rPr>
        <w:t>Akubilla</w:t>
      </w:r>
      <w:proofErr w:type="spellEnd"/>
      <w:r>
        <w:rPr>
          <w:rFonts w:ascii="Times New Roman" w:eastAsia="Times New Roman" w:hAnsi="Times New Roman" w:cs="Times New Roman"/>
          <w:color w:val="000000"/>
        </w:rPr>
        <w:t xml:space="preserve"> et al., 2025; </w:t>
      </w:r>
      <w:proofErr w:type="spellStart"/>
      <w:r>
        <w:rPr>
          <w:rFonts w:ascii="Times New Roman" w:eastAsia="Times New Roman" w:hAnsi="Times New Roman" w:cs="Times New Roman"/>
          <w:color w:val="000000"/>
        </w:rPr>
        <w:t>Adaji</w:t>
      </w:r>
      <w:proofErr w:type="spellEnd"/>
      <w:r>
        <w:rPr>
          <w:rFonts w:ascii="Times New Roman" w:eastAsia="Times New Roman" w:hAnsi="Times New Roman" w:cs="Times New Roman"/>
          <w:color w:val="000000"/>
        </w:rPr>
        <w:t xml:space="preserve"> et al., 2025). As </w:t>
      </w:r>
      <w:proofErr w:type="spellStart"/>
      <w:r>
        <w:rPr>
          <w:rFonts w:ascii="Times New Roman" w:eastAsia="Times New Roman" w:hAnsi="Times New Roman" w:cs="Times New Roman"/>
          <w:color w:val="000000"/>
        </w:rPr>
        <w:t>Bordo</w:t>
      </w:r>
      <w:proofErr w:type="spellEnd"/>
      <w:r>
        <w:rPr>
          <w:rFonts w:ascii="Times New Roman" w:eastAsia="Times New Roman" w:hAnsi="Times New Roman" w:cs="Times New Roman"/>
          <w:color w:val="000000"/>
        </w:rPr>
        <w:t xml:space="preserve"> et al. (2016) found, a number of machine learning algorithms used to evaluate historical financial data and identify patterns of bank failure have been found. These algorithms can predict distress better than the normal statistical methods, using complex datasets without being overwhelming for traditional statistical techniques.</w:t>
      </w:r>
    </w:p>
    <w:p w14:paraId="00464C04"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Currently, AI models have been used to predict default probabilities and credit risk of individual banks as part of the U.S. banking system. Cole and White (2012) use logistic regression models with CAMELS-type variables, including capital adequacy, liquidity ratios, and loan performance, to predict the probability of failure among U.S. commercial banks during the crises of 1984–1992 and 2007–2010. Their findings show that these models accurately forecast distress, providing regulators with actionable tools to identify vulnerable institutions.</w:t>
      </w:r>
    </w:p>
    <w:p w14:paraId="23DEEF3A"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Plus, AI/ML models are adaptive and can learn from new data, a factor required in a volatile financial world (</w:t>
      </w:r>
      <w:proofErr w:type="spellStart"/>
      <w:r>
        <w:rPr>
          <w:rFonts w:ascii="Times New Roman" w:eastAsia="Times New Roman" w:hAnsi="Times New Roman" w:cs="Times New Roman"/>
          <w:color w:val="000000"/>
        </w:rPr>
        <w:t>Akubilla</w:t>
      </w:r>
      <w:proofErr w:type="spellEnd"/>
      <w:r>
        <w:rPr>
          <w:rFonts w:ascii="Times New Roman" w:eastAsia="Times New Roman" w:hAnsi="Times New Roman" w:cs="Times New Roman"/>
          <w:color w:val="000000"/>
        </w:rPr>
        <w:t xml:space="preserve"> et al., 2025; </w:t>
      </w:r>
      <w:proofErr w:type="spellStart"/>
      <w:r>
        <w:rPr>
          <w:rFonts w:ascii="Times New Roman" w:eastAsia="Times New Roman" w:hAnsi="Times New Roman" w:cs="Times New Roman"/>
          <w:color w:val="000000"/>
        </w:rPr>
        <w:t>Umoh</w:t>
      </w:r>
      <w:proofErr w:type="spellEnd"/>
      <w:r>
        <w:rPr>
          <w:rFonts w:ascii="Times New Roman" w:eastAsia="Times New Roman" w:hAnsi="Times New Roman" w:cs="Times New Roman"/>
          <w:color w:val="000000"/>
        </w:rPr>
        <w:t xml:space="preserve"> et al., 2025). Examples such as during the COVID-19 pandemic were able to rapidly integrate new data on credit defaults and market shocks and adjust risk assessment in close-to-real time. This dynamic ability to adjust dynamically allows financial regulators and institutions to monitor and take timely action in preventing crises.</w:t>
      </w:r>
    </w:p>
    <w:p w14:paraId="3A8C3946" w14:textId="77777777" w:rsidR="008059F4" w:rsidRDefault="00654302">
      <w:pPr>
        <w:rPr>
          <w:rFonts w:ascii="Times New Roman" w:eastAsia="Times New Roman" w:hAnsi="Times New Roman" w:cs="Times New Roman"/>
        </w:rPr>
      </w:pPr>
      <w:r>
        <w:rPr>
          <w:rFonts w:ascii="Times New Roman" w:eastAsia="Times New Roman" w:hAnsi="Times New Roman" w:cs="Times New Roman"/>
          <w:b/>
          <w:bCs/>
        </w:rPr>
        <w:t>3.3.2 NLP for Policy Uncertainty Measurement</w:t>
      </w:r>
    </w:p>
    <w:p w14:paraId="307DF2F2"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bookmarkStart w:id="4" w:name="_tn7veqz9abl3" w:colFirst="0" w:colLast="0"/>
      <w:bookmarkEnd w:id="4"/>
      <w:r>
        <w:rPr>
          <w:rFonts w:ascii="Times New Roman" w:eastAsia="Times New Roman" w:hAnsi="Times New Roman" w:cs="Times New Roman"/>
          <w:color w:val="000000"/>
        </w:rPr>
        <w:t>Natural Language Processing (NLP) is increasingly being applied to quantify and estimate economic policy uncertainty. NLP has helped to transform the assessment of uncertainty primarily by focusing on macroeconomic models or expert opinion in finding useful insights from many disparate unstructured data sources such as news articles, financial reports, and social media.</w:t>
      </w:r>
    </w:p>
    <w:p w14:paraId="6ADDF073" w14:textId="4A0AD89A"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One development with NLP applications is the economic policy uncertainty index, which, because of the frequency of the newspaper that mentions the word "uncertainty," is one essential development for NLP applications. By text mining, NLP can now automatically view thousands of news articles in real time, identifying patterns and quantifying the degree of uncertainty about economic policies. Baker et al. (2016) demonstrated that an NLP-based </w:t>
      </w:r>
      <w:r w:rsidR="006446B9">
        <w:rPr>
          <w:rFonts w:ascii="Times New Roman" w:eastAsia="Times New Roman" w:hAnsi="Times New Roman" w:cs="Times New Roman"/>
          <w:color w:val="000000"/>
        </w:rPr>
        <w:t>M</w:t>
      </w:r>
      <w:r>
        <w:rPr>
          <w:rFonts w:ascii="Times New Roman" w:eastAsia="Times New Roman" w:hAnsi="Times New Roman" w:cs="Times New Roman"/>
          <w:color w:val="000000"/>
        </w:rPr>
        <w:t>PU index is capable of covering spikes in uncertainty that are associated with policy announcements, elections, or financial crises, which have important consequences on bank performance and lending decisions.</w:t>
      </w:r>
    </w:p>
    <w:p w14:paraId="5F5E5101"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NLP also has been used in the banking industry in the U.S. to understand the language used in Federal Reserve statements and policy documents to gauge the level of uncertainty that financial markets perceive. The results of </w:t>
      </w:r>
      <w:proofErr w:type="spellStart"/>
      <w:r>
        <w:rPr>
          <w:rFonts w:ascii="Times New Roman" w:eastAsia="Times New Roman" w:hAnsi="Times New Roman" w:cs="Times New Roman"/>
          <w:color w:val="000000"/>
        </w:rPr>
        <w:t>Bordo</w:t>
      </w:r>
      <w:proofErr w:type="spellEnd"/>
      <w:r>
        <w:rPr>
          <w:rFonts w:ascii="Times New Roman" w:eastAsia="Times New Roman" w:hAnsi="Times New Roman" w:cs="Times New Roman"/>
          <w:color w:val="000000"/>
        </w:rPr>
        <w:t xml:space="preserve"> et al. (2016) suggest that sentiment extracted from central bank communications using sentiment analysis techniques with NLP can serve as the main determinant of market response to policy changes. NLP’s ability to measure policy uncertainty allows financial analysts and regulators to know when sentiment is trending and modify risk management strategies accordingly.</w:t>
      </w:r>
    </w:p>
    <w:p w14:paraId="40567C7D"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NLP also has a crucial role in real-time monitoring. NLP methods can identify emerging uncertainty in the economic landscape, such as sudden changes in fiscal policy or regulatory changes, in which text data is often stored continuously from news sources, social media, and regulatory filings. This ability has been useful when you are at risk of falling into a situation of intense uncertainty, such as a financial crisis or global pandemic, where market sentiment and bank </w:t>
      </w:r>
      <w:r>
        <w:rPr>
          <w:rFonts w:ascii="Times New Roman" w:eastAsia="Times New Roman" w:hAnsi="Times New Roman" w:cs="Times New Roman"/>
          <w:color w:val="000000"/>
        </w:rPr>
        <w:lastRenderedPageBreak/>
        <w:t>stability are very sensitive to any little changes in policy expectations, or at times when markets or bank stability seem highly fragile.</w:t>
      </w:r>
    </w:p>
    <w:p w14:paraId="50F29B2E" w14:textId="77777777" w:rsidR="008059F4" w:rsidRDefault="00654302">
      <w:pPr>
        <w:rPr>
          <w:rFonts w:ascii="Times New Roman" w:eastAsia="Times New Roman" w:hAnsi="Times New Roman" w:cs="Times New Roman"/>
        </w:rPr>
      </w:pPr>
      <w:r>
        <w:rPr>
          <w:rFonts w:ascii="Times New Roman" w:eastAsia="Times New Roman" w:hAnsi="Times New Roman" w:cs="Times New Roman"/>
          <w:b/>
          <w:bCs/>
        </w:rPr>
        <w:t>3.3.3 Use of Stress-Testing Simulations and Sentiment Analysis</w:t>
      </w:r>
    </w:p>
    <w:p w14:paraId="06381067"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Stress testing and sentiment analysis are two of the most important tools for modern bank risk management, especially in the context of economic uncertainty. Stress testing is used to mimic various economic scenarios and test the bank’s ability to survive shocks. While advances in analytics and AI have made stress testing more dynamic, data-driven, and realistic, and anxiety testing, the modern day is becoming ever more dynamic and data-driven.</w:t>
      </w:r>
    </w:p>
    <w:p w14:paraId="2FD9E6FB" w14:textId="77777777" w:rsidR="008059F4" w:rsidRDefault="00654302">
      <w:pPr>
        <w:spacing w:line="259" w:lineRule="auto"/>
        <w:jc w:val="both"/>
        <w:rPr>
          <w:rFonts w:ascii="Times New Roman" w:eastAsia="Times New Roman" w:hAnsi="Times New Roman" w:cs="Times New Roman"/>
        </w:rPr>
      </w:pPr>
      <w:r>
        <w:rPr>
          <w:rFonts w:ascii="Times New Roman" w:eastAsia="Times New Roman" w:hAnsi="Times New Roman" w:cs="Times New Roman"/>
        </w:rPr>
        <w:t>Stress testing was a manual, one-off routine that often took place annually or quarterly. But, with the addition of AI and machine learning, stress testing has become a dynamic, real-time process. AI/ML models can simulate several economic shocks, such as interest rate changes, currency fluctuations, stock market volatility, and geopolitical instability, so banks can adjust risk models when new data emerges (Prajapati, 2025). This constant testing of banks’ resilience allows banks to respond more rapidly to changing economic conditions and thus be more prepared for unpredictable events.</w:t>
      </w:r>
    </w:p>
    <w:p w14:paraId="557F016D"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From the COVID-19 crisis, many financial institutions used AI-boosted stress testing simulations to assess the impact of pandemic events on capital and liquidity positions. Real-time simulations with real-time data enabled banks to modify risk management practices and obtain additional capital when needed (Kwan et al., 2023).</w:t>
      </w:r>
    </w:p>
    <w:p w14:paraId="04668F10"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Another tool that can provide insight into market expectations and reactions is sentiment analysis. Using NLP models, sentiment analysis can gather emotion in financial news, social media, and investor conversations, predicting risks. AI-driven sentiment analysis is used to detect investor sentiment shifts that could precede the collapse of a market that could signal the early warning signs of bank distress.</w:t>
      </w:r>
    </w:p>
    <w:p w14:paraId="6D8B11D5" w14:textId="77777777" w:rsidR="008059F4" w:rsidRDefault="00654302">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AI/ML stress-test simulations and sentiment analysis of sentiment provide banks and financial institutions with improved forecasting abilities that allow them to focus more on proactive risk management. These advanced techniques enable us to gain a deeper understanding of the complex dynamics that drive bank stability, particularly as they are at a crossroads of economic crisis and policy uncertainty. As these technologies grow, the inclusion of these technologies into regulatory policies and banking practices will further enhance the resilience of the global financial system.</w:t>
      </w:r>
    </w:p>
    <w:p w14:paraId="0B37FAFD" w14:textId="77777777" w:rsidR="008059F4" w:rsidRDefault="00654302">
      <w:pPr>
        <w:spacing w:before="280" w:line="240" w:lineRule="auto"/>
        <w:jc w:val="both"/>
        <w:rPr>
          <w:rFonts w:ascii="Times New Roman" w:eastAsia="Times New Roman" w:hAnsi="Times New Roman" w:cs="Times New Roman"/>
          <w:color w:val="000000"/>
        </w:rPr>
      </w:pPr>
      <w:bookmarkStart w:id="5" w:name="_uu7vcggxfl31" w:colFirst="0" w:colLast="0"/>
      <w:bookmarkEnd w:id="5"/>
      <w:r>
        <w:rPr>
          <w:rFonts w:ascii="Times New Roman" w:eastAsia="Times New Roman" w:hAnsi="Times New Roman" w:cs="Times New Roman"/>
          <w:b/>
          <w:bCs/>
          <w:color w:val="000000"/>
        </w:rPr>
        <w:t>3.4 Gaps and Future Research (RQ4)</w:t>
      </w:r>
    </w:p>
    <w:p w14:paraId="7DA470E2" w14:textId="77777777" w:rsidR="008059F4" w:rsidRDefault="0065430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3.4.1 Integration of Real-Time Data (News, Social Media)</w:t>
      </w:r>
    </w:p>
    <w:p w14:paraId="288B780D"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One of the major gaps in current banking stability research is in integrating real-time data from news sources and social media into predictive models. A long-standing economic measure of interest rates, GDP growth, and inflation has long been the foundation for policy and risk assessment, but they are not as easily up to date as the fast, often unpredictable changes that public sentiment and market expectations will change when things change in real-time. </w:t>
      </w:r>
    </w:p>
    <w:p w14:paraId="09895E92"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problem, though, is the volume and variability of real-time data. Traditional models of economic policy uncertainty based on lagged data fail to capture market reactions to policy changes or geopolitical developments. While NLP and sentiment analysis have allowed for the capture of large amounts of unstructured text from online sources, these methods are still limited to integrating unstructured text data into real-time risk assessments. As yet, banks and regulators are not yet beginning to investigate how they can use this information to predict the outcome of macroeconomic policies on the stability of financial institutions. While this ability to construct model-based models from unstructured data, such as news articles, tweets, or regulatory filings, is rarely utilized in banking stability studies, AI-based models can offer real-time insights into policy uncertainty in real time, but they are currently underused in banking stability research.</w:t>
      </w:r>
    </w:p>
    <w:p w14:paraId="75FDC454"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Future research should seek to develop better algorithms that will learn and interpret news and social media data in the same manner as economic indicators and to be fully capitalized on real-time data. Combining sentiment analysis with economic variables may help improve risk models, and banks may adapt better to changing market conditions. For example, when markets have been more fragile, as during the COVID-19 pandemic, real-time data can provide an easier view of market sentiment and provide early warning signals about potential instability in the banking sector.</w:t>
      </w:r>
    </w:p>
    <w:p w14:paraId="2361BAAF" w14:textId="77777777" w:rsidR="008059F4" w:rsidRDefault="0065430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3.4.2 Lack of Explainable AI in Macroprudential Stress Testing</w:t>
      </w:r>
    </w:p>
    <w:p w14:paraId="7743A243"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Another huge gap in current banking stability models is that XAI for macroprudential stress testing is not explained by explainable AI. While AI and machine learning technologies have been successfully used for improving stress-testing models by generating large quantities of data and forecasting vulnerabilities, many AI models remain lacking in transparency. Explainable AI is the term used to describe machine learning models that make predictions and provide information about the human side of their decision-making processes. In the context of macroprudential stress testing, XAI is critical for ensuring that regulatory bodies and financial institutions are able to trust that AI systems predict predictions.</w:t>
      </w:r>
    </w:p>
    <w:p w14:paraId="78B4EA9C"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Such stress-testing methods often rely on black-box models, which are transparent and difficult for regulators to interpret. This lack of interpretability presents challenges for regulators who need to make sure the AI models comply with regulations and also validate predictions before they implement policy changes. If AI is used in stress tests without explanation, it is likely to undermine the credibility of results because participants may question the accuracy and fairness of predictions.</w:t>
      </w:r>
    </w:p>
    <w:p w14:paraId="4F994FB1"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Future research is required to integrate </w:t>
      </w:r>
      <w:proofErr w:type="spellStart"/>
      <w:r>
        <w:rPr>
          <w:rFonts w:ascii="Times New Roman" w:eastAsia="Times New Roman" w:hAnsi="Times New Roman" w:cs="Times New Roman"/>
          <w:color w:val="000000"/>
        </w:rPr>
        <w:t>explainability</w:t>
      </w:r>
      <w:proofErr w:type="spellEnd"/>
      <w:r>
        <w:rPr>
          <w:rFonts w:ascii="Times New Roman" w:eastAsia="Times New Roman" w:hAnsi="Times New Roman" w:cs="Times New Roman"/>
          <w:color w:val="000000"/>
        </w:rPr>
        <w:t xml:space="preserve"> in stress tests in order to improve the reliability and accountability of these models for future studies. Researchers should focus on developing XAI strategies that are not only useful but also transparent and understandable in their decision-making processes. Prudential stress testing approaches that incorporate feature-specific explanations, such as LIME or SHAP, can be used in macroprudential stress testing to help regulators and stakeholders better understand the mechanisms by which a bank’s vulnerability has </w:t>
      </w:r>
      <w:r>
        <w:rPr>
          <w:rFonts w:ascii="Times New Roman" w:eastAsia="Times New Roman" w:hAnsi="Times New Roman" w:cs="Times New Roman"/>
          <w:color w:val="000000"/>
        </w:rPr>
        <w:lastRenderedPageBreak/>
        <w:t>been formed. They would also be useful. This would lead to better policy decisions, increase transparency of AI-based assessments and provide legitimacy to stress testing outcomes.</w:t>
      </w:r>
    </w:p>
    <w:p w14:paraId="47931E3B" w14:textId="77777777" w:rsidR="008059F4" w:rsidRDefault="00654302">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3.4.3 Limited Linkage Between AI Forecasts and Policy Instruments</w:t>
      </w:r>
    </w:p>
    <w:p w14:paraId="71FB8A9B"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Thirdly, in the current environment of banking stability research, the limited connection between AI forecasts and policy instruments is a major difference. While AI-based models have shown promise for predicting potential risk and bank stability, their predictions may not always be directly tied to policy instruments or action plans that regulators can adopt. Real-time AI data not sufficiently equipped with policy responses such as interest rate changes, capital adequacy requirements, and liquidity rules can often not adequately predict policy intervention, which can diminish the effectiveness of policy intervention.</w:t>
      </w:r>
    </w:p>
    <w:p w14:paraId="5A015FF5"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AI could improve policy decision-making, but it is far from being ready for the potential. Whether such models can predict the impact of the various economic scenarios on bank stability is not universally measured using the AI but can be integrated with regulatory mechanisms that govern policy change. Important to macroeconomic policy is the understanding of EPU through which credit risk and lending decisions are influenced by economic policy uncertainty. But policies that do not know how to act upon them are not currently in place enough for policymakers to take advantage of those insights.</w:t>
      </w:r>
    </w:p>
    <w:p w14:paraId="01CB1964"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Future research should focus on building structures linking AI-driven forecasts to policy instruments. This includes extending software that allows regulators to modify policy for AI-generated forecasts. For instance, if an AI model predicts that the bank’s capital adequacy ratio will be severely affected by an economic shock, policymakers could adjust capital requirements or apply liquidity support measures to mitigate risk before the crisis unfolds. Real-time AI models could inform policy adjustments and be used to be more responsive to new threats for policymakers, making policy decisions more active.</w:t>
      </w:r>
    </w:p>
    <w:p w14:paraId="6799CD92" w14:textId="77777777" w:rsidR="008059F4" w:rsidRDefault="00654302">
      <w:pP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4. Conclusion</w:t>
      </w:r>
    </w:p>
    <w:p w14:paraId="12703562" w14:textId="77777777" w:rsidR="008059F4" w:rsidRDefault="00654302">
      <w:pPr>
        <w:jc w:val="both"/>
        <w:rPr>
          <w:rFonts w:ascii="Times New Roman" w:eastAsia="Times New Roman" w:hAnsi="Times New Roman" w:cs="Times New Roman"/>
        </w:rPr>
      </w:pPr>
      <w:r>
        <w:rPr>
          <w:rFonts w:ascii="Times New Roman" w:eastAsia="Times New Roman" w:hAnsi="Times New Roman" w:cs="Times New Roman"/>
        </w:rPr>
        <w:t xml:space="preserve">The findings presented in this study show how monetary policy uncertainty impacted significant aspects of banking stability, specifically the supply and liquidity channels, through its effect on major bank stability variables. This finding provides evidence that increased uncertainty, such as economic stress, leads to tighter credit and lower loan performance as banks become less risk-averse. In addition, liquidity pressures result in financial institutions engaging in the act of hoarding liquidity, constraining credit flow and hindering economic recovery. This vulnerability of financial systems to monetary policy uncertainty is illustrated by a link between policy uncertainty and bank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emphasizing the need for aggressive regulatory responses.</w:t>
      </w:r>
    </w:p>
    <w:p w14:paraId="75BCA4D3"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Another interesting contribution AI and ML have to the development of predictive capabilities in banking stability models is that they are very potent. This will enable better forecasting of bank distress based on multiple data, such as transaction history and market movements. But the </w:t>
      </w:r>
      <w:r>
        <w:rPr>
          <w:rFonts w:ascii="Times New Roman" w:eastAsia="Times New Roman" w:hAnsi="Times New Roman" w:cs="Times New Roman"/>
          <w:color w:val="000000"/>
        </w:rPr>
        <w:lastRenderedPageBreak/>
        <w:t xml:space="preserve">limitations of AI-based models are still significant, especially </w:t>
      </w:r>
      <w:proofErr w:type="spellStart"/>
      <w:r>
        <w:rPr>
          <w:rFonts w:ascii="Times New Roman" w:eastAsia="Times New Roman" w:hAnsi="Times New Roman" w:cs="Times New Roman"/>
          <w:color w:val="000000"/>
        </w:rPr>
        <w:t>intransparency</w:t>
      </w:r>
      <w:proofErr w:type="spellEnd"/>
      <w:r>
        <w:rPr>
          <w:rFonts w:ascii="Times New Roman" w:eastAsia="Times New Roman" w:hAnsi="Times New Roman" w:cs="Times New Roman"/>
          <w:color w:val="000000"/>
        </w:rPr>
        <w:t>. In particular, uncomplicated AI in macroprudential stress testing inhibits wider adoption because it requires the full understanding of model decisions to ensure compliance with regulatory compliance and trust in the results.</w:t>
      </w:r>
    </w:p>
    <w:p w14:paraId="610C23A4" w14:textId="77777777" w:rsidR="008059F4" w:rsidRDefault="00654302">
      <w:pPr>
        <w:jc w:val="both"/>
        <w:rPr>
          <w:rFonts w:ascii="Times New Roman" w:eastAsia="Times New Roman" w:hAnsi="Times New Roman" w:cs="Times New Roman"/>
          <w:color w:val="000000"/>
        </w:rPr>
      </w:pPr>
      <w:r>
        <w:rPr>
          <w:rFonts w:ascii="Times New Roman" w:eastAsia="Times New Roman" w:hAnsi="Times New Roman" w:cs="Times New Roman"/>
          <w:color w:val="000000"/>
        </w:rPr>
        <w:t>Some regulatory policies recommend selecting the ML tool for stress testing in this study. This means that AI-driven predictions in real time can re-engineer regulating practices that can be used to be implemented in real time to avoid a financial crisis. Finally, further studies on real-time links between macro-level policy changes and macro-level bank performance must focus more attention on the potential relationship between the real-time relationship between macro-level policy adjustments and micro-level bank performance so that AI systems can be dynamically integrated into the policy process to increase predictive accuracy and financial system stability.</w:t>
      </w:r>
    </w:p>
    <w:p w14:paraId="29C0477C" w14:textId="77777777" w:rsidR="008059F4" w:rsidRDefault="00654302">
      <w:pP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5. Limitations</w:t>
      </w:r>
    </w:p>
    <w:p w14:paraId="50833205"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While this study provides valuable insight into how MPU plays an important role in U.S. banking stability, there are many limitations to this approach.</w:t>
      </w:r>
    </w:p>
    <w:p w14:paraId="5422B8B7"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Language and Time Restrictions</w:t>
      </w:r>
      <w:r>
        <w:rPr>
          <w:rFonts w:ascii="Times New Roman" w:eastAsia="Times New Roman" w:hAnsi="Times New Roman" w:cs="Times New Roman"/>
          <w:color w:val="000000"/>
        </w:rPr>
        <w:t>:</w:t>
      </w:r>
    </w:p>
    <w:p w14:paraId="53152895"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availability of English literature in writing was limited, unless other languages were available for research or, for that matter, the use of that language for reference. The research study also covers literature between 2010 and 2025, so any significant results prior to 2010 or thereafter may not be reflected in this review. These limited time and language constraints limit the scope of analysis, as studies in different languages or older times could provide other insights into the subject matter.</w:t>
      </w:r>
    </w:p>
    <w:p w14:paraId="6DC2CFBE"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Exclusion of Unpublished Studies</w:t>
      </w:r>
      <w:r>
        <w:rPr>
          <w:rFonts w:ascii="Times New Roman" w:eastAsia="Times New Roman" w:hAnsi="Times New Roman" w:cs="Times New Roman"/>
          <w:color w:val="000000"/>
        </w:rPr>
        <w:t>:</w:t>
      </w:r>
    </w:p>
    <w:p w14:paraId="65A89047"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Only published articles were considered in this review, indicating that unpublished or grey literature, including working papers, policy reports and ongoing research, were not included. This lack of a frontier constrains evidence to broad scope as unpublished research may provide new insights or alternative viewpoints that might contribute to a closer understanding of the impact of economic policy uncertainty on bank stability.</w:t>
      </w:r>
    </w:p>
    <w:p w14:paraId="0EB3CF22"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Thematic Synthesis Subjectivity</w:t>
      </w:r>
      <w:r>
        <w:rPr>
          <w:rFonts w:ascii="Times New Roman" w:eastAsia="Times New Roman" w:hAnsi="Times New Roman" w:cs="Times New Roman"/>
          <w:color w:val="000000"/>
        </w:rPr>
        <w:t>:</w:t>
      </w:r>
    </w:p>
    <w:p w14:paraId="231E0EF0"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thematic synthesis for gathering and classifying main findings from reviewed literature is subjective. Some researchers may interpret and group themes differently, resulting in bias in the way in which they are synthesized. While the thematic approach was intended to avoid bias, the possibility of subjectivity in understanding the complexities of each study remains a limitation.</w:t>
      </w:r>
    </w:p>
    <w:p w14:paraId="532FE0E2" w14:textId="77777777" w:rsidR="008059F4" w:rsidRDefault="00654302">
      <w:pPr>
        <w:spacing w:before="280" w:after="2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study has limited resources because it does not explore the dynamic relationship between currency policy uncertainty and banking stability and provides useful context for examining other areas for further research that can address these gaps.</w:t>
      </w:r>
    </w:p>
    <w:p w14:paraId="28DA3F9B" w14:textId="77777777" w:rsidR="00152130" w:rsidRPr="00152130" w:rsidRDefault="00152130" w:rsidP="00152130">
      <w:pPr>
        <w:spacing w:after="200" w:line="276" w:lineRule="auto"/>
        <w:jc w:val="both"/>
        <w:outlineLvl w:val="0"/>
        <w:rPr>
          <w:rFonts w:ascii="Arial" w:eastAsia="Times New Roman" w:hAnsi="Arial" w:cs="Arial"/>
          <w:sz w:val="22"/>
          <w:szCs w:val="22"/>
        </w:rPr>
      </w:pPr>
      <w:r w:rsidRPr="00152130">
        <w:rPr>
          <w:rFonts w:ascii="Arial" w:eastAsia="Times New Roman" w:hAnsi="Arial" w:cs="Arial"/>
          <w:b/>
          <w:bCs/>
          <w:sz w:val="22"/>
          <w:szCs w:val="22"/>
        </w:rPr>
        <w:lastRenderedPageBreak/>
        <w:t>COMPETING INTERESTS DISCLAIMER:</w:t>
      </w:r>
    </w:p>
    <w:p w14:paraId="57C6F187" w14:textId="77777777" w:rsidR="00152130" w:rsidRPr="00152130" w:rsidRDefault="00152130" w:rsidP="00152130">
      <w:pPr>
        <w:spacing w:after="200" w:line="276" w:lineRule="auto"/>
        <w:rPr>
          <w:rFonts w:eastAsia="Times New Roman" w:cs="Times New Roman"/>
          <w:sz w:val="22"/>
          <w:szCs w:val="22"/>
        </w:rPr>
      </w:pPr>
      <w:r w:rsidRPr="00152130">
        <w:rPr>
          <w:rFonts w:eastAsia="Times New Roman" w:cs="Times New Roman"/>
          <w:sz w:val="22"/>
          <w:szCs w:val="22"/>
        </w:rPr>
        <w:t>Authors have declared that they have no known competing financial interests OR non-financial interests OR personal relationships that could have appeared to influence the work reported in this paper.</w:t>
      </w:r>
    </w:p>
    <w:p w14:paraId="062CA82E" w14:textId="77777777" w:rsidR="00152130" w:rsidRPr="00152130" w:rsidRDefault="00152130" w:rsidP="00152130">
      <w:pPr>
        <w:spacing w:after="200" w:line="276" w:lineRule="auto"/>
        <w:rPr>
          <w:rFonts w:eastAsia="Times New Roman" w:cs="Times New Roman"/>
          <w:sz w:val="22"/>
          <w:szCs w:val="22"/>
        </w:rPr>
      </w:pPr>
    </w:p>
    <w:p w14:paraId="5B5EA625" w14:textId="77777777" w:rsidR="008059F4" w:rsidRDefault="008059F4">
      <w:pPr>
        <w:rPr>
          <w:rFonts w:ascii="Times New Roman" w:eastAsia="Times New Roman" w:hAnsi="Times New Roman" w:cs="Times New Roman"/>
        </w:rPr>
      </w:pPr>
    </w:p>
    <w:p w14:paraId="5918B035" w14:textId="2600267D" w:rsidR="008059F4" w:rsidRDefault="008059F4">
      <w:pPr>
        <w:rPr>
          <w:rFonts w:ascii="Times New Roman" w:eastAsia="Times New Roman" w:hAnsi="Times New Roman" w:cs="Times New Roman"/>
        </w:rPr>
      </w:pPr>
    </w:p>
    <w:p w14:paraId="6ED14F64" w14:textId="6EDFA231" w:rsidR="00830DF7" w:rsidRDefault="00830DF7">
      <w:pPr>
        <w:rPr>
          <w:rFonts w:ascii="Times New Roman" w:eastAsia="Times New Roman" w:hAnsi="Times New Roman" w:cs="Times New Roman"/>
        </w:rPr>
      </w:pPr>
    </w:p>
    <w:p w14:paraId="7992060F" w14:textId="77777777" w:rsidR="00830DF7" w:rsidRDefault="00830DF7" w:rsidP="00830DF7">
      <w:pPr>
        <w:rPr>
          <w:rFonts w:cs="Times New Roman"/>
          <w:kern w:val="2"/>
          <w:highlight w:val="yellow"/>
          <w:lang w:val="en-US"/>
        </w:rPr>
      </w:pPr>
      <w:bookmarkStart w:id="6" w:name="_Hlk204003461"/>
      <w:bookmarkStart w:id="7" w:name="_Hlk213070710"/>
      <w:r>
        <w:rPr>
          <w:rFonts w:cs="Times New Roman"/>
          <w:kern w:val="2"/>
          <w:highlight w:val="yellow"/>
          <w:lang w:val="en-US"/>
        </w:rPr>
        <w:t>Disclaimer (Artificial intelligence)</w:t>
      </w:r>
    </w:p>
    <w:p w14:paraId="71FF6EEC" w14:textId="77777777" w:rsidR="00830DF7" w:rsidRDefault="00830DF7" w:rsidP="00830DF7">
      <w:pPr>
        <w:rPr>
          <w:rFonts w:cs="Times New Roman"/>
          <w:kern w:val="2"/>
          <w:highlight w:val="yellow"/>
          <w:lang w:val="en-US"/>
        </w:rPr>
      </w:pPr>
      <w:r>
        <w:rPr>
          <w:rFonts w:cs="Times New Roman"/>
          <w:kern w:val="2"/>
          <w:highlight w:val="yellow"/>
          <w:lang w:val="en-US"/>
        </w:rPr>
        <w:t>Option 1:</w:t>
      </w:r>
    </w:p>
    <w:p w14:paraId="6F4F4F24" w14:textId="77777777" w:rsidR="00830DF7" w:rsidRDefault="00830DF7" w:rsidP="00830DF7">
      <w:pPr>
        <w:rPr>
          <w:rFonts w:cs="Times New Roman"/>
          <w:kern w:val="2"/>
          <w:highlight w:val="yellow"/>
          <w:lang w:val="en-US"/>
        </w:rPr>
      </w:pPr>
      <w:r>
        <w:rPr>
          <w:rFonts w:cs="Times New Roman"/>
          <w:kern w:val="2"/>
          <w:highlight w:val="yellow"/>
          <w:lang w:val="en-US"/>
        </w:rPr>
        <w:t>Author(s) hereby declare that NO generative AI technologies such as Large Language Models (</w:t>
      </w:r>
      <w:proofErr w:type="spellStart"/>
      <w:r>
        <w:rPr>
          <w:rFonts w:cs="Times New Roman"/>
          <w:kern w:val="2"/>
          <w:highlight w:val="yellow"/>
          <w:lang w:val="en-US"/>
        </w:rPr>
        <w:t>ChatGPT</w:t>
      </w:r>
      <w:proofErr w:type="spellEnd"/>
      <w:r>
        <w:rPr>
          <w:rFonts w:cs="Times New Roman"/>
          <w:kern w:val="2"/>
          <w:highlight w:val="yellow"/>
          <w:lang w:val="en-US"/>
        </w:rPr>
        <w:t xml:space="preserve">, COPILOT, etc.) and text-to-image generators have been used during the writing or editing of this manuscript. </w:t>
      </w:r>
    </w:p>
    <w:p w14:paraId="509BF836" w14:textId="77777777" w:rsidR="00830DF7" w:rsidRDefault="00830DF7" w:rsidP="00830DF7">
      <w:pPr>
        <w:rPr>
          <w:rFonts w:cs="Times New Roman"/>
          <w:kern w:val="2"/>
          <w:highlight w:val="yellow"/>
          <w:lang w:val="en-US"/>
        </w:rPr>
      </w:pPr>
      <w:r>
        <w:rPr>
          <w:rFonts w:cs="Times New Roman"/>
          <w:kern w:val="2"/>
          <w:highlight w:val="yellow"/>
          <w:lang w:val="en-US"/>
        </w:rPr>
        <w:t xml:space="preserve">Option 2: </w:t>
      </w:r>
    </w:p>
    <w:p w14:paraId="0A8E0B42" w14:textId="77777777" w:rsidR="00830DF7" w:rsidRDefault="00830DF7" w:rsidP="00830DF7">
      <w:pPr>
        <w:rPr>
          <w:rFonts w:cs="Times New Roman"/>
          <w:kern w:val="2"/>
          <w:highlight w:val="yellow"/>
          <w:lang w:val="en-US"/>
        </w:rPr>
      </w:pPr>
      <w:r>
        <w:rPr>
          <w:rFonts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6529C13" w14:textId="77777777" w:rsidR="00830DF7" w:rsidRDefault="00830DF7" w:rsidP="00830DF7">
      <w:pPr>
        <w:rPr>
          <w:rFonts w:cs="Times New Roman"/>
          <w:kern w:val="2"/>
          <w:highlight w:val="yellow"/>
          <w:lang w:val="en-US"/>
        </w:rPr>
      </w:pPr>
      <w:r>
        <w:rPr>
          <w:rFonts w:cs="Times New Roman"/>
          <w:kern w:val="2"/>
          <w:highlight w:val="yellow"/>
          <w:lang w:val="en-US"/>
        </w:rPr>
        <w:t>Details of the AI usage are given below:</w:t>
      </w:r>
    </w:p>
    <w:p w14:paraId="2A3A481D" w14:textId="77777777" w:rsidR="00830DF7" w:rsidRDefault="00830DF7" w:rsidP="00830DF7">
      <w:pPr>
        <w:rPr>
          <w:rFonts w:cs="Times New Roman"/>
          <w:kern w:val="2"/>
          <w:highlight w:val="yellow"/>
          <w:lang w:val="en-US"/>
        </w:rPr>
      </w:pPr>
      <w:r>
        <w:rPr>
          <w:rFonts w:cs="Times New Roman"/>
          <w:kern w:val="2"/>
          <w:highlight w:val="yellow"/>
          <w:lang w:val="en-US"/>
        </w:rPr>
        <w:t>1.</w:t>
      </w:r>
    </w:p>
    <w:p w14:paraId="18ED57C1" w14:textId="77777777" w:rsidR="00830DF7" w:rsidRDefault="00830DF7" w:rsidP="00830DF7">
      <w:pPr>
        <w:rPr>
          <w:rFonts w:cs="Times New Roman"/>
          <w:kern w:val="2"/>
          <w:highlight w:val="yellow"/>
          <w:lang w:val="en-US"/>
        </w:rPr>
      </w:pPr>
      <w:r>
        <w:rPr>
          <w:rFonts w:cs="Times New Roman"/>
          <w:kern w:val="2"/>
          <w:highlight w:val="yellow"/>
          <w:lang w:val="en-US"/>
        </w:rPr>
        <w:t>2.</w:t>
      </w:r>
    </w:p>
    <w:p w14:paraId="644C4B12" w14:textId="77777777" w:rsidR="00830DF7" w:rsidRDefault="00830DF7" w:rsidP="00830DF7">
      <w:pPr>
        <w:rPr>
          <w:rFonts w:cs="Times New Roman"/>
          <w:kern w:val="2"/>
          <w:highlight w:val="yellow"/>
          <w:lang w:val="en-US"/>
        </w:rPr>
      </w:pPr>
      <w:r>
        <w:rPr>
          <w:rFonts w:cs="Times New Roman"/>
          <w:kern w:val="2"/>
          <w:highlight w:val="yellow"/>
          <w:lang w:val="en-US"/>
        </w:rPr>
        <w:t>3.</w:t>
      </w:r>
      <w:bookmarkEnd w:id="6"/>
    </w:p>
    <w:bookmarkEnd w:id="7"/>
    <w:p w14:paraId="145E1D2D" w14:textId="77777777" w:rsidR="00830DF7" w:rsidRDefault="00830DF7">
      <w:pPr>
        <w:rPr>
          <w:rFonts w:ascii="Times New Roman" w:eastAsia="Times New Roman" w:hAnsi="Times New Roman" w:cs="Times New Roman"/>
        </w:rPr>
      </w:pPr>
    </w:p>
    <w:p w14:paraId="232CC822" w14:textId="77777777" w:rsidR="008059F4" w:rsidRDefault="00654302">
      <w:pP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6. References</w:t>
      </w:r>
    </w:p>
    <w:p w14:paraId="080682E4" w14:textId="042790BD"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proofErr w:type="spellStart"/>
      <w:r w:rsidRPr="00C51F1B">
        <w:rPr>
          <w:rFonts w:ascii="Times New Roman" w:eastAsia="Times New Roman" w:hAnsi="Times New Roman" w:cs="Times New Roman"/>
        </w:rPr>
        <w:t>Adaji</w:t>
      </w:r>
      <w:proofErr w:type="spellEnd"/>
      <w:r w:rsidRPr="00C51F1B">
        <w:rPr>
          <w:rFonts w:ascii="Times New Roman" w:eastAsia="Times New Roman" w:hAnsi="Times New Roman" w:cs="Times New Roman"/>
        </w:rPr>
        <w:t xml:space="preserve">, C. C., Bello, A. A., </w:t>
      </w:r>
      <w:proofErr w:type="spellStart"/>
      <w:r w:rsidRPr="00C51F1B">
        <w:rPr>
          <w:rFonts w:ascii="Times New Roman" w:eastAsia="Times New Roman" w:hAnsi="Times New Roman" w:cs="Times New Roman"/>
        </w:rPr>
        <w:t>Ukatu</w:t>
      </w:r>
      <w:proofErr w:type="spellEnd"/>
      <w:r w:rsidRPr="00C51F1B">
        <w:rPr>
          <w:rFonts w:ascii="Times New Roman" w:eastAsia="Times New Roman" w:hAnsi="Times New Roman" w:cs="Times New Roman"/>
        </w:rPr>
        <w:t xml:space="preserve">, C. E., </w:t>
      </w:r>
      <w:proofErr w:type="spellStart"/>
      <w:r w:rsidRPr="00C51F1B">
        <w:rPr>
          <w:rFonts w:ascii="Times New Roman" w:eastAsia="Times New Roman" w:hAnsi="Times New Roman" w:cs="Times New Roman"/>
        </w:rPr>
        <w:t>Okika</w:t>
      </w:r>
      <w:proofErr w:type="spellEnd"/>
      <w:r w:rsidRPr="00C51F1B">
        <w:rPr>
          <w:rFonts w:ascii="Times New Roman" w:eastAsia="Times New Roman" w:hAnsi="Times New Roman" w:cs="Times New Roman"/>
        </w:rPr>
        <w:t xml:space="preserve"> N., </w:t>
      </w:r>
      <w:proofErr w:type="spellStart"/>
      <w:r w:rsidRPr="00C51F1B">
        <w:rPr>
          <w:rFonts w:ascii="Times New Roman" w:eastAsia="Times New Roman" w:hAnsi="Times New Roman" w:cs="Times New Roman"/>
        </w:rPr>
        <w:t>Agboola</w:t>
      </w:r>
      <w:proofErr w:type="spellEnd"/>
      <w:r w:rsidRPr="00C51F1B">
        <w:rPr>
          <w:rFonts w:ascii="Times New Roman" w:eastAsia="Times New Roman" w:hAnsi="Times New Roman" w:cs="Times New Roman"/>
        </w:rPr>
        <w:t xml:space="preserve">, O. K., </w:t>
      </w:r>
      <w:proofErr w:type="spellStart"/>
      <w:r w:rsidRPr="00C51F1B">
        <w:rPr>
          <w:rFonts w:ascii="Times New Roman" w:eastAsia="Times New Roman" w:hAnsi="Times New Roman" w:cs="Times New Roman"/>
        </w:rPr>
        <w:t>Amomo</w:t>
      </w:r>
      <w:proofErr w:type="spellEnd"/>
      <w:r w:rsidRPr="00C51F1B">
        <w:rPr>
          <w:rFonts w:ascii="Times New Roman" w:eastAsia="Times New Roman" w:hAnsi="Times New Roman" w:cs="Times New Roman"/>
        </w:rPr>
        <w:t xml:space="preserve">, C. G. (2025). AI-Powered Cybersecurity Governance: The Role of Business Analysts in Ethical AI Deployment. </w:t>
      </w:r>
      <w:r w:rsidRPr="00C51F1B">
        <w:rPr>
          <w:rFonts w:ascii="Times New Roman" w:eastAsia="Times New Roman" w:hAnsi="Times New Roman" w:cs="Times New Roman"/>
          <w:i/>
          <w:iCs/>
        </w:rPr>
        <w:t xml:space="preserve">International Journal of Innovative Science and Research Technology, </w:t>
      </w:r>
      <w:r w:rsidRPr="00C51F1B">
        <w:rPr>
          <w:rFonts w:ascii="Times New Roman" w:eastAsia="Times New Roman" w:hAnsi="Times New Roman" w:cs="Times New Roman"/>
        </w:rPr>
        <w:t xml:space="preserve">10(3), 1384-1396. </w:t>
      </w:r>
      <w:r w:rsidR="00AF49B6" w:rsidRPr="00C51F1B">
        <w:rPr>
          <w:rFonts w:ascii="Arial" w:eastAsia="Times New Roman" w:hAnsi="Arial" w:cs="Arial"/>
          <w:sz w:val="18"/>
          <w:szCs w:val="18"/>
        </w:rPr>
        <w:t>https://doi.org/10.38124/ijisrt/25mar924</w:t>
      </w:r>
    </w:p>
    <w:p w14:paraId="7CD823B1"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rPr>
        <w:t>Afonso, A., &amp; Sousa, R. M. (2012). The macroeconomic effects of fiscal policy. </w:t>
      </w:r>
      <w:r w:rsidRPr="00C51F1B">
        <w:rPr>
          <w:rFonts w:ascii="Times New Roman" w:eastAsia="Times New Roman" w:hAnsi="Times New Roman" w:cs="Times New Roman"/>
          <w:i/>
          <w:iCs/>
        </w:rPr>
        <w:t>Applied Economics</w:t>
      </w:r>
      <w:r w:rsidRPr="00C51F1B">
        <w:rPr>
          <w:rFonts w:ascii="Times New Roman" w:eastAsia="Times New Roman" w:hAnsi="Times New Roman" w:cs="Times New Roman"/>
        </w:rPr>
        <w:t>, </w:t>
      </w:r>
      <w:r w:rsidRPr="00C51F1B">
        <w:rPr>
          <w:rFonts w:ascii="Times New Roman" w:eastAsia="Times New Roman" w:hAnsi="Times New Roman" w:cs="Times New Roman"/>
          <w:i/>
          <w:iCs/>
        </w:rPr>
        <w:t>44</w:t>
      </w:r>
      <w:r w:rsidRPr="00C51F1B">
        <w:rPr>
          <w:rFonts w:ascii="Times New Roman" w:eastAsia="Times New Roman" w:hAnsi="Times New Roman" w:cs="Times New Roman"/>
        </w:rPr>
        <w:t xml:space="preserve">(34), 4439–4454. </w:t>
      </w:r>
      <w:hyperlink r:id="rId12">
        <w:r w:rsidR="008059F4" w:rsidRPr="00C51F1B">
          <w:rPr>
            <w:rFonts w:ascii="Times New Roman" w:eastAsia="Times New Roman" w:hAnsi="Times New Roman" w:cs="Times New Roman"/>
            <w:color w:val="0563C1"/>
            <w:u w:val="single"/>
          </w:rPr>
          <w:t>https://doi.org/10.1080/00036846.2011.591732</w:t>
        </w:r>
      </w:hyperlink>
    </w:p>
    <w:p w14:paraId="0ADE265B"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proofErr w:type="spellStart"/>
      <w:r w:rsidRPr="00C51F1B">
        <w:rPr>
          <w:rFonts w:ascii="Times New Roman" w:eastAsia="Times New Roman" w:hAnsi="Times New Roman" w:cs="Times New Roman"/>
        </w:rPr>
        <w:lastRenderedPageBreak/>
        <w:t>Akubilla</w:t>
      </w:r>
      <w:proofErr w:type="spellEnd"/>
      <w:r w:rsidRPr="00C51F1B">
        <w:rPr>
          <w:rFonts w:ascii="Times New Roman" w:eastAsia="Times New Roman" w:hAnsi="Times New Roman" w:cs="Times New Roman"/>
        </w:rPr>
        <w:t xml:space="preserve">, J., </w:t>
      </w:r>
      <w:proofErr w:type="spellStart"/>
      <w:r w:rsidRPr="00C51F1B">
        <w:rPr>
          <w:rFonts w:ascii="Times New Roman" w:eastAsia="Times New Roman" w:hAnsi="Times New Roman" w:cs="Times New Roman"/>
        </w:rPr>
        <w:t>Somoye</w:t>
      </w:r>
      <w:proofErr w:type="spellEnd"/>
      <w:r w:rsidRPr="00C51F1B">
        <w:rPr>
          <w:rFonts w:ascii="Times New Roman" w:eastAsia="Times New Roman" w:hAnsi="Times New Roman" w:cs="Times New Roman"/>
        </w:rPr>
        <w:t xml:space="preserve">, O. I., Abiodun, F., </w:t>
      </w:r>
      <w:proofErr w:type="spellStart"/>
      <w:r w:rsidRPr="00C51F1B">
        <w:rPr>
          <w:rFonts w:ascii="Times New Roman" w:eastAsia="Times New Roman" w:hAnsi="Times New Roman" w:cs="Times New Roman"/>
        </w:rPr>
        <w:t>Serifat</w:t>
      </w:r>
      <w:proofErr w:type="spellEnd"/>
      <w:r w:rsidRPr="00C51F1B">
        <w:rPr>
          <w:rFonts w:ascii="Times New Roman" w:eastAsia="Times New Roman" w:hAnsi="Times New Roman" w:cs="Times New Roman"/>
        </w:rPr>
        <w:t xml:space="preserve">, O. A. (2025). The Role of Explainable AI in Enhancing Trust and Transparency in Supply Chain Risk Mitigation. </w:t>
      </w:r>
      <w:r w:rsidRPr="00C51F1B">
        <w:rPr>
          <w:rFonts w:ascii="Times New Roman" w:eastAsia="Times New Roman" w:hAnsi="Times New Roman" w:cs="Times New Roman"/>
          <w:i/>
          <w:iCs/>
        </w:rPr>
        <w:t xml:space="preserve">International Journal of Multidisciplinary Research and Growth Evaluation, </w:t>
      </w:r>
      <w:r w:rsidRPr="00C51F1B">
        <w:rPr>
          <w:rFonts w:ascii="Times New Roman" w:eastAsia="Times New Roman" w:hAnsi="Times New Roman" w:cs="Times New Roman"/>
        </w:rPr>
        <w:t xml:space="preserve">6 (3), 367-377. DOI: </w:t>
      </w:r>
      <w:hyperlink r:id="rId13">
        <w:r w:rsidR="008059F4" w:rsidRPr="00C51F1B">
          <w:rPr>
            <w:rFonts w:ascii="Times New Roman" w:eastAsia="Times New Roman" w:hAnsi="Times New Roman" w:cs="Times New Roman"/>
            <w:color w:val="0563C1"/>
            <w:u w:val="single"/>
          </w:rPr>
          <w:t>https://doi.org/10.54660/.IJMRGE.2025.6.3.367-377</w:t>
        </w:r>
      </w:hyperlink>
    </w:p>
    <w:p w14:paraId="077217A7"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proofErr w:type="spellStart"/>
      <w:r w:rsidRPr="00C51F1B">
        <w:rPr>
          <w:rFonts w:ascii="Times New Roman" w:eastAsia="Times New Roman" w:hAnsi="Times New Roman" w:cs="Times New Roman"/>
          <w:color w:val="000000"/>
        </w:rPr>
        <w:t>Aladwani</w:t>
      </w:r>
      <w:proofErr w:type="spellEnd"/>
      <w:r w:rsidRPr="00C51F1B">
        <w:rPr>
          <w:rFonts w:ascii="Times New Roman" w:eastAsia="Times New Roman" w:hAnsi="Times New Roman" w:cs="Times New Roman"/>
          <w:color w:val="000000"/>
        </w:rPr>
        <w:t xml:space="preserve">, J. (2025). Asymmetric reactions of the crude oil and natural gas markets on Vietnamese stock Journal of Economics and Development, 27(1), 87-109. </w:t>
      </w:r>
      <w:hyperlink r:id="rId14">
        <w:r w:rsidR="008059F4" w:rsidRPr="00C51F1B">
          <w:rPr>
            <w:rFonts w:ascii="Times New Roman" w:eastAsia="Times New Roman" w:hAnsi="Times New Roman" w:cs="Times New Roman"/>
            <w:color w:val="000000"/>
          </w:rPr>
          <w:t>https://doi.org/10.1108/JED-08-2024-0280</w:t>
        </w:r>
      </w:hyperlink>
    </w:p>
    <w:p w14:paraId="3F0203B0"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proofErr w:type="spellStart"/>
      <w:r w:rsidRPr="00C51F1B">
        <w:rPr>
          <w:rFonts w:ascii="Times New Roman" w:eastAsia="Times New Roman" w:hAnsi="Times New Roman" w:cs="Times New Roman"/>
          <w:color w:val="000000"/>
        </w:rPr>
        <w:t>Aor</w:t>
      </w:r>
      <w:proofErr w:type="spellEnd"/>
      <w:r w:rsidRPr="00C51F1B">
        <w:rPr>
          <w:rFonts w:ascii="Times New Roman" w:eastAsia="Times New Roman" w:hAnsi="Times New Roman" w:cs="Times New Roman"/>
          <w:color w:val="000000"/>
        </w:rPr>
        <w:t xml:space="preserve">, R. L., </w:t>
      </w:r>
      <w:proofErr w:type="spellStart"/>
      <w:r w:rsidRPr="00C51F1B">
        <w:rPr>
          <w:rFonts w:ascii="Times New Roman" w:eastAsia="Times New Roman" w:hAnsi="Times New Roman" w:cs="Times New Roman"/>
          <w:color w:val="000000"/>
        </w:rPr>
        <w:t>Salisu</w:t>
      </w:r>
      <w:proofErr w:type="spellEnd"/>
      <w:r w:rsidRPr="00C51F1B">
        <w:rPr>
          <w:rFonts w:ascii="Times New Roman" w:eastAsia="Times New Roman" w:hAnsi="Times New Roman" w:cs="Times New Roman"/>
          <w:color w:val="000000"/>
        </w:rPr>
        <w:t xml:space="preserve">, A. A., &amp; </w:t>
      </w:r>
      <w:proofErr w:type="spellStart"/>
      <w:r w:rsidRPr="00C51F1B">
        <w:rPr>
          <w:rFonts w:ascii="Times New Roman" w:eastAsia="Times New Roman" w:hAnsi="Times New Roman" w:cs="Times New Roman"/>
          <w:color w:val="000000"/>
        </w:rPr>
        <w:t>Okpe</w:t>
      </w:r>
      <w:proofErr w:type="spellEnd"/>
      <w:r w:rsidRPr="00C51F1B">
        <w:rPr>
          <w:rFonts w:ascii="Times New Roman" w:eastAsia="Times New Roman" w:hAnsi="Times New Roman" w:cs="Times New Roman"/>
          <w:color w:val="000000"/>
        </w:rPr>
        <w:t>, I. J. (2021). The effects of U.S. monetary policy uncertainty shock on international equity markets. Annals of Financial Economics, 16(4), 2150018. https://doi.org/10.1142/S2010495221500184</w:t>
      </w:r>
    </w:p>
    <w:p w14:paraId="4B543C3F"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color w:val="000000"/>
        </w:rPr>
        <w:t xml:space="preserve">Arshad, R., Zada, H., </w:t>
      </w:r>
      <w:proofErr w:type="spellStart"/>
      <w:r w:rsidRPr="00C51F1B">
        <w:rPr>
          <w:rFonts w:ascii="Times New Roman" w:eastAsia="Times New Roman" w:hAnsi="Times New Roman" w:cs="Times New Roman"/>
          <w:color w:val="000000"/>
        </w:rPr>
        <w:t>Sohag</w:t>
      </w:r>
      <w:proofErr w:type="spellEnd"/>
      <w:r w:rsidRPr="00C51F1B">
        <w:rPr>
          <w:rFonts w:ascii="Times New Roman" w:eastAsia="Times New Roman" w:hAnsi="Times New Roman" w:cs="Times New Roman"/>
          <w:color w:val="000000"/>
        </w:rPr>
        <w:t xml:space="preserve">, K., Wong, W.-K., Ullah, E., &amp; Raza, H. (2024). Does US monetary policy uncertainty affect returns of Asian developed, emerging, and frontier equity markets? Empirical evidence by using the quantile-on-quantile approach. </w:t>
      </w:r>
      <w:proofErr w:type="spellStart"/>
      <w:r w:rsidRPr="00C51F1B">
        <w:rPr>
          <w:rFonts w:ascii="Times New Roman" w:eastAsia="Times New Roman" w:hAnsi="Times New Roman" w:cs="Times New Roman"/>
          <w:i/>
          <w:iCs/>
          <w:color w:val="000000"/>
        </w:rPr>
        <w:t>Heliyon</w:t>
      </w:r>
      <w:proofErr w:type="spellEnd"/>
      <w:r w:rsidRPr="00C51F1B">
        <w:rPr>
          <w:rFonts w:ascii="Times New Roman" w:eastAsia="Times New Roman" w:hAnsi="Times New Roman" w:cs="Times New Roman"/>
          <w:i/>
          <w:iCs/>
          <w:color w:val="000000"/>
        </w:rPr>
        <w:t>, 10</w:t>
      </w:r>
      <w:r w:rsidRPr="00C51F1B">
        <w:rPr>
          <w:rFonts w:ascii="Times New Roman" w:eastAsia="Times New Roman" w:hAnsi="Times New Roman" w:cs="Times New Roman"/>
          <w:color w:val="000000"/>
        </w:rPr>
        <w:t xml:space="preserve">(12), e32962. </w:t>
      </w:r>
      <w:hyperlink r:id="rId15">
        <w:r w:rsidR="008059F4" w:rsidRPr="00C51F1B">
          <w:rPr>
            <w:rFonts w:ascii="Times New Roman" w:eastAsia="Times New Roman" w:hAnsi="Times New Roman" w:cs="Times New Roman"/>
            <w:color w:val="000000"/>
          </w:rPr>
          <w:t>https://doi.org/10.1016/j.heliyon.2024.e32962</w:t>
        </w:r>
      </w:hyperlink>
    </w:p>
    <w:p w14:paraId="79981766"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proofErr w:type="spellStart"/>
      <w:r w:rsidRPr="00C51F1B">
        <w:rPr>
          <w:rFonts w:ascii="Times New Roman" w:eastAsia="Times New Roman" w:hAnsi="Times New Roman" w:cs="Times New Roman"/>
          <w:color w:val="000000"/>
        </w:rPr>
        <w:t>Aysan</w:t>
      </w:r>
      <w:proofErr w:type="spellEnd"/>
      <w:r w:rsidRPr="00C51F1B">
        <w:rPr>
          <w:rFonts w:ascii="Times New Roman" w:eastAsia="Times New Roman" w:hAnsi="Times New Roman" w:cs="Times New Roman"/>
          <w:color w:val="000000"/>
        </w:rPr>
        <w:t xml:space="preserve">, A. F., Batten, J., </w:t>
      </w:r>
      <w:proofErr w:type="spellStart"/>
      <w:r w:rsidRPr="00C51F1B">
        <w:rPr>
          <w:rFonts w:ascii="Times New Roman" w:eastAsia="Times New Roman" w:hAnsi="Times New Roman" w:cs="Times New Roman"/>
          <w:color w:val="000000"/>
        </w:rPr>
        <w:t>Gozgor</w:t>
      </w:r>
      <w:proofErr w:type="spellEnd"/>
      <w:r w:rsidRPr="00C51F1B">
        <w:rPr>
          <w:rFonts w:ascii="Times New Roman" w:eastAsia="Times New Roman" w:hAnsi="Times New Roman" w:cs="Times New Roman"/>
          <w:color w:val="000000"/>
        </w:rPr>
        <w:t xml:space="preserve">, G., </w:t>
      </w:r>
      <w:proofErr w:type="spellStart"/>
      <w:r w:rsidRPr="00C51F1B">
        <w:rPr>
          <w:rFonts w:ascii="Times New Roman" w:eastAsia="Times New Roman" w:hAnsi="Times New Roman" w:cs="Times New Roman"/>
          <w:color w:val="000000"/>
        </w:rPr>
        <w:t>Khalfaoui</w:t>
      </w:r>
      <w:proofErr w:type="spellEnd"/>
      <w:r w:rsidRPr="00C51F1B">
        <w:rPr>
          <w:rFonts w:ascii="Times New Roman" w:eastAsia="Times New Roman" w:hAnsi="Times New Roman" w:cs="Times New Roman"/>
          <w:color w:val="000000"/>
        </w:rPr>
        <w:t xml:space="preserve">, R., &amp; </w:t>
      </w:r>
      <w:proofErr w:type="spellStart"/>
      <w:r w:rsidRPr="00C51F1B">
        <w:rPr>
          <w:rFonts w:ascii="Times New Roman" w:eastAsia="Times New Roman" w:hAnsi="Times New Roman" w:cs="Times New Roman"/>
          <w:color w:val="000000"/>
        </w:rPr>
        <w:t>Nanaeva</w:t>
      </w:r>
      <w:proofErr w:type="spellEnd"/>
      <w:r w:rsidRPr="00C51F1B">
        <w:rPr>
          <w:rFonts w:ascii="Times New Roman" w:eastAsia="Times New Roman" w:hAnsi="Times New Roman" w:cs="Times New Roman"/>
          <w:color w:val="000000"/>
        </w:rPr>
        <w:t xml:space="preserve">, Z. (2024). Metaverse and financial markets: A quantile-time-frequency connectedness analysis. Research in International Business and Finance, 72, 102527. </w:t>
      </w:r>
      <w:hyperlink r:id="rId16">
        <w:r w:rsidR="008059F4" w:rsidRPr="00C51F1B">
          <w:rPr>
            <w:rFonts w:ascii="Times New Roman" w:eastAsia="Times New Roman" w:hAnsi="Times New Roman" w:cs="Times New Roman"/>
            <w:color w:val="000000"/>
          </w:rPr>
          <w:t>https://doi.org/10.1016/j.ribaf.2024.102527</w:t>
        </w:r>
      </w:hyperlink>
    </w:p>
    <w:p w14:paraId="61F111B8" w14:textId="77777777" w:rsidR="003236A2"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color w:val="000000"/>
        </w:rPr>
        <w:t xml:space="preserve">Baker, S. R., Bloom, N., &amp; Davis, S. J. (2016). Measuring economic policy uncertainty. Quarterly Journal of Economics, 131(4), 1593–1636. </w:t>
      </w:r>
      <w:hyperlink r:id="rId17">
        <w:r w:rsidR="008059F4" w:rsidRPr="00C51F1B">
          <w:rPr>
            <w:rFonts w:ascii="Times New Roman" w:eastAsia="Times New Roman" w:hAnsi="Times New Roman" w:cs="Times New Roman"/>
            <w:color w:val="0563C1"/>
            <w:u w:val="single"/>
          </w:rPr>
          <w:t>https://doi.org/10.1093/qje/qjw024</w:t>
        </w:r>
      </w:hyperlink>
    </w:p>
    <w:p w14:paraId="5A833257" w14:textId="1D43B473" w:rsidR="003236A2" w:rsidRPr="00C51F1B" w:rsidRDefault="003236A2" w:rsidP="00C51F1B">
      <w:pPr>
        <w:pStyle w:val="ListParagraph"/>
        <w:numPr>
          <w:ilvl w:val="0"/>
          <w:numId w:val="6"/>
        </w:numPr>
        <w:jc w:val="both"/>
        <w:rPr>
          <w:rFonts w:ascii="Times New Roman" w:eastAsia="Times New Roman" w:hAnsi="Times New Roman" w:cs="Times New Roman"/>
          <w:color w:val="000000"/>
        </w:rPr>
      </w:pPr>
      <w:proofErr w:type="spellStart"/>
      <w:r w:rsidRPr="00C51F1B">
        <w:rPr>
          <w:rFonts w:ascii="Times New Roman" w:eastAsia="Times New Roman" w:hAnsi="Times New Roman" w:cs="Times New Roman"/>
          <w:color w:val="000000"/>
        </w:rPr>
        <w:t>Balcilar</w:t>
      </w:r>
      <w:proofErr w:type="spellEnd"/>
      <w:r w:rsidRPr="00C51F1B">
        <w:rPr>
          <w:rFonts w:ascii="Times New Roman" w:eastAsia="Times New Roman" w:hAnsi="Times New Roman" w:cs="Times New Roman"/>
          <w:color w:val="000000"/>
        </w:rPr>
        <w:t xml:space="preserve">, M., Gupta, R., &amp; Jooste, C. (2017). Long memory, economic policy uncertainty and forecasting US inflation: A Bayesian VARFIMA approach. </w:t>
      </w:r>
      <w:r w:rsidRPr="00C51F1B">
        <w:rPr>
          <w:rFonts w:ascii="Times New Roman" w:eastAsia="Times New Roman" w:hAnsi="Times New Roman" w:cs="Times New Roman"/>
          <w:i/>
          <w:iCs/>
          <w:color w:val="000000"/>
        </w:rPr>
        <w:t>Applied Economics, 49</w:t>
      </w:r>
      <w:r w:rsidRPr="00C51F1B">
        <w:rPr>
          <w:rFonts w:ascii="Times New Roman" w:eastAsia="Times New Roman" w:hAnsi="Times New Roman" w:cs="Times New Roman"/>
          <w:color w:val="000000"/>
        </w:rPr>
        <w:t>(11), 1047–1054. https://doi.org/10.1080/00036846.2016.1210777</w:t>
      </w:r>
    </w:p>
    <w:p w14:paraId="18E6AEEE" w14:textId="564CC735"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rPr>
        <w:t xml:space="preserve">Basel Committee on Banking Supervision. (2013). </w:t>
      </w:r>
      <w:r w:rsidRPr="00C51F1B">
        <w:rPr>
          <w:rFonts w:ascii="Times New Roman" w:eastAsia="Times New Roman" w:hAnsi="Times New Roman" w:cs="Times New Roman"/>
          <w:i/>
          <w:iCs/>
        </w:rPr>
        <w:t>Basel III: The liquidity coverage ratio and liquidity risk monitoring tools</w:t>
      </w:r>
      <w:r w:rsidRPr="00C51F1B">
        <w:rPr>
          <w:rFonts w:ascii="Times New Roman" w:eastAsia="Times New Roman" w:hAnsi="Times New Roman" w:cs="Times New Roman"/>
        </w:rPr>
        <w:t xml:space="preserve">. Bank for International Settlements. </w:t>
      </w:r>
      <w:hyperlink r:id="rId18">
        <w:r w:rsidR="008059F4" w:rsidRPr="00C51F1B">
          <w:rPr>
            <w:rFonts w:ascii="Times New Roman" w:eastAsia="Times New Roman" w:hAnsi="Times New Roman" w:cs="Times New Roman"/>
            <w:color w:val="0563C1"/>
            <w:u w:val="single"/>
          </w:rPr>
          <w:t>https://www.bis.org/publ/bcbs238.htm</w:t>
        </w:r>
      </w:hyperlink>
    </w:p>
    <w:p w14:paraId="64D1AEC2"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color w:val="000000"/>
        </w:rPr>
        <w:t xml:space="preserve">Bekaert, G., </w:t>
      </w:r>
      <w:proofErr w:type="spellStart"/>
      <w:r w:rsidRPr="00C51F1B">
        <w:rPr>
          <w:rFonts w:ascii="Times New Roman" w:eastAsia="Times New Roman" w:hAnsi="Times New Roman" w:cs="Times New Roman"/>
          <w:color w:val="000000"/>
        </w:rPr>
        <w:t>Hoerova</w:t>
      </w:r>
      <w:proofErr w:type="spellEnd"/>
      <w:r w:rsidRPr="00C51F1B">
        <w:rPr>
          <w:rFonts w:ascii="Times New Roman" w:eastAsia="Times New Roman" w:hAnsi="Times New Roman" w:cs="Times New Roman"/>
          <w:color w:val="000000"/>
        </w:rPr>
        <w:t xml:space="preserve">, M., &amp; Lo </w:t>
      </w:r>
      <w:proofErr w:type="spellStart"/>
      <w:r w:rsidRPr="00C51F1B">
        <w:rPr>
          <w:rFonts w:ascii="Times New Roman" w:eastAsia="Times New Roman" w:hAnsi="Times New Roman" w:cs="Times New Roman"/>
          <w:color w:val="000000"/>
        </w:rPr>
        <w:t>Duca</w:t>
      </w:r>
      <w:proofErr w:type="spellEnd"/>
      <w:r w:rsidRPr="00C51F1B">
        <w:rPr>
          <w:rFonts w:ascii="Times New Roman" w:eastAsia="Times New Roman" w:hAnsi="Times New Roman" w:cs="Times New Roman"/>
          <w:color w:val="000000"/>
        </w:rPr>
        <w:t>, M. (2013). Risk, uncertainty and monetary policy. Journal of Monetary Economics, 60(7), 771–788. https://doi.org/10.1016/j.jmoneco.2013.06.003</w:t>
      </w:r>
    </w:p>
    <w:p w14:paraId="5B2A418F"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proofErr w:type="spellStart"/>
      <w:r w:rsidRPr="00C51F1B">
        <w:rPr>
          <w:rFonts w:ascii="Times New Roman" w:eastAsia="Times New Roman" w:hAnsi="Times New Roman" w:cs="Times New Roman"/>
          <w:color w:val="000000"/>
        </w:rPr>
        <w:t>Belhoula</w:t>
      </w:r>
      <w:proofErr w:type="spellEnd"/>
      <w:r w:rsidRPr="00C51F1B">
        <w:rPr>
          <w:rFonts w:ascii="Times New Roman" w:eastAsia="Times New Roman" w:hAnsi="Times New Roman" w:cs="Times New Roman"/>
          <w:color w:val="000000"/>
        </w:rPr>
        <w:t xml:space="preserve">, M. M., </w:t>
      </w:r>
      <w:proofErr w:type="spellStart"/>
      <w:r w:rsidRPr="00C51F1B">
        <w:rPr>
          <w:rFonts w:ascii="Times New Roman" w:eastAsia="Times New Roman" w:hAnsi="Times New Roman" w:cs="Times New Roman"/>
          <w:color w:val="000000"/>
        </w:rPr>
        <w:t>Mensi</w:t>
      </w:r>
      <w:proofErr w:type="spellEnd"/>
      <w:r w:rsidRPr="00C51F1B">
        <w:rPr>
          <w:rFonts w:ascii="Times New Roman" w:eastAsia="Times New Roman" w:hAnsi="Times New Roman" w:cs="Times New Roman"/>
          <w:color w:val="000000"/>
        </w:rPr>
        <w:t>, W., &amp; Al-</w:t>
      </w:r>
      <w:proofErr w:type="spellStart"/>
      <w:r w:rsidRPr="00C51F1B">
        <w:rPr>
          <w:rFonts w:ascii="Times New Roman" w:eastAsia="Times New Roman" w:hAnsi="Times New Roman" w:cs="Times New Roman"/>
          <w:color w:val="000000"/>
        </w:rPr>
        <w:t>Yahyaee</w:t>
      </w:r>
      <w:proofErr w:type="spellEnd"/>
      <w:r w:rsidRPr="00C51F1B">
        <w:rPr>
          <w:rFonts w:ascii="Times New Roman" w:eastAsia="Times New Roman" w:hAnsi="Times New Roman" w:cs="Times New Roman"/>
          <w:color w:val="000000"/>
        </w:rPr>
        <w:t xml:space="preserve">, K. H. (2024a). Dynamic speculation and efficiency in European natural gas markets during the COVID-19 and Russia-Ukraine crises. Resources Policy, 98, 105362. </w:t>
      </w:r>
      <w:hyperlink r:id="rId19">
        <w:r w:rsidR="008059F4" w:rsidRPr="00C51F1B">
          <w:rPr>
            <w:rFonts w:ascii="Times New Roman" w:eastAsia="Times New Roman" w:hAnsi="Times New Roman" w:cs="Times New Roman"/>
            <w:color w:val="000000"/>
          </w:rPr>
          <w:t>https://doi.org/10.1016/j.resourpol.2024.105362</w:t>
        </w:r>
      </w:hyperlink>
    </w:p>
    <w:p w14:paraId="7F21F92A"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proofErr w:type="spellStart"/>
      <w:r w:rsidRPr="00C51F1B">
        <w:rPr>
          <w:rFonts w:ascii="Times New Roman" w:eastAsia="Times New Roman" w:hAnsi="Times New Roman" w:cs="Times New Roman"/>
        </w:rPr>
        <w:t>Belhoula</w:t>
      </w:r>
      <w:proofErr w:type="spellEnd"/>
      <w:r w:rsidRPr="00C51F1B">
        <w:rPr>
          <w:rFonts w:ascii="Times New Roman" w:eastAsia="Times New Roman" w:hAnsi="Times New Roman" w:cs="Times New Roman"/>
        </w:rPr>
        <w:t xml:space="preserve">, M.M. (2024). Economic Policy Uncertainty (EPU) in Emerging Countries: The Case of Tunisia. Journal of Accounting and Finance in Emerging Economies, 10 (2), 127-138. DOI: </w:t>
      </w:r>
      <w:hyperlink r:id="rId20">
        <w:r w:rsidR="008059F4" w:rsidRPr="00C51F1B">
          <w:rPr>
            <w:rFonts w:ascii="Times New Roman" w:eastAsia="Times New Roman" w:hAnsi="Times New Roman" w:cs="Times New Roman"/>
            <w:color w:val="0563C1"/>
            <w:u w:val="single"/>
          </w:rPr>
          <w:t>https://doi.org/10.26710/jafee.v10i2.2972</w:t>
        </w:r>
      </w:hyperlink>
    </w:p>
    <w:p w14:paraId="5560C7E1"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r w:rsidRPr="00C51F1B">
        <w:rPr>
          <w:rFonts w:ascii="Times New Roman" w:eastAsia="Times New Roman" w:hAnsi="Times New Roman" w:cs="Times New Roman"/>
        </w:rPr>
        <w:t xml:space="preserve">Berger, A. N., </w:t>
      </w:r>
      <w:proofErr w:type="spellStart"/>
      <w:r w:rsidRPr="00C51F1B">
        <w:rPr>
          <w:rFonts w:ascii="Times New Roman" w:eastAsia="Times New Roman" w:hAnsi="Times New Roman" w:cs="Times New Roman"/>
        </w:rPr>
        <w:t>Guedhami</w:t>
      </w:r>
      <w:proofErr w:type="spellEnd"/>
      <w:r w:rsidRPr="00C51F1B">
        <w:rPr>
          <w:rFonts w:ascii="Times New Roman" w:eastAsia="Times New Roman" w:hAnsi="Times New Roman" w:cs="Times New Roman"/>
        </w:rPr>
        <w:t xml:space="preserve">, O., Kim, H. H., &amp; Li, X. (2022). Economic policy uncertainty and bank liquidity hoarding. </w:t>
      </w:r>
      <w:r w:rsidRPr="00C51F1B">
        <w:rPr>
          <w:rFonts w:ascii="Times New Roman" w:eastAsia="Times New Roman" w:hAnsi="Times New Roman" w:cs="Times New Roman"/>
          <w:i/>
          <w:iCs/>
        </w:rPr>
        <w:t>Journal of Financial Intermediation</w:t>
      </w:r>
      <w:r w:rsidRPr="00C51F1B">
        <w:rPr>
          <w:rFonts w:ascii="Times New Roman" w:eastAsia="Times New Roman" w:hAnsi="Times New Roman" w:cs="Times New Roman"/>
        </w:rPr>
        <w:t xml:space="preserve">, </w:t>
      </w:r>
      <w:r w:rsidRPr="00C51F1B">
        <w:rPr>
          <w:rFonts w:ascii="Times New Roman" w:eastAsia="Times New Roman" w:hAnsi="Times New Roman" w:cs="Times New Roman"/>
          <w:i/>
          <w:iCs/>
        </w:rPr>
        <w:t>49</w:t>
      </w:r>
      <w:r w:rsidRPr="00C51F1B">
        <w:rPr>
          <w:rFonts w:ascii="Times New Roman" w:eastAsia="Times New Roman" w:hAnsi="Times New Roman" w:cs="Times New Roman"/>
        </w:rPr>
        <w:t xml:space="preserve">, 100893. </w:t>
      </w:r>
      <w:hyperlink r:id="rId21">
        <w:r w:rsidR="008059F4" w:rsidRPr="00C51F1B">
          <w:rPr>
            <w:rFonts w:ascii="Times New Roman" w:eastAsia="Times New Roman" w:hAnsi="Times New Roman" w:cs="Times New Roman"/>
            <w:color w:val="0563C1"/>
            <w:u w:val="single"/>
          </w:rPr>
          <w:t>https://doi.org/10.1016/j.jfi.2020.100893</w:t>
        </w:r>
      </w:hyperlink>
    </w:p>
    <w:p w14:paraId="7CE0D3E2"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r w:rsidRPr="00C51F1B">
        <w:rPr>
          <w:rFonts w:ascii="Times New Roman" w:eastAsia="Times New Roman" w:hAnsi="Times New Roman" w:cs="Times New Roman"/>
        </w:rPr>
        <w:lastRenderedPageBreak/>
        <w:t xml:space="preserve">Berger, A. N., Li, X., </w:t>
      </w:r>
      <w:proofErr w:type="spellStart"/>
      <w:r w:rsidRPr="00C51F1B">
        <w:rPr>
          <w:rFonts w:ascii="Times New Roman" w:eastAsia="Times New Roman" w:hAnsi="Times New Roman" w:cs="Times New Roman"/>
        </w:rPr>
        <w:t>Saheruddin</w:t>
      </w:r>
      <w:proofErr w:type="spellEnd"/>
      <w:r w:rsidRPr="00C51F1B">
        <w:rPr>
          <w:rFonts w:ascii="Times New Roman" w:eastAsia="Times New Roman" w:hAnsi="Times New Roman" w:cs="Times New Roman"/>
        </w:rPr>
        <w:t xml:space="preserve">, H., &amp; Zhao, D. (2024). Government guarantees and bank liquidity creation around the world. Journal of Banking &amp; Finance, 158(C). </w:t>
      </w:r>
      <w:hyperlink r:id="rId22">
        <w:r w:rsidR="008059F4" w:rsidRPr="00C51F1B">
          <w:rPr>
            <w:rFonts w:ascii="Times New Roman" w:eastAsia="Times New Roman" w:hAnsi="Times New Roman" w:cs="Times New Roman"/>
            <w:color w:val="0563C1"/>
            <w:u w:val="single"/>
          </w:rPr>
          <w:t>https://doi.org/10.1016/j.jbankfin.2023.107048</w:t>
        </w:r>
      </w:hyperlink>
    </w:p>
    <w:p w14:paraId="582D7A70"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proofErr w:type="spellStart"/>
      <w:r w:rsidRPr="00C51F1B">
        <w:rPr>
          <w:rFonts w:ascii="Times New Roman" w:eastAsia="Times New Roman" w:hAnsi="Times New Roman" w:cs="Times New Roman"/>
        </w:rPr>
        <w:t>Bordo</w:t>
      </w:r>
      <w:proofErr w:type="spellEnd"/>
      <w:r w:rsidRPr="00C51F1B">
        <w:rPr>
          <w:rFonts w:ascii="Times New Roman" w:eastAsia="Times New Roman" w:hAnsi="Times New Roman" w:cs="Times New Roman"/>
        </w:rPr>
        <w:t xml:space="preserve">, M. D., </w:t>
      </w:r>
      <w:proofErr w:type="spellStart"/>
      <w:r w:rsidRPr="00C51F1B">
        <w:rPr>
          <w:rFonts w:ascii="Times New Roman" w:eastAsia="Times New Roman" w:hAnsi="Times New Roman" w:cs="Times New Roman"/>
        </w:rPr>
        <w:t>Duca</w:t>
      </w:r>
      <w:proofErr w:type="spellEnd"/>
      <w:r w:rsidRPr="00C51F1B">
        <w:rPr>
          <w:rFonts w:ascii="Times New Roman" w:eastAsia="Times New Roman" w:hAnsi="Times New Roman" w:cs="Times New Roman"/>
        </w:rPr>
        <w:t xml:space="preserve">, J. V., &amp; Koch, C. (2016). </w:t>
      </w:r>
      <w:r w:rsidRPr="00C51F1B">
        <w:rPr>
          <w:rFonts w:ascii="Times New Roman" w:eastAsia="Times New Roman" w:hAnsi="Times New Roman" w:cs="Times New Roman"/>
          <w:i/>
          <w:iCs/>
        </w:rPr>
        <w:t>Economic policy uncertainty and the credit channel: Aggregate and bank-level U.S. evidence over several decades</w:t>
      </w:r>
      <w:r w:rsidRPr="00C51F1B">
        <w:rPr>
          <w:rFonts w:ascii="Times New Roman" w:eastAsia="Times New Roman" w:hAnsi="Times New Roman" w:cs="Times New Roman"/>
        </w:rPr>
        <w:t xml:space="preserve">. National Bureau of Economic Research. </w:t>
      </w:r>
      <w:hyperlink r:id="rId23">
        <w:r w:rsidR="008059F4" w:rsidRPr="00C51F1B">
          <w:rPr>
            <w:rFonts w:ascii="Times New Roman" w:eastAsia="Times New Roman" w:hAnsi="Times New Roman" w:cs="Times New Roman"/>
            <w:color w:val="0563C1"/>
            <w:u w:val="single"/>
          </w:rPr>
          <w:t>https://www.nber.org/papers/w22021</w:t>
        </w:r>
      </w:hyperlink>
    </w:p>
    <w:p w14:paraId="63BF05E8"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r w:rsidRPr="00C51F1B">
        <w:rPr>
          <w:rFonts w:ascii="Times New Roman" w:eastAsia="Times New Roman" w:hAnsi="Times New Roman" w:cs="Times New Roman"/>
        </w:rPr>
        <w:t>Chen, F.-W., Feng, Y., &amp; Wang, W. (2018). Impacts of Financial Inclusion on Non-Performing Loans of Commercial Banks: Evidence from China. </w:t>
      </w:r>
      <w:r w:rsidRPr="00C51F1B">
        <w:rPr>
          <w:rFonts w:ascii="Times New Roman" w:eastAsia="Times New Roman" w:hAnsi="Times New Roman" w:cs="Times New Roman"/>
          <w:i/>
          <w:iCs/>
        </w:rPr>
        <w:t>Sustainability</w:t>
      </w:r>
      <w:r w:rsidRPr="00C51F1B">
        <w:rPr>
          <w:rFonts w:ascii="Times New Roman" w:eastAsia="Times New Roman" w:hAnsi="Times New Roman" w:cs="Times New Roman"/>
        </w:rPr>
        <w:t>, </w:t>
      </w:r>
      <w:r w:rsidRPr="00C51F1B">
        <w:rPr>
          <w:rFonts w:ascii="Times New Roman" w:eastAsia="Times New Roman" w:hAnsi="Times New Roman" w:cs="Times New Roman"/>
          <w:i/>
          <w:iCs/>
        </w:rPr>
        <w:t>10</w:t>
      </w:r>
      <w:r w:rsidRPr="00C51F1B">
        <w:rPr>
          <w:rFonts w:ascii="Times New Roman" w:eastAsia="Times New Roman" w:hAnsi="Times New Roman" w:cs="Times New Roman"/>
        </w:rPr>
        <w:t xml:space="preserve">(9), 3084. </w:t>
      </w:r>
      <w:hyperlink r:id="rId24">
        <w:r w:rsidR="008059F4" w:rsidRPr="00C51F1B">
          <w:rPr>
            <w:rFonts w:ascii="Times New Roman" w:eastAsia="Times New Roman" w:hAnsi="Times New Roman" w:cs="Times New Roman"/>
            <w:color w:val="0563C1"/>
            <w:u w:val="single"/>
          </w:rPr>
          <w:t>https://doi.org/10.3390/su10093084</w:t>
        </w:r>
      </w:hyperlink>
    </w:p>
    <w:p w14:paraId="325292B6"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proofErr w:type="spellStart"/>
      <w:r w:rsidRPr="00C51F1B">
        <w:rPr>
          <w:rFonts w:ascii="Times New Roman" w:eastAsia="Times New Roman" w:hAnsi="Times New Roman" w:cs="Times New Roman"/>
        </w:rPr>
        <w:t>Chukwukelo</w:t>
      </w:r>
      <w:proofErr w:type="spellEnd"/>
      <w:r w:rsidRPr="00C51F1B">
        <w:rPr>
          <w:rFonts w:ascii="Times New Roman" w:eastAsia="Times New Roman" w:hAnsi="Times New Roman" w:cs="Times New Roman"/>
        </w:rPr>
        <w:t xml:space="preserve">, V. N., </w:t>
      </w:r>
      <w:proofErr w:type="spellStart"/>
      <w:r w:rsidRPr="00C51F1B">
        <w:rPr>
          <w:rFonts w:ascii="Times New Roman" w:eastAsia="Times New Roman" w:hAnsi="Times New Roman" w:cs="Times New Roman"/>
        </w:rPr>
        <w:t>Essi</w:t>
      </w:r>
      <w:proofErr w:type="spellEnd"/>
      <w:r w:rsidRPr="00C51F1B">
        <w:rPr>
          <w:rFonts w:ascii="Times New Roman" w:eastAsia="Times New Roman" w:hAnsi="Times New Roman" w:cs="Times New Roman"/>
        </w:rPr>
        <w:t xml:space="preserve">, I. D., Amos, E., &amp; </w:t>
      </w:r>
      <w:proofErr w:type="spellStart"/>
      <w:r w:rsidRPr="00C51F1B">
        <w:rPr>
          <w:rFonts w:ascii="Times New Roman" w:eastAsia="Times New Roman" w:hAnsi="Times New Roman" w:cs="Times New Roman"/>
        </w:rPr>
        <w:t>Tuaneh</w:t>
      </w:r>
      <w:proofErr w:type="spellEnd"/>
      <w:r w:rsidRPr="00C51F1B">
        <w:rPr>
          <w:rFonts w:ascii="Times New Roman" w:eastAsia="Times New Roman" w:hAnsi="Times New Roman" w:cs="Times New Roman"/>
        </w:rPr>
        <w:t xml:space="preserve">, G. L. (2025). Application of Bayesian Vector Autoregressive Model to some macroeconomic variables in Nigeria and global factors. </w:t>
      </w:r>
      <w:r w:rsidRPr="00C51F1B">
        <w:rPr>
          <w:rFonts w:ascii="Times New Roman" w:eastAsia="Times New Roman" w:hAnsi="Times New Roman" w:cs="Times New Roman"/>
          <w:i/>
          <w:iCs/>
        </w:rPr>
        <w:t>International Review of Economics and Finance</w:t>
      </w:r>
      <w:r w:rsidRPr="00C51F1B">
        <w:rPr>
          <w:rFonts w:ascii="Times New Roman" w:eastAsia="Times New Roman" w:hAnsi="Times New Roman" w:cs="Times New Roman"/>
        </w:rPr>
        <w:t xml:space="preserve">, 9(6), Article 1712563. </w:t>
      </w:r>
      <w:hyperlink r:id="rId25">
        <w:r w:rsidR="008059F4" w:rsidRPr="00C51F1B">
          <w:rPr>
            <w:rFonts w:ascii="Times New Roman" w:eastAsia="Times New Roman" w:hAnsi="Times New Roman" w:cs="Times New Roman"/>
            <w:color w:val="0563C1"/>
            <w:u w:val="single"/>
          </w:rPr>
          <w:t>https://doi.org/10.64388/IREV9I6-1712563</w:t>
        </w:r>
      </w:hyperlink>
    </w:p>
    <w:p w14:paraId="24D32C81"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r w:rsidRPr="00C51F1B">
        <w:rPr>
          <w:rFonts w:ascii="Times New Roman" w:eastAsia="Times New Roman" w:hAnsi="Times New Roman" w:cs="Times New Roman"/>
        </w:rPr>
        <w:t xml:space="preserve">Cole, R. A., &amp; White, L. J. (2010). </w:t>
      </w:r>
      <w:r w:rsidRPr="00C51F1B">
        <w:rPr>
          <w:rFonts w:ascii="Times New Roman" w:eastAsia="Times New Roman" w:hAnsi="Times New Roman" w:cs="Times New Roman"/>
          <w:i/>
          <w:iCs/>
        </w:rPr>
        <w:t>Deja Vu All Over Again: The Causes of U.S. Commercial Bank Failures This Time Around</w:t>
      </w:r>
      <w:r w:rsidRPr="00C51F1B">
        <w:rPr>
          <w:rFonts w:ascii="Times New Roman" w:eastAsia="Times New Roman" w:hAnsi="Times New Roman" w:cs="Times New Roman"/>
        </w:rPr>
        <w:t xml:space="preserve"> (Working Paper No. 10-15). New York University, Leonard N. Stern School of Business, Department of Economics. Retrieved from </w:t>
      </w:r>
      <w:hyperlink r:id="rId26">
        <w:r w:rsidR="008059F4" w:rsidRPr="00C51F1B">
          <w:rPr>
            <w:rFonts w:ascii="Times New Roman" w:eastAsia="Times New Roman" w:hAnsi="Times New Roman" w:cs="Times New Roman"/>
            <w:color w:val="0563C1"/>
            <w:u w:val="single"/>
          </w:rPr>
          <w:t>https://ideas.repec.org/p/ste/nystbu/10-15.html</w:t>
        </w:r>
      </w:hyperlink>
    </w:p>
    <w:p w14:paraId="545F2947"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proofErr w:type="spellStart"/>
      <w:r w:rsidRPr="00C51F1B">
        <w:rPr>
          <w:rFonts w:ascii="Times New Roman" w:eastAsia="Times New Roman" w:hAnsi="Times New Roman" w:cs="Times New Roman"/>
        </w:rPr>
        <w:t>Davydov</w:t>
      </w:r>
      <w:proofErr w:type="spellEnd"/>
      <w:r w:rsidRPr="00C51F1B">
        <w:rPr>
          <w:rFonts w:ascii="Times New Roman" w:eastAsia="Times New Roman" w:hAnsi="Times New Roman" w:cs="Times New Roman"/>
        </w:rPr>
        <w:t xml:space="preserve">, D., King, T., &amp; Weill, L. (2024). Managing bank liquidity hoarding during uncertain times: The role of board gender diversity. </w:t>
      </w:r>
      <w:r w:rsidRPr="00C51F1B">
        <w:rPr>
          <w:rFonts w:ascii="Times New Roman" w:eastAsia="Times New Roman" w:hAnsi="Times New Roman" w:cs="Times New Roman"/>
          <w:i/>
          <w:iCs/>
        </w:rPr>
        <w:t>Financial Markets Institutions and Instruments</w:t>
      </w:r>
      <w:r w:rsidRPr="00C51F1B">
        <w:rPr>
          <w:rFonts w:ascii="Times New Roman" w:eastAsia="Times New Roman" w:hAnsi="Times New Roman" w:cs="Times New Roman"/>
        </w:rPr>
        <w:t xml:space="preserve">, </w:t>
      </w:r>
      <w:r w:rsidRPr="00C51F1B">
        <w:rPr>
          <w:rFonts w:ascii="Times New Roman" w:eastAsia="Times New Roman" w:hAnsi="Times New Roman" w:cs="Times New Roman"/>
          <w:i/>
          <w:iCs/>
        </w:rPr>
        <w:t>33</w:t>
      </w:r>
      <w:r w:rsidRPr="00C51F1B">
        <w:rPr>
          <w:rFonts w:ascii="Times New Roman" w:eastAsia="Times New Roman" w:hAnsi="Times New Roman" w:cs="Times New Roman"/>
        </w:rPr>
        <w:t xml:space="preserve">(3), 323–348. </w:t>
      </w:r>
      <w:hyperlink r:id="rId27">
        <w:r w:rsidR="008059F4" w:rsidRPr="00C51F1B">
          <w:rPr>
            <w:rFonts w:ascii="Times New Roman" w:eastAsia="Times New Roman" w:hAnsi="Times New Roman" w:cs="Times New Roman"/>
            <w:color w:val="0563C1"/>
            <w:u w:val="single"/>
          </w:rPr>
          <w:t>https://doi.org/10.1111/fmii.12197</w:t>
        </w:r>
      </w:hyperlink>
    </w:p>
    <w:p w14:paraId="61BF6F85"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color w:val="000000"/>
        </w:rPr>
        <w:t>Dong, X., Lu, X., Jiang, Z., &amp; Yoon, S. M. (2025). Dynamic quantile-frequency connectedness between speculative activities in the energy, financial, precious metal, and agricultural commodity markets. Available at SSRN 5492537.</w:t>
      </w:r>
    </w:p>
    <w:p w14:paraId="08261C48"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proofErr w:type="spellStart"/>
      <w:r w:rsidRPr="00C51F1B">
        <w:rPr>
          <w:rFonts w:ascii="Times New Roman" w:eastAsia="Times New Roman" w:hAnsi="Times New Roman" w:cs="Times New Roman"/>
        </w:rPr>
        <w:t>Evgenidis</w:t>
      </w:r>
      <w:proofErr w:type="spellEnd"/>
      <w:r w:rsidRPr="00C51F1B">
        <w:rPr>
          <w:rFonts w:ascii="Times New Roman" w:eastAsia="Times New Roman" w:hAnsi="Times New Roman" w:cs="Times New Roman"/>
        </w:rPr>
        <w:t xml:space="preserve">, A., &amp; </w:t>
      </w:r>
      <w:proofErr w:type="spellStart"/>
      <w:r w:rsidRPr="00C51F1B">
        <w:rPr>
          <w:rFonts w:ascii="Times New Roman" w:eastAsia="Times New Roman" w:hAnsi="Times New Roman" w:cs="Times New Roman"/>
        </w:rPr>
        <w:t>Papadamou</w:t>
      </w:r>
      <w:proofErr w:type="spellEnd"/>
      <w:r w:rsidRPr="00C51F1B">
        <w:rPr>
          <w:rFonts w:ascii="Times New Roman" w:eastAsia="Times New Roman" w:hAnsi="Times New Roman" w:cs="Times New Roman"/>
        </w:rPr>
        <w:t xml:space="preserve">, S. (2020). The impact of unconventional monetary policy in the euro area. Structural and scenario analysis from a Bayesian VAR. International Journal of Finance &amp; Economics, 26(4), 5684–5703. </w:t>
      </w:r>
      <w:hyperlink r:id="rId28">
        <w:r w:rsidR="008059F4" w:rsidRPr="00C51F1B">
          <w:rPr>
            <w:rFonts w:ascii="Times New Roman" w:eastAsia="Times New Roman" w:hAnsi="Times New Roman" w:cs="Times New Roman"/>
            <w:color w:val="0563C1"/>
            <w:u w:val="single"/>
          </w:rPr>
          <w:t>https://doi.org/10.1002/ijfe.2088</w:t>
        </w:r>
      </w:hyperlink>
    </w:p>
    <w:p w14:paraId="3917BD44"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rPr>
        <w:t>Fernández-</w:t>
      </w:r>
      <w:proofErr w:type="spellStart"/>
      <w:r w:rsidRPr="00C51F1B">
        <w:rPr>
          <w:rFonts w:ascii="Times New Roman" w:eastAsia="Times New Roman" w:hAnsi="Times New Roman" w:cs="Times New Roman"/>
        </w:rPr>
        <w:t>Villaverde</w:t>
      </w:r>
      <w:proofErr w:type="spellEnd"/>
      <w:r w:rsidRPr="00C51F1B">
        <w:rPr>
          <w:rFonts w:ascii="Times New Roman" w:eastAsia="Times New Roman" w:hAnsi="Times New Roman" w:cs="Times New Roman"/>
        </w:rPr>
        <w:t xml:space="preserve">, J., </w:t>
      </w:r>
      <w:proofErr w:type="spellStart"/>
      <w:r w:rsidRPr="00C51F1B">
        <w:rPr>
          <w:rFonts w:ascii="Times New Roman" w:eastAsia="Times New Roman" w:hAnsi="Times New Roman" w:cs="Times New Roman"/>
        </w:rPr>
        <w:t>Guerrón</w:t>
      </w:r>
      <w:proofErr w:type="spellEnd"/>
      <w:r w:rsidRPr="00C51F1B">
        <w:rPr>
          <w:rFonts w:ascii="Times New Roman" w:eastAsia="Times New Roman" w:hAnsi="Times New Roman" w:cs="Times New Roman"/>
        </w:rPr>
        <w:t xml:space="preserve">-Quintana, P., </w:t>
      </w:r>
      <w:proofErr w:type="spellStart"/>
      <w:r w:rsidRPr="00C51F1B">
        <w:rPr>
          <w:rFonts w:ascii="Times New Roman" w:eastAsia="Times New Roman" w:hAnsi="Times New Roman" w:cs="Times New Roman"/>
        </w:rPr>
        <w:t>Kuester</w:t>
      </w:r>
      <w:proofErr w:type="spellEnd"/>
      <w:r w:rsidRPr="00C51F1B">
        <w:rPr>
          <w:rFonts w:ascii="Times New Roman" w:eastAsia="Times New Roman" w:hAnsi="Times New Roman" w:cs="Times New Roman"/>
        </w:rPr>
        <w:t xml:space="preserve">, K., &amp; Rubio-Ramírez, J. (2015). Fiscal volatility shocks and economic activity. </w:t>
      </w:r>
      <w:r w:rsidRPr="00C51F1B">
        <w:rPr>
          <w:rFonts w:ascii="Times New Roman" w:eastAsia="Times New Roman" w:hAnsi="Times New Roman" w:cs="Times New Roman"/>
          <w:i/>
          <w:iCs/>
        </w:rPr>
        <w:t>American Economic Review</w:t>
      </w:r>
      <w:r w:rsidRPr="00C51F1B">
        <w:rPr>
          <w:rFonts w:ascii="Times New Roman" w:eastAsia="Times New Roman" w:hAnsi="Times New Roman" w:cs="Times New Roman"/>
        </w:rPr>
        <w:t xml:space="preserve">, </w:t>
      </w:r>
      <w:r w:rsidRPr="00C51F1B">
        <w:rPr>
          <w:rFonts w:ascii="Times New Roman" w:eastAsia="Times New Roman" w:hAnsi="Times New Roman" w:cs="Times New Roman"/>
          <w:i/>
          <w:iCs/>
        </w:rPr>
        <w:t>105</w:t>
      </w:r>
      <w:r w:rsidRPr="00C51F1B">
        <w:rPr>
          <w:rFonts w:ascii="Times New Roman" w:eastAsia="Times New Roman" w:hAnsi="Times New Roman" w:cs="Times New Roman"/>
        </w:rPr>
        <w:t xml:space="preserve">(11), 3352–3384. </w:t>
      </w:r>
      <w:hyperlink r:id="rId29">
        <w:r w:rsidR="008059F4" w:rsidRPr="00C51F1B">
          <w:rPr>
            <w:rFonts w:ascii="Times New Roman" w:eastAsia="Times New Roman" w:hAnsi="Times New Roman" w:cs="Times New Roman"/>
            <w:color w:val="0563C1"/>
            <w:u w:val="single"/>
          </w:rPr>
          <w:t>https://doi.org/10.1257/aer.20121236</w:t>
        </w:r>
      </w:hyperlink>
    </w:p>
    <w:p w14:paraId="5EC49BA3" w14:textId="7BF5133E" w:rsidR="008059F4" w:rsidRPr="00C51F1B" w:rsidRDefault="00654302" w:rsidP="00C51F1B">
      <w:pPr>
        <w:pStyle w:val="ListParagraph"/>
        <w:numPr>
          <w:ilvl w:val="0"/>
          <w:numId w:val="6"/>
        </w:numPr>
        <w:jc w:val="both"/>
        <w:rPr>
          <w:rFonts w:ascii="Times New Roman" w:eastAsia="Times New Roman" w:hAnsi="Times New Roman" w:cs="Times New Roman"/>
        </w:rPr>
      </w:pPr>
      <w:r w:rsidRPr="00C51F1B">
        <w:rPr>
          <w:rFonts w:ascii="Times New Roman" w:eastAsia="Times New Roman" w:hAnsi="Times New Roman" w:cs="Times New Roman"/>
        </w:rPr>
        <w:t>Hamdi, K., &amp; Hassen, G. (202</w:t>
      </w:r>
      <w:r w:rsidR="003D2AC5" w:rsidRPr="00C51F1B">
        <w:rPr>
          <w:rFonts w:ascii="Times New Roman" w:eastAsia="Times New Roman" w:hAnsi="Times New Roman" w:cs="Times New Roman"/>
        </w:rPr>
        <w:t>2</w:t>
      </w:r>
      <w:r w:rsidRPr="00C51F1B">
        <w:rPr>
          <w:rFonts w:ascii="Times New Roman" w:eastAsia="Times New Roman" w:hAnsi="Times New Roman" w:cs="Times New Roman"/>
        </w:rPr>
        <w:t xml:space="preserve">). Economic policy uncertainty effect on credit risk, lending decisions, and banking performance: Evidence from Tunisian listed banks. </w:t>
      </w:r>
      <w:r w:rsidRPr="00C51F1B">
        <w:rPr>
          <w:rFonts w:ascii="Times New Roman" w:eastAsia="Times New Roman" w:hAnsi="Times New Roman" w:cs="Times New Roman"/>
          <w:i/>
          <w:iCs/>
        </w:rPr>
        <w:t>Journal of Economic and Administrative Sciences, 3</w:t>
      </w:r>
      <w:r w:rsidR="00485F43" w:rsidRPr="00C51F1B">
        <w:rPr>
          <w:rFonts w:ascii="Times New Roman" w:eastAsia="Times New Roman" w:hAnsi="Times New Roman" w:cs="Times New Roman"/>
          <w:i/>
          <w:iCs/>
        </w:rPr>
        <w:t>8</w:t>
      </w:r>
      <w:r w:rsidRPr="00C51F1B">
        <w:rPr>
          <w:rFonts w:ascii="Times New Roman" w:eastAsia="Times New Roman" w:hAnsi="Times New Roman" w:cs="Times New Roman"/>
        </w:rPr>
        <w:t xml:space="preserve">(2), </w:t>
      </w:r>
      <w:r w:rsidR="00485F43" w:rsidRPr="00C51F1B">
        <w:rPr>
          <w:rFonts w:ascii="Times New Roman" w:eastAsia="Times New Roman" w:hAnsi="Times New Roman" w:cs="Times New Roman"/>
        </w:rPr>
        <w:t>287</w:t>
      </w:r>
      <w:r w:rsidRPr="00C51F1B">
        <w:rPr>
          <w:rFonts w:ascii="Times New Roman" w:eastAsia="Times New Roman" w:hAnsi="Times New Roman" w:cs="Times New Roman"/>
        </w:rPr>
        <w:t>-</w:t>
      </w:r>
      <w:r w:rsidR="00485F43" w:rsidRPr="00C51F1B">
        <w:rPr>
          <w:rFonts w:ascii="Times New Roman" w:eastAsia="Times New Roman" w:hAnsi="Times New Roman" w:cs="Times New Roman"/>
        </w:rPr>
        <w:t>303</w:t>
      </w:r>
      <w:r w:rsidRPr="00C51F1B">
        <w:rPr>
          <w:rFonts w:ascii="Times New Roman" w:eastAsia="Times New Roman" w:hAnsi="Times New Roman" w:cs="Times New Roman"/>
        </w:rPr>
        <w:t xml:space="preserve">. </w:t>
      </w:r>
      <w:hyperlink r:id="rId30">
        <w:r w:rsidR="008059F4" w:rsidRPr="00C51F1B">
          <w:rPr>
            <w:rFonts w:ascii="Times New Roman" w:eastAsia="Times New Roman" w:hAnsi="Times New Roman" w:cs="Times New Roman"/>
            <w:color w:val="0563C1"/>
            <w:u w:val="single"/>
          </w:rPr>
          <w:t>https://doi.org/10.1108/JEAS-09-2020-0159</w:t>
        </w:r>
      </w:hyperlink>
    </w:p>
    <w:p w14:paraId="3793B66C"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r w:rsidRPr="00C51F1B">
        <w:rPr>
          <w:rFonts w:ascii="Times New Roman" w:eastAsia="Times New Roman" w:hAnsi="Times New Roman" w:cs="Times New Roman"/>
        </w:rPr>
        <w:t xml:space="preserve">Koch, C. (2015). Deposit interest rate ceilings as credit supply shifters: Bank level evidence on the effects of Regulation Q. </w:t>
      </w:r>
      <w:r w:rsidRPr="00C51F1B">
        <w:rPr>
          <w:rFonts w:ascii="Times New Roman" w:eastAsia="Times New Roman" w:hAnsi="Times New Roman" w:cs="Times New Roman"/>
          <w:i/>
          <w:iCs/>
        </w:rPr>
        <w:t>Journal of Banking &amp; Finance</w:t>
      </w:r>
      <w:r w:rsidRPr="00C51F1B">
        <w:rPr>
          <w:rFonts w:ascii="Times New Roman" w:eastAsia="Times New Roman" w:hAnsi="Times New Roman" w:cs="Times New Roman"/>
        </w:rPr>
        <w:t xml:space="preserve">, </w:t>
      </w:r>
      <w:r w:rsidRPr="00C51F1B">
        <w:rPr>
          <w:rFonts w:ascii="Times New Roman" w:eastAsia="Times New Roman" w:hAnsi="Times New Roman" w:cs="Times New Roman"/>
          <w:i/>
          <w:iCs/>
        </w:rPr>
        <w:t>61</w:t>
      </w:r>
      <w:r w:rsidRPr="00C51F1B">
        <w:rPr>
          <w:rFonts w:ascii="Times New Roman" w:eastAsia="Times New Roman" w:hAnsi="Times New Roman" w:cs="Times New Roman"/>
        </w:rPr>
        <w:t xml:space="preserve">, 316–326. </w:t>
      </w:r>
      <w:hyperlink r:id="rId31">
        <w:r w:rsidR="008059F4" w:rsidRPr="00C51F1B">
          <w:rPr>
            <w:rFonts w:ascii="Times New Roman" w:eastAsia="Times New Roman" w:hAnsi="Times New Roman" w:cs="Times New Roman"/>
            <w:color w:val="0563C1"/>
            <w:u w:val="single"/>
          </w:rPr>
          <w:t>https://doi.org/10.1016/j.jbankfin.2015.09.006</w:t>
        </w:r>
      </w:hyperlink>
    </w:p>
    <w:p w14:paraId="38CA30E4"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r w:rsidRPr="00C51F1B">
        <w:rPr>
          <w:rFonts w:ascii="Times New Roman" w:eastAsia="Times New Roman" w:hAnsi="Times New Roman" w:cs="Times New Roman"/>
        </w:rPr>
        <w:t xml:space="preserve">Kwan, A., Lin, C., </w:t>
      </w:r>
      <w:proofErr w:type="spellStart"/>
      <w:r w:rsidRPr="00C51F1B">
        <w:rPr>
          <w:rFonts w:ascii="Times New Roman" w:eastAsia="Times New Roman" w:hAnsi="Times New Roman" w:cs="Times New Roman"/>
        </w:rPr>
        <w:t>Pursiainen</w:t>
      </w:r>
      <w:proofErr w:type="spellEnd"/>
      <w:r w:rsidRPr="00C51F1B">
        <w:rPr>
          <w:rFonts w:ascii="Times New Roman" w:eastAsia="Times New Roman" w:hAnsi="Times New Roman" w:cs="Times New Roman"/>
        </w:rPr>
        <w:t xml:space="preserve">, V., &amp; Tai, M. (2023). Stress testing banks’ digital capabilities: Evidence from the COVID-19 pandemic. </w:t>
      </w:r>
      <w:r w:rsidRPr="00C51F1B">
        <w:rPr>
          <w:rFonts w:ascii="Times New Roman" w:eastAsia="Times New Roman" w:hAnsi="Times New Roman" w:cs="Times New Roman"/>
          <w:i/>
          <w:iCs/>
        </w:rPr>
        <w:t>Journal of Financial and Quantitative Analysis, 59</w:t>
      </w:r>
      <w:r w:rsidRPr="00C51F1B">
        <w:rPr>
          <w:rFonts w:ascii="Times New Roman" w:eastAsia="Times New Roman" w:hAnsi="Times New Roman" w:cs="Times New Roman"/>
        </w:rPr>
        <w:t xml:space="preserve">(6), 1–29. </w:t>
      </w:r>
      <w:hyperlink r:id="rId32">
        <w:r w:rsidR="008059F4" w:rsidRPr="00C51F1B">
          <w:rPr>
            <w:rFonts w:ascii="Times New Roman" w:eastAsia="Times New Roman" w:hAnsi="Times New Roman" w:cs="Times New Roman"/>
            <w:color w:val="0563C1"/>
            <w:u w:val="single"/>
          </w:rPr>
          <w:t>https://doi.org/10.1017/S0022109023000662</w:t>
        </w:r>
      </w:hyperlink>
    </w:p>
    <w:p w14:paraId="3FC264A2"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proofErr w:type="spellStart"/>
      <w:r w:rsidRPr="00C51F1B">
        <w:rPr>
          <w:rFonts w:ascii="Times New Roman" w:eastAsia="Times New Roman" w:hAnsi="Times New Roman" w:cs="Times New Roman"/>
        </w:rPr>
        <w:lastRenderedPageBreak/>
        <w:t>Laeven</w:t>
      </w:r>
      <w:proofErr w:type="spellEnd"/>
      <w:r w:rsidRPr="00C51F1B">
        <w:rPr>
          <w:rFonts w:ascii="Times New Roman" w:eastAsia="Times New Roman" w:hAnsi="Times New Roman" w:cs="Times New Roman"/>
        </w:rPr>
        <w:t xml:space="preserve">, L., </w:t>
      </w:r>
      <w:proofErr w:type="spellStart"/>
      <w:r w:rsidRPr="00C51F1B">
        <w:rPr>
          <w:rFonts w:ascii="Times New Roman" w:eastAsia="Times New Roman" w:hAnsi="Times New Roman" w:cs="Times New Roman"/>
        </w:rPr>
        <w:t>Maddaloni</w:t>
      </w:r>
      <w:proofErr w:type="spellEnd"/>
      <w:r w:rsidRPr="00C51F1B">
        <w:rPr>
          <w:rFonts w:ascii="Times New Roman" w:eastAsia="Times New Roman" w:hAnsi="Times New Roman" w:cs="Times New Roman"/>
        </w:rPr>
        <w:t xml:space="preserve">, A., &amp; </w:t>
      </w:r>
      <w:proofErr w:type="spellStart"/>
      <w:r w:rsidRPr="00C51F1B">
        <w:rPr>
          <w:rFonts w:ascii="Times New Roman" w:eastAsia="Times New Roman" w:hAnsi="Times New Roman" w:cs="Times New Roman"/>
        </w:rPr>
        <w:t>Mendicino</w:t>
      </w:r>
      <w:proofErr w:type="spellEnd"/>
      <w:r w:rsidRPr="00C51F1B">
        <w:rPr>
          <w:rFonts w:ascii="Times New Roman" w:eastAsia="Times New Roman" w:hAnsi="Times New Roman" w:cs="Times New Roman"/>
        </w:rPr>
        <w:t xml:space="preserve">, C. (2022). </w:t>
      </w:r>
      <w:r w:rsidRPr="00C51F1B">
        <w:rPr>
          <w:rFonts w:ascii="Times New Roman" w:eastAsia="Times New Roman" w:hAnsi="Times New Roman" w:cs="Times New Roman"/>
          <w:i/>
          <w:iCs/>
        </w:rPr>
        <w:t>Monetary policy, macroprudential policy and financial stability</w:t>
      </w:r>
      <w:r w:rsidRPr="00C51F1B">
        <w:rPr>
          <w:rFonts w:ascii="Times New Roman" w:eastAsia="Times New Roman" w:hAnsi="Times New Roman" w:cs="Times New Roman"/>
        </w:rPr>
        <w:t xml:space="preserve"> (ECB Working Paper Series No. 2647). European Central Bank. </w:t>
      </w:r>
      <w:hyperlink r:id="rId33">
        <w:r w:rsidR="008059F4" w:rsidRPr="00C51F1B">
          <w:rPr>
            <w:rFonts w:ascii="Times New Roman" w:eastAsia="Times New Roman" w:hAnsi="Times New Roman" w:cs="Times New Roman"/>
            <w:color w:val="0563C1"/>
            <w:u w:val="single"/>
          </w:rPr>
          <w:t>https://doi.org/10.2866/919182</w:t>
        </w:r>
      </w:hyperlink>
    </w:p>
    <w:p w14:paraId="1F9B7179" w14:textId="1621FB0E" w:rsidR="008059F4" w:rsidRPr="00C51F1B" w:rsidRDefault="00654302" w:rsidP="00C51F1B">
      <w:pPr>
        <w:pStyle w:val="ListParagraph"/>
        <w:numPr>
          <w:ilvl w:val="0"/>
          <w:numId w:val="6"/>
        </w:numPr>
        <w:jc w:val="both"/>
        <w:rPr>
          <w:rFonts w:ascii="Times New Roman" w:eastAsia="Times New Roman" w:hAnsi="Times New Roman" w:cs="Times New Roman"/>
        </w:rPr>
      </w:pPr>
      <w:proofErr w:type="spellStart"/>
      <w:r w:rsidRPr="00C51F1B">
        <w:rPr>
          <w:rFonts w:ascii="Times New Roman" w:eastAsia="Times New Roman" w:hAnsi="Times New Roman" w:cs="Times New Roman"/>
        </w:rPr>
        <w:t>Lamers</w:t>
      </w:r>
      <w:proofErr w:type="spellEnd"/>
      <w:r w:rsidRPr="00C51F1B">
        <w:rPr>
          <w:rFonts w:ascii="Times New Roman" w:eastAsia="Times New Roman" w:hAnsi="Times New Roman" w:cs="Times New Roman"/>
        </w:rPr>
        <w:t xml:space="preserve">, M., </w:t>
      </w:r>
      <w:proofErr w:type="spellStart"/>
      <w:r w:rsidRPr="00C51F1B">
        <w:rPr>
          <w:rFonts w:ascii="Times New Roman" w:eastAsia="Times New Roman" w:hAnsi="Times New Roman" w:cs="Times New Roman"/>
        </w:rPr>
        <w:t>Mergaerts</w:t>
      </w:r>
      <w:proofErr w:type="spellEnd"/>
      <w:r w:rsidRPr="00C51F1B">
        <w:rPr>
          <w:rFonts w:ascii="Times New Roman" w:eastAsia="Times New Roman" w:hAnsi="Times New Roman" w:cs="Times New Roman"/>
        </w:rPr>
        <w:t xml:space="preserve">, F., </w:t>
      </w:r>
      <w:proofErr w:type="spellStart"/>
      <w:r w:rsidRPr="00C51F1B">
        <w:rPr>
          <w:rFonts w:ascii="Times New Roman" w:eastAsia="Times New Roman" w:hAnsi="Times New Roman" w:cs="Times New Roman"/>
        </w:rPr>
        <w:t>Meuleman</w:t>
      </w:r>
      <w:proofErr w:type="spellEnd"/>
      <w:r w:rsidRPr="00C51F1B">
        <w:rPr>
          <w:rFonts w:ascii="Times New Roman" w:eastAsia="Times New Roman" w:hAnsi="Times New Roman" w:cs="Times New Roman"/>
        </w:rPr>
        <w:t xml:space="preserve">, E., &amp; Vander </w:t>
      </w:r>
      <w:proofErr w:type="spellStart"/>
      <w:r w:rsidRPr="00C51F1B">
        <w:rPr>
          <w:rFonts w:ascii="Times New Roman" w:eastAsia="Times New Roman" w:hAnsi="Times New Roman" w:cs="Times New Roman"/>
        </w:rPr>
        <w:t>Vennet</w:t>
      </w:r>
      <w:proofErr w:type="spellEnd"/>
      <w:r w:rsidRPr="00C51F1B">
        <w:rPr>
          <w:rFonts w:ascii="Times New Roman" w:eastAsia="Times New Roman" w:hAnsi="Times New Roman" w:cs="Times New Roman"/>
        </w:rPr>
        <w:t xml:space="preserve">, R. (2019). The </w:t>
      </w:r>
      <w:proofErr w:type="spellStart"/>
      <w:r w:rsidRPr="00C51F1B">
        <w:rPr>
          <w:rFonts w:ascii="Times New Roman" w:eastAsia="Times New Roman" w:hAnsi="Times New Roman" w:cs="Times New Roman"/>
        </w:rPr>
        <w:t>tradeoff</w:t>
      </w:r>
      <w:proofErr w:type="spellEnd"/>
      <w:r w:rsidRPr="00C51F1B">
        <w:rPr>
          <w:rFonts w:ascii="Times New Roman" w:eastAsia="Times New Roman" w:hAnsi="Times New Roman" w:cs="Times New Roman"/>
        </w:rPr>
        <w:t xml:space="preserve"> between monetary policy and bank stability. </w:t>
      </w:r>
      <w:r w:rsidRPr="00C51F1B">
        <w:rPr>
          <w:rFonts w:ascii="Times New Roman" w:eastAsia="Times New Roman" w:hAnsi="Times New Roman" w:cs="Times New Roman"/>
          <w:i/>
          <w:iCs/>
        </w:rPr>
        <w:t>International Journal of Central Banking, 15</w:t>
      </w:r>
      <w:r w:rsidRPr="00C51F1B">
        <w:rPr>
          <w:rFonts w:ascii="Times New Roman" w:eastAsia="Times New Roman" w:hAnsi="Times New Roman" w:cs="Times New Roman"/>
        </w:rPr>
        <w:t>(2), 1–41.</w:t>
      </w:r>
      <w:r w:rsidR="00AF49B6" w:rsidRPr="00C51F1B">
        <w:rPr>
          <w:rFonts w:ascii="Arial" w:eastAsia="Times New Roman" w:hAnsi="Arial" w:cs="Arial"/>
          <w:sz w:val="18"/>
          <w:szCs w:val="18"/>
        </w:rPr>
        <w:t xml:space="preserve"> https://www.ijcb.org/journal/ijcb19q2a1.htm</w:t>
      </w:r>
    </w:p>
    <w:p w14:paraId="295CE189"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r w:rsidRPr="00C51F1B">
        <w:rPr>
          <w:rFonts w:ascii="Times New Roman" w:eastAsia="Times New Roman" w:hAnsi="Times New Roman" w:cs="Times New Roman"/>
        </w:rPr>
        <w:t xml:space="preserve">Li, Z., &amp; Zhong, J. (2019). Impact of economic policy uncertainty shocks on China’s financial conditions. </w:t>
      </w:r>
      <w:r w:rsidRPr="00C51F1B">
        <w:rPr>
          <w:rFonts w:ascii="Times New Roman" w:eastAsia="Times New Roman" w:hAnsi="Times New Roman" w:cs="Times New Roman"/>
          <w:i/>
          <w:iCs/>
        </w:rPr>
        <w:t>Finance Research Letters</w:t>
      </w:r>
      <w:r w:rsidRPr="00C51F1B">
        <w:rPr>
          <w:rFonts w:ascii="Times New Roman" w:eastAsia="Times New Roman" w:hAnsi="Times New Roman" w:cs="Times New Roman"/>
        </w:rPr>
        <w:t xml:space="preserve">, </w:t>
      </w:r>
      <w:r w:rsidRPr="00C51F1B">
        <w:rPr>
          <w:rFonts w:ascii="Times New Roman" w:eastAsia="Times New Roman" w:hAnsi="Times New Roman" w:cs="Times New Roman"/>
          <w:i/>
          <w:iCs/>
        </w:rPr>
        <w:t>35</w:t>
      </w:r>
      <w:r w:rsidRPr="00C51F1B">
        <w:rPr>
          <w:rFonts w:ascii="Times New Roman" w:eastAsia="Times New Roman" w:hAnsi="Times New Roman" w:cs="Times New Roman"/>
        </w:rPr>
        <w:t xml:space="preserve">, 101303. </w:t>
      </w:r>
      <w:hyperlink r:id="rId34">
        <w:r w:rsidR="008059F4" w:rsidRPr="00C51F1B">
          <w:rPr>
            <w:rFonts w:ascii="Times New Roman" w:eastAsia="Times New Roman" w:hAnsi="Times New Roman" w:cs="Times New Roman"/>
            <w:color w:val="0563C1"/>
            <w:u w:val="single"/>
          </w:rPr>
          <w:t>https://doi.org/10.1016/j.frl.2019.101303</w:t>
        </w:r>
      </w:hyperlink>
    </w:p>
    <w:p w14:paraId="6B450F8C"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color w:val="000000"/>
        </w:rPr>
        <w:t xml:space="preserve">Liu, J., Li, Z., Putnam, B., &amp; Yu, A. (2025). Dynamic interaction networks and frequency domain features of speculation and volatility in US energy futures markets. Journal of Futures Markets, 45(5), 407-428. </w:t>
      </w:r>
      <w:hyperlink r:id="rId35">
        <w:r w:rsidR="008059F4" w:rsidRPr="00C51F1B">
          <w:rPr>
            <w:rFonts w:ascii="Times New Roman" w:eastAsia="Times New Roman" w:hAnsi="Times New Roman" w:cs="Times New Roman"/>
            <w:color w:val="000000"/>
          </w:rPr>
          <w:t>https://doi.org/10.1002/fut.22570</w:t>
        </w:r>
      </w:hyperlink>
    </w:p>
    <w:p w14:paraId="53725256"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highlight w:val="white"/>
        </w:rPr>
      </w:pPr>
      <w:r w:rsidRPr="00C51F1B">
        <w:rPr>
          <w:rFonts w:ascii="Times New Roman" w:eastAsia="Times New Roman" w:hAnsi="Times New Roman" w:cs="Times New Roman"/>
          <w:color w:val="000000"/>
          <w:highlight w:val="white"/>
        </w:rPr>
        <w:t xml:space="preserve">Mendes, K.D.S., Silveira, R.C. and </w:t>
      </w:r>
      <w:proofErr w:type="spellStart"/>
      <w:r w:rsidRPr="00C51F1B">
        <w:rPr>
          <w:rFonts w:ascii="Times New Roman" w:eastAsia="Times New Roman" w:hAnsi="Times New Roman" w:cs="Times New Roman"/>
          <w:color w:val="000000"/>
          <w:highlight w:val="white"/>
        </w:rPr>
        <w:t>Galvao</w:t>
      </w:r>
      <w:proofErr w:type="spellEnd"/>
      <w:r w:rsidRPr="00C51F1B">
        <w:rPr>
          <w:rFonts w:ascii="Times New Roman" w:eastAsia="Times New Roman" w:hAnsi="Times New Roman" w:cs="Times New Roman"/>
          <w:color w:val="000000"/>
          <w:highlight w:val="white"/>
        </w:rPr>
        <w:t xml:space="preserve">, C.M. (2008) Integrative Literature Review: A Research Method to Incorporate Evidence in Health Care and Nursing. </w:t>
      </w:r>
      <w:proofErr w:type="spellStart"/>
      <w:r w:rsidRPr="00C51F1B">
        <w:rPr>
          <w:rFonts w:ascii="Times New Roman" w:eastAsia="Times New Roman" w:hAnsi="Times New Roman" w:cs="Times New Roman"/>
          <w:color w:val="000000"/>
          <w:highlight w:val="white"/>
        </w:rPr>
        <w:t>Texto</w:t>
      </w:r>
      <w:proofErr w:type="spellEnd"/>
      <w:r w:rsidRPr="00C51F1B">
        <w:rPr>
          <w:rFonts w:ascii="Times New Roman" w:eastAsia="Times New Roman" w:hAnsi="Times New Roman" w:cs="Times New Roman"/>
          <w:color w:val="000000"/>
          <w:highlight w:val="white"/>
        </w:rPr>
        <w:t xml:space="preserve"> &amp; </w:t>
      </w:r>
      <w:proofErr w:type="spellStart"/>
      <w:r w:rsidRPr="00C51F1B">
        <w:rPr>
          <w:rFonts w:ascii="Times New Roman" w:eastAsia="Times New Roman" w:hAnsi="Times New Roman" w:cs="Times New Roman"/>
          <w:color w:val="000000"/>
          <w:highlight w:val="white"/>
        </w:rPr>
        <w:t>Contex</w:t>
      </w:r>
      <w:proofErr w:type="spellEnd"/>
      <w:r w:rsidRPr="00C51F1B">
        <w:rPr>
          <w:rFonts w:ascii="Times New Roman" w:eastAsia="Times New Roman" w:hAnsi="Times New Roman" w:cs="Times New Roman"/>
          <w:color w:val="000000"/>
          <w:highlight w:val="white"/>
        </w:rPr>
        <w:t xml:space="preserve"> to </w:t>
      </w:r>
      <w:proofErr w:type="spellStart"/>
      <w:r w:rsidRPr="00C51F1B">
        <w:rPr>
          <w:rFonts w:ascii="Times New Roman" w:eastAsia="Times New Roman" w:hAnsi="Times New Roman" w:cs="Times New Roman"/>
          <w:color w:val="000000"/>
          <w:highlight w:val="white"/>
        </w:rPr>
        <w:t>Enfermagem</w:t>
      </w:r>
      <w:proofErr w:type="spellEnd"/>
      <w:r w:rsidRPr="00C51F1B">
        <w:rPr>
          <w:rFonts w:ascii="Times New Roman" w:eastAsia="Times New Roman" w:hAnsi="Times New Roman" w:cs="Times New Roman"/>
          <w:color w:val="000000"/>
          <w:highlight w:val="white"/>
        </w:rPr>
        <w:t>, 17, 758-764.</w:t>
      </w:r>
      <w:r w:rsidRPr="00C51F1B">
        <w:rPr>
          <w:rFonts w:ascii="Times New Roman" w:eastAsia="Times New Roman" w:hAnsi="Times New Roman" w:cs="Times New Roman"/>
          <w:color w:val="000000"/>
          <w:highlight w:val="white"/>
        </w:rPr>
        <w:br/>
      </w:r>
      <w:hyperlink r:id="rId36">
        <w:r w:rsidR="008059F4" w:rsidRPr="00C51F1B">
          <w:rPr>
            <w:rFonts w:ascii="Times New Roman" w:eastAsia="Times New Roman" w:hAnsi="Times New Roman" w:cs="Times New Roman"/>
            <w:color w:val="0563C1"/>
            <w:highlight w:val="white"/>
            <w:u w:val="single"/>
          </w:rPr>
          <w:t>https://doi.org/10.1590/S0104-07072008000400018</w:t>
        </w:r>
      </w:hyperlink>
    </w:p>
    <w:p w14:paraId="63CD9D68"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r w:rsidRPr="00C51F1B">
        <w:rPr>
          <w:rFonts w:ascii="Times New Roman" w:eastAsia="Times New Roman" w:hAnsi="Times New Roman" w:cs="Times New Roman"/>
        </w:rPr>
        <w:t>Miranda-</w:t>
      </w:r>
      <w:proofErr w:type="spellStart"/>
      <w:r w:rsidRPr="00C51F1B">
        <w:rPr>
          <w:rFonts w:ascii="Times New Roman" w:eastAsia="Times New Roman" w:hAnsi="Times New Roman" w:cs="Times New Roman"/>
        </w:rPr>
        <w:t>Agrippino</w:t>
      </w:r>
      <w:proofErr w:type="spellEnd"/>
      <w:r w:rsidRPr="00C51F1B">
        <w:rPr>
          <w:rFonts w:ascii="Times New Roman" w:eastAsia="Times New Roman" w:hAnsi="Times New Roman" w:cs="Times New Roman"/>
        </w:rPr>
        <w:t xml:space="preserve">, S., &amp; Rey, H. (2020). U.S. monetary policy and the global financial cycle. </w:t>
      </w:r>
      <w:r w:rsidRPr="00C51F1B">
        <w:rPr>
          <w:rFonts w:ascii="Times New Roman" w:eastAsia="Times New Roman" w:hAnsi="Times New Roman" w:cs="Times New Roman"/>
          <w:i/>
          <w:iCs/>
        </w:rPr>
        <w:t>The Review of Economic Studies, 87</w:t>
      </w:r>
      <w:r w:rsidRPr="00C51F1B">
        <w:rPr>
          <w:rFonts w:ascii="Times New Roman" w:eastAsia="Times New Roman" w:hAnsi="Times New Roman" w:cs="Times New Roman"/>
        </w:rPr>
        <w:t xml:space="preserve">(6), 2754–2776. </w:t>
      </w:r>
      <w:hyperlink r:id="rId37">
        <w:r w:rsidR="008059F4" w:rsidRPr="00C51F1B">
          <w:rPr>
            <w:rFonts w:ascii="Times New Roman" w:eastAsia="Times New Roman" w:hAnsi="Times New Roman" w:cs="Times New Roman"/>
            <w:color w:val="0563C1"/>
            <w:u w:val="single"/>
          </w:rPr>
          <w:t>https://doi.org/10.1093/restud/rdaa019</w:t>
        </w:r>
      </w:hyperlink>
    </w:p>
    <w:p w14:paraId="621C9BC3"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proofErr w:type="spellStart"/>
      <w:r w:rsidRPr="00C51F1B">
        <w:rPr>
          <w:rFonts w:ascii="Times New Roman" w:eastAsia="Times New Roman" w:hAnsi="Times New Roman" w:cs="Times New Roman"/>
        </w:rPr>
        <w:t>Monje</w:t>
      </w:r>
      <w:proofErr w:type="spellEnd"/>
      <w:r w:rsidRPr="00C51F1B">
        <w:rPr>
          <w:rFonts w:ascii="Times New Roman" w:eastAsia="Times New Roman" w:hAnsi="Times New Roman" w:cs="Times New Roman"/>
        </w:rPr>
        <w:t>, L., Carrasco, R. A., &amp; Sánchez-</w:t>
      </w:r>
      <w:proofErr w:type="spellStart"/>
      <w:r w:rsidRPr="00C51F1B">
        <w:rPr>
          <w:rFonts w:ascii="Times New Roman" w:eastAsia="Times New Roman" w:hAnsi="Times New Roman" w:cs="Times New Roman"/>
        </w:rPr>
        <w:t>Montañés</w:t>
      </w:r>
      <w:proofErr w:type="spellEnd"/>
      <w:r w:rsidRPr="00C51F1B">
        <w:rPr>
          <w:rFonts w:ascii="Times New Roman" w:eastAsia="Times New Roman" w:hAnsi="Times New Roman" w:cs="Times New Roman"/>
        </w:rPr>
        <w:t xml:space="preserve">, M. (2025). Machine learning XAI for early loan default prediction. </w:t>
      </w:r>
      <w:r w:rsidRPr="00C51F1B">
        <w:rPr>
          <w:rFonts w:ascii="Times New Roman" w:eastAsia="Times New Roman" w:hAnsi="Times New Roman" w:cs="Times New Roman"/>
          <w:i/>
          <w:iCs/>
        </w:rPr>
        <w:t>Computational Economics</w:t>
      </w:r>
      <w:r w:rsidRPr="00C51F1B">
        <w:rPr>
          <w:rFonts w:ascii="Times New Roman" w:eastAsia="Times New Roman" w:hAnsi="Times New Roman" w:cs="Times New Roman"/>
        </w:rPr>
        <w:t xml:space="preserve">. </w:t>
      </w:r>
      <w:hyperlink r:id="rId38">
        <w:r w:rsidR="008059F4" w:rsidRPr="00C51F1B">
          <w:rPr>
            <w:rFonts w:ascii="Times New Roman" w:eastAsia="Times New Roman" w:hAnsi="Times New Roman" w:cs="Times New Roman"/>
            <w:color w:val="0563C1"/>
            <w:u w:val="single"/>
          </w:rPr>
          <w:t>https://doi.org/10.1007/s10614-025-10962-9</w:t>
        </w:r>
      </w:hyperlink>
    </w:p>
    <w:p w14:paraId="7E9060C7"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proofErr w:type="spellStart"/>
      <w:r w:rsidRPr="00C51F1B">
        <w:rPr>
          <w:rFonts w:ascii="Times New Roman" w:eastAsia="Times New Roman" w:hAnsi="Times New Roman" w:cs="Times New Roman"/>
        </w:rPr>
        <w:t>Ndubueze</w:t>
      </w:r>
      <w:proofErr w:type="spellEnd"/>
      <w:r w:rsidRPr="00C51F1B">
        <w:rPr>
          <w:rFonts w:ascii="Times New Roman" w:eastAsia="Times New Roman" w:hAnsi="Times New Roman" w:cs="Times New Roman"/>
        </w:rPr>
        <w:t xml:space="preserve">, O. V. (2025). The Influence of Capital Adequacy Ratios on Bank Lending and Risk-Taking Behaviour. Research Journal of Management Practice. 5(3), 95-105. </w:t>
      </w:r>
      <w:hyperlink r:id="rId39">
        <w:r w:rsidR="008059F4" w:rsidRPr="00C51F1B">
          <w:rPr>
            <w:rFonts w:ascii="Times New Roman" w:eastAsia="Times New Roman" w:hAnsi="Times New Roman" w:cs="Times New Roman"/>
            <w:color w:val="0563C1"/>
            <w:u w:val="single"/>
          </w:rPr>
          <w:t>https://doi.org/10.5281/zenodo.15600737</w:t>
        </w:r>
      </w:hyperlink>
    </w:p>
    <w:p w14:paraId="03DDA370"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rPr>
        <w:t xml:space="preserve">Nguyen, T. C., Nguyen, T. V. H., </w:t>
      </w:r>
      <w:proofErr w:type="spellStart"/>
      <w:r w:rsidRPr="00C51F1B">
        <w:rPr>
          <w:rFonts w:ascii="Times New Roman" w:eastAsia="Times New Roman" w:hAnsi="Times New Roman" w:cs="Times New Roman"/>
        </w:rPr>
        <w:t>Schinckus</w:t>
      </w:r>
      <w:proofErr w:type="spellEnd"/>
      <w:r w:rsidRPr="00C51F1B">
        <w:rPr>
          <w:rFonts w:ascii="Times New Roman" w:eastAsia="Times New Roman" w:hAnsi="Times New Roman" w:cs="Times New Roman"/>
        </w:rPr>
        <w:t xml:space="preserve">, C., &amp; Chu, T. T. (2024). Navigating bank risk-taking under excess liquidity: the moderating role of economic policy uncertainty and lessons from the Global Financial Crisis. </w:t>
      </w:r>
      <w:r w:rsidRPr="00C51F1B">
        <w:rPr>
          <w:rFonts w:ascii="Times New Roman" w:eastAsia="Times New Roman" w:hAnsi="Times New Roman" w:cs="Times New Roman"/>
          <w:i/>
          <w:iCs/>
        </w:rPr>
        <w:t>Cogent Economics &amp; Finance</w:t>
      </w:r>
      <w:r w:rsidRPr="00C51F1B">
        <w:rPr>
          <w:rFonts w:ascii="Times New Roman" w:eastAsia="Times New Roman" w:hAnsi="Times New Roman" w:cs="Times New Roman"/>
        </w:rPr>
        <w:t xml:space="preserve">, </w:t>
      </w:r>
      <w:r w:rsidRPr="00C51F1B">
        <w:rPr>
          <w:rFonts w:ascii="Times New Roman" w:eastAsia="Times New Roman" w:hAnsi="Times New Roman" w:cs="Times New Roman"/>
          <w:i/>
          <w:iCs/>
        </w:rPr>
        <w:t>12</w:t>
      </w:r>
      <w:r w:rsidRPr="00C51F1B">
        <w:rPr>
          <w:rFonts w:ascii="Times New Roman" w:eastAsia="Times New Roman" w:hAnsi="Times New Roman" w:cs="Times New Roman"/>
        </w:rPr>
        <w:t xml:space="preserve">(1). </w:t>
      </w:r>
      <w:hyperlink r:id="rId40">
        <w:r w:rsidR="008059F4" w:rsidRPr="00C51F1B">
          <w:rPr>
            <w:rFonts w:ascii="Times New Roman" w:eastAsia="Times New Roman" w:hAnsi="Times New Roman" w:cs="Times New Roman"/>
            <w:color w:val="0563C1"/>
            <w:u w:val="single"/>
          </w:rPr>
          <w:t>https://doi.org/10.1080/23322039.2024.2422958</w:t>
        </w:r>
      </w:hyperlink>
    </w:p>
    <w:p w14:paraId="68D3BDF3" w14:textId="54728195"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proofErr w:type="spellStart"/>
      <w:r w:rsidRPr="00C51F1B">
        <w:rPr>
          <w:rFonts w:ascii="Times New Roman" w:eastAsia="Times New Roman" w:hAnsi="Times New Roman" w:cs="Times New Roman"/>
          <w:color w:val="000000"/>
        </w:rPr>
        <w:t>Niu</w:t>
      </w:r>
      <w:proofErr w:type="spellEnd"/>
      <w:r w:rsidRPr="00C51F1B">
        <w:rPr>
          <w:rFonts w:ascii="Times New Roman" w:eastAsia="Times New Roman" w:hAnsi="Times New Roman" w:cs="Times New Roman"/>
          <w:color w:val="000000"/>
        </w:rPr>
        <w:t xml:space="preserve">, Z., </w:t>
      </w:r>
      <w:proofErr w:type="spellStart"/>
      <w:r w:rsidRPr="00C51F1B">
        <w:rPr>
          <w:rFonts w:ascii="Times New Roman" w:eastAsia="Times New Roman" w:hAnsi="Times New Roman" w:cs="Times New Roman"/>
          <w:color w:val="000000"/>
        </w:rPr>
        <w:t>Demirer</w:t>
      </w:r>
      <w:proofErr w:type="spellEnd"/>
      <w:r w:rsidRPr="00C51F1B">
        <w:rPr>
          <w:rFonts w:ascii="Times New Roman" w:eastAsia="Times New Roman" w:hAnsi="Times New Roman" w:cs="Times New Roman"/>
          <w:color w:val="000000"/>
        </w:rPr>
        <w:t>, R., Suleman, M. T., &amp; Zhang, H. (202</w:t>
      </w:r>
      <w:r w:rsidR="0065179F" w:rsidRPr="00C51F1B">
        <w:rPr>
          <w:rFonts w:ascii="Times New Roman" w:eastAsia="Times New Roman" w:hAnsi="Times New Roman" w:cs="Times New Roman"/>
          <w:color w:val="000000"/>
        </w:rPr>
        <w:t>2</w:t>
      </w:r>
      <w:r w:rsidRPr="00C51F1B">
        <w:rPr>
          <w:rFonts w:ascii="Times New Roman" w:eastAsia="Times New Roman" w:hAnsi="Times New Roman" w:cs="Times New Roman"/>
          <w:color w:val="000000"/>
        </w:rPr>
        <w:t xml:space="preserve">). Speculation, cross-market sentiment and the predictability of gold market volatility. Journal of </w:t>
      </w:r>
      <w:proofErr w:type="spellStart"/>
      <w:r w:rsidRPr="00C51F1B">
        <w:rPr>
          <w:rFonts w:ascii="Times New Roman" w:eastAsia="Times New Roman" w:hAnsi="Times New Roman" w:cs="Times New Roman"/>
          <w:color w:val="000000"/>
        </w:rPr>
        <w:t>Behavioral</w:t>
      </w:r>
      <w:proofErr w:type="spellEnd"/>
      <w:r w:rsidRPr="00C51F1B">
        <w:rPr>
          <w:rFonts w:ascii="Times New Roman" w:eastAsia="Times New Roman" w:hAnsi="Times New Roman" w:cs="Times New Roman"/>
          <w:color w:val="000000"/>
        </w:rPr>
        <w:t xml:space="preserve"> Finance, 25(3), 278295. </w:t>
      </w:r>
      <w:hyperlink r:id="rId41">
        <w:r w:rsidR="008059F4" w:rsidRPr="00C51F1B">
          <w:rPr>
            <w:rFonts w:ascii="Times New Roman" w:eastAsia="Times New Roman" w:hAnsi="Times New Roman" w:cs="Times New Roman"/>
            <w:color w:val="000000"/>
          </w:rPr>
          <w:t>https://doi.org/10.1080/15427560.2022.2109639</w:t>
        </w:r>
      </w:hyperlink>
    </w:p>
    <w:p w14:paraId="1E2B114F"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r w:rsidRPr="00C51F1B">
        <w:rPr>
          <w:rFonts w:ascii="Times New Roman" w:eastAsia="Times New Roman" w:hAnsi="Times New Roman" w:cs="Times New Roman"/>
        </w:rPr>
        <w:t xml:space="preserve">Olawale, A. (2024). Capital adequacy and financial stability: A study of Nigerian banks' resilience in a volatile economy. </w:t>
      </w:r>
      <w:r w:rsidRPr="00C51F1B">
        <w:rPr>
          <w:rFonts w:ascii="Times New Roman" w:eastAsia="Times New Roman" w:hAnsi="Times New Roman" w:cs="Times New Roman"/>
          <w:i/>
          <w:iCs/>
        </w:rPr>
        <w:t>GSC Advanced Research and Reviews, 21</w:t>
      </w:r>
      <w:r w:rsidRPr="00C51F1B">
        <w:rPr>
          <w:rFonts w:ascii="Times New Roman" w:eastAsia="Times New Roman" w:hAnsi="Times New Roman" w:cs="Times New Roman"/>
        </w:rPr>
        <w:t xml:space="preserve">(1), 1–12. </w:t>
      </w:r>
      <w:hyperlink r:id="rId42">
        <w:r w:rsidR="008059F4" w:rsidRPr="00C51F1B">
          <w:rPr>
            <w:rFonts w:ascii="Times New Roman" w:eastAsia="Times New Roman" w:hAnsi="Times New Roman" w:cs="Times New Roman"/>
            <w:color w:val="0563C1"/>
            <w:u w:val="single"/>
          </w:rPr>
          <w:t>https://doi.org/10.30574/gscarr.2024.21.1.0346</w:t>
        </w:r>
      </w:hyperlink>
    </w:p>
    <w:p w14:paraId="7543CB1A"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r w:rsidRPr="00C51F1B">
        <w:rPr>
          <w:rFonts w:ascii="Times New Roman" w:eastAsia="Times New Roman" w:hAnsi="Times New Roman" w:cs="Times New Roman"/>
        </w:rPr>
        <w:t xml:space="preserve">Prajapati, S. (2025, October 23). </w:t>
      </w:r>
      <w:r w:rsidRPr="00C51F1B">
        <w:rPr>
          <w:rFonts w:ascii="Times New Roman" w:eastAsia="Times New Roman" w:hAnsi="Times New Roman" w:cs="Times New Roman"/>
          <w:i/>
          <w:iCs/>
        </w:rPr>
        <w:t>Reinventing risk: How AI-generated synthetic data is transforming stress testing in finance</w:t>
      </w:r>
      <w:r w:rsidRPr="00C51F1B">
        <w:rPr>
          <w:rFonts w:ascii="Times New Roman" w:eastAsia="Times New Roman" w:hAnsi="Times New Roman" w:cs="Times New Roman"/>
        </w:rPr>
        <w:t xml:space="preserve">. </w:t>
      </w:r>
      <w:proofErr w:type="spellStart"/>
      <w:r w:rsidRPr="00C51F1B">
        <w:rPr>
          <w:rFonts w:ascii="Times New Roman" w:eastAsia="Times New Roman" w:hAnsi="Times New Roman" w:cs="Times New Roman"/>
        </w:rPr>
        <w:t>Finextra</w:t>
      </w:r>
      <w:proofErr w:type="spellEnd"/>
      <w:r w:rsidRPr="00C51F1B">
        <w:rPr>
          <w:rFonts w:ascii="Times New Roman" w:eastAsia="Times New Roman" w:hAnsi="Times New Roman" w:cs="Times New Roman"/>
        </w:rPr>
        <w:t xml:space="preserve">. </w:t>
      </w:r>
      <w:hyperlink r:id="rId43">
        <w:r w:rsidR="008059F4" w:rsidRPr="00C51F1B">
          <w:rPr>
            <w:rFonts w:ascii="Times New Roman" w:eastAsia="Times New Roman" w:hAnsi="Times New Roman" w:cs="Times New Roman"/>
            <w:color w:val="0563C1"/>
            <w:u w:val="single"/>
          </w:rPr>
          <w:t>https://www.finextra.com/blogposting/28072/reinventing-risk-how-ai-generated-synthetic-data-is-transforming-stress-testing-in-finance</w:t>
        </w:r>
      </w:hyperlink>
    </w:p>
    <w:p w14:paraId="44D3A89E"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color w:val="000000"/>
        </w:rPr>
        <w:lastRenderedPageBreak/>
        <w:t>Tang, P., &amp; Yang, W. (2024). Monetary policy uncertainty and financial risk: The mediating role of corporate investment</w:t>
      </w:r>
      <w:r w:rsidRPr="00C51F1B">
        <w:rPr>
          <w:rFonts w:ascii="Times New Roman" w:eastAsia="Times New Roman" w:hAnsi="Times New Roman" w:cs="Times New Roman"/>
          <w:i/>
          <w:iCs/>
          <w:color w:val="000000"/>
        </w:rPr>
        <w:t>.</w:t>
      </w:r>
      <w:r w:rsidRPr="00C51F1B">
        <w:rPr>
          <w:rFonts w:ascii="Times New Roman" w:eastAsia="Times New Roman" w:hAnsi="Times New Roman" w:cs="Times New Roman"/>
          <w:color w:val="000000"/>
        </w:rPr>
        <w:t xml:space="preserve"> </w:t>
      </w:r>
      <w:r w:rsidRPr="00C51F1B">
        <w:rPr>
          <w:rFonts w:ascii="Times New Roman" w:eastAsia="Times New Roman" w:hAnsi="Times New Roman" w:cs="Times New Roman"/>
          <w:i/>
          <w:iCs/>
          <w:color w:val="000000"/>
        </w:rPr>
        <w:t>Finance Research Letters, 70</w:t>
      </w:r>
      <w:r w:rsidRPr="00C51F1B">
        <w:rPr>
          <w:rFonts w:ascii="Times New Roman" w:eastAsia="Times New Roman" w:hAnsi="Times New Roman" w:cs="Times New Roman"/>
          <w:color w:val="000000"/>
        </w:rPr>
        <w:t xml:space="preserve">, 106303. </w:t>
      </w:r>
      <w:hyperlink r:id="rId44">
        <w:r w:rsidR="008059F4" w:rsidRPr="00C51F1B">
          <w:rPr>
            <w:rFonts w:ascii="Times New Roman" w:eastAsia="Times New Roman" w:hAnsi="Times New Roman" w:cs="Times New Roman"/>
            <w:color w:val="000000"/>
          </w:rPr>
          <w:t>https://doi.org/10.1016/j.frl.2024.106303</w:t>
        </w:r>
      </w:hyperlink>
    </w:p>
    <w:p w14:paraId="06F89F20" w14:textId="4A980E06"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proofErr w:type="spellStart"/>
      <w:r w:rsidRPr="00C51F1B">
        <w:rPr>
          <w:rFonts w:ascii="Times New Roman" w:eastAsia="Times New Roman" w:hAnsi="Times New Roman" w:cs="Times New Roman"/>
        </w:rPr>
        <w:t>Umoh</w:t>
      </w:r>
      <w:proofErr w:type="spellEnd"/>
      <w:r w:rsidRPr="00C51F1B">
        <w:rPr>
          <w:rFonts w:ascii="Times New Roman" w:eastAsia="Times New Roman" w:hAnsi="Times New Roman" w:cs="Times New Roman"/>
        </w:rPr>
        <w:t xml:space="preserve">, B., Bello, A. A., </w:t>
      </w:r>
      <w:proofErr w:type="spellStart"/>
      <w:r w:rsidRPr="00C51F1B">
        <w:rPr>
          <w:rFonts w:ascii="Times New Roman" w:eastAsia="Times New Roman" w:hAnsi="Times New Roman" w:cs="Times New Roman"/>
        </w:rPr>
        <w:t>Okika</w:t>
      </w:r>
      <w:proofErr w:type="spellEnd"/>
      <w:r w:rsidRPr="00C51F1B">
        <w:rPr>
          <w:rFonts w:ascii="Times New Roman" w:eastAsia="Times New Roman" w:hAnsi="Times New Roman" w:cs="Times New Roman"/>
        </w:rPr>
        <w:t xml:space="preserve">, N., </w:t>
      </w:r>
      <w:proofErr w:type="spellStart"/>
      <w:r w:rsidRPr="00C51F1B">
        <w:rPr>
          <w:rFonts w:ascii="Times New Roman" w:eastAsia="Times New Roman" w:hAnsi="Times New Roman" w:cs="Times New Roman"/>
        </w:rPr>
        <w:t>Ukatu</w:t>
      </w:r>
      <w:proofErr w:type="spellEnd"/>
      <w:r w:rsidRPr="00C51F1B">
        <w:rPr>
          <w:rFonts w:ascii="Times New Roman" w:eastAsia="Times New Roman" w:hAnsi="Times New Roman" w:cs="Times New Roman"/>
        </w:rPr>
        <w:t xml:space="preserve">, C. E., &amp; </w:t>
      </w:r>
      <w:proofErr w:type="spellStart"/>
      <w:r w:rsidRPr="00C51F1B">
        <w:rPr>
          <w:rFonts w:ascii="Times New Roman" w:eastAsia="Times New Roman" w:hAnsi="Times New Roman" w:cs="Times New Roman"/>
        </w:rPr>
        <w:t>Kabiru</w:t>
      </w:r>
      <w:proofErr w:type="spellEnd"/>
      <w:r w:rsidRPr="00C51F1B">
        <w:rPr>
          <w:rFonts w:ascii="Times New Roman" w:eastAsia="Times New Roman" w:hAnsi="Times New Roman" w:cs="Times New Roman"/>
        </w:rPr>
        <w:t xml:space="preserve">, A. O. (2025). The Intersection of Artificial Intelligence and Human Decision-Making in Cybersecurity Resilience: Business Analysis Perspective. </w:t>
      </w:r>
      <w:proofErr w:type="spellStart"/>
      <w:r w:rsidRPr="00C51F1B">
        <w:rPr>
          <w:rFonts w:ascii="Times New Roman" w:eastAsia="Times New Roman" w:hAnsi="Times New Roman" w:cs="Times New Roman"/>
          <w:i/>
          <w:iCs/>
        </w:rPr>
        <w:t>CogNexus</w:t>
      </w:r>
      <w:proofErr w:type="spellEnd"/>
      <w:r w:rsidRPr="00C51F1B">
        <w:rPr>
          <w:rFonts w:ascii="Times New Roman" w:eastAsia="Times New Roman" w:hAnsi="Times New Roman" w:cs="Times New Roman"/>
          <w:i/>
          <w:iCs/>
        </w:rPr>
        <w:t xml:space="preserve">, </w:t>
      </w:r>
      <w:r w:rsidRPr="00C51F1B">
        <w:rPr>
          <w:rFonts w:ascii="Times New Roman" w:eastAsia="Times New Roman" w:hAnsi="Times New Roman" w:cs="Times New Roman"/>
        </w:rPr>
        <w:t>1(2), pp. 26- 36</w:t>
      </w:r>
      <w:r w:rsidR="006C14F3" w:rsidRPr="00C51F1B">
        <w:rPr>
          <w:rFonts w:ascii="Times New Roman" w:eastAsia="Times New Roman" w:hAnsi="Times New Roman" w:cs="Times New Roman"/>
        </w:rPr>
        <w:t xml:space="preserve">. </w:t>
      </w:r>
      <w:hyperlink r:id="rId45" w:history="1">
        <w:r w:rsidR="006C14F3" w:rsidRPr="00C51F1B">
          <w:rPr>
            <w:rStyle w:val="Hyperlink"/>
            <w:rFonts w:ascii="Times New Roman" w:eastAsia="Times New Roman" w:hAnsi="Times New Roman" w:cs="Times New Roman"/>
          </w:rPr>
          <w:t>https://doi.org/10.63084/cognexus.v1i02.58</w:t>
        </w:r>
      </w:hyperlink>
    </w:p>
    <w:p w14:paraId="0AFD4D6B"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color w:val="000000"/>
        </w:rPr>
        <w:t xml:space="preserve">Wang, C., Li, T., </w:t>
      </w:r>
      <w:proofErr w:type="spellStart"/>
      <w:r w:rsidRPr="00C51F1B">
        <w:rPr>
          <w:rFonts w:ascii="Times New Roman" w:eastAsia="Times New Roman" w:hAnsi="Times New Roman" w:cs="Times New Roman"/>
          <w:color w:val="000000"/>
        </w:rPr>
        <w:t>Sensoy</w:t>
      </w:r>
      <w:proofErr w:type="spellEnd"/>
      <w:r w:rsidRPr="00C51F1B">
        <w:rPr>
          <w:rFonts w:ascii="Times New Roman" w:eastAsia="Times New Roman" w:hAnsi="Times New Roman" w:cs="Times New Roman"/>
          <w:color w:val="000000"/>
        </w:rPr>
        <w:t xml:space="preserve">, A., Cheng, F., &amp; Fang, Z. (2024a). Economic policy uncertainty and options market participation: Hedge or speculation? </w:t>
      </w:r>
      <w:proofErr w:type="spellStart"/>
      <w:r w:rsidRPr="00C51F1B">
        <w:rPr>
          <w:rFonts w:ascii="Times New Roman" w:eastAsia="Times New Roman" w:hAnsi="Times New Roman" w:cs="Times New Roman"/>
          <w:color w:val="000000"/>
        </w:rPr>
        <w:t>Borsa</w:t>
      </w:r>
      <w:proofErr w:type="spellEnd"/>
      <w:r w:rsidRPr="00C51F1B">
        <w:rPr>
          <w:rFonts w:ascii="Times New Roman" w:eastAsia="Times New Roman" w:hAnsi="Times New Roman" w:cs="Times New Roman"/>
          <w:color w:val="000000"/>
        </w:rPr>
        <w:t xml:space="preserve"> Istanbul Review, 24(1), 50-59. </w:t>
      </w:r>
      <w:hyperlink r:id="rId46">
        <w:r w:rsidR="008059F4" w:rsidRPr="00C51F1B">
          <w:rPr>
            <w:rFonts w:ascii="Times New Roman" w:eastAsia="Times New Roman" w:hAnsi="Times New Roman" w:cs="Times New Roman"/>
            <w:color w:val="0563C1"/>
            <w:u w:val="single"/>
          </w:rPr>
          <w:t>https://doi.org/10.1016/j.bir.2024.04.006</w:t>
        </w:r>
      </w:hyperlink>
      <w:r w:rsidRPr="00C51F1B">
        <w:rPr>
          <w:rFonts w:ascii="Times New Roman" w:eastAsia="Times New Roman" w:hAnsi="Times New Roman" w:cs="Times New Roman"/>
          <w:color w:val="000000"/>
        </w:rPr>
        <w:t xml:space="preserve"> </w:t>
      </w:r>
    </w:p>
    <w:p w14:paraId="328FBD97"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color w:val="000000"/>
        </w:rPr>
        <w:t xml:space="preserve">Wang, X., Liu, J., &amp; </w:t>
      </w:r>
      <w:proofErr w:type="spellStart"/>
      <w:r w:rsidRPr="00C51F1B">
        <w:rPr>
          <w:rFonts w:ascii="Times New Roman" w:eastAsia="Times New Roman" w:hAnsi="Times New Roman" w:cs="Times New Roman"/>
          <w:color w:val="000000"/>
        </w:rPr>
        <w:t>Xie</w:t>
      </w:r>
      <w:proofErr w:type="spellEnd"/>
      <w:r w:rsidRPr="00C51F1B">
        <w:rPr>
          <w:rFonts w:ascii="Times New Roman" w:eastAsia="Times New Roman" w:hAnsi="Times New Roman" w:cs="Times New Roman"/>
          <w:color w:val="000000"/>
        </w:rPr>
        <w:t xml:space="preserve">, Q. (2024b). Quantile frequency connectedness between energy tokens, crypto market, and renewable energy stock markets. </w:t>
      </w:r>
      <w:proofErr w:type="spellStart"/>
      <w:r w:rsidRPr="00C51F1B">
        <w:rPr>
          <w:rFonts w:ascii="Times New Roman" w:eastAsia="Times New Roman" w:hAnsi="Times New Roman" w:cs="Times New Roman"/>
          <w:color w:val="000000"/>
        </w:rPr>
        <w:t>Heliyon</w:t>
      </w:r>
      <w:proofErr w:type="spellEnd"/>
      <w:r w:rsidRPr="00C51F1B">
        <w:rPr>
          <w:rFonts w:ascii="Times New Roman" w:eastAsia="Times New Roman" w:hAnsi="Times New Roman" w:cs="Times New Roman"/>
          <w:color w:val="000000"/>
        </w:rPr>
        <w:t xml:space="preserve">, 10(3), e25068. </w:t>
      </w:r>
      <w:hyperlink r:id="rId47">
        <w:r w:rsidR="008059F4" w:rsidRPr="00C51F1B">
          <w:rPr>
            <w:rFonts w:ascii="Times New Roman" w:eastAsia="Times New Roman" w:hAnsi="Times New Roman" w:cs="Times New Roman"/>
            <w:color w:val="000000"/>
          </w:rPr>
          <w:t>https://doi.org/10.1016/j.heliyon.2024.e25068</w:t>
        </w:r>
      </w:hyperlink>
    </w:p>
    <w:p w14:paraId="4F691AC7"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color w:val="000000"/>
        </w:rPr>
        <w:t xml:space="preserve">Yeo, W. J., Van Der Heever, W., Mao, R., Cambria, E., </w:t>
      </w:r>
      <w:proofErr w:type="spellStart"/>
      <w:r w:rsidRPr="00C51F1B">
        <w:rPr>
          <w:rFonts w:ascii="Times New Roman" w:eastAsia="Times New Roman" w:hAnsi="Times New Roman" w:cs="Times New Roman"/>
          <w:color w:val="000000"/>
        </w:rPr>
        <w:t>Satapathy</w:t>
      </w:r>
      <w:proofErr w:type="spellEnd"/>
      <w:r w:rsidRPr="00C51F1B">
        <w:rPr>
          <w:rFonts w:ascii="Times New Roman" w:eastAsia="Times New Roman" w:hAnsi="Times New Roman" w:cs="Times New Roman"/>
          <w:color w:val="000000"/>
        </w:rPr>
        <w:t xml:space="preserve">, R., &amp; </w:t>
      </w:r>
      <w:proofErr w:type="spellStart"/>
      <w:r w:rsidRPr="00C51F1B">
        <w:rPr>
          <w:rFonts w:ascii="Times New Roman" w:eastAsia="Times New Roman" w:hAnsi="Times New Roman" w:cs="Times New Roman"/>
          <w:color w:val="000000"/>
        </w:rPr>
        <w:t>Mengaldo</w:t>
      </w:r>
      <w:proofErr w:type="spellEnd"/>
      <w:r w:rsidRPr="00C51F1B">
        <w:rPr>
          <w:rFonts w:ascii="Times New Roman" w:eastAsia="Times New Roman" w:hAnsi="Times New Roman" w:cs="Times New Roman"/>
          <w:color w:val="000000"/>
        </w:rPr>
        <w:t xml:space="preserve">, G. (2025). A comprehensive review on financial explainable AI. </w:t>
      </w:r>
      <w:r w:rsidRPr="00C51F1B">
        <w:rPr>
          <w:rFonts w:ascii="Times New Roman" w:eastAsia="Times New Roman" w:hAnsi="Times New Roman" w:cs="Times New Roman"/>
          <w:i/>
          <w:iCs/>
          <w:color w:val="000000"/>
        </w:rPr>
        <w:t>Artificial Intelligence Review, 58</w:t>
      </w:r>
      <w:r w:rsidRPr="00C51F1B">
        <w:rPr>
          <w:rFonts w:ascii="Times New Roman" w:eastAsia="Times New Roman" w:hAnsi="Times New Roman" w:cs="Times New Roman"/>
          <w:color w:val="000000"/>
        </w:rPr>
        <w:t xml:space="preserve">, Article 189. </w:t>
      </w:r>
      <w:hyperlink r:id="rId48">
        <w:r w:rsidR="008059F4" w:rsidRPr="00C51F1B">
          <w:rPr>
            <w:rFonts w:ascii="Times New Roman" w:eastAsia="Times New Roman" w:hAnsi="Times New Roman" w:cs="Times New Roman"/>
            <w:color w:val="0563C1"/>
            <w:u w:val="single"/>
          </w:rPr>
          <w:t>https://doi.org/10.1007/s10462-024-11077-7</w:t>
        </w:r>
      </w:hyperlink>
    </w:p>
    <w:p w14:paraId="0E3524BB"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rPr>
        <w:t xml:space="preserve">Younis, I., Gupta, H., Shah, W. U., Sharif, A., &amp; Tang, X. (2024). The effects of economic uncertainty and trade policy uncertainty on Industry-Specific Stock Markets Equity. </w:t>
      </w:r>
      <w:r w:rsidRPr="00C51F1B">
        <w:rPr>
          <w:rFonts w:ascii="Times New Roman" w:eastAsia="Times New Roman" w:hAnsi="Times New Roman" w:cs="Times New Roman"/>
          <w:i/>
          <w:iCs/>
        </w:rPr>
        <w:t>Computational Economics</w:t>
      </w:r>
      <w:r w:rsidRPr="00C51F1B">
        <w:rPr>
          <w:rFonts w:ascii="Times New Roman" w:eastAsia="Times New Roman" w:hAnsi="Times New Roman" w:cs="Times New Roman"/>
        </w:rPr>
        <w:t xml:space="preserve">, </w:t>
      </w:r>
      <w:r w:rsidRPr="00C51F1B">
        <w:rPr>
          <w:rFonts w:ascii="Times New Roman" w:eastAsia="Times New Roman" w:hAnsi="Times New Roman" w:cs="Times New Roman"/>
          <w:i/>
          <w:iCs/>
        </w:rPr>
        <w:t>64</w:t>
      </w:r>
      <w:r w:rsidRPr="00C51F1B">
        <w:rPr>
          <w:rFonts w:ascii="Times New Roman" w:eastAsia="Times New Roman" w:hAnsi="Times New Roman" w:cs="Times New Roman"/>
        </w:rPr>
        <w:t xml:space="preserve">(5), 2909–2933. </w:t>
      </w:r>
      <w:hyperlink r:id="rId49">
        <w:r w:rsidR="008059F4" w:rsidRPr="00C51F1B">
          <w:rPr>
            <w:rFonts w:ascii="Times New Roman" w:eastAsia="Times New Roman" w:hAnsi="Times New Roman" w:cs="Times New Roman"/>
            <w:color w:val="0563C1"/>
            <w:u w:val="single"/>
          </w:rPr>
          <w:t>https://doi.org/10.1007/s10614-024-10552-1</w:t>
        </w:r>
      </w:hyperlink>
    </w:p>
    <w:p w14:paraId="27CEC4A5" w14:textId="77777777" w:rsidR="008059F4" w:rsidRPr="00C51F1B" w:rsidRDefault="00654302" w:rsidP="00C51F1B">
      <w:pPr>
        <w:pStyle w:val="ListParagraph"/>
        <w:numPr>
          <w:ilvl w:val="0"/>
          <w:numId w:val="6"/>
        </w:numPr>
        <w:jc w:val="both"/>
        <w:rPr>
          <w:rFonts w:ascii="Times New Roman" w:eastAsia="Times New Roman" w:hAnsi="Times New Roman" w:cs="Times New Roman"/>
        </w:rPr>
      </w:pPr>
      <w:r w:rsidRPr="00C51F1B">
        <w:rPr>
          <w:rFonts w:ascii="Times New Roman" w:eastAsia="Times New Roman" w:hAnsi="Times New Roman" w:cs="Times New Roman"/>
          <w:color w:val="000000"/>
        </w:rPr>
        <w:t xml:space="preserve">Zhang, Q., Yang, K., Hu, Y., Jiao, J., &amp; Wang, S. (2023). Unveiling the impact of geopolitical conflict on oil prices: A case study of the Russia-Ukraine War and its channels. Energy Economics, 126, 106956. </w:t>
      </w:r>
      <w:hyperlink r:id="rId50">
        <w:r w:rsidR="008059F4" w:rsidRPr="00C51F1B">
          <w:rPr>
            <w:rFonts w:ascii="Times New Roman" w:eastAsia="Times New Roman" w:hAnsi="Times New Roman" w:cs="Times New Roman"/>
            <w:color w:val="000000"/>
          </w:rPr>
          <w:t>https://doi.org/10.1016/j.eneco.2023.106956</w:t>
        </w:r>
      </w:hyperlink>
    </w:p>
    <w:p w14:paraId="425AB5F3" w14:textId="77777777" w:rsidR="008059F4" w:rsidRPr="00C51F1B" w:rsidRDefault="00654302" w:rsidP="00C51F1B">
      <w:pPr>
        <w:pStyle w:val="ListParagraph"/>
        <w:numPr>
          <w:ilvl w:val="0"/>
          <w:numId w:val="6"/>
        </w:numPr>
        <w:jc w:val="both"/>
        <w:rPr>
          <w:rFonts w:ascii="Times New Roman" w:eastAsia="Times New Roman" w:hAnsi="Times New Roman" w:cs="Times New Roman"/>
          <w:color w:val="000000"/>
        </w:rPr>
      </w:pPr>
      <w:r w:rsidRPr="00C51F1B">
        <w:rPr>
          <w:rFonts w:ascii="Times New Roman" w:eastAsia="Times New Roman" w:hAnsi="Times New Roman" w:cs="Times New Roman"/>
        </w:rPr>
        <w:t>Zhang, R., &amp; Wang, S. (2023). Economic Policy Uncertainty and Bank Stability: An Analysis Based on the Intermediary Effects of Opacity. </w:t>
      </w:r>
      <w:r w:rsidRPr="00C51F1B">
        <w:rPr>
          <w:rFonts w:ascii="Times New Roman" w:eastAsia="Times New Roman" w:hAnsi="Times New Roman" w:cs="Times New Roman"/>
          <w:i/>
          <w:iCs/>
        </w:rPr>
        <w:t>Sustainability</w:t>
      </w:r>
      <w:r w:rsidRPr="00C51F1B">
        <w:rPr>
          <w:rFonts w:ascii="Times New Roman" w:eastAsia="Times New Roman" w:hAnsi="Times New Roman" w:cs="Times New Roman"/>
        </w:rPr>
        <w:t>, </w:t>
      </w:r>
      <w:r w:rsidRPr="00C51F1B">
        <w:rPr>
          <w:rFonts w:ascii="Times New Roman" w:eastAsia="Times New Roman" w:hAnsi="Times New Roman" w:cs="Times New Roman"/>
          <w:i/>
          <w:iCs/>
        </w:rPr>
        <w:t>15</w:t>
      </w:r>
      <w:r w:rsidRPr="00C51F1B">
        <w:rPr>
          <w:rFonts w:ascii="Times New Roman" w:eastAsia="Times New Roman" w:hAnsi="Times New Roman" w:cs="Times New Roman"/>
        </w:rPr>
        <w:t xml:space="preserve">(5), 4084. </w:t>
      </w:r>
      <w:hyperlink r:id="rId51">
        <w:r w:rsidR="008059F4" w:rsidRPr="00C51F1B">
          <w:rPr>
            <w:rFonts w:ascii="Times New Roman" w:eastAsia="Times New Roman" w:hAnsi="Times New Roman" w:cs="Times New Roman"/>
            <w:color w:val="0563C1"/>
            <w:u w:val="single"/>
          </w:rPr>
          <w:t>https://doi.org/10.3390/su15054084</w:t>
        </w:r>
      </w:hyperlink>
    </w:p>
    <w:p w14:paraId="2D02F41C" w14:textId="77777777" w:rsidR="008059F4" w:rsidRDefault="008059F4">
      <w:pPr>
        <w:rPr>
          <w:rFonts w:ascii="Times New Roman" w:eastAsia="Times New Roman" w:hAnsi="Times New Roman" w:cs="Times New Roman"/>
        </w:rPr>
      </w:pPr>
    </w:p>
    <w:sectPr w:rsidR="008059F4">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FB8BF" w14:textId="77777777" w:rsidR="000C07D9" w:rsidRDefault="000C07D9">
      <w:pPr>
        <w:spacing w:after="0" w:line="240" w:lineRule="auto"/>
      </w:pPr>
      <w:r>
        <w:separator/>
      </w:r>
    </w:p>
  </w:endnote>
  <w:endnote w:type="continuationSeparator" w:id="0">
    <w:p w14:paraId="2AAAA61E" w14:textId="77777777" w:rsidR="000C07D9" w:rsidRDefault="000C0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FA1CB95-1BCE-4C7C-8257-C80CB54B94F4}"/>
    <w:embedBold r:id="rId2" w:fontKey="{85EB610F-F7C0-4015-AF95-058FC637193F}"/>
    <w:embedItalic r:id="rId3" w:fontKey="{F7C79B64-AAB0-49F9-9C43-E349434815D5}"/>
  </w:font>
  <w:font w:name="Georgia">
    <w:panose1 w:val="02040502050405020303"/>
    <w:charset w:val="00"/>
    <w:family w:val="roman"/>
    <w:pitch w:val="variable"/>
    <w:sig w:usb0="00000287" w:usb1="00000000" w:usb2="00000000" w:usb3="00000000" w:csb0="0000009F" w:csb1="00000000"/>
    <w:embedItalic r:id="rId4" w:fontKey="{914810BA-6DD6-435D-9D9E-A82657AF72E6}"/>
  </w:font>
  <w:font w:name="Cambria">
    <w:panose1 w:val="02040503050406030204"/>
    <w:charset w:val="00"/>
    <w:family w:val="roman"/>
    <w:pitch w:val="variable"/>
    <w:sig w:usb0="E00006FF" w:usb1="420024FF" w:usb2="02000000" w:usb3="00000000" w:csb0="0000019F" w:csb1="00000000"/>
    <w:embedRegular r:id="rId5" w:fontKey="{D15D7F75-6427-4678-A2A0-2DF535456EB5}"/>
    <w:embedBold r:id="rId6" w:fontKey="{930E264B-A025-4D03-9576-364A14DC47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569CB" w14:textId="77777777" w:rsidR="00951E8F" w:rsidRDefault="00951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A5BA3" w14:textId="77777777" w:rsidR="008059F4" w:rsidRDefault="0065430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41CAC">
      <w:rPr>
        <w:noProof/>
        <w:color w:val="000000"/>
      </w:rPr>
      <w:t>1</w:t>
    </w:r>
    <w:r>
      <w:rPr>
        <w:color w:val="000000"/>
      </w:rPr>
      <w:fldChar w:fldCharType="end"/>
    </w:r>
  </w:p>
  <w:p w14:paraId="37AA5FDF" w14:textId="77777777" w:rsidR="008059F4" w:rsidRDefault="008059F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30663" w14:textId="77777777" w:rsidR="00951E8F" w:rsidRDefault="00951E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72C33" w14:textId="77777777" w:rsidR="000C07D9" w:rsidRDefault="000C07D9">
      <w:pPr>
        <w:spacing w:after="0" w:line="240" w:lineRule="auto"/>
      </w:pPr>
      <w:r>
        <w:separator/>
      </w:r>
    </w:p>
  </w:footnote>
  <w:footnote w:type="continuationSeparator" w:id="0">
    <w:p w14:paraId="545F5E16" w14:textId="77777777" w:rsidR="000C07D9" w:rsidRDefault="000C0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95B48" w14:textId="63D4455C" w:rsidR="00951E8F" w:rsidRDefault="000C07D9">
    <w:pPr>
      <w:pStyle w:val="Header"/>
    </w:pPr>
    <w:r>
      <w:rPr>
        <w:noProof/>
      </w:rPr>
      <w:pict w14:anchorId="7868B4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2786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2237" w14:textId="04B82035" w:rsidR="00951E8F" w:rsidRDefault="000C07D9">
    <w:pPr>
      <w:pStyle w:val="Header"/>
    </w:pPr>
    <w:r>
      <w:rPr>
        <w:noProof/>
      </w:rPr>
      <w:pict w14:anchorId="1D349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2786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49D5F" w14:textId="5FD658DB" w:rsidR="00951E8F" w:rsidRDefault="000C07D9">
    <w:pPr>
      <w:pStyle w:val="Header"/>
    </w:pPr>
    <w:r>
      <w:rPr>
        <w:noProof/>
      </w:rPr>
      <w:pict w14:anchorId="3CB0A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42785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016A2"/>
    <w:multiLevelType w:val="hybridMultilevel"/>
    <w:tmpl w:val="D912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93EA7"/>
    <w:multiLevelType w:val="multilevel"/>
    <w:tmpl w:val="7B0CF8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9346FF8"/>
    <w:multiLevelType w:val="multilevel"/>
    <w:tmpl w:val="97062E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BD1230A"/>
    <w:multiLevelType w:val="multilevel"/>
    <w:tmpl w:val="027A39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63A6694"/>
    <w:multiLevelType w:val="multilevel"/>
    <w:tmpl w:val="06622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B72C8C"/>
    <w:multiLevelType w:val="multilevel"/>
    <w:tmpl w:val="7C52D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9F4"/>
    <w:rsid w:val="00046990"/>
    <w:rsid w:val="00054D20"/>
    <w:rsid w:val="00071A37"/>
    <w:rsid w:val="00071AE6"/>
    <w:rsid w:val="0007244E"/>
    <w:rsid w:val="000C07D9"/>
    <w:rsid w:val="000F1AC1"/>
    <w:rsid w:val="00104844"/>
    <w:rsid w:val="00152130"/>
    <w:rsid w:val="001A0C16"/>
    <w:rsid w:val="001D5BAB"/>
    <w:rsid w:val="001F0361"/>
    <w:rsid w:val="00241079"/>
    <w:rsid w:val="002C19A9"/>
    <w:rsid w:val="002E73A8"/>
    <w:rsid w:val="00305C13"/>
    <w:rsid w:val="003236A2"/>
    <w:rsid w:val="003B2BF9"/>
    <w:rsid w:val="003D2AC5"/>
    <w:rsid w:val="003F3654"/>
    <w:rsid w:val="00407278"/>
    <w:rsid w:val="00440CF0"/>
    <w:rsid w:val="00475A5D"/>
    <w:rsid w:val="00485F43"/>
    <w:rsid w:val="004873B7"/>
    <w:rsid w:val="004A67E3"/>
    <w:rsid w:val="00532D0B"/>
    <w:rsid w:val="00541CAC"/>
    <w:rsid w:val="006446B9"/>
    <w:rsid w:val="006475F6"/>
    <w:rsid w:val="0065179F"/>
    <w:rsid w:val="00654302"/>
    <w:rsid w:val="006C14F3"/>
    <w:rsid w:val="006D0B73"/>
    <w:rsid w:val="00783634"/>
    <w:rsid w:val="00787126"/>
    <w:rsid w:val="007D032F"/>
    <w:rsid w:val="007D04E7"/>
    <w:rsid w:val="007F6684"/>
    <w:rsid w:val="008059F4"/>
    <w:rsid w:val="00823C21"/>
    <w:rsid w:val="00830DF7"/>
    <w:rsid w:val="00843236"/>
    <w:rsid w:val="00863DBC"/>
    <w:rsid w:val="00865887"/>
    <w:rsid w:val="008B362D"/>
    <w:rsid w:val="0090552F"/>
    <w:rsid w:val="00934EA3"/>
    <w:rsid w:val="00951E8F"/>
    <w:rsid w:val="009E57AB"/>
    <w:rsid w:val="00A75FC0"/>
    <w:rsid w:val="00A872A5"/>
    <w:rsid w:val="00AC57B6"/>
    <w:rsid w:val="00AD0AC8"/>
    <w:rsid w:val="00AF49B6"/>
    <w:rsid w:val="00B10B7F"/>
    <w:rsid w:val="00B30B19"/>
    <w:rsid w:val="00BA200E"/>
    <w:rsid w:val="00C51F1B"/>
    <w:rsid w:val="00C94ED7"/>
    <w:rsid w:val="00DC571D"/>
    <w:rsid w:val="00E0553E"/>
    <w:rsid w:val="00E101D5"/>
    <w:rsid w:val="00EF1662"/>
    <w:rsid w:val="00F80A97"/>
    <w:rsid w:val="00FD6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126778"/>
  <w15:docId w15:val="{D566E6AC-C476-4896-BF6B-173FD31E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rPr>
  </w:style>
  <w:style w:type="paragraph" w:styleId="Heading4">
    <w:name w:val="heading 4"/>
    <w:basedOn w:val="Normal"/>
    <w:next w:val="Normal"/>
    <w:uiPriority w:val="9"/>
    <w:semiHidden/>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783634"/>
    <w:rPr>
      <w:color w:val="F59E00" w:themeColor="hyperlink"/>
      <w:u w:val="single"/>
    </w:rPr>
  </w:style>
  <w:style w:type="character" w:styleId="UnresolvedMention">
    <w:name w:val="Unresolved Mention"/>
    <w:basedOn w:val="DefaultParagraphFont"/>
    <w:uiPriority w:val="99"/>
    <w:semiHidden/>
    <w:unhideWhenUsed/>
    <w:rsid w:val="00783634"/>
    <w:rPr>
      <w:color w:val="605E5C"/>
      <w:shd w:val="clear" w:color="auto" w:fill="E1DFDD"/>
    </w:rPr>
  </w:style>
  <w:style w:type="paragraph" w:styleId="Header">
    <w:name w:val="header"/>
    <w:basedOn w:val="Normal"/>
    <w:link w:val="HeaderChar"/>
    <w:uiPriority w:val="99"/>
    <w:unhideWhenUsed/>
    <w:rsid w:val="00951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E8F"/>
  </w:style>
  <w:style w:type="paragraph" w:styleId="Footer">
    <w:name w:val="footer"/>
    <w:basedOn w:val="Normal"/>
    <w:link w:val="FooterChar"/>
    <w:uiPriority w:val="99"/>
    <w:unhideWhenUsed/>
    <w:rsid w:val="00951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E8F"/>
  </w:style>
  <w:style w:type="paragraph" w:styleId="NormalWeb">
    <w:name w:val="Normal (Web)"/>
    <w:basedOn w:val="Normal"/>
    <w:uiPriority w:val="99"/>
    <w:unhideWhenUsed/>
    <w:rsid w:val="002C19A9"/>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2C19A9"/>
    <w:rPr>
      <w:i/>
      <w:iCs/>
    </w:rPr>
  </w:style>
  <w:style w:type="table" w:styleId="PlainTable3">
    <w:name w:val="Plain Table 3"/>
    <w:basedOn w:val="TableNormal"/>
    <w:uiPriority w:val="43"/>
    <w:rsid w:val="0084323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C51F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100204">
      <w:bodyDiv w:val="1"/>
      <w:marLeft w:val="0"/>
      <w:marRight w:val="0"/>
      <w:marTop w:val="0"/>
      <w:marBottom w:val="0"/>
      <w:divBdr>
        <w:top w:val="none" w:sz="0" w:space="0" w:color="auto"/>
        <w:left w:val="none" w:sz="0" w:space="0" w:color="auto"/>
        <w:bottom w:val="none" w:sz="0" w:space="0" w:color="auto"/>
        <w:right w:val="none" w:sz="0" w:space="0" w:color="auto"/>
      </w:divBdr>
    </w:div>
    <w:div w:id="796065989">
      <w:bodyDiv w:val="1"/>
      <w:marLeft w:val="0"/>
      <w:marRight w:val="0"/>
      <w:marTop w:val="0"/>
      <w:marBottom w:val="0"/>
      <w:divBdr>
        <w:top w:val="none" w:sz="0" w:space="0" w:color="auto"/>
        <w:left w:val="none" w:sz="0" w:space="0" w:color="auto"/>
        <w:bottom w:val="none" w:sz="0" w:space="0" w:color="auto"/>
        <w:right w:val="none" w:sz="0" w:space="0" w:color="auto"/>
      </w:divBdr>
    </w:div>
    <w:div w:id="1231816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54660/.IJMRGE.2025.6.3.367-377" TargetMode="External"/><Relationship Id="rId18" Type="http://schemas.openxmlformats.org/officeDocument/2006/relationships/hyperlink" Target="https://www.bis.org/publ/bcbs238.htm" TargetMode="External"/><Relationship Id="rId26" Type="http://schemas.openxmlformats.org/officeDocument/2006/relationships/hyperlink" Target="https://ideas.repec.org/p/ste/nystbu/10-15.html" TargetMode="External"/><Relationship Id="rId39" Type="http://schemas.openxmlformats.org/officeDocument/2006/relationships/hyperlink" Target="https://doi.org/10.5281/zenodo.15600737" TargetMode="External"/><Relationship Id="rId21" Type="http://schemas.openxmlformats.org/officeDocument/2006/relationships/hyperlink" Target="https://doi.org/10.1016/j.jfi.2020.100893" TargetMode="External"/><Relationship Id="rId34" Type="http://schemas.openxmlformats.org/officeDocument/2006/relationships/hyperlink" Target="https://doi.org/10.1016/j.frl.2019.101303" TargetMode="External"/><Relationship Id="rId42" Type="http://schemas.openxmlformats.org/officeDocument/2006/relationships/hyperlink" Target="https://doi.org/10.30574/gscarr.2024.21.1.0346" TargetMode="External"/><Relationship Id="rId47" Type="http://schemas.openxmlformats.org/officeDocument/2006/relationships/hyperlink" Target="https://doi.org/10.1016/j.heliyon.2024.e25068" TargetMode="External"/><Relationship Id="rId50" Type="http://schemas.openxmlformats.org/officeDocument/2006/relationships/hyperlink" Target="https://doi.org/10.1016/j.eneco.2023.106956" TargetMode="External"/><Relationship Id="rId55" Type="http://schemas.openxmlformats.org/officeDocument/2006/relationships/footer" Target="footer2.xml"/><Relationship Id="rId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hyperlink" Target="https://doi.org/10.1016/j.ribaf.2024.102527" TargetMode="External"/><Relationship Id="rId29" Type="http://schemas.openxmlformats.org/officeDocument/2006/relationships/hyperlink" Target="https://doi.org/10.1257/aer.20121236" TargetMode="External"/><Relationship Id="rId11" Type="http://schemas.microsoft.com/office/2007/relationships/diagramDrawing" Target="diagrams/drawing1.xml"/><Relationship Id="rId24" Type="http://schemas.openxmlformats.org/officeDocument/2006/relationships/hyperlink" Target="https://doi.org/10.3390/su10093084" TargetMode="External"/><Relationship Id="rId32" Type="http://schemas.openxmlformats.org/officeDocument/2006/relationships/hyperlink" Target="https://doi.org/10.1017/S0022109023000662" TargetMode="External"/><Relationship Id="rId37" Type="http://schemas.openxmlformats.org/officeDocument/2006/relationships/hyperlink" Target="https://doi.org/10.1093/restud/rdaa019" TargetMode="External"/><Relationship Id="rId40" Type="http://schemas.openxmlformats.org/officeDocument/2006/relationships/hyperlink" Target="https://doi.org/10.1080/23322039.2024.2422958" TargetMode="External"/><Relationship Id="rId45" Type="http://schemas.openxmlformats.org/officeDocument/2006/relationships/hyperlink" Target="https://doi.org/10.63084/cognexus.v1i02.58"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doi.org/10.1016/j.resourpol.2024.105362"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s://doi.org/10.1108/JED-08-2024-0280" TargetMode="External"/><Relationship Id="rId22" Type="http://schemas.openxmlformats.org/officeDocument/2006/relationships/hyperlink" Target="https://doi.org/10.1016/j.jbankfin.2023.107048" TargetMode="External"/><Relationship Id="rId27" Type="http://schemas.openxmlformats.org/officeDocument/2006/relationships/hyperlink" Target="https://doi.org/10.1111/fmii.12197" TargetMode="External"/><Relationship Id="rId30" Type="http://schemas.openxmlformats.org/officeDocument/2006/relationships/hyperlink" Target="https://doi.org/10.1108/JEAS-09-2020-0159" TargetMode="External"/><Relationship Id="rId35" Type="http://schemas.openxmlformats.org/officeDocument/2006/relationships/hyperlink" Target="https://doi.org/10.1002/fut.22570" TargetMode="External"/><Relationship Id="rId43" Type="http://schemas.openxmlformats.org/officeDocument/2006/relationships/hyperlink" Target="https://www.finextra.com/blogposting/28072/reinventing-risk-how-ai-generated-synthetic-data-is-transforming-stress-testing-in-finance" TargetMode="External"/><Relationship Id="rId48" Type="http://schemas.openxmlformats.org/officeDocument/2006/relationships/hyperlink" Target="https://doi.org/10.1007/s10462-024-11077-7" TargetMode="External"/><Relationship Id="rId56" Type="http://schemas.openxmlformats.org/officeDocument/2006/relationships/header" Target="header3.xml"/><Relationship Id="rId8" Type="http://schemas.openxmlformats.org/officeDocument/2006/relationships/diagramLayout" Target="diagrams/layout1.xml"/><Relationship Id="rId51" Type="http://schemas.openxmlformats.org/officeDocument/2006/relationships/hyperlink" Target="https://doi.org/10.3390/su15054084" TargetMode="External"/><Relationship Id="rId3" Type="http://schemas.openxmlformats.org/officeDocument/2006/relationships/settings" Target="settings.xml"/><Relationship Id="rId12" Type="http://schemas.openxmlformats.org/officeDocument/2006/relationships/hyperlink" Target="https://doi.org/10.1080/00036846.2011.591732" TargetMode="External"/><Relationship Id="rId17" Type="http://schemas.openxmlformats.org/officeDocument/2006/relationships/hyperlink" Target="https://doi.org/10.1093/qje/qjw024" TargetMode="External"/><Relationship Id="rId25" Type="http://schemas.openxmlformats.org/officeDocument/2006/relationships/hyperlink" Target="https://doi.org/10.64388/IREV9I6-1712563" TargetMode="External"/><Relationship Id="rId33" Type="http://schemas.openxmlformats.org/officeDocument/2006/relationships/hyperlink" Target="https://doi.org/10.2866/919182" TargetMode="External"/><Relationship Id="rId38" Type="http://schemas.openxmlformats.org/officeDocument/2006/relationships/hyperlink" Target="https://doi.org/10.1007/s10614-025-10962-9" TargetMode="External"/><Relationship Id="rId46" Type="http://schemas.openxmlformats.org/officeDocument/2006/relationships/hyperlink" Target="https://doi.org/10.1016/j.bir.2024.04.006" TargetMode="External"/><Relationship Id="rId59" Type="http://schemas.openxmlformats.org/officeDocument/2006/relationships/theme" Target="theme/theme1.xml"/><Relationship Id="rId20" Type="http://schemas.openxmlformats.org/officeDocument/2006/relationships/hyperlink" Target="https://doi.org/10.26710/jafee.v10i2.2972" TargetMode="External"/><Relationship Id="rId41" Type="http://schemas.openxmlformats.org/officeDocument/2006/relationships/hyperlink" Target="https://doi.org/10.1080/15427560.2022.2109639"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heliyon.2024.e32962" TargetMode="External"/><Relationship Id="rId23" Type="http://schemas.openxmlformats.org/officeDocument/2006/relationships/hyperlink" Target="https://www.nber.org/papers/w22021" TargetMode="External"/><Relationship Id="rId28" Type="http://schemas.openxmlformats.org/officeDocument/2006/relationships/hyperlink" Target="https://doi.org/10.1002/ijfe.2088" TargetMode="External"/><Relationship Id="rId36" Type="http://schemas.openxmlformats.org/officeDocument/2006/relationships/hyperlink" Target="https://doi.org/10.1590/S0104-07072008000400018" TargetMode="External"/><Relationship Id="rId49" Type="http://schemas.openxmlformats.org/officeDocument/2006/relationships/hyperlink" Target="https://doi.org/10.1007/s10614-024-10552-1" TargetMode="External"/><Relationship Id="rId57" Type="http://schemas.openxmlformats.org/officeDocument/2006/relationships/footer" Target="footer3.xml"/><Relationship Id="rId10" Type="http://schemas.openxmlformats.org/officeDocument/2006/relationships/diagramColors" Target="diagrams/colors1.xml"/><Relationship Id="rId31" Type="http://schemas.openxmlformats.org/officeDocument/2006/relationships/hyperlink" Target="https://doi.org/10.1016/j.jbankfin.2015.09.006" TargetMode="External"/><Relationship Id="rId44" Type="http://schemas.openxmlformats.org/officeDocument/2006/relationships/hyperlink" Target="https://doi.org/10.1016/j.frl.2024.106303" TargetMode="External"/><Relationship Id="rId5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2796B2-979A-4AA8-82C2-8DBCCF025DE2}" type="doc">
      <dgm:prSet loTypeId="urn:microsoft.com/office/officeart/2005/8/layout/vProcess5" loCatId="process" qsTypeId="urn:microsoft.com/office/officeart/2005/8/quickstyle/3d2" qsCatId="3D" csTypeId="urn:microsoft.com/office/officeart/2005/8/colors/colorful3" csCatId="colorful" phldr="1"/>
      <dgm:spPr/>
      <dgm:t>
        <a:bodyPr/>
        <a:lstStyle/>
        <a:p>
          <a:endParaRPr lang="en-GB"/>
        </a:p>
      </dgm:t>
    </dgm:pt>
    <dgm:pt modelId="{23028CD0-BD64-4292-878F-C6497A874233}">
      <dgm:prSet phldrT="[Text]" custT="1"/>
      <dgm:spPr/>
      <dgm:t>
        <a:bodyPr/>
        <a:lstStyle/>
        <a:p>
          <a:pPr algn="ctr"/>
          <a:r>
            <a:rPr lang="en-GB" sz="1800" b="1" baseline="0">
              <a:solidFill>
                <a:schemeClr val="tx1"/>
              </a:solidFill>
            </a:rPr>
            <a:t>IDENTIFICATION</a:t>
          </a:r>
        </a:p>
        <a:p>
          <a:pPr algn="ctr"/>
          <a:r>
            <a:rPr lang="en-GB" sz="1400" b="1">
              <a:solidFill>
                <a:schemeClr val="tx1"/>
              </a:solidFill>
            </a:rPr>
            <a:t>(Total articles retrieved from database = 412)</a:t>
          </a:r>
        </a:p>
      </dgm:t>
    </dgm:pt>
    <dgm:pt modelId="{FAEA3F7B-1774-49F2-AFDA-8590C3EEC1E1}" type="parTrans" cxnId="{35539744-664D-4DA0-8A91-88AE552D3EF5}">
      <dgm:prSet/>
      <dgm:spPr/>
      <dgm:t>
        <a:bodyPr/>
        <a:lstStyle/>
        <a:p>
          <a:endParaRPr lang="en-GB"/>
        </a:p>
      </dgm:t>
    </dgm:pt>
    <dgm:pt modelId="{226EFB1B-4F70-4081-917C-1AB5470EB075}" type="sibTrans" cxnId="{35539744-664D-4DA0-8A91-88AE552D3EF5}">
      <dgm:prSet/>
      <dgm:spPr/>
      <dgm:t>
        <a:bodyPr/>
        <a:lstStyle/>
        <a:p>
          <a:endParaRPr lang="en-GB"/>
        </a:p>
      </dgm:t>
    </dgm:pt>
    <dgm:pt modelId="{ACB7CFA7-A776-43CB-A64A-E4000A6F4266}">
      <dgm:prSet phldrT="[Text]" custT="1"/>
      <dgm:spPr/>
      <dgm:t>
        <a:bodyPr/>
        <a:lstStyle/>
        <a:p>
          <a:pPr algn="ctr"/>
          <a:r>
            <a:rPr lang="en-GB" sz="1800" b="1" baseline="0">
              <a:solidFill>
                <a:schemeClr val="tx1"/>
              </a:solidFill>
            </a:rPr>
            <a:t>SCREENING</a:t>
          </a:r>
        </a:p>
        <a:p>
          <a:pPr algn="l"/>
          <a:r>
            <a:rPr lang="en-GB" sz="1400" b="1">
              <a:solidFill>
                <a:schemeClr val="tx1"/>
              </a:solidFill>
            </a:rPr>
            <a:t>(Total number excluded after screening = 310)</a:t>
          </a:r>
        </a:p>
      </dgm:t>
    </dgm:pt>
    <dgm:pt modelId="{39726C34-DC95-4C7F-964E-107630AA5A9A}" type="parTrans" cxnId="{F7637F3D-CE04-4B83-BBAB-734745D0A2CB}">
      <dgm:prSet/>
      <dgm:spPr/>
      <dgm:t>
        <a:bodyPr/>
        <a:lstStyle/>
        <a:p>
          <a:endParaRPr lang="en-GB"/>
        </a:p>
      </dgm:t>
    </dgm:pt>
    <dgm:pt modelId="{C41BF3A6-1ED8-443F-B0B7-E674C9EE97ED}" type="sibTrans" cxnId="{F7637F3D-CE04-4B83-BBAB-734745D0A2CB}">
      <dgm:prSet/>
      <dgm:spPr/>
      <dgm:t>
        <a:bodyPr/>
        <a:lstStyle/>
        <a:p>
          <a:endParaRPr lang="en-GB"/>
        </a:p>
      </dgm:t>
    </dgm:pt>
    <dgm:pt modelId="{BDA6A7C9-937F-407A-B0CA-656B3913F488}">
      <dgm:prSet phldrT="[Text]" custT="1"/>
      <dgm:spPr/>
      <dgm:t>
        <a:bodyPr/>
        <a:lstStyle/>
        <a:p>
          <a:pPr algn="ctr"/>
          <a:r>
            <a:rPr lang="en-GB" sz="1800" b="1">
              <a:solidFill>
                <a:schemeClr val="tx1"/>
              </a:solidFill>
            </a:rPr>
            <a:t>ELIGIBILITY</a:t>
          </a:r>
        </a:p>
        <a:p>
          <a:pPr algn="l"/>
          <a:r>
            <a:rPr lang="en-GB" sz="1400" b="1">
              <a:solidFill>
                <a:schemeClr val="tx1"/>
              </a:solidFill>
            </a:rPr>
            <a:t>(Full-Text Articles Assessed for Eligibility = 102)</a:t>
          </a:r>
        </a:p>
      </dgm:t>
    </dgm:pt>
    <dgm:pt modelId="{A4ED4293-3BAF-4556-BC39-C084BBB7501F}" type="parTrans" cxnId="{63076153-50E8-477D-909B-F1E147B7637D}">
      <dgm:prSet/>
      <dgm:spPr/>
      <dgm:t>
        <a:bodyPr/>
        <a:lstStyle/>
        <a:p>
          <a:endParaRPr lang="en-GB"/>
        </a:p>
      </dgm:t>
    </dgm:pt>
    <dgm:pt modelId="{2D2B1DB3-42CC-44B7-8AC0-ED925308C26B}" type="sibTrans" cxnId="{63076153-50E8-477D-909B-F1E147B7637D}">
      <dgm:prSet/>
      <dgm:spPr/>
      <dgm:t>
        <a:bodyPr/>
        <a:lstStyle/>
        <a:p>
          <a:endParaRPr lang="en-GB"/>
        </a:p>
      </dgm:t>
    </dgm:pt>
    <dgm:pt modelId="{3CA18A9F-01B8-4C97-8CB8-B4C879EC9CF5}">
      <dgm:prSet phldrT="[Text]" custT="1"/>
      <dgm:spPr/>
      <dgm:t>
        <a:bodyPr/>
        <a:lstStyle/>
        <a:p>
          <a:pPr algn="ctr"/>
          <a:r>
            <a:rPr lang="en-GB" sz="1800" b="1">
              <a:solidFill>
                <a:schemeClr val="tx1"/>
              </a:solidFill>
            </a:rPr>
            <a:t>INCLUDED</a:t>
          </a:r>
        </a:p>
        <a:p>
          <a:pPr algn="l"/>
          <a:r>
            <a:rPr lang="en-GB" sz="1400" b="1">
              <a:solidFill>
                <a:schemeClr val="tx1"/>
              </a:solidFill>
            </a:rPr>
            <a:t>(Studies included in the synthesis = 46)</a:t>
          </a:r>
        </a:p>
      </dgm:t>
    </dgm:pt>
    <dgm:pt modelId="{4E963123-E614-43E8-873A-8C9B9AF4E48B}" type="parTrans" cxnId="{32173985-D419-4271-8472-AD93D3451E4F}">
      <dgm:prSet/>
      <dgm:spPr/>
      <dgm:t>
        <a:bodyPr/>
        <a:lstStyle/>
        <a:p>
          <a:endParaRPr lang="en-GB"/>
        </a:p>
      </dgm:t>
    </dgm:pt>
    <dgm:pt modelId="{C3ECE5E5-3C29-4D87-BF81-CA4E2405126E}" type="sibTrans" cxnId="{32173985-D419-4271-8472-AD93D3451E4F}">
      <dgm:prSet/>
      <dgm:spPr/>
      <dgm:t>
        <a:bodyPr/>
        <a:lstStyle/>
        <a:p>
          <a:endParaRPr lang="en-GB"/>
        </a:p>
      </dgm:t>
    </dgm:pt>
    <dgm:pt modelId="{C8B4142F-138F-4F14-AAC6-2DA22FB3EE3F}" type="pres">
      <dgm:prSet presAssocID="{3F2796B2-979A-4AA8-82C2-8DBCCF025DE2}" presName="outerComposite" presStyleCnt="0">
        <dgm:presLayoutVars>
          <dgm:chMax val="5"/>
          <dgm:dir/>
          <dgm:resizeHandles val="exact"/>
        </dgm:presLayoutVars>
      </dgm:prSet>
      <dgm:spPr/>
    </dgm:pt>
    <dgm:pt modelId="{336DC437-C2CF-4419-A34F-19B4A320ED08}" type="pres">
      <dgm:prSet presAssocID="{3F2796B2-979A-4AA8-82C2-8DBCCF025DE2}" presName="dummyMaxCanvas" presStyleCnt="0">
        <dgm:presLayoutVars/>
      </dgm:prSet>
      <dgm:spPr/>
    </dgm:pt>
    <dgm:pt modelId="{B492B1A7-2A34-480E-8CE9-E56C7DADFF08}" type="pres">
      <dgm:prSet presAssocID="{3F2796B2-979A-4AA8-82C2-8DBCCF025DE2}" presName="FourNodes_1" presStyleLbl="node1" presStyleIdx="0" presStyleCnt="4" custScaleX="114843" custLinFactNeighborX="12438">
        <dgm:presLayoutVars>
          <dgm:bulletEnabled val="1"/>
        </dgm:presLayoutVars>
      </dgm:prSet>
      <dgm:spPr/>
    </dgm:pt>
    <dgm:pt modelId="{F5614A75-EDC9-479D-89A9-4731D38E52CD}" type="pres">
      <dgm:prSet presAssocID="{3F2796B2-979A-4AA8-82C2-8DBCCF025DE2}" presName="FourNodes_2" presStyleLbl="node1" presStyleIdx="1" presStyleCnt="4" custScaleX="115120" custLinFactNeighborX="3731" custLinFactNeighborY="5815">
        <dgm:presLayoutVars>
          <dgm:bulletEnabled val="1"/>
        </dgm:presLayoutVars>
      </dgm:prSet>
      <dgm:spPr/>
    </dgm:pt>
    <dgm:pt modelId="{61B4F692-C407-4BBA-949A-7E56654EB681}" type="pres">
      <dgm:prSet presAssocID="{3F2796B2-979A-4AA8-82C2-8DBCCF025DE2}" presName="FourNodes_3" presStyleLbl="node1" presStyleIdx="2" presStyleCnt="4" custScaleX="117908" custLinFactNeighborX="-4042" custLinFactNeighborY="1938">
        <dgm:presLayoutVars>
          <dgm:bulletEnabled val="1"/>
        </dgm:presLayoutVars>
      </dgm:prSet>
      <dgm:spPr/>
    </dgm:pt>
    <dgm:pt modelId="{E4EB7DB9-67B3-46A9-B4F4-092D66E5B511}" type="pres">
      <dgm:prSet presAssocID="{3F2796B2-979A-4AA8-82C2-8DBCCF025DE2}" presName="FourNodes_4" presStyleLbl="node1" presStyleIdx="3" presStyleCnt="4" custScaleX="114208" custLinFactNeighborX="-12438">
        <dgm:presLayoutVars>
          <dgm:bulletEnabled val="1"/>
        </dgm:presLayoutVars>
      </dgm:prSet>
      <dgm:spPr/>
    </dgm:pt>
    <dgm:pt modelId="{F57D74FD-F6CB-4D62-A1DD-D06C1426916F}" type="pres">
      <dgm:prSet presAssocID="{3F2796B2-979A-4AA8-82C2-8DBCCF025DE2}" presName="FourConn_1-2" presStyleLbl="fgAccFollowNode1" presStyleIdx="0" presStyleCnt="3" custLinFactNeighborX="77336">
        <dgm:presLayoutVars>
          <dgm:bulletEnabled val="1"/>
        </dgm:presLayoutVars>
      </dgm:prSet>
      <dgm:spPr/>
    </dgm:pt>
    <dgm:pt modelId="{0F8B6BE5-374C-4039-86F3-C38FC19F80C0}" type="pres">
      <dgm:prSet presAssocID="{3F2796B2-979A-4AA8-82C2-8DBCCF025DE2}" presName="FourConn_2-3" presStyleLbl="fgAccFollowNode1" presStyleIdx="1" presStyleCnt="3">
        <dgm:presLayoutVars>
          <dgm:bulletEnabled val="1"/>
        </dgm:presLayoutVars>
      </dgm:prSet>
      <dgm:spPr/>
    </dgm:pt>
    <dgm:pt modelId="{A9932D45-76E0-4421-9627-BF31E686E981}" type="pres">
      <dgm:prSet presAssocID="{3F2796B2-979A-4AA8-82C2-8DBCCF025DE2}" presName="FourConn_3-4" presStyleLbl="fgAccFollowNode1" presStyleIdx="2" presStyleCnt="3" custLinFactNeighborX="-71570" custLinFactNeighborY="26839">
        <dgm:presLayoutVars>
          <dgm:bulletEnabled val="1"/>
        </dgm:presLayoutVars>
      </dgm:prSet>
      <dgm:spPr/>
    </dgm:pt>
    <dgm:pt modelId="{C2BD38F5-22BA-4BEE-B5B8-491327E5583D}" type="pres">
      <dgm:prSet presAssocID="{3F2796B2-979A-4AA8-82C2-8DBCCF025DE2}" presName="FourNodes_1_text" presStyleLbl="node1" presStyleIdx="3" presStyleCnt="4">
        <dgm:presLayoutVars>
          <dgm:bulletEnabled val="1"/>
        </dgm:presLayoutVars>
      </dgm:prSet>
      <dgm:spPr/>
    </dgm:pt>
    <dgm:pt modelId="{28B415E9-A697-41CD-B630-8F708035D4C2}" type="pres">
      <dgm:prSet presAssocID="{3F2796B2-979A-4AA8-82C2-8DBCCF025DE2}" presName="FourNodes_2_text" presStyleLbl="node1" presStyleIdx="3" presStyleCnt="4">
        <dgm:presLayoutVars>
          <dgm:bulletEnabled val="1"/>
        </dgm:presLayoutVars>
      </dgm:prSet>
      <dgm:spPr/>
    </dgm:pt>
    <dgm:pt modelId="{4AE96041-5578-466E-9963-20F57DC758DD}" type="pres">
      <dgm:prSet presAssocID="{3F2796B2-979A-4AA8-82C2-8DBCCF025DE2}" presName="FourNodes_3_text" presStyleLbl="node1" presStyleIdx="3" presStyleCnt="4">
        <dgm:presLayoutVars>
          <dgm:bulletEnabled val="1"/>
        </dgm:presLayoutVars>
      </dgm:prSet>
      <dgm:spPr/>
    </dgm:pt>
    <dgm:pt modelId="{6F54AF72-53E8-4645-A94E-67468494AE1E}" type="pres">
      <dgm:prSet presAssocID="{3F2796B2-979A-4AA8-82C2-8DBCCF025DE2}" presName="FourNodes_4_text" presStyleLbl="node1" presStyleIdx="3" presStyleCnt="4">
        <dgm:presLayoutVars>
          <dgm:bulletEnabled val="1"/>
        </dgm:presLayoutVars>
      </dgm:prSet>
      <dgm:spPr/>
    </dgm:pt>
  </dgm:ptLst>
  <dgm:cxnLst>
    <dgm:cxn modelId="{12E9C112-8727-47EF-B145-2F6011E2A331}" type="presOf" srcId="{23028CD0-BD64-4292-878F-C6497A874233}" destId="{C2BD38F5-22BA-4BEE-B5B8-491327E5583D}" srcOrd="1" destOrd="0" presId="urn:microsoft.com/office/officeart/2005/8/layout/vProcess5"/>
    <dgm:cxn modelId="{38D0001A-01F6-49DD-A6D8-B611A486CB0B}" type="presOf" srcId="{C41BF3A6-1ED8-443F-B0B7-E674C9EE97ED}" destId="{0F8B6BE5-374C-4039-86F3-C38FC19F80C0}" srcOrd="0" destOrd="0" presId="urn:microsoft.com/office/officeart/2005/8/layout/vProcess5"/>
    <dgm:cxn modelId="{3F69E61A-BA8F-4553-866C-EF8607BBD697}" type="presOf" srcId="{23028CD0-BD64-4292-878F-C6497A874233}" destId="{B492B1A7-2A34-480E-8CE9-E56C7DADFF08}" srcOrd="0" destOrd="0" presId="urn:microsoft.com/office/officeart/2005/8/layout/vProcess5"/>
    <dgm:cxn modelId="{F7637F3D-CE04-4B83-BBAB-734745D0A2CB}" srcId="{3F2796B2-979A-4AA8-82C2-8DBCCF025DE2}" destId="{ACB7CFA7-A776-43CB-A64A-E4000A6F4266}" srcOrd="1" destOrd="0" parTransId="{39726C34-DC95-4C7F-964E-107630AA5A9A}" sibTransId="{C41BF3A6-1ED8-443F-B0B7-E674C9EE97ED}"/>
    <dgm:cxn modelId="{28529444-F587-4F59-B3AA-DBC8ADBA2F85}" type="presOf" srcId="{BDA6A7C9-937F-407A-B0CA-656B3913F488}" destId="{61B4F692-C407-4BBA-949A-7E56654EB681}" srcOrd="0" destOrd="0" presId="urn:microsoft.com/office/officeart/2005/8/layout/vProcess5"/>
    <dgm:cxn modelId="{35539744-664D-4DA0-8A91-88AE552D3EF5}" srcId="{3F2796B2-979A-4AA8-82C2-8DBCCF025DE2}" destId="{23028CD0-BD64-4292-878F-C6497A874233}" srcOrd="0" destOrd="0" parTransId="{FAEA3F7B-1774-49F2-AFDA-8590C3EEC1E1}" sibTransId="{226EFB1B-4F70-4081-917C-1AB5470EB075}"/>
    <dgm:cxn modelId="{5FC88F4D-2202-4F2C-BE71-D8A26CE9375D}" type="presOf" srcId="{2D2B1DB3-42CC-44B7-8AC0-ED925308C26B}" destId="{A9932D45-76E0-4421-9627-BF31E686E981}" srcOrd="0" destOrd="0" presId="urn:microsoft.com/office/officeart/2005/8/layout/vProcess5"/>
    <dgm:cxn modelId="{63076153-50E8-477D-909B-F1E147B7637D}" srcId="{3F2796B2-979A-4AA8-82C2-8DBCCF025DE2}" destId="{BDA6A7C9-937F-407A-B0CA-656B3913F488}" srcOrd="2" destOrd="0" parTransId="{A4ED4293-3BAF-4556-BC39-C084BBB7501F}" sibTransId="{2D2B1DB3-42CC-44B7-8AC0-ED925308C26B}"/>
    <dgm:cxn modelId="{32173985-D419-4271-8472-AD93D3451E4F}" srcId="{3F2796B2-979A-4AA8-82C2-8DBCCF025DE2}" destId="{3CA18A9F-01B8-4C97-8CB8-B4C879EC9CF5}" srcOrd="3" destOrd="0" parTransId="{4E963123-E614-43E8-873A-8C9B9AF4E48B}" sibTransId="{C3ECE5E5-3C29-4D87-BF81-CA4E2405126E}"/>
    <dgm:cxn modelId="{3F65FE8B-A551-4BE0-9719-51ADBAF60BE5}" type="presOf" srcId="{3CA18A9F-01B8-4C97-8CB8-B4C879EC9CF5}" destId="{E4EB7DB9-67B3-46A9-B4F4-092D66E5B511}" srcOrd="0" destOrd="0" presId="urn:microsoft.com/office/officeart/2005/8/layout/vProcess5"/>
    <dgm:cxn modelId="{67FBB09C-985F-4B06-A48A-80F17B39C85E}" type="presOf" srcId="{BDA6A7C9-937F-407A-B0CA-656B3913F488}" destId="{4AE96041-5578-466E-9963-20F57DC758DD}" srcOrd="1" destOrd="0" presId="urn:microsoft.com/office/officeart/2005/8/layout/vProcess5"/>
    <dgm:cxn modelId="{FE920EA2-FCBE-49CD-A3B8-07FBBB5208CA}" type="presOf" srcId="{ACB7CFA7-A776-43CB-A64A-E4000A6F4266}" destId="{28B415E9-A697-41CD-B630-8F708035D4C2}" srcOrd="1" destOrd="0" presId="urn:microsoft.com/office/officeart/2005/8/layout/vProcess5"/>
    <dgm:cxn modelId="{5FEF61C6-18B0-41C8-875A-823D05AD390E}" type="presOf" srcId="{3CA18A9F-01B8-4C97-8CB8-B4C879EC9CF5}" destId="{6F54AF72-53E8-4645-A94E-67468494AE1E}" srcOrd="1" destOrd="0" presId="urn:microsoft.com/office/officeart/2005/8/layout/vProcess5"/>
    <dgm:cxn modelId="{AB8477C7-D4DC-415A-BC36-E20B39F3337A}" type="presOf" srcId="{ACB7CFA7-A776-43CB-A64A-E4000A6F4266}" destId="{F5614A75-EDC9-479D-89A9-4731D38E52CD}" srcOrd="0" destOrd="0" presId="urn:microsoft.com/office/officeart/2005/8/layout/vProcess5"/>
    <dgm:cxn modelId="{3C0C11CA-3480-4964-A580-AE8A2DC63F02}" type="presOf" srcId="{226EFB1B-4F70-4081-917C-1AB5470EB075}" destId="{F57D74FD-F6CB-4D62-A1DD-D06C1426916F}" srcOrd="0" destOrd="0" presId="urn:microsoft.com/office/officeart/2005/8/layout/vProcess5"/>
    <dgm:cxn modelId="{082C79D6-9AD4-4073-9261-64C689B79803}" type="presOf" srcId="{3F2796B2-979A-4AA8-82C2-8DBCCF025DE2}" destId="{C8B4142F-138F-4F14-AAC6-2DA22FB3EE3F}" srcOrd="0" destOrd="0" presId="urn:microsoft.com/office/officeart/2005/8/layout/vProcess5"/>
    <dgm:cxn modelId="{BF7E27ED-EFE2-4F93-844E-6E3947DF32F4}" type="presParOf" srcId="{C8B4142F-138F-4F14-AAC6-2DA22FB3EE3F}" destId="{336DC437-C2CF-4419-A34F-19B4A320ED08}" srcOrd="0" destOrd="0" presId="urn:microsoft.com/office/officeart/2005/8/layout/vProcess5"/>
    <dgm:cxn modelId="{D0A5D7D0-AF17-46B1-83C0-7A80CFA0BE3B}" type="presParOf" srcId="{C8B4142F-138F-4F14-AAC6-2DA22FB3EE3F}" destId="{B492B1A7-2A34-480E-8CE9-E56C7DADFF08}" srcOrd="1" destOrd="0" presId="urn:microsoft.com/office/officeart/2005/8/layout/vProcess5"/>
    <dgm:cxn modelId="{8A997B20-F5E5-4D6C-B570-D2E6FF860846}" type="presParOf" srcId="{C8B4142F-138F-4F14-AAC6-2DA22FB3EE3F}" destId="{F5614A75-EDC9-479D-89A9-4731D38E52CD}" srcOrd="2" destOrd="0" presId="urn:microsoft.com/office/officeart/2005/8/layout/vProcess5"/>
    <dgm:cxn modelId="{283CC0AB-2426-4017-8332-74F17C399B59}" type="presParOf" srcId="{C8B4142F-138F-4F14-AAC6-2DA22FB3EE3F}" destId="{61B4F692-C407-4BBA-949A-7E56654EB681}" srcOrd="3" destOrd="0" presId="urn:microsoft.com/office/officeart/2005/8/layout/vProcess5"/>
    <dgm:cxn modelId="{56D3D106-36BF-49AD-99D1-6FF3CB4A3604}" type="presParOf" srcId="{C8B4142F-138F-4F14-AAC6-2DA22FB3EE3F}" destId="{E4EB7DB9-67B3-46A9-B4F4-092D66E5B511}" srcOrd="4" destOrd="0" presId="urn:microsoft.com/office/officeart/2005/8/layout/vProcess5"/>
    <dgm:cxn modelId="{4B3DC354-F35E-46B1-80AE-80A49D49E97F}" type="presParOf" srcId="{C8B4142F-138F-4F14-AAC6-2DA22FB3EE3F}" destId="{F57D74FD-F6CB-4D62-A1DD-D06C1426916F}" srcOrd="5" destOrd="0" presId="urn:microsoft.com/office/officeart/2005/8/layout/vProcess5"/>
    <dgm:cxn modelId="{1EA43030-A513-4E46-B670-7B6D3FEAF73A}" type="presParOf" srcId="{C8B4142F-138F-4F14-AAC6-2DA22FB3EE3F}" destId="{0F8B6BE5-374C-4039-86F3-C38FC19F80C0}" srcOrd="6" destOrd="0" presId="urn:microsoft.com/office/officeart/2005/8/layout/vProcess5"/>
    <dgm:cxn modelId="{11D69579-06FD-4D87-B3B1-1493F5E65F17}" type="presParOf" srcId="{C8B4142F-138F-4F14-AAC6-2DA22FB3EE3F}" destId="{A9932D45-76E0-4421-9627-BF31E686E981}" srcOrd="7" destOrd="0" presId="urn:microsoft.com/office/officeart/2005/8/layout/vProcess5"/>
    <dgm:cxn modelId="{CEC41FAC-82DF-4EC9-B3A0-23385EE83209}" type="presParOf" srcId="{C8B4142F-138F-4F14-AAC6-2DA22FB3EE3F}" destId="{C2BD38F5-22BA-4BEE-B5B8-491327E5583D}" srcOrd="8" destOrd="0" presId="urn:microsoft.com/office/officeart/2005/8/layout/vProcess5"/>
    <dgm:cxn modelId="{C65EAB38-9FA3-4F9C-BE19-8042918E0E86}" type="presParOf" srcId="{C8B4142F-138F-4F14-AAC6-2DA22FB3EE3F}" destId="{28B415E9-A697-41CD-B630-8F708035D4C2}" srcOrd="9" destOrd="0" presId="urn:microsoft.com/office/officeart/2005/8/layout/vProcess5"/>
    <dgm:cxn modelId="{E4135F1B-2486-4274-B7F2-95EAD71BEDFC}" type="presParOf" srcId="{C8B4142F-138F-4F14-AAC6-2DA22FB3EE3F}" destId="{4AE96041-5578-466E-9963-20F57DC758DD}" srcOrd="10" destOrd="0" presId="urn:microsoft.com/office/officeart/2005/8/layout/vProcess5"/>
    <dgm:cxn modelId="{FEF4720C-F63E-4C1B-85CF-AA83E6FD8ECF}" type="presParOf" srcId="{C8B4142F-138F-4F14-AAC6-2DA22FB3EE3F}" destId="{6F54AF72-53E8-4645-A94E-67468494AE1E}" srcOrd="11" destOrd="0" presId="urn:microsoft.com/office/officeart/2005/8/layout/vProcess5"/>
  </dgm:cxnLst>
  <dgm:bg>
    <a:noFill/>
  </dgm:bg>
  <dgm:whole>
    <a:effectLst/>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92B1A7-2A34-480E-8CE9-E56C7DADFF08}">
      <dsp:nvSpPr>
        <dsp:cNvPr id="0" name=""/>
        <dsp:cNvSpPr/>
      </dsp:nvSpPr>
      <dsp:spPr>
        <a:xfrm>
          <a:off x="227147" y="0"/>
          <a:ext cx="5040597" cy="70408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baseline="0">
              <a:solidFill>
                <a:schemeClr val="tx1"/>
              </a:solidFill>
            </a:rPr>
            <a:t>IDENTIFICATION</a:t>
          </a:r>
        </a:p>
        <a:p>
          <a:pPr marL="0" lvl="0" indent="0" algn="ctr" defTabSz="800100">
            <a:lnSpc>
              <a:spcPct val="90000"/>
            </a:lnSpc>
            <a:spcBef>
              <a:spcPct val="0"/>
            </a:spcBef>
            <a:spcAft>
              <a:spcPct val="35000"/>
            </a:spcAft>
            <a:buNone/>
          </a:pPr>
          <a:r>
            <a:rPr lang="en-GB" sz="1400" b="1" kern="1200">
              <a:solidFill>
                <a:schemeClr val="tx1"/>
              </a:solidFill>
            </a:rPr>
            <a:t>(Total articles retrieved from database = 412)</a:t>
          </a:r>
        </a:p>
      </dsp:txBody>
      <dsp:txXfrm>
        <a:off x="247769" y="20622"/>
        <a:ext cx="4105854" cy="662844"/>
      </dsp:txXfrm>
    </dsp:sp>
    <dsp:sp modelId="{F5614A75-EDC9-479D-89A9-4731D38E52CD}">
      <dsp:nvSpPr>
        <dsp:cNvPr id="0" name=""/>
        <dsp:cNvSpPr/>
      </dsp:nvSpPr>
      <dsp:spPr>
        <a:xfrm>
          <a:off x="206497" y="873046"/>
          <a:ext cx="5052754" cy="704088"/>
        </a:xfrm>
        <a:prstGeom prst="roundRect">
          <a:avLst>
            <a:gd name="adj" fmla="val 10000"/>
          </a:avLst>
        </a:prstGeom>
        <a:gradFill rotWithShape="0">
          <a:gsLst>
            <a:gs pos="0">
              <a:schemeClr val="accent3">
                <a:hueOff val="-712195"/>
                <a:satOff val="-33333"/>
                <a:lumOff val="1046"/>
                <a:alphaOff val="0"/>
                <a:shade val="51000"/>
                <a:satMod val="130000"/>
              </a:schemeClr>
            </a:gs>
            <a:gs pos="80000">
              <a:schemeClr val="accent3">
                <a:hueOff val="-712195"/>
                <a:satOff val="-33333"/>
                <a:lumOff val="1046"/>
                <a:alphaOff val="0"/>
                <a:shade val="93000"/>
                <a:satMod val="130000"/>
              </a:schemeClr>
            </a:gs>
            <a:gs pos="100000">
              <a:schemeClr val="accent3">
                <a:hueOff val="-712195"/>
                <a:satOff val="-33333"/>
                <a:lumOff val="104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baseline="0">
              <a:solidFill>
                <a:schemeClr val="tx1"/>
              </a:solidFill>
            </a:rPr>
            <a:t>SCREENING</a:t>
          </a:r>
        </a:p>
        <a:p>
          <a:pPr marL="0" lvl="0" indent="0" algn="l" defTabSz="800100">
            <a:lnSpc>
              <a:spcPct val="90000"/>
            </a:lnSpc>
            <a:spcBef>
              <a:spcPct val="0"/>
            </a:spcBef>
            <a:spcAft>
              <a:spcPct val="35000"/>
            </a:spcAft>
            <a:buNone/>
          </a:pPr>
          <a:r>
            <a:rPr lang="en-GB" sz="1400" b="1" kern="1200">
              <a:solidFill>
                <a:schemeClr val="tx1"/>
              </a:solidFill>
            </a:rPr>
            <a:t>(Total number excluded after screening = 310)</a:t>
          </a:r>
        </a:p>
      </dsp:txBody>
      <dsp:txXfrm>
        <a:off x="227119" y="893668"/>
        <a:ext cx="4061487" cy="662844"/>
      </dsp:txXfrm>
    </dsp:sp>
    <dsp:sp modelId="{61B4F692-C407-4BBA-949A-7E56654EB681}">
      <dsp:nvSpPr>
        <dsp:cNvPr id="0" name=""/>
        <dsp:cNvSpPr/>
      </dsp:nvSpPr>
      <dsp:spPr>
        <a:xfrm>
          <a:off x="166248" y="1677853"/>
          <a:ext cx="5175123" cy="704088"/>
        </a:xfrm>
        <a:prstGeom prst="roundRect">
          <a:avLst>
            <a:gd name="adj" fmla="val 10000"/>
          </a:avLst>
        </a:prstGeom>
        <a:gradFill rotWithShape="0">
          <a:gsLst>
            <a:gs pos="0">
              <a:schemeClr val="accent3">
                <a:hueOff val="-1424389"/>
                <a:satOff val="-66667"/>
                <a:lumOff val="2092"/>
                <a:alphaOff val="0"/>
                <a:shade val="51000"/>
                <a:satMod val="130000"/>
              </a:schemeClr>
            </a:gs>
            <a:gs pos="80000">
              <a:schemeClr val="accent3">
                <a:hueOff val="-1424389"/>
                <a:satOff val="-66667"/>
                <a:lumOff val="2092"/>
                <a:alphaOff val="0"/>
                <a:shade val="93000"/>
                <a:satMod val="130000"/>
              </a:schemeClr>
            </a:gs>
            <a:gs pos="100000">
              <a:schemeClr val="accent3">
                <a:hueOff val="-1424389"/>
                <a:satOff val="-66667"/>
                <a:lumOff val="20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tx1"/>
              </a:solidFill>
            </a:rPr>
            <a:t>ELIGIBILITY</a:t>
          </a:r>
        </a:p>
        <a:p>
          <a:pPr marL="0" lvl="0" indent="0" algn="l" defTabSz="800100">
            <a:lnSpc>
              <a:spcPct val="90000"/>
            </a:lnSpc>
            <a:spcBef>
              <a:spcPct val="0"/>
            </a:spcBef>
            <a:spcAft>
              <a:spcPct val="35000"/>
            </a:spcAft>
            <a:buNone/>
          </a:pPr>
          <a:r>
            <a:rPr lang="en-GB" sz="1400" b="1" kern="1200">
              <a:solidFill>
                <a:schemeClr val="tx1"/>
              </a:solidFill>
            </a:rPr>
            <a:t>(Full-Text Articles Assessed for Eligibility = 102)</a:t>
          </a:r>
        </a:p>
      </dsp:txBody>
      <dsp:txXfrm>
        <a:off x="186870" y="1698475"/>
        <a:ext cx="4167317" cy="662844"/>
      </dsp:txXfrm>
    </dsp:sp>
    <dsp:sp modelId="{E4EB7DB9-67B3-46A9-B4F4-092D66E5B511}">
      <dsp:nvSpPr>
        <dsp:cNvPr id="0" name=""/>
        <dsp:cNvSpPr/>
      </dsp:nvSpPr>
      <dsp:spPr>
        <a:xfrm>
          <a:off x="246525" y="2496312"/>
          <a:ext cx="5012726" cy="704088"/>
        </a:xfrm>
        <a:prstGeom prst="roundRect">
          <a:avLst>
            <a:gd name="adj" fmla="val 10000"/>
          </a:avLst>
        </a:prstGeom>
        <a:gradFill rotWithShape="0">
          <a:gsLst>
            <a:gs pos="0">
              <a:schemeClr val="accent3">
                <a:hueOff val="-2136584"/>
                <a:satOff val="-100000"/>
                <a:lumOff val="3138"/>
                <a:alphaOff val="0"/>
                <a:shade val="51000"/>
                <a:satMod val="130000"/>
              </a:schemeClr>
            </a:gs>
            <a:gs pos="80000">
              <a:schemeClr val="accent3">
                <a:hueOff val="-2136584"/>
                <a:satOff val="-100000"/>
                <a:lumOff val="3138"/>
                <a:alphaOff val="0"/>
                <a:shade val="93000"/>
                <a:satMod val="130000"/>
              </a:schemeClr>
            </a:gs>
            <a:gs pos="100000">
              <a:schemeClr val="accent3">
                <a:hueOff val="-2136584"/>
                <a:satOff val="-100000"/>
                <a:lumOff val="31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tx1"/>
              </a:solidFill>
            </a:rPr>
            <a:t>INCLUDED</a:t>
          </a:r>
        </a:p>
        <a:p>
          <a:pPr marL="0" lvl="0" indent="0" algn="l" defTabSz="800100">
            <a:lnSpc>
              <a:spcPct val="90000"/>
            </a:lnSpc>
            <a:spcBef>
              <a:spcPct val="0"/>
            </a:spcBef>
            <a:spcAft>
              <a:spcPct val="35000"/>
            </a:spcAft>
            <a:buNone/>
          </a:pPr>
          <a:r>
            <a:rPr lang="en-GB" sz="1400" b="1" kern="1200">
              <a:solidFill>
                <a:schemeClr val="tx1"/>
              </a:solidFill>
            </a:rPr>
            <a:t>(Studies included in the synthesis = 46)</a:t>
          </a:r>
        </a:p>
      </dsp:txBody>
      <dsp:txXfrm>
        <a:off x="267147" y="2516934"/>
        <a:ext cx="4028985" cy="662844"/>
      </dsp:txXfrm>
    </dsp:sp>
    <dsp:sp modelId="{F57D74FD-F6CB-4D62-A1DD-D06C1426916F}">
      <dsp:nvSpPr>
        <dsp:cNvPr id="0" name=""/>
        <dsp:cNvSpPr/>
      </dsp:nvSpPr>
      <dsp:spPr>
        <a:xfrm>
          <a:off x="4292364" y="539267"/>
          <a:ext cx="457657" cy="457657"/>
        </a:xfrm>
        <a:prstGeom prst="downArrow">
          <a:avLst>
            <a:gd name="adj1" fmla="val 55000"/>
            <a:gd name="adj2" fmla="val 45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a:off x="4395337" y="539267"/>
        <a:ext cx="251711" cy="344387"/>
      </dsp:txXfrm>
    </dsp:sp>
    <dsp:sp modelId="{0F8B6BE5-374C-4039-86F3-C38FC19F80C0}">
      <dsp:nvSpPr>
        <dsp:cNvPr id="0" name=""/>
        <dsp:cNvSpPr/>
      </dsp:nvSpPr>
      <dsp:spPr>
        <a:xfrm>
          <a:off x="4306019" y="1371371"/>
          <a:ext cx="457657" cy="457657"/>
        </a:xfrm>
        <a:prstGeom prst="downArrow">
          <a:avLst>
            <a:gd name="adj1" fmla="val 55000"/>
            <a:gd name="adj2" fmla="val 45000"/>
          </a:avLst>
        </a:prstGeom>
        <a:solidFill>
          <a:schemeClr val="accent3">
            <a:tint val="40000"/>
            <a:alpha val="90000"/>
            <a:hueOff val="-617629"/>
            <a:satOff val="-43562"/>
            <a:lumOff val="-2130"/>
            <a:alphaOff val="0"/>
          </a:schemeClr>
        </a:solidFill>
        <a:ln w="9525" cap="flat" cmpd="sng" algn="ctr">
          <a:solidFill>
            <a:schemeClr val="accent3">
              <a:tint val="40000"/>
              <a:alpha val="90000"/>
              <a:hueOff val="-617629"/>
              <a:satOff val="-43562"/>
              <a:lumOff val="-213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a:off x="4408992" y="1371371"/>
        <a:ext cx="251711" cy="344387"/>
      </dsp:txXfrm>
    </dsp:sp>
    <dsp:sp modelId="{A9932D45-76E0-4421-9627-BF31E686E981}">
      <dsp:nvSpPr>
        <dsp:cNvPr id="0" name=""/>
        <dsp:cNvSpPr/>
      </dsp:nvSpPr>
      <dsp:spPr>
        <a:xfrm>
          <a:off x="4340576" y="2326306"/>
          <a:ext cx="457657" cy="457657"/>
        </a:xfrm>
        <a:prstGeom prst="downArrow">
          <a:avLst>
            <a:gd name="adj1" fmla="val 55000"/>
            <a:gd name="adj2" fmla="val 45000"/>
          </a:avLst>
        </a:prstGeom>
        <a:solidFill>
          <a:schemeClr val="accent3">
            <a:tint val="40000"/>
            <a:alpha val="90000"/>
            <a:hueOff val="-1235258"/>
            <a:satOff val="-87124"/>
            <a:lumOff val="-4261"/>
            <a:alphaOff val="0"/>
          </a:schemeClr>
        </a:solidFill>
        <a:ln w="9525" cap="flat" cmpd="sng" algn="ctr">
          <a:solidFill>
            <a:schemeClr val="accent3">
              <a:tint val="40000"/>
              <a:alpha val="90000"/>
              <a:hueOff val="-1235258"/>
              <a:satOff val="-87124"/>
              <a:lumOff val="-4261"/>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a:off x="4443549" y="2326306"/>
        <a:ext cx="251711" cy="34438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30</Pages>
  <Words>10945</Words>
  <Characters>62390</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49</cp:revision>
  <dcterms:created xsi:type="dcterms:W3CDTF">2025-12-24T06:09:00Z</dcterms:created>
  <dcterms:modified xsi:type="dcterms:W3CDTF">2026-01-02T09:26:00Z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f2a3b42d-a87d-40a5-b85c-0ff63207e28c</vt:lpwstr>
  </property>
</Properties>
</file>