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B2B19" w14:textId="22B30F38" w:rsidR="001E337C" w:rsidRPr="004D3A3A" w:rsidRDefault="0011082E" w:rsidP="00D56865">
      <w:pPr>
        <w:jc w:val="both"/>
        <w:rPr>
          <w:rFonts w:ascii="Arial" w:hAnsi="Arial" w:cs="Arial"/>
          <w:b/>
          <w:bCs/>
          <w:sz w:val="28"/>
          <w:szCs w:val="28"/>
        </w:rPr>
      </w:pPr>
      <w:r w:rsidRPr="00D56865">
        <w:rPr>
          <w:rFonts w:ascii="Arial" w:hAnsi="Arial" w:cs="Arial"/>
          <w:b/>
          <w:bCs/>
          <w:sz w:val="28"/>
          <w:szCs w:val="28"/>
          <w:highlight w:val="yellow"/>
        </w:rPr>
        <w:t>Circular Bioeconomy in Farming: Residue Recycling, Biochar, and Organics for Climate Mitigation</w:t>
      </w:r>
    </w:p>
    <w:p w14:paraId="061CF130" w14:textId="77777777" w:rsidR="0011082E" w:rsidRPr="004D3A3A" w:rsidRDefault="0011082E" w:rsidP="00D56865">
      <w:pPr>
        <w:jc w:val="both"/>
        <w:rPr>
          <w:rFonts w:ascii="Arial" w:hAnsi="Arial" w:cs="Arial"/>
          <w:b/>
          <w:bCs/>
        </w:rPr>
      </w:pPr>
    </w:p>
    <w:p w14:paraId="2AD990FD" w14:textId="77777777" w:rsidR="008E3145" w:rsidRPr="004D3A3A" w:rsidRDefault="0011082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b/>
          <w:bCs/>
          <w:kern w:val="0"/>
          <w:lang w:eastAsia="en-IN"/>
          <w14:ligatures w14:val="none"/>
        </w:rPr>
        <w:t>Abstract</w:t>
      </w:r>
      <w:r w:rsidRPr="004D3A3A">
        <w:rPr>
          <w:rFonts w:ascii="Arial" w:eastAsia="Times New Roman" w:hAnsi="Arial" w:cs="Arial"/>
          <w:kern w:val="0"/>
          <w:lang w:eastAsia="en-IN"/>
          <w14:ligatures w14:val="none"/>
        </w:rPr>
        <w:br/>
      </w:r>
      <w:r w:rsidR="008E3145" w:rsidRPr="004D3A3A">
        <w:rPr>
          <w:rFonts w:ascii="Arial" w:eastAsia="Times New Roman" w:hAnsi="Arial" w:cs="Arial"/>
          <w:kern w:val="0"/>
          <w:lang w:eastAsia="en-IN"/>
          <w14:ligatures w14:val="none"/>
        </w:rPr>
        <w:t xml:space="preserve">The circular </w:t>
      </w:r>
      <w:proofErr w:type="spellStart"/>
      <w:r w:rsidR="008E3145" w:rsidRPr="004D3A3A">
        <w:rPr>
          <w:rFonts w:ascii="Arial" w:eastAsia="Times New Roman" w:hAnsi="Arial" w:cs="Arial"/>
          <w:kern w:val="0"/>
          <w:lang w:eastAsia="en-IN"/>
          <w14:ligatures w14:val="none"/>
        </w:rPr>
        <w:t>bioeconomy</w:t>
      </w:r>
      <w:proofErr w:type="spellEnd"/>
      <w:r w:rsidR="008E3145" w:rsidRPr="004D3A3A">
        <w:rPr>
          <w:rFonts w:ascii="Arial" w:eastAsia="Times New Roman" w:hAnsi="Arial" w:cs="Arial"/>
          <w:kern w:val="0"/>
          <w:lang w:eastAsia="en-IN"/>
          <w14:ligatures w14:val="none"/>
        </w:rPr>
        <w:t xml:space="preserve"> reframes agricultural residues and organic by-products as strategic resources for climate mitigation, soil restoration, and input substitution. This critical review examines three high-leverage pillars—residue recycling, biochar systems, and climate-oriented management of organic amendments—through agronomic, environmental, and implementation lenses. We first synthesize how shifting residues from open burning and unmanaged decay toward aerobic composting, anaerobic digestion with contained storage, and in-field retention can reduce methane, nitrous oxide, and particulate emissions while returning stabilized carbon and nutrients to soils. We then evaluate biochar as a durable carbon sink that also modulates soil processes affecting non-CO</w:t>
      </w:r>
      <w:r w:rsidR="008E3145" w:rsidRPr="004D3A3A">
        <w:rPr>
          <w:rFonts w:ascii="Cambria Math" w:eastAsia="Times New Roman" w:hAnsi="Cambria Math" w:cs="Cambria Math"/>
          <w:kern w:val="0"/>
          <w:lang w:eastAsia="en-IN"/>
          <w14:ligatures w14:val="none"/>
        </w:rPr>
        <w:t>₂</w:t>
      </w:r>
      <w:r w:rsidR="008E3145" w:rsidRPr="004D3A3A">
        <w:rPr>
          <w:rFonts w:ascii="Arial" w:eastAsia="Times New Roman" w:hAnsi="Arial" w:cs="Arial"/>
          <w:kern w:val="0"/>
          <w:lang w:eastAsia="en-IN"/>
          <w14:ligatures w14:val="none"/>
        </w:rPr>
        <w:t xml:space="preserve"> gases, water retention, and nutrient efficiency; attention is given to feedstock logistics, pyrolysis conditions, and the co-benefits and trade-offs of energy co-products. Finally, we assess composts, manures, and digestates as climate tools, emphasizing timing, placement, and carbon-to-nitrogen management that align yield goals with lower emission intensity.</w:t>
      </w:r>
    </w:p>
    <w:p w14:paraId="36616472" w14:textId="77777777" w:rsidR="008E3145" w:rsidRPr="004D3A3A" w:rsidRDefault="008E3145"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Across pathways, credible climate accounting depends on life-cycle system boundaries that include avoided emissions, process energy, transport, and product displacement, alongside robust treatment of additionality, leakage, and permanence. We review emerging measurement, reporting, and verification approaches suitable for farms, cooperatives, and regional programs, and propose practical indicators to support transparent carbon claims. Implementation requires enabling infrastructure and policy: modular processing, quality standards, incentives that reward verified outcomes, and advisory services that translate carbon metrics into agronomic decisions. Equity considerations are central; smallholders need access to equipment, finance, and simplified MRV, with benefits visible as improved soil function and yield stability.</w:t>
      </w:r>
    </w:p>
    <w:p w14:paraId="55B78C98" w14:textId="77777777" w:rsidR="004D3A3A" w:rsidRDefault="008E3145"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 review identifies five priorities to accelerate progress: context-specific response functions that predict when and where each pathway performs best; integrated management of residues and water in flooded systems; digestate processing and delivery methods that minimize gaseous losses; harmonized durability and uncertainty treatment for biochar; and longitudinal socio-economic evidence on adoption, </w:t>
      </w:r>
      <w:proofErr w:type="spellStart"/>
      <w:r w:rsidRPr="004D3A3A">
        <w:rPr>
          <w:rFonts w:ascii="Arial" w:eastAsia="Times New Roman" w:hAnsi="Arial" w:cs="Arial"/>
          <w:kern w:val="0"/>
          <w:lang w:eastAsia="en-IN"/>
          <w14:ligatures w14:val="none"/>
        </w:rPr>
        <w:t>labor</w:t>
      </w:r>
      <w:proofErr w:type="spellEnd"/>
      <w:r w:rsidRPr="004D3A3A">
        <w:rPr>
          <w:rFonts w:ascii="Arial" w:eastAsia="Times New Roman" w:hAnsi="Arial" w:cs="Arial"/>
          <w:kern w:val="0"/>
          <w:lang w:eastAsia="en-IN"/>
          <w14:ligatures w14:val="none"/>
        </w:rPr>
        <w:t xml:space="preserve">, and air-quality gains </w:t>
      </w:r>
      <w:proofErr w:type="spellStart"/>
      <w:r w:rsidRPr="004D3A3A">
        <w:rPr>
          <w:rFonts w:ascii="Arial" w:eastAsia="Times New Roman" w:hAnsi="Arial" w:cs="Arial"/>
          <w:kern w:val="0"/>
          <w:lang w:eastAsia="en-IN"/>
          <w14:ligatures w14:val="none"/>
        </w:rPr>
        <w:t>where</w:t>
      </w:r>
      <w:proofErr w:type="spellEnd"/>
      <w:r w:rsidRPr="004D3A3A">
        <w:rPr>
          <w:rFonts w:ascii="Arial" w:eastAsia="Times New Roman" w:hAnsi="Arial" w:cs="Arial"/>
          <w:kern w:val="0"/>
          <w:lang w:eastAsia="en-IN"/>
          <w14:ligatures w14:val="none"/>
        </w:rPr>
        <w:t xml:space="preserve"> burning is displaced. Overall, circular bioeconomy strategies can deliver meaningful, verifiable mitigation while enhancing soil health and resilience. Realizing this potential hinges on integrating agronomy with rigorous accounting and on aligning finance and policy with the practical realities of farms and supply chains.</w:t>
      </w:r>
    </w:p>
    <w:p w14:paraId="21EFEBFB" w14:textId="1AF8CC05" w:rsidR="0011082E" w:rsidRPr="004D3A3A" w:rsidRDefault="0011082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b/>
          <w:bCs/>
          <w:kern w:val="0"/>
          <w:lang w:eastAsia="en-IN"/>
          <w14:ligatures w14:val="none"/>
        </w:rPr>
        <w:t>Keywords:</w:t>
      </w:r>
      <w:r w:rsidRPr="004D3A3A">
        <w:rPr>
          <w:rFonts w:ascii="Arial" w:eastAsia="Times New Roman" w:hAnsi="Arial" w:cs="Arial"/>
          <w:kern w:val="0"/>
          <w:lang w:eastAsia="en-IN"/>
          <w14:ligatures w14:val="none"/>
        </w:rPr>
        <w:t xml:space="preserve"> circular bioeconomy; crop residues; compost; anaerobic digestion; digestate; biochar; carbon dioxide removal; methane; nitrous oxide; MRV</w:t>
      </w:r>
    </w:p>
    <w:p w14:paraId="0C3CC89D" w14:textId="77777777" w:rsidR="0011082E" w:rsidRPr="004D3A3A" w:rsidRDefault="004F398B" w:rsidP="00D56865">
      <w:pPr>
        <w:spacing w:after="0" w:line="240" w:lineRule="auto"/>
        <w:jc w:val="both"/>
        <w:rPr>
          <w:rFonts w:ascii="Arial" w:eastAsia="Times New Roman" w:hAnsi="Arial" w:cs="Arial"/>
          <w:kern w:val="0"/>
          <w:lang w:eastAsia="en-IN"/>
          <w14:ligatures w14:val="none"/>
        </w:rPr>
      </w:pPr>
      <w:r>
        <w:rPr>
          <w:rFonts w:ascii="Arial" w:eastAsia="Times New Roman" w:hAnsi="Arial" w:cs="Arial"/>
          <w:kern w:val="0"/>
          <w:lang w:eastAsia="en-IN"/>
          <w14:ligatures w14:val="none"/>
        </w:rPr>
        <w:pict w14:anchorId="4BF1A9A2">
          <v:rect id="_x0000_i1025" style="width:0;height:1.5pt" o:hralign="center" o:hrstd="t" o:hr="t" fillcolor="#a0a0a0" stroked="f"/>
        </w:pict>
      </w:r>
    </w:p>
    <w:p w14:paraId="12E8ED01" w14:textId="77777777" w:rsidR="0011082E" w:rsidRPr="004D3A3A" w:rsidRDefault="0011082E" w:rsidP="00D56865">
      <w:pPr>
        <w:spacing w:before="100" w:beforeAutospacing="1" w:after="100" w:afterAutospacing="1" w:line="240" w:lineRule="auto"/>
        <w:jc w:val="both"/>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1. Introduction</w:t>
      </w:r>
    </w:p>
    <w:p w14:paraId="16F63C2D"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1.1. Rationale and conceptual framing</w:t>
      </w:r>
    </w:p>
    <w:p w14:paraId="7F6F52BA" w14:textId="7DA46F5D" w:rsidR="00B52C09" w:rsidRPr="004D3A3A" w:rsidRDefault="00D56865" w:rsidP="00D56865">
      <w:pPr>
        <w:spacing w:before="100" w:beforeAutospacing="1" w:after="100" w:afterAutospacing="1" w:line="240" w:lineRule="auto"/>
        <w:jc w:val="both"/>
        <w:rPr>
          <w:rFonts w:ascii="Arial" w:eastAsia="Times New Roman" w:hAnsi="Arial" w:cs="Arial"/>
          <w:kern w:val="0"/>
          <w:lang w:eastAsia="en-IN"/>
          <w14:ligatures w14:val="none"/>
        </w:rPr>
      </w:pPr>
      <w:r w:rsidRPr="008E4081">
        <w:rPr>
          <w:rFonts w:ascii="Georgia" w:hAnsi="Georgia"/>
          <w:color w:val="1F1F1F"/>
          <w:highlight w:val="yellow"/>
        </w:rPr>
        <w:t xml:space="preserve">The circular </w:t>
      </w:r>
      <w:proofErr w:type="spellStart"/>
      <w:r w:rsidRPr="008E4081">
        <w:rPr>
          <w:rFonts w:ascii="Georgia" w:hAnsi="Georgia"/>
          <w:color w:val="1F1F1F"/>
          <w:highlight w:val="yellow"/>
        </w:rPr>
        <w:t>bioeconomy</w:t>
      </w:r>
      <w:proofErr w:type="spellEnd"/>
      <w:r w:rsidRPr="008E4081">
        <w:rPr>
          <w:rFonts w:ascii="Georgia" w:hAnsi="Georgia"/>
          <w:color w:val="1F1F1F"/>
          <w:highlight w:val="yellow"/>
        </w:rPr>
        <w:t xml:space="preserve"> has emerged as a promising pathway for </w:t>
      </w:r>
      <w:hyperlink r:id="rId7" w:tooltip="Learn more about sustainable development from ScienceDirect's AI-generated Topic Pages" w:history="1">
        <w:r w:rsidRPr="008E4081">
          <w:rPr>
            <w:rStyle w:val="Hyperlink"/>
            <w:rFonts w:ascii="Georgia" w:hAnsi="Georgia"/>
            <w:color w:val="1F1F1F"/>
            <w:highlight w:val="yellow"/>
          </w:rPr>
          <w:t>sustainable development</w:t>
        </w:r>
      </w:hyperlink>
      <w:r w:rsidRPr="008E4081">
        <w:rPr>
          <w:rFonts w:ascii="Georgia" w:hAnsi="Georgia"/>
          <w:color w:val="1F1F1F"/>
          <w:highlight w:val="yellow"/>
        </w:rPr>
        <w:t>, yet its specific role in fostering sustainable food systems remains underexplored.</w:t>
      </w:r>
      <w:r w:rsidRPr="008E4081">
        <w:rPr>
          <w:rFonts w:ascii="Arial" w:eastAsia="Times New Roman" w:hAnsi="Arial" w:cs="Arial"/>
          <w:kern w:val="0"/>
          <w:highlight w:val="yellow"/>
          <w:lang w:eastAsia="en-IN"/>
          <w14:ligatures w14:val="none"/>
        </w:rPr>
        <w:t xml:space="preserve"> </w:t>
      </w:r>
      <w:r w:rsidRPr="008E4081">
        <w:rPr>
          <w:rFonts w:ascii="Georgia" w:hAnsi="Georgia"/>
          <w:color w:val="1F1F1F"/>
          <w:highlight w:val="yellow"/>
        </w:rPr>
        <w:t>To achieve </w:t>
      </w:r>
      <w:hyperlink r:id="rId8" w:tooltip="Learn more about sustainability from ScienceDirect's AI-generated Topic Pages" w:history="1">
        <w:r w:rsidRPr="008E4081">
          <w:rPr>
            <w:rStyle w:val="Hyperlink"/>
            <w:rFonts w:ascii="Georgia" w:hAnsi="Georgia"/>
            <w:color w:val="1F1F1F"/>
            <w:highlight w:val="yellow"/>
          </w:rPr>
          <w:t>sustainability</w:t>
        </w:r>
      </w:hyperlink>
      <w:r w:rsidRPr="008E4081">
        <w:rPr>
          <w:rFonts w:ascii="Georgia" w:hAnsi="Georgia"/>
          <w:color w:val="1F1F1F"/>
          <w:highlight w:val="yellow"/>
        </w:rPr>
        <w:t xml:space="preserve"> in the food sector, environmental efficiency, which refers to </w:t>
      </w:r>
      <w:r w:rsidRPr="008E4081">
        <w:rPr>
          <w:rFonts w:ascii="Georgia" w:hAnsi="Georgia"/>
          <w:color w:val="1F1F1F"/>
          <w:highlight w:val="yellow"/>
        </w:rPr>
        <w:lastRenderedPageBreak/>
        <w:t>maximizing output and benefits received by societies while minimizing environmental negative impacts, is needed. However, this efficiency varies across countries due to institutional factors such as economic policy uncertainty, institutional quality and political orientations (</w:t>
      </w:r>
      <w:r w:rsidRPr="008E4081">
        <w:rPr>
          <w:rFonts w:ascii="Arial" w:hAnsi="Arial" w:cs="Arial"/>
          <w:color w:val="222222"/>
          <w:sz w:val="20"/>
          <w:szCs w:val="20"/>
          <w:highlight w:val="yellow"/>
          <w:shd w:val="clear" w:color="auto" w:fill="FFFFFF"/>
        </w:rPr>
        <w:t>Nguyen et al., 2025</w:t>
      </w:r>
      <w:r w:rsidRPr="008E4081">
        <w:rPr>
          <w:rFonts w:ascii="Georgia" w:hAnsi="Georgia"/>
          <w:color w:val="1F1F1F"/>
          <w:highlight w:val="yellow"/>
        </w:rPr>
        <w:t>).</w:t>
      </w:r>
      <w:r w:rsidRPr="004D3A3A">
        <w:rPr>
          <w:rFonts w:ascii="Arial" w:eastAsia="Times New Roman" w:hAnsi="Arial" w:cs="Arial"/>
          <w:kern w:val="0"/>
          <w:lang w:eastAsia="en-IN"/>
          <w14:ligatures w14:val="none"/>
        </w:rPr>
        <w:t xml:space="preserve"> </w:t>
      </w:r>
      <w:proofErr w:type="gramStart"/>
      <w:r w:rsidR="00B52C09" w:rsidRPr="004D3A3A">
        <w:rPr>
          <w:rFonts w:ascii="Arial" w:eastAsia="Times New Roman" w:hAnsi="Arial" w:cs="Arial"/>
          <w:kern w:val="0"/>
          <w:lang w:eastAsia="en-IN"/>
          <w14:ligatures w14:val="none"/>
        </w:rPr>
        <w:t>The</w:t>
      </w:r>
      <w:proofErr w:type="gramEnd"/>
      <w:r w:rsidR="00B52C09" w:rsidRPr="004D3A3A">
        <w:rPr>
          <w:rFonts w:ascii="Arial" w:eastAsia="Times New Roman" w:hAnsi="Arial" w:cs="Arial"/>
          <w:kern w:val="0"/>
          <w:lang w:eastAsia="en-IN"/>
          <w14:ligatures w14:val="none"/>
        </w:rPr>
        <w:t xml:space="preserve"> circular </w:t>
      </w:r>
      <w:proofErr w:type="spellStart"/>
      <w:r w:rsidR="00B52C09" w:rsidRPr="004D3A3A">
        <w:rPr>
          <w:rFonts w:ascii="Arial" w:eastAsia="Times New Roman" w:hAnsi="Arial" w:cs="Arial"/>
          <w:kern w:val="0"/>
          <w:lang w:eastAsia="en-IN"/>
          <w14:ligatures w14:val="none"/>
        </w:rPr>
        <w:t>bioeconomy</w:t>
      </w:r>
      <w:proofErr w:type="spellEnd"/>
      <w:r w:rsidR="00B52C09" w:rsidRPr="004D3A3A">
        <w:rPr>
          <w:rFonts w:ascii="Arial" w:eastAsia="Times New Roman" w:hAnsi="Arial" w:cs="Arial"/>
          <w:kern w:val="0"/>
          <w:lang w:eastAsia="en-IN"/>
          <w14:ligatures w14:val="none"/>
        </w:rPr>
        <w:t xml:space="preserve"> positions biological resources and by-products as inputs to regenerative loops that minimize virgin resource use, waste, and emissions across production systems. In agriculture, this framing reclassifies crop residues, manures, and processing by-products as climate-relevant assets that can substitute fossil-intensive inputs, restore soil function, and cut greenhouse-gas (GHG) emissions when managed with appropriate technologies and measurement, reporting, and verification (MRV). Conceptually, it builds on the circular economy paradigm—closing material and energy loops to reduce throughput—while extending it to biogenic carbon cycles and land-based sinks (</w:t>
      </w:r>
      <w:proofErr w:type="spellStart"/>
      <w:r w:rsidR="00B52C09" w:rsidRPr="004D3A3A">
        <w:rPr>
          <w:rFonts w:ascii="Arial" w:eastAsia="Times New Roman" w:hAnsi="Arial" w:cs="Arial"/>
          <w:kern w:val="0"/>
          <w:lang w:eastAsia="en-IN"/>
          <w14:ligatures w14:val="none"/>
        </w:rPr>
        <w:t>Geissdoerfer</w:t>
      </w:r>
      <w:proofErr w:type="spellEnd"/>
      <w:r w:rsidR="00B52C09" w:rsidRPr="004D3A3A">
        <w:rPr>
          <w:rFonts w:ascii="Arial" w:eastAsia="Times New Roman" w:hAnsi="Arial" w:cs="Arial"/>
          <w:kern w:val="0"/>
          <w:lang w:eastAsia="en-IN"/>
          <w14:ligatures w14:val="none"/>
        </w:rPr>
        <w:t xml:space="preserve"> et al., 2017; Kirchherr et al., 2017). Recent perspectives argue that agriculture’s circular bioeconomy will scale where policy and markets reward verified environmental outcomes alongside resource efficiency and farm profitability (Khanna et al., 2024). </w:t>
      </w:r>
      <w:r w:rsidR="00507EEF">
        <w:rPr>
          <w:rFonts w:ascii="Arial" w:eastAsia="Times New Roman" w:hAnsi="Arial" w:cs="Arial"/>
          <w:kern w:val="0"/>
          <w:lang w:eastAsia="en-IN"/>
          <w14:ligatures w14:val="none"/>
        </w:rPr>
        <w:t xml:space="preserve"> </w:t>
      </w:r>
      <w:r w:rsidR="00507EEF" w:rsidRPr="008E4081">
        <w:rPr>
          <w:rFonts w:ascii="Segoe UI" w:hAnsi="Segoe UI" w:cs="Segoe UI"/>
          <w:color w:val="222222"/>
          <w:szCs w:val="27"/>
          <w:highlight w:val="yellow"/>
          <w:shd w:val="clear" w:color="auto" w:fill="FFFFFF"/>
        </w:rPr>
        <w:t xml:space="preserve">Definitions of a circular </w:t>
      </w:r>
      <w:proofErr w:type="spellStart"/>
      <w:r w:rsidR="00507EEF" w:rsidRPr="008E4081">
        <w:rPr>
          <w:rFonts w:ascii="Segoe UI" w:hAnsi="Segoe UI" w:cs="Segoe UI"/>
          <w:color w:val="222222"/>
          <w:szCs w:val="27"/>
          <w:highlight w:val="yellow"/>
          <w:shd w:val="clear" w:color="auto" w:fill="FFFFFF"/>
        </w:rPr>
        <w:t>bioeconomy</w:t>
      </w:r>
      <w:proofErr w:type="spellEnd"/>
      <w:r w:rsidR="00507EEF" w:rsidRPr="008E4081">
        <w:rPr>
          <w:rFonts w:ascii="Segoe UI" w:hAnsi="Segoe UI" w:cs="Segoe UI"/>
          <w:color w:val="222222"/>
          <w:szCs w:val="27"/>
          <w:highlight w:val="yellow"/>
          <w:shd w:val="clear" w:color="auto" w:fill="FFFFFF"/>
        </w:rPr>
        <w:t xml:space="preserve"> vary across studies but have a common emphasis on reducing the use of virgin materials, recycling and reusing materials, restoring, and regenerating natural systems, and converting the unavoidable wastes and other biological resources into bioenergy or bioproducts to substitute for fossil fuels. A key complexity in charting a path to a circular </w:t>
      </w:r>
      <w:proofErr w:type="spellStart"/>
      <w:r w:rsidR="00507EEF" w:rsidRPr="008E4081">
        <w:rPr>
          <w:rFonts w:ascii="Segoe UI" w:hAnsi="Segoe UI" w:cs="Segoe UI"/>
          <w:color w:val="222222"/>
          <w:szCs w:val="27"/>
          <w:highlight w:val="yellow"/>
          <w:shd w:val="clear" w:color="auto" w:fill="FFFFFF"/>
        </w:rPr>
        <w:t>bioeconomy</w:t>
      </w:r>
      <w:proofErr w:type="spellEnd"/>
      <w:r w:rsidR="00507EEF" w:rsidRPr="008E4081">
        <w:rPr>
          <w:rFonts w:ascii="Segoe UI" w:hAnsi="Segoe UI" w:cs="Segoe UI"/>
          <w:color w:val="222222"/>
          <w:szCs w:val="27"/>
          <w:highlight w:val="yellow"/>
          <w:shd w:val="clear" w:color="auto" w:fill="FFFFFF"/>
        </w:rPr>
        <w:t xml:space="preserve"> is selecting the mix of technologies and the desired extent of circularity to be achieved with this transition; this will affect the costs of achieving a circular </w:t>
      </w:r>
      <w:proofErr w:type="spellStart"/>
      <w:r w:rsidR="00507EEF" w:rsidRPr="008E4081">
        <w:rPr>
          <w:rFonts w:ascii="Segoe UI" w:hAnsi="Segoe UI" w:cs="Segoe UI"/>
          <w:color w:val="222222"/>
          <w:szCs w:val="27"/>
          <w:highlight w:val="yellow"/>
          <w:shd w:val="clear" w:color="auto" w:fill="FFFFFF"/>
        </w:rPr>
        <w:t>bioeconomy</w:t>
      </w:r>
      <w:proofErr w:type="spellEnd"/>
      <w:r w:rsidR="00507EEF" w:rsidRPr="008E4081">
        <w:rPr>
          <w:rFonts w:ascii="Segoe UI" w:hAnsi="Segoe UI" w:cs="Segoe UI"/>
          <w:color w:val="222222"/>
          <w:szCs w:val="27"/>
          <w:highlight w:val="yellow"/>
          <w:shd w:val="clear" w:color="auto" w:fill="FFFFFF"/>
        </w:rPr>
        <w:t xml:space="preserve"> and other societal outcomes. The availability of technologies is necessary–but not sufficient–to guarantee a transition to a circular </w:t>
      </w:r>
      <w:proofErr w:type="spellStart"/>
      <w:r w:rsidR="00507EEF" w:rsidRPr="008E4081">
        <w:rPr>
          <w:rFonts w:ascii="Segoe UI" w:hAnsi="Segoe UI" w:cs="Segoe UI"/>
          <w:color w:val="222222"/>
          <w:szCs w:val="27"/>
          <w:highlight w:val="yellow"/>
          <w:shd w:val="clear" w:color="auto" w:fill="FFFFFF"/>
        </w:rPr>
        <w:t>bioeconomy</w:t>
      </w:r>
      <w:proofErr w:type="spellEnd"/>
      <w:r w:rsidR="00507EEF" w:rsidRPr="008E4081">
        <w:rPr>
          <w:rFonts w:ascii="Segoe UI" w:hAnsi="Segoe UI" w:cs="Segoe UI"/>
          <w:color w:val="222222"/>
          <w:szCs w:val="27"/>
          <w:highlight w:val="yellow"/>
          <w:shd w:val="clear" w:color="auto" w:fill="FFFFFF"/>
        </w:rPr>
        <w:t xml:space="preserve">. Consumers and businesses throughout the </w:t>
      </w:r>
      <w:proofErr w:type="spellStart"/>
      <w:r w:rsidR="00507EEF" w:rsidRPr="008E4081">
        <w:rPr>
          <w:rFonts w:ascii="Segoe UI" w:hAnsi="Segoe UI" w:cs="Segoe UI"/>
          <w:color w:val="222222"/>
          <w:szCs w:val="27"/>
          <w:highlight w:val="yellow"/>
          <w:shd w:val="clear" w:color="auto" w:fill="FFFFFF"/>
        </w:rPr>
        <w:t>agrifood</w:t>
      </w:r>
      <w:proofErr w:type="spellEnd"/>
      <w:r w:rsidR="00507EEF" w:rsidRPr="008E4081">
        <w:rPr>
          <w:rFonts w:ascii="Segoe UI" w:hAnsi="Segoe UI" w:cs="Segoe UI"/>
          <w:color w:val="222222"/>
          <w:szCs w:val="27"/>
          <w:highlight w:val="yellow"/>
          <w:shd w:val="clear" w:color="auto" w:fill="FFFFFF"/>
        </w:rPr>
        <w:t xml:space="preserve"> supply chain make decentralized decisions guided by their private objectives. Even technologies with high readiness for deployment are often not adopted for economic, </w:t>
      </w:r>
      <w:proofErr w:type="spellStart"/>
      <w:r w:rsidR="00507EEF" w:rsidRPr="008E4081">
        <w:rPr>
          <w:rFonts w:ascii="Segoe UI" w:hAnsi="Segoe UI" w:cs="Segoe UI"/>
          <w:color w:val="222222"/>
          <w:szCs w:val="27"/>
          <w:highlight w:val="yellow"/>
          <w:shd w:val="clear" w:color="auto" w:fill="FFFFFF"/>
        </w:rPr>
        <w:t>behavioral</w:t>
      </w:r>
      <w:proofErr w:type="spellEnd"/>
      <w:r w:rsidR="00507EEF" w:rsidRPr="008E4081">
        <w:rPr>
          <w:rFonts w:ascii="Segoe UI" w:hAnsi="Segoe UI" w:cs="Segoe UI"/>
          <w:color w:val="222222"/>
          <w:szCs w:val="27"/>
          <w:highlight w:val="yellow"/>
          <w:shd w:val="clear" w:color="auto" w:fill="FFFFFF"/>
        </w:rPr>
        <w:t>, and social reasons</w:t>
      </w:r>
      <w:r w:rsidR="00507EEF">
        <w:rPr>
          <w:rFonts w:ascii="Segoe UI" w:hAnsi="Segoe UI" w:cs="Segoe UI"/>
          <w:color w:val="222222"/>
          <w:szCs w:val="27"/>
          <w:highlight w:val="yellow"/>
          <w:shd w:val="clear" w:color="auto" w:fill="FFFFFF"/>
        </w:rPr>
        <w:t xml:space="preserve"> (</w:t>
      </w:r>
      <w:r w:rsidR="00507EEF" w:rsidRPr="005B3747">
        <w:rPr>
          <w:rFonts w:ascii="Arial" w:hAnsi="Arial" w:cs="Arial"/>
          <w:color w:val="222222"/>
          <w:sz w:val="20"/>
          <w:szCs w:val="20"/>
          <w:highlight w:val="yellow"/>
          <w:shd w:val="clear" w:color="auto" w:fill="FFFFFF"/>
        </w:rPr>
        <w:t>Tan</w:t>
      </w:r>
      <w:r w:rsidR="00507EEF">
        <w:rPr>
          <w:rFonts w:ascii="Arial" w:hAnsi="Arial" w:cs="Arial"/>
          <w:color w:val="222222"/>
          <w:sz w:val="20"/>
          <w:szCs w:val="20"/>
          <w:highlight w:val="yellow"/>
          <w:shd w:val="clear" w:color="auto" w:fill="FFFFFF"/>
        </w:rPr>
        <w:t xml:space="preserve"> </w:t>
      </w:r>
      <w:r w:rsidR="00507EEF" w:rsidRPr="005B3747">
        <w:rPr>
          <w:rFonts w:ascii="Arial" w:hAnsi="Arial" w:cs="Arial"/>
          <w:color w:val="222222"/>
          <w:sz w:val="20"/>
          <w:szCs w:val="20"/>
          <w:highlight w:val="yellow"/>
          <w:shd w:val="clear" w:color="auto" w:fill="FFFFFF"/>
        </w:rPr>
        <w:t xml:space="preserve">&amp; </w:t>
      </w:r>
      <w:proofErr w:type="spellStart"/>
      <w:r w:rsidR="00507EEF" w:rsidRPr="005B3747">
        <w:rPr>
          <w:rFonts w:ascii="Arial" w:hAnsi="Arial" w:cs="Arial"/>
          <w:color w:val="222222"/>
          <w:sz w:val="20"/>
          <w:szCs w:val="20"/>
          <w:highlight w:val="yellow"/>
          <w:shd w:val="clear" w:color="auto" w:fill="FFFFFF"/>
        </w:rPr>
        <w:t>Lamers</w:t>
      </w:r>
      <w:proofErr w:type="spellEnd"/>
      <w:r w:rsidR="00507EEF">
        <w:rPr>
          <w:rFonts w:ascii="Arial" w:hAnsi="Arial" w:cs="Arial"/>
          <w:color w:val="222222"/>
          <w:sz w:val="20"/>
          <w:szCs w:val="20"/>
          <w:highlight w:val="yellow"/>
          <w:shd w:val="clear" w:color="auto" w:fill="FFFFFF"/>
        </w:rPr>
        <w:t>, 2021</w:t>
      </w:r>
      <w:r w:rsidR="003A40E8">
        <w:rPr>
          <w:rFonts w:ascii="Arial" w:hAnsi="Arial" w:cs="Arial"/>
          <w:color w:val="222222"/>
          <w:sz w:val="20"/>
          <w:szCs w:val="20"/>
          <w:highlight w:val="yellow"/>
          <w:shd w:val="clear" w:color="auto" w:fill="FFFFFF"/>
        </w:rPr>
        <w:t xml:space="preserve">; </w:t>
      </w:r>
      <w:proofErr w:type="spellStart"/>
      <w:r w:rsidR="003A40E8" w:rsidRPr="008E4081">
        <w:rPr>
          <w:rFonts w:ascii="Arial" w:eastAsia="Times New Roman" w:hAnsi="Arial" w:cs="Arial"/>
          <w:color w:val="333333"/>
          <w:kern w:val="0"/>
          <w:szCs w:val="27"/>
          <w:highlight w:val="yellow"/>
          <w:lang w:val="en-US"/>
          <w14:ligatures w14:val="none"/>
        </w:rPr>
        <w:t>Stoyanov</w:t>
      </w:r>
      <w:proofErr w:type="spellEnd"/>
      <w:r w:rsidR="003A40E8" w:rsidRPr="008E4081">
        <w:rPr>
          <w:rFonts w:ascii="Arial" w:eastAsia="Times New Roman" w:hAnsi="Arial" w:cs="Arial"/>
          <w:color w:val="333333"/>
          <w:kern w:val="0"/>
          <w:szCs w:val="27"/>
          <w:highlight w:val="yellow"/>
          <w:lang w:val="en-US"/>
          <w14:ligatures w14:val="none"/>
        </w:rPr>
        <w:t>, 2023</w:t>
      </w:r>
      <w:r w:rsidR="00507EEF" w:rsidRPr="003A40E8">
        <w:rPr>
          <w:rFonts w:ascii="Segoe UI" w:hAnsi="Segoe UI" w:cs="Segoe UI"/>
          <w:color w:val="222222"/>
          <w:szCs w:val="27"/>
          <w:highlight w:val="yellow"/>
          <w:shd w:val="clear" w:color="auto" w:fill="FFFFFF"/>
        </w:rPr>
        <w:t>)</w:t>
      </w:r>
      <w:r w:rsidR="00507EEF" w:rsidRPr="008E4081">
        <w:rPr>
          <w:rFonts w:ascii="Segoe UI" w:hAnsi="Segoe UI" w:cs="Segoe UI"/>
          <w:color w:val="222222"/>
          <w:szCs w:val="27"/>
          <w:highlight w:val="yellow"/>
          <w:shd w:val="clear" w:color="auto" w:fill="FFFFFF"/>
        </w:rPr>
        <w:t>.</w:t>
      </w:r>
      <w:r w:rsidR="00507EEF" w:rsidRPr="008E4081">
        <w:rPr>
          <w:rFonts w:ascii="Segoe UI" w:hAnsi="Segoe UI" w:cs="Segoe UI"/>
          <w:color w:val="222222"/>
          <w:szCs w:val="27"/>
          <w:shd w:val="clear" w:color="auto" w:fill="FFFFFF"/>
        </w:rPr>
        <w:t> </w:t>
      </w:r>
    </w:p>
    <w:p w14:paraId="6CC5953D" w14:textId="38F94A32" w:rsidR="00B52C09" w:rsidRPr="004D3A3A" w:rsidRDefault="00B52C09" w:rsidP="008E4081">
      <w:pPr>
        <w:tabs>
          <w:tab w:val="left" w:pos="6111"/>
        </w:tabs>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1.2. Climate problem and mitigation levers in farming</w:t>
      </w:r>
      <w:r w:rsidR="00D40580">
        <w:rPr>
          <w:rFonts w:ascii="Arial" w:eastAsia="Times New Roman" w:hAnsi="Arial" w:cs="Arial"/>
          <w:b/>
          <w:bCs/>
          <w:kern w:val="0"/>
          <w:lang w:eastAsia="en-IN"/>
          <w14:ligatures w14:val="none"/>
        </w:rPr>
        <w:tab/>
      </w:r>
    </w:p>
    <w:p w14:paraId="72FB461C" w14:textId="6B0CBFBC"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Agriculture’s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gases—methane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nitrous oxide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O)—arise from microbial pathways sensitive to oxygen status, substrate supply, and nitrogen (N) management, making residue and organic-matter handling pivotal to mitigation. Three intervention pillars dominate recent evidence. First, diverting residues from open burning and unmanaged anaerobic decay toward controlled aerobic composting reduces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when aeration, moisture, and carbon-to-nitrogen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ratios are well managed (Nordahl et al., 2023). Second, re-routing wet organic streams through anaerobic digestion (AD) captures biogas while returning nutrients via digestate; climate outcomes depend on tight containment to avoid fugitive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agronomic placement of digestate to limit N losses (Launay et al., 2022). Third, in rice and other flooded systems, integrating residue strategies with water management (for example, non-continuous flooding) is decisive for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control (Qian et al., 2023). Complementing these, biochar—produced by pyrolysis of biomass—offers a durable carbon sink that can also modulate soil conditions affecting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nitrate (NO</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leaching (Lehmann et al., 2021; Borchard et al., 2019). </w:t>
      </w:r>
    </w:p>
    <w:p w14:paraId="2CBD913D"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1.3. Why a critical review now</w:t>
      </w:r>
    </w:p>
    <w:p w14:paraId="7F79AEBE" w14:textId="63248263"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Deployment activity is accelerating: new syntheses quantify biochar’s carbon-removal potential and abatement costs at national scales; meta-analyses refine our understanding of how composts, digestates, and biochar affect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and MRV methods are increasingly codified for inventories and carbon programs. For example, a spatially explicit assessment in China estimates a very large negative-emissions potential for biochar under sustainable feedstock supply and realistic logistics, highlighting both opportunity and the </w:t>
      </w:r>
      <w:r w:rsidRPr="004D3A3A">
        <w:rPr>
          <w:rFonts w:ascii="Arial" w:eastAsia="Times New Roman" w:hAnsi="Arial" w:cs="Arial"/>
          <w:kern w:val="0"/>
          <w:lang w:eastAsia="en-IN"/>
          <w14:ligatures w14:val="none"/>
        </w:rPr>
        <w:lastRenderedPageBreak/>
        <w:t>need for integrity safeguards (Deng et al., 2024). At the same time, systematic reviews of composting document strong process-control leverage on emissions (Nordahl et al., 2023), while residue-focused meta-analyses clarify when and how residue incorporation elevates or mitigates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O—and which management choices reverse that effect (Abalos et al., 2022). A global dataset now aggregates 891 biochar experiments across soils and climates, enabling context-specific inferences about yields, soil properties, and GHG responses (Li et al., 2024). Finally, a recent synthesis ranks organic-matter strategies for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mitigation, underscoring the strong role of material quality (e.g., high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and the context dependence of outcomes (Valkama et al., 2024). Together, these advances warrant a critical, integrative appraisal that bridges agronomy, carbon accounting, and policy design. </w:t>
      </w:r>
    </w:p>
    <w:p w14:paraId="7A31AA34"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1.4. Scope, boundaries, and definitions used in this article</w:t>
      </w:r>
    </w:p>
    <w:p w14:paraId="5E5B7E68" w14:textId="0AAAE9CF"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This review focuses on three high-leverage pathways within farm and near-farm boundaries: (i) residue recycling—composting, AD with digestate utilization, and agronomic in-field retention that explicitly displaces open burning; (ii) biochar systems—from feedstock sourcing and pyrolysis to field application and durability; and (iii) climate-oriented management of organic amendments—composts, manures, and digestates—optimized for yield and emission intensity. We adopt life-cycle boundaries that (a) credit durable carbon storage (e.g., biochar’s long residence time relative to uncharred biomass), (b) include process energy and transport, (c) account for avoided emissions (e.g., displaced open burning, reduced mineral fertilizer manufacture, captured manure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(d) recognize energy co-products (biogas; pyrolysis heat/power). We emphasize integrity conditions—additionality, leakage, double counting, and permanence—because these determine whether mitigation is real and financeable. For biochar accounting, we reference the empirically grounded Greenhouse Gas Inventory model and the associated scientific synthesis that link mitigation claims to measurable material properties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application contexts (Woolf et al., 2021; Lehmann et al., 2021). </w:t>
      </w:r>
    </w:p>
    <w:p w14:paraId="770D3CCF"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1.5. Objectives and contributions</w:t>
      </w:r>
    </w:p>
    <w:p w14:paraId="51E2DA04" w14:textId="4C4BF2A2" w:rsidR="00B52C09"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The objective of this article is threefold. First, we synthesize peer-reviewed evidence from the past decade on the mitigation performance of residue recycling, biochar, and organic-amendment strategies, with attention to agronomic co-benefits and trade-offs. Second, we critically evaluate life-cycle and MRV considerations that determine environmental integrity and credibility, clarifying how boundaries and baselines shape results. Third, we translate the science into decision-relevant guidance—identifying contexts where each pathway performs best, highlighting enabling policies and infrastructure, and outlining a near-term research agenda to close priority evidence gaps. Throughout, we avoid mathematical formalism and instead emphasize operational levers and verifiable indicators that practitioners, programs, and policymakers can adopt. The intended contribution is a consolidated, practice-aware evidence base that helps align farm management, carbon accounting, and policy in pursuit of a high-integrity circular bioeconomy in farming (Khanna et al., 2024; Qian et al., 2023; Nordahl et al., 2023; Abalos et al., 2022; Li et al., 2024; Valkama et al., 2024; Woolf et al., 2021; Lehmann et al., 2021).</w:t>
      </w:r>
    </w:p>
    <w:p w14:paraId="61472E63" w14:textId="77777777" w:rsidR="00F66588" w:rsidRPr="00F66588" w:rsidRDefault="00F66588" w:rsidP="00D56865">
      <w:pPr>
        <w:spacing w:before="100" w:beforeAutospacing="1" w:after="100" w:afterAutospacing="1" w:line="240" w:lineRule="auto"/>
        <w:jc w:val="both"/>
        <w:rPr>
          <w:rFonts w:ascii="Arial" w:eastAsia="Times New Roman" w:hAnsi="Arial" w:cs="Arial"/>
          <w:b/>
          <w:bCs/>
          <w:kern w:val="0"/>
          <w:lang w:eastAsia="en-IN"/>
          <w14:ligatures w14:val="none"/>
        </w:rPr>
      </w:pPr>
      <w:r w:rsidRPr="00F66588">
        <w:rPr>
          <w:rFonts w:ascii="Arial" w:eastAsia="Times New Roman" w:hAnsi="Arial" w:cs="Arial"/>
          <w:b/>
          <w:bCs/>
          <w:kern w:val="0"/>
          <w:lang w:eastAsia="en-IN"/>
          <w14:ligatures w14:val="none"/>
        </w:rPr>
        <w:t>1.6. Methods for literature selection</w:t>
      </w:r>
    </w:p>
    <w:p w14:paraId="43F451A9" w14:textId="523548AD" w:rsidR="00F66588" w:rsidRPr="004D3A3A" w:rsidRDefault="00F66588" w:rsidP="00D56865">
      <w:pPr>
        <w:spacing w:before="100" w:beforeAutospacing="1" w:after="100" w:afterAutospacing="1" w:line="240" w:lineRule="auto"/>
        <w:jc w:val="both"/>
        <w:rPr>
          <w:rFonts w:ascii="Arial" w:eastAsia="Times New Roman" w:hAnsi="Arial" w:cs="Arial"/>
          <w:kern w:val="0"/>
          <w:lang w:eastAsia="en-IN"/>
          <w14:ligatures w14:val="none"/>
        </w:rPr>
      </w:pPr>
      <w:r w:rsidRPr="00F66588">
        <w:rPr>
          <w:rFonts w:ascii="Arial" w:eastAsia="Times New Roman" w:hAnsi="Arial" w:cs="Arial"/>
          <w:kern w:val="0"/>
          <w:lang w:eastAsia="en-IN"/>
          <w14:ligatures w14:val="none"/>
        </w:rPr>
        <w:t xml:space="preserve">This article is a critical narrative review based primarily on peer-reviewed journal literature. We identified studies through structured searches in Web of Science, Scopus and Google Scholar between 2010 and mid-2024, supplemented by targeted snowballing from reference lists of key syntheses. Search strings combined terms for the three focal pathways (“compost*”, “aerobic composting”, “anaerobic digestion”, “digestate”, “crop residue*”, “straw return”, “biochar”) with terms describing climate and soil outcomes (“greenhouse gas*”, </w:t>
      </w:r>
      <w:r w:rsidRPr="00F66588">
        <w:rPr>
          <w:rFonts w:ascii="Arial" w:eastAsia="Times New Roman" w:hAnsi="Arial" w:cs="Arial"/>
          <w:kern w:val="0"/>
          <w:lang w:eastAsia="en-IN"/>
          <w14:ligatures w14:val="none"/>
        </w:rPr>
        <w:lastRenderedPageBreak/>
        <w:t>“methane”, “nitrous oxide”, “soil organic carbon”, “life cycle assessment”, “MRV”, “carbon credit*”, “carbon market*”) and farming systems (“</w:t>
      </w:r>
      <w:proofErr w:type="spellStart"/>
      <w:r w:rsidRPr="00F66588">
        <w:rPr>
          <w:rFonts w:ascii="Arial" w:eastAsia="Times New Roman" w:hAnsi="Arial" w:cs="Arial"/>
          <w:kern w:val="0"/>
          <w:lang w:eastAsia="en-IN"/>
          <w14:ligatures w14:val="none"/>
        </w:rPr>
        <w:t>agricultur</w:t>
      </w:r>
      <w:proofErr w:type="spellEnd"/>
      <w:r w:rsidRPr="00F66588">
        <w:rPr>
          <w:rFonts w:ascii="Arial" w:eastAsia="Times New Roman" w:hAnsi="Arial" w:cs="Arial"/>
          <w:kern w:val="0"/>
          <w:lang w:eastAsia="en-IN"/>
          <w14:ligatures w14:val="none"/>
        </w:rPr>
        <w:t>*”, “cropland”, “rice”, “smallholder”). Search queries were adapted for each database to capture both empirical and synthesis work. We prioritised meta-analyses, systematic reviews, large datasets and life-cycle assessments, alongside field-scale and longer-term experiments that reported quantitative outcomes for greenhouse-gas fluxes, soil organic carbon, yields, or air-quality co-benefits. Engineering and laboratory studies were included where they clarified process-level controls (e.g., composting dynamics, pyrolysis conditions, leak detection and repair) or informed measurement, reporting and verification (MRV) design; conference abstracts, non-peer-reviewed reports and purely conceptual pieces were generally excluded. The primary focus was agriculture and near-farm systems; studies from forestry or municipal waste management were retained only when their methods or findings were clearly transferable to farm-level circular bioeconomy interventions. The review is restricted to English-language publications. Where evidence is geographically or system-wise uneven, we explicitly acknowledge those gaps in later sections and avoid generalising beyond the contexts represented in the underlying studies.</w:t>
      </w:r>
    </w:p>
    <w:p w14:paraId="7B28056B" w14:textId="77777777" w:rsidR="0011082E" w:rsidRPr="004D3A3A" w:rsidRDefault="0011082E" w:rsidP="00D56865">
      <w:pPr>
        <w:spacing w:before="100" w:beforeAutospacing="1" w:after="100" w:afterAutospacing="1" w:line="240" w:lineRule="auto"/>
        <w:jc w:val="both"/>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2. Circular bioeconomy pathways and system boundaries</w:t>
      </w:r>
    </w:p>
    <w:p w14:paraId="4B0BEB45"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2.1. Purpose and scope of this section</w:t>
      </w:r>
    </w:p>
    <w:p w14:paraId="234D8A10" w14:textId="59D85582"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This section defines the three mitigation-relevant pathways emphasized in this article—residue recycling, biochar systems, and climate-oriented organic amendments—and specifies the system boundaries, baselines, and accounting choices needed to compare them on a common, decision-relevant footing. It complements the Introduction by translating the circular bioeconomy concept into operational categories, clarifying what flows to include (emissions, energy, materials), how to credit co-products and avoided impacts, and which durability and additionality conditions determine whether claimed climate benefits are robust and financeable (Khanna et al., 2024; Woolf et al., 2021; Lehmann et al., 2021). </w:t>
      </w:r>
    </w:p>
    <w:p w14:paraId="70B6530A"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2.2. Pathways and core processes</w:t>
      </w:r>
    </w:p>
    <w:p w14:paraId="1D9C8E90" w14:textId="5B55359D"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Residue recycling, as used here, covers aerobic composting, anaerobic digestion (AD) with controlled storage and field use of digestate, and in-field retention that explicitly displaces open burning or unmanaged decay. Composting’s climate profile is governed by aeration, moisture, porosity, and carbon-to-nitrogen management, which together shape methane, nitrous oxide, and ammonia fluxes (Nordahl et al., 2023). AD captures biogas from wet organic streams but requires tight containment to avoid fugitive methane and agronomic timing/placement of digestate to minimize downstream gaseous losses (Launay et al., 2022). In flooded systems such as rice, residue handling interacts strongly with water management, so mitigation assessments must treat them jointly (Qian et al., 2023). Biochar systems convert a portion of biomass carbon into aromatized structures with long residence times; their mitigation logic combines durable carbon storage with effects on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and possible energy co-products (Lehmann et al., 2021). </w:t>
      </w:r>
    </w:p>
    <w:p w14:paraId="1A15DB65"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2.3. Functional unit, reference system, and counterfactuals</w:t>
      </w:r>
    </w:p>
    <w:p w14:paraId="538E6431" w14:textId="6EF6BC9F"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Comparing pathways requires a clearly defined functional unit (e.g., “per tonne of dry residue managed” or “per hectare per season”) and an explicit reference system describing what would otherwise happen to the same biomass and nutrients. Classic biochar and residue life-cycle assessments show that results pivot on counterfactual fates—open burning, unmanaged anaerobic decay, combustion for energy, or landfilling—as well as on what products are displaced (heat, electricity, mineral fertilizers) (Roberts et al., 2010; Peters et al., 2015). For rice systems, where most emissions are methane, the baseline must </w:t>
      </w:r>
      <w:r w:rsidRPr="004D3A3A">
        <w:rPr>
          <w:rFonts w:ascii="Arial" w:eastAsia="Times New Roman" w:hAnsi="Arial" w:cs="Arial"/>
          <w:kern w:val="0"/>
          <w:lang w:eastAsia="en-IN"/>
          <w14:ligatures w14:val="none"/>
        </w:rPr>
        <w:lastRenderedPageBreak/>
        <w:t xml:space="preserve">represent prevailing flooding practices; otherwise, mitigation from residue or biochar interventions may be overstated if water management changes are assumed implicitly rather than credited transparently (Qian et al., 2023). </w:t>
      </w:r>
    </w:p>
    <w:p w14:paraId="18A695FA"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2.4. System boundaries and included flows</w:t>
      </w:r>
    </w:p>
    <w:p w14:paraId="49D45A0F" w14:textId="72515BE1"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Cradle-to-farm-gate system boundaries should include feedstock mobilization and transport; preprocessing and storage; conversion (composting or pyrolysis or digestion) with all process emissions; product conditioning, transport, and field application; and end-of-life</w:t>
      </w:r>
      <w:r w:rsidR="00D40580">
        <w:rPr>
          <w:rFonts w:ascii="Arial" w:eastAsia="Times New Roman" w:hAnsi="Arial" w:cs="Arial"/>
          <w:kern w:val="0"/>
          <w:lang w:eastAsia="en-IN"/>
          <w14:ligatures w14:val="none"/>
        </w:rPr>
        <w:t>,</w:t>
      </w:r>
      <w:r w:rsidRPr="004D3A3A">
        <w:rPr>
          <w:rFonts w:ascii="Arial" w:eastAsia="Times New Roman" w:hAnsi="Arial" w:cs="Arial"/>
          <w:kern w:val="0"/>
          <w:lang w:eastAsia="en-IN"/>
          <w14:ligatures w14:val="none"/>
        </w:rPr>
        <w:t xml:space="preserve"> where relevant. Accounting must cover direct greenhouse gases (CO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precursor emissions affecting air quality, energy and material inputs, and changes in soil carbon. For biochar, boundaries also include the durable carbon stored in soils or materials and the energy/heat co-products from pyrolysis; these elements are captured in current inventory models designed for national inventories and carbon programs (Woolf et al., 2021). Composting boundaries must capture how process control shifts methane and nitrous oxide, and whether any additives (e.g., structural bulking, biochar) lower losses during stabilization (Nordahl et al., 2023). </w:t>
      </w:r>
    </w:p>
    <w:p w14:paraId="728FBACD"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2.5. Co-products, substitution credits, and allocation choices</w:t>
      </w:r>
    </w:p>
    <w:p w14:paraId="0EFE4402" w14:textId="794DB0CA"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Circular bioeconomy interventions generate multiple functions: stabilized organic amendments that displace mineral fertilizers; renewable energy from biogas or pyrolysis; and durable carbon storage where biochar is produced and applied. Life-cycle studies have long shown that how one treats these co-products—system expansion via substitution credits versus allocation among outputs—can flip the sign and magnitude of net benefits (Roberts et al., 2010; Peters et al., 2015). Transparent reporting should therefore state which reference technologies are displaced (e.g., grid electricity mix, marginal fertilizer production) and use sensitivity analysis to bracket results. In practice, substitution methods are preferable when a clear market displacement exists, whereas allocation may be warranted when co-products serve diffuse or non-energy functions. </w:t>
      </w:r>
    </w:p>
    <w:p w14:paraId="4B83CC2E"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2.6. Baselines, additionality, leakage, and double counting</w:t>
      </w:r>
    </w:p>
    <w:p w14:paraId="1A3CD72E" w14:textId="34841D3C"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Integrity depends on conservative baselines that reflect locally prevalent practices and realistic adoption constraints. For residue management, meta-analysis indicates that simple incorporation can elevate nitrous oxide, but specific practices—co-application with high-</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materials, shallow incorporation, or pre-treatment via digestion or pyrolysis—can reverse this effect; such evidence should inform baseline and project scenarios (Abalos et al., 2022). Additionality requires demonstrating that interventions are not mandated nor common practice, while leakage assessments must consider displacement of residues to competing uses. Double counting can arise if the same avoided burning is credited both in waste and in agriculture or if energy displacement is claimed by multiple actors; explicit reference systems, as in recent inventory and LCA studies, help prevent this (Woolf et al., 2021; Roberts et al., 2010). </w:t>
      </w:r>
    </w:p>
    <w:p w14:paraId="2B17CAB7"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2.7. Permanence and durability of stored carbon</w:t>
      </w:r>
    </w:p>
    <w:p w14:paraId="4AC8A180" w14:textId="4B625758"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Biochar’s distinct contribution lies in its extended residence time relative to uncharred biomass. Synthesis across soils and climates shows that aromaticity and related material properties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underpin centennial-to-millennial persistence, justifying durable storage credits when biochar is placed in soils or materials; however, programs must guard against over-crediting by using conservative decay parameters and discounting where uncertainty is high (Lehmann et al., 2021). Inventory models provide parameterizations to </w:t>
      </w:r>
      <w:r w:rsidRPr="004D3A3A">
        <w:rPr>
          <w:rFonts w:ascii="Arial" w:eastAsia="Times New Roman" w:hAnsi="Arial" w:cs="Arial"/>
          <w:kern w:val="0"/>
          <w:lang w:eastAsia="en-IN"/>
          <w14:ligatures w14:val="none"/>
        </w:rPr>
        <w:lastRenderedPageBreak/>
        <w:t xml:space="preserve">translate measured or specified material properties into persistence estimates and to integrate them with supply-chain emissions (Woolf et al., 2021). </w:t>
      </w:r>
    </w:p>
    <w:p w14:paraId="0DE88F3C"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2.8. Data needs and MRV implications</w:t>
      </w:r>
    </w:p>
    <w:p w14:paraId="2DCB9B35" w14:textId="16BDAEED"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Operational MRV should prioritize a small set of high-leverage inputs that drive variance in results. For composting and AD, these include aeration/mixing regimes, moisture, temperature histories, storage times, and fugitive-methane controls; for biochar, fuel/energy use, reactor conditions, yields, and measured or specified quality parameters feed persistence and agronomic effect modules (Nordahl et al., 2023; Woolf et al., 2021). Where emissions emerge from strongly interactive systems—such as residue handling in flooded rice—MRV should link management records to water-table dynamics to avoid misattribution and to ensure that co-mitigation from irrigation changes is credited transparently (Qian et al., 2023). Emerging syntheses and datasets aggregating hundreds of biochar experiments provide priors to parameterize local guidance while uncertainty is narrowed by site-specific monitoring (Li et al., 2024). </w:t>
      </w:r>
    </w:p>
    <w:p w14:paraId="770E12BF" w14:textId="77777777" w:rsidR="00B52C09" w:rsidRPr="004D3A3A" w:rsidRDefault="00B52C09"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2.9. Implications for the rest of the article</w:t>
      </w:r>
    </w:p>
    <w:p w14:paraId="71F22910" w14:textId="77777777" w:rsidR="00B52C09" w:rsidRPr="004D3A3A" w:rsidRDefault="00B52C09"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By fixing pathway definitions, reference systems, and accounting rules, this section establishes the common frame used in the remainder of the review to compare mitigation leverage, co-benefits, and costs across residue recycling, biochar, and organic-amendment strategies. Subsequent sections therefore interpret effect sizes and policy options only within these explicit boundaries, with attention to additionality, leakage, and durability as central criteria for scientific validity and market credibility (Deng et al., 2024; Khanna et al., 2024). </w:t>
      </w:r>
    </w:p>
    <w:p w14:paraId="5AA011BB" w14:textId="77777777" w:rsidR="00FB52CE" w:rsidRPr="004D3A3A" w:rsidRDefault="00FB52CE" w:rsidP="00D56865">
      <w:pPr>
        <w:spacing w:before="100" w:beforeAutospacing="1" w:after="100" w:afterAutospacing="1" w:line="240" w:lineRule="auto"/>
        <w:jc w:val="both"/>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3. Residue recycling: composting, digestion, and in-field retention</w:t>
      </w:r>
    </w:p>
    <w:p w14:paraId="49D5208E"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This section evaluates three principal residue-recycling pathways—thermophilic composting, anaerobic digestion with land application of digestate, and in-field retention of crop residues—through the lens of climate mitigation, nutrient cycling, and agronomic co-benefits. Our objective is to synthesise recent evidence on greenhouse-gas (GHG) fluxes, air-quality externalities, nutrient conservation, and practical design levers that determine performance at field and farm scale. We emphasise management choices that consistently reduce methane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nitrous oxide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without compromising soil organic carbon (SOC) accrual or yields, and we flag operational trade-offs and measurement, reporting and verification (MRV) implications for program design (Nordahl et al., 2023; Abalos et al., 2022).</w:t>
      </w:r>
    </w:p>
    <w:p w14:paraId="104EB776"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3.1 Composting: design levers, emissions profiles and nutrient conservation</w:t>
      </w:r>
    </w:p>
    <w:p w14:paraId="36E0F579"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Composting stabilises heterogeneous organics into a humified, pathogen-safe amendment, but it is also an active source of GHGs and air pollutants if mismanaged. A recent critical review shows that the dominant climate forcing during composting depends on feedstock: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tends to dominate for yard wastes under anoxic </w:t>
      </w:r>
      <w:proofErr w:type="spellStart"/>
      <w:r w:rsidRPr="004D3A3A">
        <w:rPr>
          <w:rFonts w:ascii="Arial" w:eastAsia="Times New Roman" w:hAnsi="Arial" w:cs="Arial"/>
          <w:kern w:val="0"/>
          <w:lang w:eastAsia="en-IN"/>
          <w14:ligatures w14:val="none"/>
        </w:rPr>
        <w:t>microzones</w:t>
      </w:r>
      <w:proofErr w:type="spellEnd"/>
      <w:r w:rsidRPr="004D3A3A">
        <w:rPr>
          <w:rFonts w:ascii="Arial" w:eastAsia="Times New Roman" w:hAnsi="Arial" w:cs="Arial"/>
          <w:kern w:val="0"/>
          <w:lang w:eastAsia="en-IN"/>
          <w14:ligatures w14:val="none"/>
        </w:rPr>
        <w:t>, while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dominates for nitrogen-rich wastes such as manures and mixed municipal organics; ammonia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and volatile organics also matter for air quality (Nordahl et al., 2023). Management levers that repeatedly lower emissions include maintaining porosity and oxygen supply (e.g., adequate bulking and turning), optimising moisture (to avoid both desiccation and waterlogging), and using forced aeration judiciously—with the caveat that aggressive aeration can increase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if not paired with capture/acidification strategies (Nordahl et al., 2023).</w:t>
      </w:r>
    </w:p>
    <w:p w14:paraId="6F35E0FF"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Carbon-smart amendments can shift this balance. Co-composting with wood-derived biochar has emerged as a robust option to suppress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“hot spots,” adsorb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and improve pile aeration and thermal stability, delivering lower process-stage GHG intensity and higher </w:t>
      </w:r>
      <w:r w:rsidRPr="004D3A3A">
        <w:rPr>
          <w:rFonts w:ascii="Arial" w:eastAsia="Times New Roman" w:hAnsi="Arial" w:cs="Arial"/>
          <w:kern w:val="0"/>
          <w:lang w:eastAsia="en-IN"/>
          <w14:ligatures w14:val="none"/>
        </w:rPr>
        <w:lastRenderedPageBreak/>
        <w:t>nitrogen retention in the finished compost (Harrison et al., 2022; Gao et al., 2023). Field application of biochar co-compost, compared to compost alone, has been shown to reduce cumulative soil-stage 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-equivalent emissions per unit biomass produced, while improving water-holding capacity and plant growth, indicating climate benefits that persist beyond the windrow (Gao et al., 2023). These findings suggest two practical rules for climate-aligned composting: first, design the pile (C:N, porosity, moisture) to minimise anoxia; second, if feasible, co-compost a moderate fraction of high-surface-area biochar to both lower process emissions and produce an agronomically efficient amendment (Harrison et al., 2022; Gao et al., 2023; Nordahl et al., 2023).</w:t>
      </w:r>
    </w:p>
    <w:p w14:paraId="01057FC4"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From an MRV standpoint, reported emission factors span orders of magnitude because small differences in aeration, moisture, and feedstock reactivity cascade into large changes in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Programs therefore need to either enforce performance-based operating conditions (e.g., moisture windows, bulking targets, minimum oxygen levels) or adopt tiered factors that reflect site-specific controls such as biochar co-composting and covered/forced-aeration systems (Nordahl et al., 2023).</w:t>
      </w:r>
    </w:p>
    <w:p w14:paraId="4B032FAF"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3.2 Anaerobic digestion and land application of digestate</w:t>
      </w:r>
    </w:p>
    <w:p w14:paraId="5449303B"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Anaerobic digestion (AD) converts easily degradable carbon in residues and manures into biogas, displacing fossil energy while reducing the potential for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during storage and field application of raw manures. However, system-level benefits depend on controlling “non-intentional” methane—diffuse leaks (“methane slip”) from digesters, gas handling and storage—that can erode or even negate climate gains (Baldé et al., 2022). Tracer-release and open-path measurements at full-scale biogas facilities show that fugitive emissions vary widely across plants, underscoring the need for rigorous leak detection and repair (LDAR), covered storages, and tight gas utilisation chains as integral parts of climate-credible AD deployment (Baldé et al., 2022).</w:t>
      </w:r>
    </w:p>
    <w:p w14:paraId="16CC1CB4"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On the nutrient side, digestate is more mineral-N rich (especially ammonium) and thus more plant-available than the parent feedstock, but also more prone to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 if surface-applied under warm, alkaline conditions. Proven mitigation options include immediate incorporation/injection, use of acidified digestate, and application under cool, humid conditions. Full-scale acidification of pig slurry/digestate has demonstrated simultaneous reductions in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and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during storage and after spreading, translating into more nitrogen conserved for crops and lower climate impacts (Lemes et al., 2022). Systems reviews further conclude that AD—when combined with good storage and field practices—can deliver agronomic and environmental benefits with manageable risks related to contaminants, provided digestate quality is monitored and application is matched to crop demand (Ma et al., 2022).</w:t>
      </w:r>
    </w:p>
    <w:p w14:paraId="2F75F3FE"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Coupling AD with cover-crop biomass as a winter feedstock can strengthen circularity: energy cover crops introduce an additional C/N-rich stream without competing for food land and allow nutrients to be recycled back via digestate in the main season. Evidence indicates such systems can reduce nitrate leaching, enhance microbial activity, and maintain or increase SOC when digestate is managed to minimise gaseous losses (Launay et al., 2022). In short, AD offers high mitigation potential where: (i) fugitive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is tightly controlled, (ii) digestate is injected/incorporated promptly or acidified, and (iii) nutrient recycling is aligned with crop phenology (Baldé et al., 2022; Lemes et al., 2022; Ma et al., 2022; Launay et al., 2022).</w:t>
      </w:r>
    </w:p>
    <w:p w14:paraId="5B1E1F81"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3.3 In-field retention and incorporation of residues</w:t>
      </w:r>
    </w:p>
    <w:p w14:paraId="2DAB759A"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lastRenderedPageBreak/>
        <w:t>Returning residues to fields—through surface mulching or incorporation—remains the most direct circular practice for building SOC and improving soil physical resilience. A 2023 global synthesis reported mean SOC stock gains of ~3.7 Mg C ha</w:t>
      </w:r>
      <w:r w:rsidRPr="004D3A3A">
        <w:rPr>
          <w:rFonts w:ascii="Cambria Math" w:eastAsia="Times New Roman" w:hAnsi="Cambria Math" w:cs="Cambria Math"/>
          <w:kern w:val="0"/>
          <w:lang w:eastAsia="en-IN"/>
          <w14:ligatures w14:val="none"/>
        </w:rPr>
        <w:t>⁻</w:t>
      </w:r>
      <w:r w:rsidRPr="004D3A3A">
        <w:rPr>
          <w:rFonts w:ascii="Arial" w:eastAsia="Times New Roman" w:hAnsi="Arial" w:cs="Arial"/>
          <w:kern w:val="0"/>
          <w:lang w:eastAsia="en-IN"/>
          <w14:ligatures w14:val="none"/>
        </w:rPr>
        <w:t xml:space="preserve">¹ under straw return, with efficiency governed by straw-C input, duration, and management context; co-benefits are amplified under no-till and crop rotations (Li et al., 2023). At the same time, biochemical and microclimatic conditions following residue addition can stimulate </w:t>
      </w:r>
      <w:proofErr w:type="spellStart"/>
      <w:r w:rsidRPr="004D3A3A">
        <w:rPr>
          <w:rFonts w:ascii="Arial" w:eastAsia="Times New Roman" w:hAnsi="Arial" w:cs="Arial"/>
          <w:kern w:val="0"/>
          <w:lang w:eastAsia="en-IN"/>
          <w14:ligatures w14:val="none"/>
        </w:rPr>
        <w:t>nitrifier-denitrifier</w:t>
      </w:r>
      <w:proofErr w:type="spellEnd"/>
      <w:r w:rsidRPr="004D3A3A">
        <w:rPr>
          <w:rFonts w:ascii="Arial" w:eastAsia="Times New Roman" w:hAnsi="Arial" w:cs="Arial"/>
          <w:kern w:val="0"/>
          <w:lang w:eastAsia="en-IN"/>
          <w14:ligatures w14:val="none"/>
        </w:rPr>
        <w:t xml:space="preserve"> pathways, raising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emissions—on average by 40–50% versus residue removal across studies—especially for high-N, low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residues, fine particle sizes, and wetter soils (Abalos et al., 2022). These trade-offs do not imply abandoning residue retention; rather, they call for pairing residue strategies with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O-focused controls: retain surface structure and aeration (reduced tillage), avoid over-mineralisation of N by moderating residue size or mixing with high-C amendments (e.g., biochar or mature compost), time additional N inputs to crop uptake, and maintain soil water below prolonged saturation (Abalos et al., 2022).</w:t>
      </w:r>
    </w:p>
    <w:p w14:paraId="25CB5157"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Rice systems deserve specific attention because continuous flooding favours methanogenesis while residue management strongly modulates seasonal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pulses. A recent state-of-the-science review confirms that switching from continuous flooding to non-continuous schemes (e.g., safe alternate wetting and drying) and refraining from straw incorporation just before flooding can substantially reduce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without yield penalties when water control is sound; integrated packages that adjust water, residue, and nitrogen management outperform single levers (Qian et al., 2023). Where residue retention is pursued for SOC and soil health, managers can shift timing (remove or compost straw for return after peak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periods, or digest straw and return digestate with low readily fermentable C), thereby maintaining circularity while mitigating methane (Qian et al., 2023; Abalos et al., 2022).</w:t>
      </w:r>
    </w:p>
    <w:p w14:paraId="03FC3985"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Agronomically, residue return (mulch or incorporation) contributes to yield stability through improved moisture availability, nutrient cycling and aggregate stability, with new evidence showing positive effects on rice and other cereals when residue practices are tuned to local soils and seasons (Shen et al., 2024; Li et al., 2023). The climate-smart version of in-field retention is therefore a package: keep residues, but modulate particle size, combine with high-C stabilising amendments where feasible, synchronise mineral N and water with crop demand, and avoid saturated conditions that drive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bursts (Abalos et al., 2022; Qian et al., 2023).</w:t>
      </w:r>
    </w:p>
    <w:p w14:paraId="7E375EA8"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3.4 Synthesis: choosing the right pathway for climate-smart circularity</w:t>
      </w:r>
    </w:p>
    <w:p w14:paraId="2D374DD7"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Across pathways, three themes repeat. First, </w:t>
      </w:r>
      <w:r w:rsidRPr="004D3A3A">
        <w:rPr>
          <w:rFonts w:ascii="Arial" w:eastAsia="Times New Roman" w:hAnsi="Arial" w:cs="Arial"/>
          <w:b/>
          <w:bCs/>
          <w:kern w:val="0"/>
          <w:lang w:eastAsia="en-IN"/>
          <w14:ligatures w14:val="none"/>
        </w:rPr>
        <w:t>oxygen management</w:t>
      </w:r>
      <w:r w:rsidRPr="004D3A3A">
        <w:rPr>
          <w:rFonts w:ascii="Arial" w:eastAsia="Times New Roman" w:hAnsi="Arial" w:cs="Arial"/>
          <w:kern w:val="0"/>
          <w:lang w:eastAsia="en-IN"/>
          <w14:ligatures w14:val="none"/>
        </w:rPr>
        <w:t xml:space="preserve"> is decisive: composting and in-field retention both benefit from practices that prevent anoxia (bulking/turning; maintaining soil structure and avoiding prolonged saturation), while AD intentionally removes oxygen but must contain methane tightly. Second, </w:t>
      </w:r>
      <w:r w:rsidRPr="004D3A3A">
        <w:rPr>
          <w:rFonts w:ascii="Arial" w:eastAsia="Times New Roman" w:hAnsi="Arial" w:cs="Arial"/>
          <w:b/>
          <w:bCs/>
          <w:kern w:val="0"/>
          <w:lang w:eastAsia="en-IN"/>
          <w14:ligatures w14:val="none"/>
        </w:rPr>
        <w:t>nitrogen form and timing</w:t>
      </w:r>
      <w:r w:rsidRPr="004D3A3A">
        <w:rPr>
          <w:rFonts w:ascii="Arial" w:eastAsia="Times New Roman" w:hAnsi="Arial" w:cs="Arial"/>
          <w:kern w:val="0"/>
          <w:lang w:eastAsia="en-IN"/>
          <w14:ligatures w14:val="none"/>
        </w:rPr>
        <w:t xml:space="preserve"> govern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co-composting and acidification conserve N; digestate injection/incorporation and cool-season application reduce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careful N timing curbs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when residues are returned. Third, </w:t>
      </w:r>
      <w:r w:rsidRPr="004D3A3A">
        <w:rPr>
          <w:rFonts w:ascii="Arial" w:eastAsia="Times New Roman" w:hAnsi="Arial" w:cs="Arial"/>
          <w:b/>
          <w:bCs/>
          <w:kern w:val="0"/>
          <w:lang w:eastAsia="en-IN"/>
          <w14:ligatures w14:val="none"/>
        </w:rPr>
        <w:t>context matters</w:t>
      </w:r>
      <w:r w:rsidRPr="004D3A3A">
        <w:rPr>
          <w:rFonts w:ascii="Arial" w:eastAsia="Times New Roman" w:hAnsi="Arial" w:cs="Arial"/>
          <w:kern w:val="0"/>
          <w:lang w:eastAsia="en-IN"/>
          <w14:ligatures w14:val="none"/>
        </w:rPr>
        <w:t>: residue quality, climate, soils, and water control set the baseline; climate-positive outcomes arise when management is tailored to those constraints (Nordahl et al., 2023; Abalos et al., 2022; Qian et al., 2023; Launay et al., 2022).</w:t>
      </w:r>
    </w:p>
    <w:p w14:paraId="3DB1FFDB"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Operationally, farms seeking maximal mitigation within a circular </w:t>
      </w:r>
      <w:proofErr w:type="spellStart"/>
      <w:r w:rsidRPr="004D3A3A">
        <w:rPr>
          <w:rFonts w:ascii="Arial" w:eastAsia="Times New Roman" w:hAnsi="Arial" w:cs="Arial"/>
          <w:kern w:val="0"/>
          <w:lang w:eastAsia="en-IN"/>
          <w14:ligatures w14:val="none"/>
        </w:rPr>
        <w:t>bioeconomy</w:t>
      </w:r>
      <w:proofErr w:type="spellEnd"/>
      <w:r w:rsidRPr="004D3A3A">
        <w:rPr>
          <w:rFonts w:ascii="Arial" w:eastAsia="Times New Roman" w:hAnsi="Arial" w:cs="Arial"/>
          <w:kern w:val="0"/>
          <w:lang w:eastAsia="en-IN"/>
          <w14:ligatures w14:val="none"/>
        </w:rPr>
        <w:t xml:space="preserve"> can: (</w:t>
      </w:r>
      <w:proofErr w:type="spellStart"/>
      <w:r w:rsidRPr="004D3A3A">
        <w:rPr>
          <w:rFonts w:ascii="Arial" w:eastAsia="Times New Roman" w:hAnsi="Arial" w:cs="Arial"/>
          <w:kern w:val="0"/>
          <w:lang w:eastAsia="en-IN"/>
          <w14:ligatures w14:val="none"/>
        </w:rPr>
        <w:t>i</w:t>
      </w:r>
      <w:proofErr w:type="spellEnd"/>
      <w:r w:rsidRPr="004D3A3A">
        <w:rPr>
          <w:rFonts w:ascii="Arial" w:eastAsia="Times New Roman" w:hAnsi="Arial" w:cs="Arial"/>
          <w:kern w:val="0"/>
          <w:lang w:eastAsia="en-IN"/>
          <w14:ligatures w14:val="none"/>
        </w:rPr>
        <w:t xml:space="preserve">) </w:t>
      </w:r>
      <w:r w:rsidRPr="004D3A3A">
        <w:rPr>
          <w:rFonts w:ascii="Arial" w:eastAsia="Times New Roman" w:hAnsi="Arial" w:cs="Arial"/>
          <w:b/>
          <w:bCs/>
          <w:kern w:val="0"/>
          <w:lang w:eastAsia="en-IN"/>
          <w14:ligatures w14:val="none"/>
        </w:rPr>
        <w:t>divert the most labile, wet, N-rich streams</w:t>
      </w:r>
      <w:r w:rsidRPr="004D3A3A">
        <w:rPr>
          <w:rFonts w:ascii="Arial" w:eastAsia="Times New Roman" w:hAnsi="Arial" w:cs="Arial"/>
          <w:kern w:val="0"/>
          <w:lang w:eastAsia="en-IN"/>
          <w14:ligatures w14:val="none"/>
        </w:rPr>
        <w:t xml:space="preserve"> (e.g., manures, fresh grass cuttings) into AD or biochar co-composting to avoid high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during composting or field decomposition; (ii) </w:t>
      </w:r>
      <w:r w:rsidRPr="004D3A3A">
        <w:rPr>
          <w:rFonts w:ascii="Arial" w:eastAsia="Times New Roman" w:hAnsi="Arial" w:cs="Arial"/>
          <w:b/>
          <w:bCs/>
          <w:kern w:val="0"/>
          <w:lang w:eastAsia="en-IN"/>
          <w14:ligatures w14:val="none"/>
        </w:rPr>
        <w:t>return stabilised carbon and conserved nutrients</w:t>
      </w:r>
      <w:r w:rsidRPr="004D3A3A">
        <w:rPr>
          <w:rFonts w:ascii="Arial" w:eastAsia="Times New Roman" w:hAnsi="Arial" w:cs="Arial"/>
          <w:kern w:val="0"/>
          <w:lang w:eastAsia="en-IN"/>
          <w14:ligatures w14:val="none"/>
        </w:rPr>
        <w:t xml:space="preserve"> via biochar co-composts and properly managed digestate; and (iii) </w:t>
      </w:r>
      <w:r w:rsidRPr="004D3A3A">
        <w:rPr>
          <w:rFonts w:ascii="Arial" w:eastAsia="Times New Roman" w:hAnsi="Arial" w:cs="Arial"/>
          <w:b/>
          <w:bCs/>
          <w:kern w:val="0"/>
          <w:lang w:eastAsia="en-IN"/>
          <w14:ligatures w14:val="none"/>
        </w:rPr>
        <w:t>retain or re-apply crop residues</w:t>
      </w:r>
      <w:r w:rsidRPr="004D3A3A">
        <w:rPr>
          <w:rFonts w:ascii="Arial" w:eastAsia="Times New Roman" w:hAnsi="Arial" w:cs="Arial"/>
          <w:kern w:val="0"/>
          <w:lang w:eastAsia="en-IN"/>
          <w14:ligatures w14:val="none"/>
        </w:rPr>
        <w:t xml:space="preserve"> in the field with water and nitrogen controls that suppress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This blended portfolio tends to outperform any </w:t>
      </w:r>
      <w:r w:rsidRPr="004D3A3A">
        <w:rPr>
          <w:rFonts w:ascii="Arial" w:eastAsia="Times New Roman" w:hAnsi="Arial" w:cs="Arial"/>
          <w:kern w:val="0"/>
          <w:lang w:eastAsia="en-IN"/>
          <w14:ligatures w14:val="none"/>
        </w:rPr>
        <w:lastRenderedPageBreak/>
        <w:t>single practice on climate, soil, and yield metrics when MRV and operating discipline are in place (Harrison et al., 2022; Gao et al., 2023; Abalos et al., 2022).</w:t>
      </w:r>
    </w:p>
    <w:p w14:paraId="0DD56D85" w14:textId="77777777" w:rsidR="00FB52CE" w:rsidRPr="004D3A3A" w:rsidRDefault="00FB52CE" w:rsidP="00D56865">
      <w:pPr>
        <w:spacing w:before="100" w:beforeAutospacing="1" w:after="100" w:afterAutospacing="1" w:line="240" w:lineRule="auto"/>
        <w:jc w:val="both"/>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4. Biochar systems: durability, mechanisms, and trade-offs</w:t>
      </w:r>
    </w:p>
    <w:p w14:paraId="4FD737A5" w14:textId="7777777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This section evaluates biochar as a carbon-sequestration and soil-management option within circular farm </w:t>
      </w:r>
      <w:proofErr w:type="spellStart"/>
      <w:r w:rsidRPr="004D3A3A">
        <w:rPr>
          <w:rFonts w:ascii="Arial" w:eastAsia="Times New Roman" w:hAnsi="Arial" w:cs="Arial"/>
          <w:kern w:val="0"/>
          <w:lang w:eastAsia="en-IN"/>
          <w14:ligatures w14:val="none"/>
        </w:rPr>
        <w:t>bioeconomies</w:t>
      </w:r>
      <w:proofErr w:type="spellEnd"/>
      <w:r w:rsidRPr="004D3A3A">
        <w:rPr>
          <w:rFonts w:ascii="Arial" w:eastAsia="Times New Roman" w:hAnsi="Arial" w:cs="Arial"/>
          <w:kern w:val="0"/>
          <w:lang w:eastAsia="en-IN"/>
          <w14:ligatures w14:val="none"/>
        </w:rPr>
        <w:t>, with emphasis on (i) carbon durability and mitigation logic; (ii) soil and crop responses, including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(iii) synergies when biochar is integrated with organics (e.g., composts/digestates); (iv) production pathways and quality metrics that govern performance; (v) environmental trade-offs and safeguards; (vi) life-cycle climate accounting and energy co-products; (vii) agronomic design (rates, placement, co-applications); and (viii) measurement, reporting and verification (MRV). The objective is to synthesize recent peer-reviewed evidence into design principles that maximize climate benefits while minimizing risk under field conditions.</w:t>
      </w:r>
    </w:p>
    <w:p w14:paraId="0E7E94DA"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4.1 Carbon durability and the mitigation logic</w:t>
      </w:r>
    </w:p>
    <w:p w14:paraId="292135DB" w14:textId="75BCA54F"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The core mitigation claim of biochar rests on converting a portion of short-lived biomass carbon into polyaromatic structures that resist decomposition for centuries to millennia, thereby slowing its return to the atmosphere after application to soils. A global meta-analysis of decomposition experiments shows centennial-scale mean residence times for biochar carbon and only small, often negative, priming of native soil organic matter (SOM) mineralization (overall mean −3.8%)—evidence that biochar can add to net soil C stocks rather than merely replacing them (Wang et al., 2016). Laboratory and long-term incubations confirm that durability rises with increasing aromatic condensation and lower hydrogen-to-carbon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and oxygen-to-carbon (O/</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atomic ratios, which are shaped by feedstock and pyrolysis conditions (Singh et al., 2012; Spokas, 2010; Tomczyk et al., 2020).  Recent synthesis articles further position biochar within negative-emission portfolios by clarifying when durable carbon storage, co-benefits, and system emissions deliver net removals (Lehmann &amp; Joseph, 2021; Woolf et al., 2021). Region-scale analyses (e.g., China) suggest substantial technical potential when production is aligned with sustainable feedstock supply and agronomic demand (Deng et al., 2024). </w:t>
      </w:r>
    </w:p>
    <w:p w14:paraId="7A1BD10C"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4.2 Soil processes, yields, and non-CO</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 xml:space="preserve"> gases</w:t>
      </w:r>
    </w:p>
    <w:p w14:paraId="182FA5EF" w14:textId="221EBA9C"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Biochar modifies soils via pH buffering, increased cation exchange and surface area, and aggregation, with responses governed by texture, climate, and initial fertility (Tomczyk et al., 2020). Field-focused syntheses consistently report positive, though context-dependent, crop responses: tropical and acidic soils tend to benefit most; temperate, fertile soils less so (Jeffery et al., 2016; Ye et al., 2020). On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meta-analyses show that biochar frequently reduces soil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emissions, with effect sizes linked to material properties (notably low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and diminishing over time as surfaces age (</w:t>
      </w:r>
      <w:proofErr w:type="spellStart"/>
      <w:r w:rsidRPr="004D3A3A">
        <w:rPr>
          <w:rFonts w:ascii="Arial" w:eastAsia="Times New Roman" w:hAnsi="Arial" w:cs="Arial"/>
          <w:kern w:val="0"/>
          <w:lang w:eastAsia="en-IN"/>
          <w14:ligatures w14:val="none"/>
        </w:rPr>
        <w:t>Cayuela</w:t>
      </w:r>
      <w:proofErr w:type="spellEnd"/>
      <w:r w:rsidRPr="004D3A3A">
        <w:rPr>
          <w:rFonts w:ascii="Arial" w:eastAsia="Times New Roman" w:hAnsi="Arial" w:cs="Arial"/>
          <w:kern w:val="0"/>
          <w:lang w:eastAsia="en-IN"/>
          <w14:ligatures w14:val="none"/>
        </w:rPr>
        <w:t xml:space="preserve"> et al., 2015; Borchard et al., 2019). In flooded systems, biochar can lower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emissions by improving aeration or altering methanogenesis, although effects vary with redox and amendment strategy (Jeffery et al., 2016). Microbiome-level meta-analyses suggest biochar alters bacterial community composition with limited effects on the relative abundance of major phyla, implying that greenhouse-gas responses are mediated more by substrate availability, pH, and electron shuttling than wholesale microbial shifts (Xu et al., 2023).</w:t>
      </w:r>
    </w:p>
    <w:p w14:paraId="76FD7CF1"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4.3 Co-composting and organic integrations</w:t>
      </w:r>
    </w:p>
    <w:p w14:paraId="75AF0F73" w14:textId="680B1915"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Integrating biochar with manures or green-waste composts can stabilize nitrogen, suppress gaseous losses during composting, and “charge” biochar surfaces with nutrients and microbial metabolites prior to soil application. Controlled trials and process-level studies </w:t>
      </w:r>
      <w:r w:rsidRPr="004D3A3A">
        <w:rPr>
          <w:rFonts w:ascii="Arial" w:eastAsia="Times New Roman" w:hAnsi="Arial" w:cs="Arial"/>
          <w:kern w:val="0"/>
          <w:lang w:eastAsia="en-IN"/>
          <w14:ligatures w14:val="none"/>
        </w:rPr>
        <w:lastRenderedPageBreak/>
        <w:t xml:space="preserve">report significant reductions in ammonia and nitrous-oxide losses and faster composting when biochar—particularly oxidized or high-surface-area materials—is mixed into piles (Harrison et al., 2022; Gao et al., 2023). Co-composted </w:t>
      </w:r>
      <w:proofErr w:type="spellStart"/>
      <w:r w:rsidRPr="004D3A3A">
        <w:rPr>
          <w:rFonts w:ascii="Arial" w:eastAsia="Times New Roman" w:hAnsi="Arial" w:cs="Arial"/>
          <w:kern w:val="0"/>
          <w:lang w:eastAsia="en-IN"/>
          <w14:ligatures w14:val="none"/>
        </w:rPr>
        <w:t>biochars</w:t>
      </w:r>
      <w:proofErr w:type="spellEnd"/>
      <w:r w:rsidRPr="004D3A3A">
        <w:rPr>
          <w:rFonts w:ascii="Arial" w:eastAsia="Times New Roman" w:hAnsi="Arial" w:cs="Arial"/>
          <w:kern w:val="0"/>
          <w:lang w:eastAsia="en-IN"/>
          <w14:ligatures w14:val="none"/>
        </w:rPr>
        <w:t xml:space="preserve"> often produce stronger agronomic responses than the same char applied alone, consistent with improved nutrient availability and early-season plant access to N (Gao et al., 2023). </w:t>
      </w:r>
    </w:p>
    <w:p w14:paraId="57F0B02D"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4.4 Production pathways and quality metrics</w:t>
      </w:r>
    </w:p>
    <w:p w14:paraId="47A3A2DC" w14:textId="68CF0CD7"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Biochar quality is determined by feedstock (woody vs. manure vs. crop residues) and thermochemical pathway (slow pyrolysis, gasification, hydrothermal carbonization), which together control aromaticity, ash, pH, surface functionality, and contaminant profiles (Tomczyk et al., 2020). Peer-reviewed indicators used in durability/MRV frameworks include low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O/</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ratios, which correlate with condensed aromatic structures and longer persistence (Spokas, 2010; Singh et al., 2012). Empirically, high-temperature chars (≥ 600 °C) typically exhibit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&lt; 0.2 and O/</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&lt; 0.4, </w:t>
      </w:r>
      <w:proofErr w:type="spellStart"/>
      <w:r w:rsidRPr="004D3A3A">
        <w:rPr>
          <w:rFonts w:ascii="Arial" w:eastAsia="Times New Roman" w:hAnsi="Arial" w:cs="Arial"/>
          <w:kern w:val="0"/>
          <w:lang w:eastAsia="en-IN"/>
          <w14:ligatures w14:val="none"/>
        </w:rPr>
        <w:t>signaling</w:t>
      </w:r>
      <w:proofErr w:type="spellEnd"/>
      <w:r w:rsidRPr="004D3A3A">
        <w:rPr>
          <w:rFonts w:ascii="Arial" w:eastAsia="Times New Roman" w:hAnsi="Arial" w:cs="Arial"/>
          <w:kern w:val="0"/>
          <w:lang w:eastAsia="en-IN"/>
          <w14:ligatures w14:val="none"/>
        </w:rPr>
        <w:t xml:space="preserve"> high recalcitrance; lower-temperature chars retain more labile moieties and show greater short-term nutrient interactions (Tomczyk et al., 2020). </w:t>
      </w:r>
    </w:p>
    <w:p w14:paraId="6BABBD11"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4.5 Environmental trade-offs and safeguards</w:t>
      </w:r>
    </w:p>
    <w:p w14:paraId="36812BA3" w14:textId="7F378CE6"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Thermal conversion can form polycyclic aromatic hydrocarbons (PAHs) and, depending on inputs, concentrate potentially toxic elements (PTEs). Multi-feedstock surveys show slow-pyrolysis </w:t>
      </w:r>
      <w:proofErr w:type="spellStart"/>
      <w:r w:rsidRPr="004D3A3A">
        <w:rPr>
          <w:rFonts w:ascii="Arial" w:eastAsia="Times New Roman" w:hAnsi="Arial" w:cs="Arial"/>
          <w:kern w:val="0"/>
          <w:lang w:eastAsia="en-IN"/>
          <w14:ligatures w14:val="none"/>
        </w:rPr>
        <w:t>biochars</w:t>
      </w:r>
      <w:proofErr w:type="spellEnd"/>
      <w:r w:rsidRPr="004D3A3A">
        <w:rPr>
          <w:rFonts w:ascii="Arial" w:eastAsia="Times New Roman" w:hAnsi="Arial" w:cs="Arial"/>
          <w:kern w:val="0"/>
          <w:lang w:eastAsia="en-IN"/>
          <w14:ligatures w14:val="none"/>
        </w:rPr>
        <w:t xml:space="preserve"> generally contain low total and </w:t>
      </w:r>
      <w:r w:rsidRPr="004D3A3A">
        <w:rPr>
          <w:rFonts w:ascii="Arial" w:eastAsia="Times New Roman" w:hAnsi="Arial" w:cs="Arial"/>
          <w:i/>
          <w:iCs/>
          <w:kern w:val="0"/>
          <w:lang w:eastAsia="en-IN"/>
          <w14:ligatures w14:val="none"/>
        </w:rPr>
        <w:t>very</w:t>
      </w:r>
      <w:r w:rsidRPr="004D3A3A">
        <w:rPr>
          <w:rFonts w:ascii="Arial" w:eastAsia="Times New Roman" w:hAnsi="Arial" w:cs="Arial"/>
          <w:kern w:val="0"/>
          <w:lang w:eastAsia="en-IN"/>
          <w14:ligatures w14:val="none"/>
        </w:rPr>
        <w:t xml:space="preserve"> low bioavailable PAHs, with higher risks for gasification chars; elevated PAHs decline with appropriate temperature and residence-time control (Hale et al., 2012). Heavy-metal risks are primarily a concern when using sludge- or waste-derived feedstocks; careful selection, co-pyrolysis with </w:t>
      </w:r>
      <w:proofErr w:type="spellStart"/>
      <w:r w:rsidRPr="004D3A3A">
        <w:rPr>
          <w:rFonts w:ascii="Arial" w:eastAsia="Times New Roman" w:hAnsi="Arial" w:cs="Arial"/>
          <w:kern w:val="0"/>
          <w:lang w:eastAsia="en-IN"/>
          <w14:ligatures w14:val="none"/>
        </w:rPr>
        <w:t>lignocellulosics</w:t>
      </w:r>
      <w:proofErr w:type="spellEnd"/>
      <w:r w:rsidRPr="004D3A3A">
        <w:rPr>
          <w:rFonts w:ascii="Arial" w:eastAsia="Times New Roman" w:hAnsi="Arial" w:cs="Arial"/>
          <w:kern w:val="0"/>
          <w:lang w:eastAsia="en-IN"/>
          <w14:ligatures w14:val="none"/>
        </w:rPr>
        <w:t>, and compliance with agronomic quality thresholds mitigate leaching hazards (Zhou et al., 2017; Mohamed et al., 2023). Agronomically, biochar can raise soil pH and, in some acidic soils, transiently increase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volatilization unless co-applied with organic N or used at appropriate rates (Sha et al., 2019). These risks are manageable design variables rather than inherent flaws when production and application follow best practice.</w:t>
      </w:r>
    </w:p>
    <w:p w14:paraId="1473ECCD"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4.6 Life-cycle accounting and energy co-products</w:t>
      </w:r>
    </w:p>
    <w:p w14:paraId="3E502D1E" w14:textId="1125612C"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Systemwide climate benefits depend on (i) the fraction of feedstock carbon stabilized as durable char; (ii) avoided emissions from alternative residue fates (e.g., burning, unmanaged decomposition); (iii) energy recovery (syngas/pyrolysis oil displacing fossil fuels); and (iv) soil GHG responses post-application. Landmark LCAs show that well-designed slow-pyrolysis systems can deliver net negative emissions when co-generated heat is utilized and transport is optimized (Roberts et al., 2010; Peters et al., 2015). Updated syntheses emphasize that governance (feedstock sustainability, siting, monitoring) is as decisive as reactor efficiency in determining whether biochar functions as a durable removal or merely a lower-carbon waste treatment (Shrestha et al., 2023; Woolf et al., 2021). </w:t>
      </w:r>
    </w:p>
    <w:p w14:paraId="24DFBE07"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4.7 Agronomic design: rates, placement, and co-applications</w:t>
      </w:r>
    </w:p>
    <w:p w14:paraId="3689DC20" w14:textId="3DF9545D"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Field evidence suggests the greatest yield and nutrient-use efficiency gains occur in low-pH, nutrient-poor, or drought-prone soils, often at 5–20 t ha</w:t>
      </w:r>
      <w:r w:rsidRPr="004D3A3A">
        <w:rPr>
          <w:rFonts w:ascii="Cambria Math" w:eastAsia="Times New Roman" w:hAnsi="Cambria Math" w:cs="Cambria Math"/>
          <w:kern w:val="0"/>
          <w:lang w:eastAsia="en-IN"/>
          <w14:ligatures w14:val="none"/>
        </w:rPr>
        <w:t>⁻</w:t>
      </w:r>
      <w:r w:rsidRPr="004D3A3A">
        <w:rPr>
          <w:rFonts w:ascii="Arial" w:eastAsia="Times New Roman" w:hAnsi="Arial" w:cs="Arial"/>
          <w:kern w:val="0"/>
          <w:lang w:eastAsia="en-IN"/>
          <w14:ligatures w14:val="none"/>
        </w:rPr>
        <w:t>¹ when co-applied with manure or fertilizers (Ye et al., 2020; Jeffery et al., 2016). Biochar’s mitigation of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is strongest when chars exhibit low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are integrated into systems where nitrification/denitrification “hot moments” can be buffered—e.g., with composted or digestate-blended materials and synchronization with irrigation (</w:t>
      </w:r>
      <w:proofErr w:type="spellStart"/>
      <w:r w:rsidRPr="004D3A3A">
        <w:rPr>
          <w:rFonts w:ascii="Arial" w:eastAsia="Times New Roman" w:hAnsi="Arial" w:cs="Arial"/>
          <w:kern w:val="0"/>
          <w:lang w:eastAsia="en-IN"/>
          <w14:ligatures w14:val="none"/>
        </w:rPr>
        <w:t>Cayuela</w:t>
      </w:r>
      <w:proofErr w:type="spellEnd"/>
      <w:r w:rsidRPr="004D3A3A">
        <w:rPr>
          <w:rFonts w:ascii="Arial" w:eastAsia="Times New Roman" w:hAnsi="Arial" w:cs="Arial"/>
          <w:kern w:val="0"/>
          <w:lang w:eastAsia="en-IN"/>
          <w14:ligatures w14:val="none"/>
        </w:rPr>
        <w:t xml:space="preserve"> et al., 2015; Harrison et al., 2022). In flooded rice, surface incorporation that improves redox heterogeneity can reduce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although responses vary and should be validated locally (Jeffery et al., 2016).</w:t>
      </w:r>
    </w:p>
    <w:p w14:paraId="61CE7956" w14:textId="77777777" w:rsidR="00FB52CE" w:rsidRPr="004D3A3A" w:rsidRDefault="00FB52C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lastRenderedPageBreak/>
        <w:t>4.8 MRV and market integrity</w:t>
      </w:r>
    </w:p>
    <w:p w14:paraId="4911BD8C" w14:textId="56CFF589" w:rsidR="00FB52CE" w:rsidRPr="004D3A3A" w:rsidRDefault="00FB52C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Emerging MRV frameworks link measurable properties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fixed carbon, R50 thermal recalcitrance indices) and site conditions to </w:t>
      </w:r>
      <w:proofErr w:type="spellStart"/>
      <w:r w:rsidRPr="004D3A3A">
        <w:rPr>
          <w:rFonts w:ascii="Arial" w:eastAsia="Times New Roman" w:hAnsi="Arial" w:cs="Arial"/>
          <w:kern w:val="0"/>
          <w:lang w:eastAsia="en-IN"/>
          <w14:ligatures w14:val="none"/>
        </w:rPr>
        <w:t>modeled</w:t>
      </w:r>
      <w:proofErr w:type="spellEnd"/>
      <w:r w:rsidRPr="004D3A3A">
        <w:rPr>
          <w:rFonts w:ascii="Arial" w:eastAsia="Times New Roman" w:hAnsi="Arial" w:cs="Arial"/>
          <w:kern w:val="0"/>
          <w:lang w:eastAsia="en-IN"/>
          <w14:ligatures w14:val="none"/>
        </w:rPr>
        <w:t xml:space="preserve"> decay rates for greenhouse-gas inventorying and crediting (Woolf et al., 2021). Continual improvement is needed to reconcile proxy metrics with long-term field persistence and to capture co-benefits and leakage within LCAs (Lehmann &amp; Joseph, 2021; Wang et al., 2016).</w:t>
      </w:r>
    </w:p>
    <w:p w14:paraId="1B318D04" w14:textId="77777777" w:rsidR="00A63667" w:rsidRPr="004D3A3A" w:rsidRDefault="00A63667" w:rsidP="00D56865">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 Organic amendments (composts, manures, digestates) managed for climate outcomes</w:t>
      </w:r>
    </w:p>
    <w:p w14:paraId="56FB82DB" w14:textId="77777777" w:rsidR="00A63667" w:rsidRPr="004D3A3A" w:rsidRDefault="00A63667" w:rsidP="00D56865">
      <w:pPr>
        <w:spacing w:before="100" w:beforeAutospacing="1" w:after="100" w:afterAutospacing="1" w:line="240" w:lineRule="auto"/>
        <w:jc w:val="both"/>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5.1. Rationale and contrasts among materials</w:t>
      </w:r>
    </w:p>
    <w:p w14:paraId="09D7F270" w14:textId="030B6E9A" w:rsidR="00A63667" w:rsidRPr="004D3A3A" w:rsidRDefault="00A63667"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Organic amendments are central to circular bioeconomy strategies because they return biogenic carbon and nutrients to soils while displacing portions of mineral fertiliser demand. Yet their climate performance hinges on material properties that control nitrogen (N) transformations and carbon (C) persistence. Composts typically contain more humified C, higher C:N ratios, and lower ammoniacal N (TAN) than raw manures or digestates, which can dampen short-term nitrification–denitrification and volatilisation. Digestates, by contrast, often have elevated pH, high TAN, and less labile C (post-methanogenesis), traits that sharpen risks of ammonia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loss shortly after field application and, under certain moisture regimes, of nitrous oxide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formation (Pedersen &amp; Hafner, 2023; Li et al., 2024). </w:t>
      </w:r>
    </w:p>
    <w:p w14:paraId="3C7C7539" w14:textId="77777777" w:rsidR="00A63667" w:rsidRPr="004D3A3A" w:rsidRDefault="00A63667" w:rsidP="00D56865">
      <w:pPr>
        <w:spacing w:before="100" w:beforeAutospacing="1" w:after="100" w:afterAutospacing="1" w:line="240" w:lineRule="auto"/>
        <w:jc w:val="both"/>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5.2. N</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O outcomes: what the latest syntheses say</w:t>
      </w:r>
    </w:p>
    <w:p w14:paraId="03B772CC" w14:textId="77777777" w:rsidR="00953F34" w:rsidRPr="004D3A3A" w:rsidRDefault="00A63667" w:rsidP="00D56865">
      <w:pPr>
        <w:spacing w:before="100" w:beforeAutospacing="1" w:after="100" w:afterAutospacing="1" w:line="240" w:lineRule="auto"/>
        <w:jc w:val="both"/>
        <w:rPr>
          <w:rFonts w:ascii="Arial" w:hAnsi="Arial" w:cs="Arial"/>
        </w:rPr>
      </w:pPr>
      <w:r w:rsidRPr="004D3A3A">
        <w:rPr>
          <w:rFonts w:ascii="Arial" w:eastAsia="Times New Roman" w:hAnsi="Arial" w:cs="Arial"/>
          <w:kern w:val="0"/>
          <w:lang w:eastAsia="en-IN"/>
          <w14:ligatures w14:val="none"/>
        </w:rPr>
        <w:t>Across European field trials, a recent meta-analysis found that organic matter (OM) inputs as a class produced only a modest average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reduction (~10%), but material identity mattered: compost reduced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by ~25%, whereas digestate responses were variable and often neutral to adverse; mitigation strengthened with higher C:N of the OM input (threshold ~20–30) (Valkama et al., 2024). In sandy or more alkaline soils, the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O-mitigating effect of compost weakened, underscoring site specificity (Valkama et al., 2024). </w:t>
      </w:r>
    </w:p>
    <w:p w14:paraId="0DA9F0F0" w14:textId="0824B81A" w:rsidR="00A63667" w:rsidRDefault="00A63667"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br/>
        <w:t>Controlled experiments that directly compared digestate with urea fertiliser reported substantially higher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from digestate across moisture levels and soil types, although the nitrification inhibitor DMPP suppressed digestate-derived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by 73–99%—a strong signal that process-level management can flip outcomes (Li et al., 2024). Field studies tracing labelled N similarly show digestate can prime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formation depending on feedstock and timing (</w:t>
      </w:r>
      <w:proofErr w:type="spellStart"/>
      <w:r w:rsidRPr="004D3A3A">
        <w:rPr>
          <w:rFonts w:ascii="Arial" w:eastAsia="Times New Roman" w:hAnsi="Arial" w:cs="Arial"/>
          <w:kern w:val="0"/>
          <w:lang w:eastAsia="en-IN"/>
          <w14:ligatures w14:val="none"/>
        </w:rPr>
        <w:t>Häfner</w:t>
      </w:r>
      <w:proofErr w:type="spellEnd"/>
      <w:r w:rsidRPr="004D3A3A">
        <w:rPr>
          <w:rFonts w:ascii="Arial" w:eastAsia="Times New Roman" w:hAnsi="Arial" w:cs="Arial"/>
          <w:kern w:val="0"/>
          <w:lang w:eastAsia="en-IN"/>
          <w14:ligatures w14:val="none"/>
        </w:rPr>
        <w:t xml:space="preserve"> et al., 2021). </w:t>
      </w:r>
      <w:r w:rsidRPr="004D3A3A">
        <w:rPr>
          <w:rFonts w:ascii="Arial" w:eastAsia="Times New Roman" w:hAnsi="Arial" w:cs="Arial"/>
          <w:kern w:val="0"/>
          <w:lang w:eastAsia="en-IN"/>
          <w14:ligatures w14:val="none"/>
        </w:rPr>
        <w:br/>
        <w:t>Compost composition also matters: incubation work indicates that composts with high NH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–N and low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can raise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whereas more mature, higher-C:N composts tend to mitigate; soil texture and mineral N pools modulate these effects (Liyanage et al., 2022). </w:t>
      </w:r>
    </w:p>
    <w:p w14:paraId="05CC89B3" w14:textId="77777777" w:rsidR="004D3A3A" w:rsidRDefault="004D3A3A" w:rsidP="00D56865">
      <w:pPr>
        <w:spacing w:before="100" w:beforeAutospacing="1" w:after="100" w:afterAutospacing="1" w:line="240" w:lineRule="auto"/>
        <w:jc w:val="both"/>
        <w:rPr>
          <w:rFonts w:ascii="Arial" w:eastAsia="Times New Roman" w:hAnsi="Arial" w:cs="Arial"/>
          <w:kern w:val="0"/>
          <w:lang w:eastAsia="en-IN"/>
          <w14:ligatures w14:val="none"/>
        </w:rPr>
      </w:pPr>
    </w:p>
    <w:p w14:paraId="1E1C0E84" w14:textId="77777777" w:rsidR="004D3A3A" w:rsidRPr="004D3A3A" w:rsidRDefault="004D3A3A" w:rsidP="00D56865">
      <w:pPr>
        <w:spacing w:before="100" w:beforeAutospacing="1" w:after="100" w:afterAutospacing="1" w:line="240" w:lineRule="auto"/>
        <w:jc w:val="both"/>
        <w:rPr>
          <w:rFonts w:ascii="Arial" w:eastAsia="Times New Roman" w:hAnsi="Arial" w:cs="Arial"/>
          <w:kern w:val="0"/>
          <w:lang w:eastAsia="en-IN"/>
          <w14:ligatures w14:val="none"/>
        </w:rPr>
      </w:pPr>
    </w:p>
    <w:p w14:paraId="4B8CE9E0" w14:textId="77777777" w:rsidR="00A63667" w:rsidRPr="004D3A3A" w:rsidRDefault="00A63667" w:rsidP="00D56865">
      <w:pPr>
        <w:spacing w:before="100" w:beforeAutospacing="1" w:after="100" w:afterAutospacing="1" w:line="240" w:lineRule="auto"/>
        <w:jc w:val="both"/>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5.3. NH</w:t>
      </w:r>
      <w:r w:rsidRPr="004D3A3A">
        <w:rPr>
          <w:rFonts w:ascii="Cambria Math" w:eastAsia="Times New Roman" w:hAnsi="Cambria Math" w:cs="Cambria Math"/>
          <w:b/>
          <w:bCs/>
          <w:kern w:val="0"/>
          <w:lang w:eastAsia="en-IN"/>
          <w14:ligatures w14:val="none"/>
        </w:rPr>
        <w:t>₃</w:t>
      </w:r>
      <w:r w:rsidRPr="004D3A3A">
        <w:rPr>
          <w:rFonts w:ascii="Arial" w:eastAsia="Times New Roman" w:hAnsi="Arial" w:cs="Arial"/>
          <w:b/>
          <w:bCs/>
          <w:kern w:val="0"/>
          <w:lang w:eastAsia="en-IN"/>
          <w14:ligatures w14:val="none"/>
        </w:rPr>
        <w:t xml:space="preserve"> volatilisation: managing the “first 24 hours”</w:t>
      </w:r>
    </w:p>
    <w:p w14:paraId="77F5032C" w14:textId="2FBBBC2D" w:rsidR="00A63667" w:rsidRPr="004D3A3A" w:rsidRDefault="00A63667"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losses are typically largest within hours after spreading and scale with TAN concentration, pH, temperature, wind, and the degree of contact with air. Because digestate commonly has higher TAN and pH than undigested slurry, its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emission potential is often </w:t>
      </w:r>
      <w:r w:rsidRPr="004D3A3A">
        <w:rPr>
          <w:rFonts w:ascii="Arial" w:eastAsia="Times New Roman" w:hAnsi="Arial" w:cs="Arial"/>
          <w:kern w:val="0"/>
          <w:lang w:eastAsia="en-IN"/>
          <w14:ligatures w14:val="none"/>
        </w:rPr>
        <w:lastRenderedPageBreak/>
        <w:t>greater unless mitigated. A systematic review concludes that application technique (injection/banding vs splash-plate), rapid incorporation, and acidification are the most powerful levers to cut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from digestate in the field (Pedersen &amp; Hafner, 2023). Full-scale studies show that acidifying slurries to around pH 5–6 can markedly depress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fluxes; in housing and storage systems such acidification also curbs methane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offering co-benefits (Overmeyer et al., 2023; Lemes et al., 2022). Emerging field data suggest shallow injection of liquid-separated, anaerobically digested manure reduces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while maintaining yields (Sigdel et al., 2025). </w:t>
      </w:r>
    </w:p>
    <w:p w14:paraId="0D87B629" w14:textId="77777777" w:rsidR="00A63667" w:rsidRPr="004D3A3A" w:rsidRDefault="00A63667" w:rsidP="00D56865">
      <w:pPr>
        <w:spacing w:before="100" w:beforeAutospacing="1" w:after="100" w:afterAutospacing="1" w:line="240" w:lineRule="auto"/>
        <w:jc w:val="both"/>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5.4. Carbon outcomes and nutrient cycling co-benefits</w:t>
      </w:r>
    </w:p>
    <w:p w14:paraId="2A63EA15" w14:textId="01E44877" w:rsidR="00A63667" w:rsidRPr="004D3A3A" w:rsidRDefault="00A63667"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Repeated manure or compost applications are a proven route to build soil organic carbon (SOC), with meta-analyses showing consistent SOC gains relative to mineral fertiliser alone. These gains are strongest where initial SOC is low and where manure is allocated to crop phases with low ley proportion—conditions that also improve nutrient use efficiency (Maillard &amp; Angers, 2014; Gross &amp; Glaser, 2021; Joona et al., 2024). SOC accrual improves structure and water retention, which can indirectly moderate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by reducing denitrification hot moments after rainfall. </w:t>
      </w:r>
    </w:p>
    <w:p w14:paraId="56180164" w14:textId="77777777" w:rsidR="00A63667" w:rsidRPr="004D3A3A" w:rsidRDefault="00A63667" w:rsidP="00D56865">
      <w:pPr>
        <w:spacing w:before="100" w:beforeAutospacing="1" w:after="100" w:afterAutospacing="1" w:line="240" w:lineRule="auto"/>
        <w:jc w:val="both"/>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5.5. Nitrate leaching: a frequently overlooked climate lever</w:t>
      </w:r>
    </w:p>
    <w:p w14:paraId="71FA4A64" w14:textId="55E9B57C" w:rsidR="00A63667" w:rsidRPr="004D3A3A" w:rsidRDefault="00A63667"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Because composted materials typically release N more slowly than mineral fertilisers, they can lower nitrate (NO</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leaching risk—an important climate co-benefit given the energy costs of fertiliser replacement and the downstream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formation in aquatic systems. A synthesis in North American systems reported that dairy manure frequently reduced NO</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losses compared to urea, especially when combined with timely incorporation and appropriate rates (O’Brien et al., 2019). </w:t>
      </w:r>
    </w:p>
    <w:p w14:paraId="2A04E234" w14:textId="77777777" w:rsidR="00A63667" w:rsidRPr="004D3A3A" w:rsidRDefault="00A63667" w:rsidP="00D56865">
      <w:pPr>
        <w:spacing w:before="100" w:beforeAutospacing="1" w:after="100" w:afterAutospacing="1" w:line="240" w:lineRule="auto"/>
        <w:jc w:val="both"/>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5.6. Putting it together: design rules for climate-smart organics</w:t>
      </w:r>
    </w:p>
    <w:p w14:paraId="1866B2BE" w14:textId="77777777" w:rsidR="00A63667" w:rsidRDefault="00A63667"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Taken together, the evidence suggests a tiered management approach. Where the goal is near-term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mitigation with minimal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 favour mature, higher-</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composts applied at agronomic N rates and avoid co-applications that deliver excess mineral N. When using digestates for circularity and nutrient recovery, treat them as high-risk, high-reward fertilisers: prioritise cool, moist (but not saturated) conditions; adopt low-emission placement (injection or rapid incorporation); consider acidification; and deploy nitrification inhibitors or co-amendments where soils and seasons predispose to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Across materials, align application with crop N demand, pair with cover crops to “harvest” residual mineral N, and monitor outcomes through both agronomic and gas-flux lenses. The climate dividends of organics are real but contingent—won by matching amendment chemistry to site hydrology, soil texture, and operational timing (Valkama et al., 2024; Pedersen &amp; Hafner, 2023; Li et al., 2024).</w:t>
      </w:r>
    </w:p>
    <w:p w14:paraId="19854137" w14:textId="77777777" w:rsidR="004D3A3A" w:rsidRDefault="004D3A3A" w:rsidP="00D56865">
      <w:pPr>
        <w:spacing w:before="100" w:beforeAutospacing="1" w:after="100" w:afterAutospacing="1" w:line="240" w:lineRule="auto"/>
        <w:jc w:val="both"/>
        <w:rPr>
          <w:rFonts w:ascii="Arial" w:eastAsia="Times New Roman" w:hAnsi="Arial" w:cs="Arial"/>
          <w:kern w:val="0"/>
          <w:lang w:eastAsia="en-IN"/>
          <w14:ligatures w14:val="none"/>
        </w:rPr>
      </w:pPr>
    </w:p>
    <w:p w14:paraId="78CC1CC6" w14:textId="77777777" w:rsidR="004D3A3A" w:rsidRDefault="004D3A3A" w:rsidP="00D56865">
      <w:pPr>
        <w:spacing w:before="100" w:beforeAutospacing="1" w:after="100" w:afterAutospacing="1" w:line="240" w:lineRule="auto"/>
        <w:jc w:val="both"/>
        <w:rPr>
          <w:rFonts w:ascii="Arial" w:eastAsia="Times New Roman" w:hAnsi="Arial" w:cs="Arial"/>
          <w:kern w:val="0"/>
          <w:lang w:eastAsia="en-IN"/>
          <w14:ligatures w14:val="none"/>
        </w:rPr>
      </w:pPr>
    </w:p>
    <w:p w14:paraId="3B506A60" w14:textId="77777777" w:rsidR="004D3A3A" w:rsidRPr="004D3A3A" w:rsidRDefault="004D3A3A" w:rsidP="00D56865">
      <w:pPr>
        <w:spacing w:before="100" w:beforeAutospacing="1" w:after="100" w:afterAutospacing="1" w:line="240" w:lineRule="auto"/>
        <w:jc w:val="both"/>
        <w:rPr>
          <w:rFonts w:ascii="Arial" w:eastAsia="Times New Roman" w:hAnsi="Arial" w:cs="Arial"/>
          <w:kern w:val="0"/>
          <w:lang w:eastAsia="en-IN"/>
          <w14:ligatures w14:val="none"/>
        </w:rPr>
      </w:pPr>
    </w:p>
    <w:p w14:paraId="648C3544" w14:textId="77777777" w:rsidR="00871F5B" w:rsidRPr="004D3A3A" w:rsidRDefault="00871F5B" w:rsidP="00D56865">
      <w:pPr>
        <w:spacing w:before="100" w:beforeAutospacing="1" w:after="100" w:afterAutospacing="1" w:line="240" w:lineRule="auto"/>
        <w:jc w:val="both"/>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6. Greenhouse-gas accounting, MRV, and integrity in carbon markets</w:t>
      </w:r>
    </w:p>
    <w:p w14:paraId="71E4677D"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6.1 Purpose and scope</w:t>
      </w:r>
    </w:p>
    <w:p w14:paraId="626314ED" w14:textId="6D6EFCEB"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lastRenderedPageBreak/>
        <w:t xml:space="preserve">This section defines what counts as climate benefit in circular bioeconomy farming systems and how those benefits should be measured, reported, and verified (MRV) so that credits (if issued) reflect real, additional, and durable mitigation. We focus on residue recycling (composting and digestion), biochar systems, and organic amendments, covering boundary setting, baseline selection, leakage and double counting, permanence, uncertainty management, and third-party verification. We synthesize advances in soil-carbon MRV (Smith et al., 2020), biochar accounting (Woolf et al., 2021; Lehmann et al., 2021), and cross-sector evidence on carbon-credit integrity (Oldfield et al., 2022; Badgley et al., 2022; Probst et al., 2024), and translate them to operational guidance for farm-scale projects and aggregated programs. </w:t>
      </w:r>
    </w:p>
    <w:p w14:paraId="0E26C54E"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6.2 What to count: sources, sinks, and co-products</w:t>
      </w:r>
    </w:p>
    <w:p w14:paraId="006C08D2" w14:textId="5AB85A59"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Comprehensive accounting requires tracking three components: (i) </w:t>
      </w:r>
      <w:r w:rsidRPr="004D3A3A">
        <w:rPr>
          <w:rFonts w:ascii="Arial" w:eastAsia="Times New Roman" w:hAnsi="Arial" w:cs="Arial"/>
          <w:b/>
          <w:bCs/>
          <w:kern w:val="0"/>
          <w:lang w:eastAsia="en-IN"/>
          <w14:ligatures w14:val="none"/>
        </w:rPr>
        <w:t>stock changes</w:t>
      </w:r>
      <w:r w:rsidRPr="004D3A3A">
        <w:rPr>
          <w:rFonts w:ascii="Arial" w:eastAsia="Times New Roman" w:hAnsi="Arial" w:cs="Arial"/>
          <w:kern w:val="0"/>
          <w:lang w:eastAsia="en-IN"/>
          <w14:ligatures w14:val="none"/>
        </w:rPr>
        <w:t xml:space="preserve"> in soil and biomass carbon (e.g., SOC accrual); (ii) </w:t>
      </w:r>
      <w:r w:rsidRPr="004D3A3A">
        <w:rPr>
          <w:rFonts w:ascii="Arial" w:eastAsia="Times New Roman" w:hAnsi="Arial" w:cs="Arial"/>
          <w:b/>
          <w:bCs/>
          <w:kern w:val="0"/>
          <w:lang w:eastAsia="en-IN"/>
          <w14:ligatures w14:val="none"/>
        </w:rPr>
        <w:t>non-CO</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 xml:space="preserve"> fluxes</w:t>
      </w:r>
      <w:r w:rsidRPr="004D3A3A">
        <w:rPr>
          <w:rFonts w:ascii="Arial" w:eastAsia="Times New Roman" w:hAnsi="Arial" w:cs="Arial"/>
          <w:kern w:val="0"/>
          <w:lang w:eastAsia="en-IN"/>
          <w14:ligatures w14:val="none"/>
        </w:rPr>
        <w:t xml:space="preserv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from soils and waste management; and (iii) </w:t>
      </w:r>
      <w:r w:rsidRPr="004D3A3A">
        <w:rPr>
          <w:rFonts w:ascii="Arial" w:eastAsia="Times New Roman" w:hAnsi="Arial" w:cs="Arial"/>
          <w:b/>
          <w:bCs/>
          <w:kern w:val="0"/>
          <w:lang w:eastAsia="en-IN"/>
          <w14:ligatures w14:val="none"/>
        </w:rPr>
        <w:t>energy and material co-products</w:t>
      </w:r>
      <w:r w:rsidRPr="004D3A3A">
        <w:rPr>
          <w:rFonts w:ascii="Arial" w:eastAsia="Times New Roman" w:hAnsi="Arial" w:cs="Arial"/>
          <w:kern w:val="0"/>
          <w:lang w:eastAsia="en-IN"/>
          <w14:ligatures w14:val="none"/>
        </w:rPr>
        <w:t xml:space="preserve"> that displace fossil emissions (e.g., heat/electricity from digestion; surplus heat from pyrolysis). Established life-cycle assessments (LCAs) for biochar demonstrate that the net balance depends on both stable carbon addition and avoided emissions from substituted energy and waste pathways (Roberts et al., 2010; Peters et al., 2015). For composting and digestion,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dominate the footprint if systems are poorly controlled, underscoring the need for process-level MRV (Nordahl et al., 2023; </w:t>
      </w:r>
      <w:proofErr w:type="spellStart"/>
      <w:r w:rsidRPr="004D3A3A">
        <w:rPr>
          <w:rFonts w:ascii="Arial" w:eastAsia="Times New Roman" w:hAnsi="Arial" w:cs="Arial"/>
          <w:kern w:val="0"/>
          <w:lang w:eastAsia="en-IN"/>
          <w14:ligatures w14:val="none"/>
        </w:rPr>
        <w:t>Bakkaloglu</w:t>
      </w:r>
      <w:proofErr w:type="spellEnd"/>
      <w:r w:rsidRPr="004D3A3A">
        <w:rPr>
          <w:rFonts w:ascii="Arial" w:eastAsia="Times New Roman" w:hAnsi="Arial" w:cs="Arial"/>
          <w:kern w:val="0"/>
          <w:lang w:eastAsia="en-IN"/>
          <w14:ligatures w14:val="none"/>
        </w:rPr>
        <w:t xml:space="preserve"> et al., 2022). </w:t>
      </w:r>
    </w:p>
    <w:p w14:paraId="4B9B1EB4"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6.3 System boundaries and baselines</w:t>
      </w:r>
    </w:p>
    <w:p w14:paraId="18F5C4FF" w14:textId="17ACC96F"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Boundaries should be cradle-to-farm-gate at minimum, with attribution rules for upstream feedstock logistics and downstream co-products. Counterfactual baselines must reflect plausible, regionally specific practices absent the project, not aspirational best practice or regional averages that mask selection effects. Rigorous work has shown that lenient or unrepresentative baselines systematically over-credit projects; although much of this evidence comes from forestry and energy offsets, the same logic applies to agricultural credits (Badgley et al., 2022; Probst et al., 2024; West et al., 2023). For soil-carbon projects, Oldfield et al. (2022) recommend regionally consistent, transparent baselines and explicit accounting for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to ensure net GHG removal. </w:t>
      </w:r>
    </w:p>
    <w:p w14:paraId="27933544"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6.4 Permanence, durability, and reversal risk</w:t>
      </w:r>
    </w:p>
    <w:p w14:paraId="556F483F" w14:textId="057C96AB"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Permanence is a spectrum across practices. Biochar offers century-scale carbon persistence when produced at appropriate temperatures and applied to soils, shifting projects from short-lived storage to geochemically durable removal (Lehmann et al., 2021; Woolf et al., 2021). By contrast, SOC gains from organics and in-field residue retention can be reversed by management or climate shocks; crediting should therefore apply discounting, conservative baselines, and robust buffer pools sized to empirically observed reversal risks (Probst et al., 2024). Methodologies must also debit any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increases that erode the permanence value of SOC gains. </w:t>
      </w:r>
    </w:p>
    <w:p w14:paraId="29336ADC"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 xml:space="preserve">6.5 Measurement strategies: direct sampling, </w:t>
      </w:r>
      <w:proofErr w:type="spellStart"/>
      <w:r w:rsidRPr="004D3A3A">
        <w:rPr>
          <w:rFonts w:ascii="Arial" w:eastAsia="Times New Roman" w:hAnsi="Arial" w:cs="Arial"/>
          <w:b/>
          <w:bCs/>
          <w:kern w:val="0"/>
          <w:lang w:eastAsia="en-IN"/>
          <w14:ligatures w14:val="none"/>
        </w:rPr>
        <w:t>modeling</w:t>
      </w:r>
      <w:proofErr w:type="spellEnd"/>
      <w:r w:rsidRPr="004D3A3A">
        <w:rPr>
          <w:rFonts w:ascii="Arial" w:eastAsia="Times New Roman" w:hAnsi="Arial" w:cs="Arial"/>
          <w:b/>
          <w:bCs/>
          <w:kern w:val="0"/>
          <w:lang w:eastAsia="en-IN"/>
          <w14:ligatures w14:val="none"/>
        </w:rPr>
        <w:t>, and hybrid approaches</w:t>
      </w:r>
    </w:p>
    <w:p w14:paraId="349748D3" w14:textId="3164DCEF"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Direct SOC measurements through depth-explicit, repeated sampling remain the gold standard but are costly and statistically demanding. A tiered approach—combining well-designed sampling (power analysis, paired plots, depth to ≥30–60 cm), spectroscopic proxies calibrated to local soils, and process models for temporal interpolation—offers the most credible path at program scale (Smith et al., 2020). For biochar, method-ready factors </w:t>
      </w:r>
      <w:r w:rsidRPr="004D3A3A">
        <w:rPr>
          <w:rFonts w:ascii="Arial" w:eastAsia="Times New Roman" w:hAnsi="Arial" w:cs="Arial"/>
          <w:kern w:val="0"/>
          <w:lang w:eastAsia="en-IN"/>
          <w14:ligatures w14:val="none"/>
        </w:rPr>
        <w:lastRenderedPageBreak/>
        <w:t xml:space="preserve">link biochar elemental ratios and application rates to expected net GHG outcomes, enabling consistent crediting across soils and climates (Woolf et al., 2021). </w:t>
      </w:r>
    </w:p>
    <w:p w14:paraId="2AD18465"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6.6 Capturing non-CO</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 xml:space="preserve"> emissions: composting and digestion</w:t>
      </w:r>
    </w:p>
    <w:p w14:paraId="42D0E3F1" w14:textId="55DA43B8"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Because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leakage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spikes can dominate waste-to-resource pathways, MRV must include direct measurements at emission hotspots. Reviews and measurement campaigns reveal that a small number of high-emitting sites (“super-emitters”) can account for a large share of biogas/biomethane supply-chain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that digestate handling is a critical stage (</w:t>
      </w:r>
      <w:proofErr w:type="spellStart"/>
      <w:r w:rsidRPr="004D3A3A">
        <w:rPr>
          <w:rFonts w:ascii="Arial" w:eastAsia="Times New Roman" w:hAnsi="Arial" w:cs="Arial"/>
          <w:kern w:val="0"/>
          <w:lang w:eastAsia="en-IN"/>
          <w14:ligatures w14:val="none"/>
        </w:rPr>
        <w:t>Bakkaloglu</w:t>
      </w:r>
      <w:proofErr w:type="spellEnd"/>
      <w:r w:rsidRPr="004D3A3A">
        <w:rPr>
          <w:rFonts w:ascii="Arial" w:eastAsia="Times New Roman" w:hAnsi="Arial" w:cs="Arial"/>
          <w:kern w:val="0"/>
          <w:lang w:eastAsia="en-IN"/>
          <w14:ligatures w14:val="none"/>
        </w:rPr>
        <w:t xml:space="preserve"> et al., 2022). Comparative studies show convergent estimates across mobile plume, tracer, and lidar techniques when protocols are standardized (</w:t>
      </w:r>
      <w:proofErr w:type="spellStart"/>
      <w:r w:rsidRPr="004D3A3A">
        <w:rPr>
          <w:rFonts w:ascii="Arial" w:eastAsia="Times New Roman" w:hAnsi="Arial" w:cs="Arial"/>
          <w:kern w:val="0"/>
          <w:lang w:eastAsia="en-IN"/>
          <w14:ligatures w14:val="none"/>
        </w:rPr>
        <w:t>Hrad</w:t>
      </w:r>
      <w:proofErr w:type="spellEnd"/>
      <w:r w:rsidRPr="004D3A3A">
        <w:rPr>
          <w:rFonts w:ascii="Arial" w:eastAsia="Times New Roman" w:hAnsi="Arial" w:cs="Arial"/>
          <w:kern w:val="0"/>
          <w:lang w:eastAsia="en-IN"/>
          <w14:ligatures w14:val="none"/>
        </w:rPr>
        <w:t xml:space="preserve"> et al., 2022). For composting, synthesis of 388 emission factors shows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often drives the 100-year warming impact unless aeration, moisture, and C:N are tightly managed, with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control as a parallel air-quality co-benefit target (Nordahl et al., 2023). </w:t>
      </w:r>
    </w:p>
    <w:p w14:paraId="62C578CE"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6.7 Additionality, leakage, and double counting</w:t>
      </w:r>
    </w:p>
    <w:p w14:paraId="4CB85206" w14:textId="3149D81E"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Additionality requires evidence that practices would not occur absent credit revenue; otherwise credits enable no net mitigation. Empirical meta-assessments across credit types find low “offset achievement ratios” due to baseline inflation and developer discretion (Probst et al., 2024). Agricultural projects are not exempt: protocols must address </w:t>
      </w:r>
      <w:r w:rsidRPr="004D3A3A">
        <w:rPr>
          <w:rFonts w:ascii="Arial" w:eastAsia="Times New Roman" w:hAnsi="Arial" w:cs="Arial"/>
          <w:b/>
          <w:bCs/>
          <w:kern w:val="0"/>
          <w:lang w:eastAsia="en-IN"/>
          <w14:ligatures w14:val="none"/>
        </w:rPr>
        <w:t>activity leakage</w:t>
      </w:r>
      <w:r w:rsidRPr="004D3A3A">
        <w:rPr>
          <w:rFonts w:ascii="Arial" w:eastAsia="Times New Roman" w:hAnsi="Arial" w:cs="Arial"/>
          <w:kern w:val="0"/>
          <w:lang w:eastAsia="en-IN"/>
          <w14:ligatures w14:val="none"/>
        </w:rPr>
        <w:t xml:space="preserve"> (e.g., residue diversion increasing fertilizer use elsewhere) and </w:t>
      </w:r>
      <w:r w:rsidRPr="004D3A3A">
        <w:rPr>
          <w:rFonts w:ascii="Arial" w:eastAsia="Times New Roman" w:hAnsi="Arial" w:cs="Arial"/>
          <w:b/>
          <w:bCs/>
          <w:kern w:val="0"/>
          <w:lang w:eastAsia="en-IN"/>
          <w14:ligatures w14:val="none"/>
        </w:rPr>
        <w:t>market leakage</w:t>
      </w:r>
      <w:r w:rsidRPr="004D3A3A">
        <w:rPr>
          <w:rFonts w:ascii="Arial" w:eastAsia="Times New Roman" w:hAnsi="Arial" w:cs="Arial"/>
          <w:kern w:val="0"/>
          <w:lang w:eastAsia="en-IN"/>
          <w14:ligatures w14:val="none"/>
        </w:rPr>
        <w:t xml:space="preserve"> (e.g., commodity price responses), and must prevent double claiming by aligning project-level credits with national inventory accounting (Oldfield et al., 2022; </w:t>
      </w:r>
      <w:proofErr w:type="spellStart"/>
      <w:r w:rsidRPr="004D3A3A">
        <w:rPr>
          <w:rFonts w:ascii="Arial" w:eastAsia="Times New Roman" w:hAnsi="Arial" w:cs="Arial"/>
          <w:kern w:val="0"/>
          <w:lang w:eastAsia="en-IN"/>
          <w14:ligatures w14:val="none"/>
        </w:rPr>
        <w:t>Kreibich</w:t>
      </w:r>
      <w:proofErr w:type="spellEnd"/>
      <w:r w:rsidRPr="004D3A3A">
        <w:rPr>
          <w:rFonts w:ascii="Arial" w:eastAsia="Times New Roman" w:hAnsi="Arial" w:cs="Arial"/>
          <w:kern w:val="0"/>
          <w:lang w:eastAsia="en-IN"/>
          <w14:ligatures w14:val="none"/>
        </w:rPr>
        <w:t xml:space="preserve"> &amp; </w:t>
      </w:r>
      <w:proofErr w:type="spellStart"/>
      <w:r w:rsidRPr="004D3A3A">
        <w:rPr>
          <w:rFonts w:ascii="Arial" w:eastAsia="Times New Roman" w:hAnsi="Arial" w:cs="Arial"/>
          <w:kern w:val="0"/>
          <w:lang w:eastAsia="en-IN"/>
          <w14:ligatures w14:val="none"/>
        </w:rPr>
        <w:t>Hermwille</w:t>
      </w:r>
      <w:proofErr w:type="spellEnd"/>
      <w:r w:rsidRPr="004D3A3A">
        <w:rPr>
          <w:rFonts w:ascii="Arial" w:eastAsia="Times New Roman" w:hAnsi="Arial" w:cs="Arial"/>
          <w:kern w:val="0"/>
          <w:lang w:eastAsia="en-IN"/>
          <w14:ligatures w14:val="none"/>
        </w:rPr>
        <w:t xml:space="preserve">, 2021). </w:t>
      </w:r>
    </w:p>
    <w:p w14:paraId="562F8C31"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6.8 Verification and uncertainty management</w:t>
      </w:r>
    </w:p>
    <w:p w14:paraId="79220FBC" w14:textId="3E473A55"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Verification should report quantified uncertainty on both SOC change and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fluxes and apply conservative deductions when confidence intervals overlap zero. Smith et al. (2020) propose a global MRV architecture integrating benchmark sites, harmonized sampling, and model evaluation; this directly supports transparent uncertainty statements. For project methodologies, conservative estimators and guardrails against parameter gaming are recommended, along with standardized leakage deductions and reversal-risk buffers calibrated to empirical disturbance data (Probst et al., 2024; West et al., 2023). </w:t>
      </w:r>
    </w:p>
    <w:p w14:paraId="2AC29AA1"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6.9 Why biochar accounting looks different</w:t>
      </w:r>
    </w:p>
    <w:p w14:paraId="06B2EBBB" w14:textId="2BAD0734"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Compared to SOC accrual from organics alone, biochar projects can credibly claim durable carbon storage plus avoided emissions from substituted waste and energy pathways. Updated inventory factors and parameterizations enable implementation from farm to national scales, provided feedstock provenance, pyrolysis conditions, and end-use are documented (Woolf et al., 2021). Integrating these methods with LCA avoids double counting and clarifies the distinct roles of </w:t>
      </w:r>
      <w:r w:rsidRPr="004D3A3A">
        <w:rPr>
          <w:rFonts w:ascii="Arial" w:eastAsia="Times New Roman" w:hAnsi="Arial" w:cs="Arial"/>
          <w:b/>
          <w:bCs/>
          <w:kern w:val="0"/>
          <w:lang w:eastAsia="en-IN"/>
          <w14:ligatures w14:val="none"/>
        </w:rPr>
        <w:t>removals</w:t>
      </w:r>
      <w:r w:rsidRPr="004D3A3A">
        <w:rPr>
          <w:rFonts w:ascii="Arial" w:eastAsia="Times New Roman" w:hAnsi="Arial" w:cs="Arial"/>
          <w:kern w:val="0"/>
          <w:lang w:eastAsia="en-IN"/>
          <w14:ligatures w14:val="none"/>
        </w:rPr>
        <w:t xml:space="preserve"> (stable C in biochar) versus reductions (e.g., displaced fossil energy), aligning projects with high-integrity credit criteria (Lehmann et al., 2021; Roberts et al., 2010; Peters et al., 2015). </w:t>
      </w:r>
    </w:p>
    <w:p w14:paraId="190A253A"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6.10 Market integrity and program design</w:t>
      </w:r>
    </w:p>
    <w:p w14:paraId="3542CFB4" w14:textId="77777777"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High-integrity agricultural credits require standardized baselines, mandatory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accounting, robust permanence provisions, and transparent uncertainty deductions. The literature documents systemic over-crediting across multiple project types and highlights the dangers of flexible, developer-friendly assumptions (Badgley et al., 2022; Probst et al., 2024). Programs should therefore restrict eligibility to project types with demonstrably high </w:t>
      </w:r>
      <w:r w:rsidRPr="004D3A3A">
        <w:rPr>
          <w:rFonts w:ascii="Arial" w:eastAsia="Times New Roman" w:hAnsi="Arial" w:cs="Arial"/>
          <w:kern w:val="0"/>
          <w:lang w:eastAsia="en-IN"/>
          <w14:ligatures w14:val="none"/>
        </w:rPr>
        <w:lastRenderedPageBreak/>
        <w:t xml:space="preserve">additionality and verifiable outcomes, </w:t>
      </w:r>
      <w:proofErr w:type="spellStart"/>
      <w:r w:rsidRPr="004D3A3A">
        <w:rPr>
          <w:rFonts w:ascii="Arial" w:eastAsia="Times New Roman" w:hAnsi="Arial" w:cs="Arial"/>
          <w:kern w:val="0"/>
          <w:lang w:eastAsia="en-IN"/>
          <w14:ligatures w14:val="none"/>
        </w:rPr>
        <w:t>favor</w:t>
      </w:r>
      <w:proofErr w:type="spellEnd"/>
      <w:r w:rsidRPr="004D3A3A">
        <w:rPr>
          <w:rFonts w:ascii="Arial" w:eastAsia="Times New Roman" w:hAnsi="Arial" w:cs="Arial"/>
          <w:kern w:val="0"/>
          <w:lang w:eastAsia="en-IN"/>
          <w14:ligatures w14:val="none"/>
        </w:rPr>
        <w:t xml:space="preserve"> regionally consistent protocols, and mandate public data disclosure sufficient for independent replication (Oldfield et al., 2022; </w:t>
      </w:r>
      <w:proofErr w:type="spellStart"/>
      <w:r w:rsidRPr="004D3A3A">
        <w:rPr>
          <w:rFonts w:ascii="Arial" w:eastAsia="Times New Roman" w:hAnsi="Arial" w:cs="Arial"/>
          <w:kern w:val="0"/>
          <w:lang w:eastAsia="en-IN"/>
          <w14:ligatures w14:val="none"/>
        </w:rPr>
        <w:t>Kreibich</w:t>
      </w:r>
      <w:proofErr w:type="spellEnd"/>
      <w:r w:rsidRPr="004D3A3A">
        <w:rPr>
          <w:rFonts w:ascii="Arial" w:eastAsia="Times New Roman" w:hAnsi="Arial" w:cs="Arial"/>
          <w:kern w:val="0"/>
          <w:lang w:eastAsia="en-IN"/>
          <w14:ligatures w14:val="none"/>
        </w:rPr>
        <w:t xml:space="preserve"> &amp; </w:t>
      </w:r>
      <w:proofErr w:type="spellStart"/>
      <w:r w:rsidRPr="004D3A3A">
        <w:rPr>
          <w:rFonts w:ascii="Arial" w:eastAsia="Times New Roman" w:hAnsi="Arial" w:cs="Arial"/>
          <w:kern w:val="0"/>
          <w:lang w:eastAsia="en-IN"/>
          <w14:ligatures w14:val="none"/>
        </w:rPr>
        <w:t>Hermwille</w:t>
      </w:r>
      <w:proofErr w:type="spellEnd"/>
      <w:r w:rsidRPr="004D3A3A">
        <w:rPr>
          <w:rFonts w:ascii="Arial" w:eastAsia="Times New Roman" w:hAnsi="Arial" w:cs="Arial"/>
          <w:kern w:val="0"/>
          <w:lang w:eastAsia="en-IN"/>
          <w14:ligatures w14:val="none"/>
        </w:rPr>
        <w:t xml:space="preserve">, 2021). </w:t>
      </w:r>
    </w:p>
    <w:p w14:paraId="16CDBD6A" w14:textId="77777777" w:rsidR="0011082E" w:rsidRPr="004D3A3A" w:rsidRDefault="0011082E" w:rsidP="00D56865">
      <w:pPr>
        <w:spacing w:before="100" w:beforeAutospacing="1" w:after="100" w:afterAutospacing="1" w:line="240" w:lineRule="auto"/>
        <w:jc w:val="both"/>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7. Scaling, policy, and economics</w:t>
      </w:r>
    </w:p>
    <w:p w14:paraId="6DE848CC" w14:textId="77777777" w:rsidR="0011082E" w:rsidRPr="004D3A3A" w:rsidRDefault="0011082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7.1 Incentives and carbon markets</w:t>
      </w:r>
    </w:p>
    <w:p w14:paraId="033DAA48" w14:textId="660A72E6" w:rsidR="0011082E" w:rsidRPr="004D3A3A" w:rsidRDefault="0011082E" w:rsidP="00D56865">
      <w:pPr>
        <w:spacing w:before="100" w:beforeAutospacing="1" w:after="100" w:afterAutospacing="1" w:line="240" w:lineRule="auto"/>
        <w:jc w:val="both"/>
        <w:rPr>
          <w:rFonts w:ascii="Arial" w:hAnsi="Arial" w:cs="Arial"/>
        </w:rPr>
      </w:pPr>
      <w:r w:rsidRPr="004D3A3A">
        <w:rPr>
          <w:rFonts w:ascii="Arial" w:eastAsia="Times New Roman" w:hAnsi="Arial" w:cs="Arial"/>
          <w:kern w:val="0"/>
          <w:lang w:eastAsia="en-IN"/>
          <w14:ligatures w14:val="none"/>
        </w:rPr>
        <w:t xml:space="preserve">The rapid emergence of biochar carbon credits illustrates both opportunity and risk. Scientific accounting methods now exist, but programs must align crediting with conservative durability metrics, robust baselines (including alternative residue fates), and leakage safeguards. Aligning MRV with life-cycle thinking—crediting energy co-products and avoided emissions while transparently discounting uncertainties—improves environmental integrity and investor confidence (Woolf et al., 2021; Lehmann et al., 2021). </w:t>
      </w:r>
      <w:hyperlink r:id="rId9" w:tgtFrame="_blank" w:history="1"/>
    </w:p>
    <w:p w14:paraId="6FBA3C7B" w14:textId="77777777" w:rsidR="0011082E" w:rsidRPr="004D3A3A" w:rsidRDefault="0011082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7.2 Infrastructure, logistics, and enabling conditions</w:t>
      </w:r>
    </w:p>
    <w:p w14:paraId="56AF40F5" w14:textId="659836CC" w:rsidR="0011082E" w:rsidRPr="004D3A3A" w:rsidRDefault="0011082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Circular strategies are system solutions. Composting and AD need reliable feedstock logistics, </w:t>
      </w:r>
      <w:proofErr w:type="spellStart"/>
      <w:r w:rsidRPr="004D3A3A">
        <w:rPr>
          <w:rFonts w:ascii="Arial" w:eastAsia="Times New Roman" w:hAnsi="Arial" w:cs="Arial"/>
          <w:kern w:val="0"/>
          <w:lang w:eastAsia="en-IN"/>
          <w14:ligatures w14:val="none"/>
        </w:rPr>
        <w:t>odor</w:t>
      </w:r>
      <w:proofErr w:type="spellEnd"/>
      <w:r w:rsidRPr="004D3A3A">
        <w:rPr>
          <w:rFonts w:ascii="Arial" w:eastAsia="Times New Roman" w:hAnsi="Arial" w:cs="Arial"/>
          <w:kern w:val="0"/>
          <w:lang w:eastAsia="en-IN"/>
          <w14:ligatures w14:val="none"/>
        </w:rPr>
        <w:t xml:space="preserve"> and vector control, and markets for stabilized products. Biochar deployment requires decentralized or hub-and-spoke pyrolysis capacity, quality control, and agronomic advisory services that tailor rates and co-applications to local soils. Economic analyses of the circular bioeconomy in agriculture emphasize policies that (i) price carbon, (ii) reward ecosystem services, and (iii) de-risk capital for distributed infrastructure—especially where farm-level benefits (e.g., fertilizer savings, stress resilience) accrue slowly (Khanna et al., 2024). </w:t>
      </w:r>
    </w:p>
    <w:p w14:paraId="1C5BD4BE" w14:textId="77777777" w:rsidR="0011082E" w:rsidRPr="004D3A3A" w:rsidRDefault="0011082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7.3 Equity and smallholders</w:t>
      </w:r>
    </w:p>
    <w:p w14:paraId="09FD396B" w14:textId="77777777" w:rsidR="0011082E" w:rsidRPr="004D3A3A" w:rsidRDefault="0011082E"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For smallholders, residue-to-value strategies must fit </w:t>
      </w:r>
      <w:proofErr w:type="spellStart"/>
      <w:r w:rsidRPr="004D3A3A">
        <w:rPr>
          <w:rFonts w:ascii="Arial" w:eastAsia="Times New Roman" w:hAnsi="Arial" w:cs="Arial"/>
          <w:kern w:val="0"/>
          <w:lang w:eastAsia="en-IN"/>
          <w14:ligatures w14:val="none"/>
        </w:rPr>
        <w:t>labor</w:t>
      </w:r>
      <w:proofErr w:type="spellEnd"/>
      <w:r w:rsidRPr="004D3A3A">
        <w:rPr>
          <w:rFonts w:ascii="Arial" w:eastAsia="Times New Roman" w:hAnsi="Arial" w:cs="Arial"/>
          <w:kern w:val="0"/>
          <w:lang w:eastAsia="en-IN"/>
          <w14:ligatures w14:val="none"/>
        </w:rPr>
        <w:t xml:space="preserve"> calendars, equipment access, and cash-flow realities. Modular pyrolysis integrated with community composting or AD cooperatives can reduce per-ton costs and expand access to credits, but only if MRV systems are simplified and digitalized without sacrificing rigor—an active area for standards development. Public extension that links credit revenues to visible agronomic outcomes (water-holding capacity, pH correction, nutrient efficiency) will be critical to legitimacy and adoption.</w:t>
      </w:r>
    </w:p>
    <w:p w14:paraId="0F90C3F5" w14:textId="77777777" w:rsidR="00871F5B" w:rsidRPr="004D3A3A" w:rsidRDefault="00871F5B" w:rsidP="00D56865">
      <w:pPr>
        <w:spacing w:before="100" w:beforeAutospacing="1" w:after="100" w:afterAutospacing="1" w:line="240" w:lineRule="auto"/>
        <w:jc w:val="both"/>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8. Evidence gaps and research priorities</w:t>
      </w:r>
    </w:p>
    <w:p w14:paraId="3FBA54F6" w14:textId="77777777"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 high-integrity circular bioeconomy in farming now hinges less on “whether” these pathways can mitigate and more on “when, where, and how” they do so most reliably. First, context-specific response functions are still coarse: yield,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outcomes vary with soil texture, pH, climate, and amendment chemistry, but scalable guidance that predicts performance under field heterogeneity remains limited despite new global datasets (Li et al., 2024; Valkama et al., 2024). Second, methane dynamics in flooded systems require factorial field trials that jointly vary residue handling, water regimes, and nitrogen management to resolve contradictory biochar and straw effects across seasons and soils (Qian et al., 2023). Third, for organics, the agronomy of digestate—separation, acidification, injection, and inhibitor use—needs replicated comparisons across soil–climate clusters to quantify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trade-offs under practical schedules (Valkama et al., 2024). Fourth, composting science has identified strong process-control levers, but standardized emission-factor tiers and performance benchmarks suitable for MRV and crediting are not yet universally adopted (Nordahl et al., 2023). Fifth, durability and accounting require tighter linkage between measurable biochar quality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long-term field persistence, coupled with LCAs that transparently credit or debit co-products and counterfactuals (Lehmann et al., </w:t>
      </w:r>
      <w:r w:rsidRPr="004D3A3A">
        <w:rPr>
          <w:rFonts w:ascii="Arial" w:eastAsia="Times New Roman" w:hAnsi="Arial" w:cs="Arial"/>
          <w:kern w:val="0"/>
          <w:lang w:eastAsia="en-IN"/>
          <w14:ligatures w14:val="none"/>
        </w:rPr>
        <w:lastRenderedPageBreak/>
        <w:t>2021; Woolf et al., 2021). Sixth, supply-chain “super-emitters” in biogas/biomethane systems call for mandatory leak detection and repair protocols, quantification methods harmonization, and integration of these data into project baselines (</w:t>
      </w:r>
      <w:proofErr w:type="spellStart"/>
      <w:r w:rsidRPr="004D3A3A">
        <w:rPr>
          <w:rFonts w:ascii="Arial" w:eastAsia="Times New Roman" w:hAnsi="Arial" w:cs="Arial"/>
          <w:kern w:val="0"/>
          <w:lang w:eastAsia="en-IN"/>
          <w14:ligatures w14:val="none"/>
        </w:rPr>
        <w:t>Bakkaloglu</w:t>
      </w:r>
      <w:proofErr w:type="spellEnd"/>
      <w:r w:rsidRPr="004D3A3A">
        <w:rPr>
          <w:rFonts w:ascii="Arial" w:eastAsia="Times New Roman" w:hAnsi="Arial" w:cs="Arial"/>
          <w:kern w:val="0"/>
          <w:lang w:eastAsia="en-IN"/>
          <w14:ligatures w14:val="none"/>
        </w:rPr>
        <w:t xml:space="preserve"> et al., 2022). Finally, MRV architectures must pair depth-resolved SOC sampling with conservative </w:t>
      </w:r>
      <w:proofErr w:type="spellStart"/>
      <w:r w:rsidRPr="004D3A3A">
        <w:rPr>
          <w:rFonts w:ascii="Arial" w:eastAsia="Times New Roman" w:hAnsi="Arial" w:cs="Arial"/>
          <w:kern w:val="0"/>
          <w:lang w:eastAsia="en-IN"/>
          <w14:ligatures w14:val="none"/>
        </w:rPr>
        <w:t>modeling</w:t>
      </w:r>
      <w:proofErr w:type="spellEnd"/>
      <w:r w:rsidRPr="004D3A3A">
        <w:rPr>
          <w:rFonts w:ascii="Arial" w:eastAsia="Times New Roman" w:hAnsi="Arial" w:cs="Arial"/>
          <w:kern w:val="0"/>
          <w:lang w:eastAsia="en-IN"/>
          <w14:ligatures w14:val="none"/>
        </w:rPr>
        <w:t xml:space="preserve"> and uncertainty deductions, align farm-level crediting with national inventories, and report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alongside SOC to prevent over-crediting (Smith et al., 2020; Oldfield et al., 2022).</w:t>
      </w:r>
    </w:p>
    <w:p w14:paraId="02DA0592" w14:textId="77777777" w:rsidR="00871F5B" w:rsidRPr="004D3A3A" w:rsidRDefault="00871F5B" w:rsidP="00D56865">
      <w:pPr>
        <w:spacing w:before="100" w:beforeAutospacing="1" w:after="100" w:afterAutospacing="1" w:line="240" w:lineRule="auto"/>
        <w:jc w:val="both"/>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9. Conclusions</w:t>
      </w:r>
    </w:p>
    <w:p w14:paraId="011472A2" w14:textId="77777777"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Across farming systems, a circular bioeconomy turns residues and organic by-products from liabilities into climate assets. This review shows that three pillars—residue recycling, biochar, and climate-oriented organic amendments—can deliver meaningful, verifiable mitigation when designed and measured as full systems rather than isolated practices. Composting provides stabilized carbon and nutrients if piles are kept aerobic, moisture is balanced, and nitrogen is conserved; anaerobic digestion captures energy from wet streams, but its climate value hinges on tight methane containment and low-loss digestate application. In-field retention remains the most direct route to rebuild soil organic carbon, yet requires attention to residue quality, nitrogen timing, and water management to avoid nitrous-oxide and methane trade-offs. Biochar is distinctive because it adds geochemically durable carbon storage while often improving soil function and lowering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emissions; the strongest results arise when biochar is integrated with composts or digestates and tailored to soil constraints. High-integrity accounting underpins all three pillars. Credible outcomes demand explicit counterfactuals, cradle-to-farm-gate boundaries, and simultaneous tracking of soil carbon,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fluxes, and energy co-products. Permanence, additionality, leakage, and quantified uncertainty are not afterthoughts but design criteria that determine whether credits mobilize real mitigation. On the ground, success depends on logistics and equity: modular infrastructure, quality standards, and advisory services that let smallholders participate, backed by incentives that reward measured performance rather than prescribed inputs. Taken together, the evidence supports a pragmatic playbook: divert the wettest, most labile streams to digestion or biochar-assisted composting; return stabilized materials to fields with low-loss placement; deploy biochar where soils are acidic, drought-prone, or nitrogen-inefficient; and embed all actions in transparent MRV. With these principles, circular farming can cut emissions, store carbon durably, and improve resilience while supporting viable rural economies. Future efforts should prioritize open data, standardized protocols, and inclusive finance to accelerate credible, large-scale, globally equitable deployment.</w:t>
      </w:r>
    </w:p>
    <w:p w14:paraId="23147CE4" w14:textId="77777777" w:rsidR="00871F5B" w:rsidRPr="004D3A3A" w:rsidRDefault="00871F5B" w:rsidP="00D56865">
      <w:pPr>
        <w:spacing w:before="100" w:beforeAutospacing="1" w:after="100" w:afterAutospacing="1" w:line="240" w:lineRule="auto"/>
        <w:jc w:val="both"/>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10. Limitations</w:t>
      </w:r>
    </w:p>
    <w:p w14:paraId="6407F5D7" w14:textId="77777777" w:rsidR="00871F5B" w:rsidRPr="004D3A3A" w:rsidRDefault="00871F5B" w:rsidP="00D56865">
      <w:pPr>
        <w:spacing w:before="100" w:beforeAutospacing="1" w:after="100" w:afterAutospacing="1" w:line="240" w:lineRule="auto"/>
        <w:jc w:val="both"/>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Despite the breadth of evidence reviewed, several limitations constrain the precision and generality of our conclusions. Many studies are short term, plot scale, or conducted under controlled conditions, which weakly represent multi-year, operational realities where weather variability, feedstock heterogeneity, and management drift shape outcomes. Reported effect sizes for soil carbon, nitrous oxide, and methane often reflect specific soils, climates, and amendment chemistries; transferring these results across regions or seasons can be unreliable. Measurement gaps persist: depth-limited soil sampling, sparse tracking of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and inconsistent monitoring of ammonia and nitrate losses complicate full greenhouse-gas balances. Life-cycle assessments are sensitive to boundary choices, counterfactuals, and allocation rules, so small assumption changes can flip net benefits. Supply-chain uncertainties—fugitive methane from digestion, logistics emissions, and variable energy displacement—remain </w:t>
      </w:r>
      <w:proofErr w:type="spellStart"/>
      <w:r w:rsidRPr="004D3A3A">
        <w:rPr>
          <w:rFonts w:ascii="Arial" w:eastAsia="Times New Roman" w:hAnsi="Arial" w:cs="Arial"/>
          <w:kern w:val="0"/>
          <w:lang w:eastAsia="en-IN"/>
          <w14:ligatures w14:val="none"/>
        </w:rPr>
        <w:t>undercharacterized</w:t>
      </w:r>
      <w:proofErr w:type="spellEnd"/>
      <w:r w:rsidRPr="004D3A3A">
        <w:rPr>
          <w:rFonts w:ascii="Arial" w:eastAsia="Times New Roman" w:hAnsi="Arial" w:cs="Arial"/>
          <w:kern w:val="0"/>
          <w:lang w:eastAsia="en-IN"/>
          <w14:ligatures w14:val="none"/>
        </w:rPr>
        <w:t xml:space="preserve"> at scale. Quality and safety risks, including contaminants in certain feedstocks and </w:t>
      </w:r>
      <w:proofErr w:type="spellStart"/>
      <w:r w:rsidRPr="004D3A3A">
        <w:rPr>
          <w:rFonts w:ascii="Arial" w:eastAsia="Times New Roman" w:hAnsi="Arial" w:cs="Arial"/>
          <w:kern w:val="0"/>
          <w:lang w:eastAsia="en-IN"/>
          <w14:ligatures w14:val="none"/>
        </w:rPr>
        <w:t>biochars</w:t>
      </w:r>
      <w:proofErr w:type="spellEnd"/>
      <w:r w:rsidRPr="004D3A3A">
        <w:rPr>
          <w:rFonts w:ascii="Arial" w:eastAsia="Times New Roman" w:hAnsi="Arial" w:cs="Arial"/>
          <w:kern w:val="0"/>
          <w:lang w:eastAsia="en-IN"/>
          <w14:ligatures w14:val="none"/>
        </w:rPr>
        <w:t xml:space="preserve">, are unevenly monitored, and agronomic responses can be confounded by co-applied inputs. Economic and equity dimensions are incompletely captured: cost curves, financing frictions, and </w:t>
      </w:r>
      <w:proofErr w:type="spellStart"/>
      <w:r w:rsidRPr="004D3A3A">
        <w:rPr>
          <w:rFonts w:ascii="Arial" w:eastAsia="Times New Roman" w:hAnsi="Arial" w:cs="Arial"/>
          <w:kern w:val="0"/>
          <w:lang w:eastAsia="en-IN"/>
          <w14:ligatures w14:val="none"/>
        </w:rPr>
        <w:t>labor</w:t>
      </w:r>
      <w:proofErr w:type="spellEnd"/>
      <w:r w:rsidRPr="004D3A3A">
        <w:rPr>
          <w:rFonts w:ascii="Arial" w:eastAsia="Times New Roman" w:hAnsi="Arial" w:cs="Arial"/>
          <w:kern w:val="0"/>
          <w:lang w:eastAsia="en-IN"/>
          <w14:ligatures w14:val="none"/>
        </w:rPr>
        <w:t xml:space="preserve"> constraints </w:t>
      </w:r>
      <w:r w:rsidRPr="004D3A3A">
        <w:rPr>
          <w:rFonts w:ascii="Arial" w:eastAsia="Times New Roman" w:hAnsi="Arial" w:cs="Arial"/>
          <w:kern w:val="0"/>
          <w:lang w:eastAsia="en-IN"/>
          <w14:ligatures w14:val="none"/>
        </w:rPr>
        <w:lastRenderedPageBreak/>
        <w:t>for smallholders are rarely quantified alongside climate outcomes. Finally, crediting environments evolve rapidly; methodology updates and market volatility can outpace published evidence, limiting the durability of programmatic guidance inferred from current literature.</w:t>
      </w:r>
    </w:p>
    <w:p w14:paraId="1C9B9223" w14:textId="77777777" w:rsidR="008E4081" w:rsidRDefault="008E4081" w:rsidP="008E4081">
      <w:r>
        <w:t>Disclaimer (Artificial intelligence)</w:t>
      </w:r>
    </w:p>
    <w:p w14:paraId="174204BC" w14:textId="77777777" w:rsidR="008E4081" w:rsidRDefault="008E4081" w:rsidP="008E4081">
      <w:r>
        <w:t xml:space="preserve">Option 1: </w:t>
      </w:r>
    </w:p>
    <w:p w14:paraId="5ABC66BA" w14:textId="77777777" w:rsidR="008E4081" w:rsidRDefault="008E4081" w:rsidP="008E408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8BDE3E3" w14:textId="77777777" w:rsidR="008E4081" w:rsidRDefault="008E4081" w:rsidP="008E4081">
      <w:r>
        <w:t xml:space="preserve">Option 2: </w:t>
      </w:r>
    </w:p>
    <w:p w14:paraId="77DC27AB" w14:textId="77777777" w:rsidR="008E4081" w:rsidRDefault="008E4081" w:rsidP="008E408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EAD1C4" w14:textId="77777777" w:rsidR="008E4081" w:rsidRDefault="008E4081" w:rsidP="008E4081">
      <w:r>
        <w:t>Details of the AI usage are given below:</w:t>
      </w:r>
    </w:p>
    <w:p w14:paraId="727E35C6" w14:textId="77777777" w:rsidR="008E4081" w:rsidRDefault="008E4081" w:rsidP="008E4081">
      <w:r>
        <w:t>1.</w:t>
      </w:r>
    </w:p>
    <w:p w14:paraId="6EE1EA82" w14:textId="77777777" w:rsidR="008E4081" w:rsidRDefault="008E4081" w:rsidP="008E4081">
      <w:r>
        <w:t>2.</w:t>
      </w:r>
    </w:p>
    <w:p w14:paraId="6BEE678C" w14:textId="77777777" w:rsidR="008E4081" w:rsidRPr="00D047BB" w:rsidRDefault="008E4081" w:rsidP="008E4081">
      <w:r>
        <w:t>3.</w:t>
      </w:r>
    </w:p>
    <w:p w14:paraId="7BCC1AFD" w14:textId="77777777" w:rsidR="00871F5B" w:rsidRPr="004D3A3A" w:rsidRDefault="00871F5B"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bookmarkStart w:id="0" w:name="_GoBack"/>
      <w:bookmarkEnd w:id="0"/>
    </w:p>
    <w:p w14:paraId="72BEF32C" w14:textId="77777777" w:rsidR="004D3A3A" w:rsidRPr="004D3A3A" w:rsidRDefault="0011082E" w:rsidP="00D56865">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 xml:space="preserve">References </w:t>
      </w:r>
    </w:p>
    <w:p w14:paraId="03385C11" w14:textId="663F87B1" w:rsidR="002A18B2" w:rsidRDefault="002A18B2"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2A18B2">
        <w:rPr>
          <w:rFonts w:ascii="Arial" w:eastAsia="Times New Roman" w:hAnsi="Arial" w:cs="Arial"/>
          <w:kern w:val="0"/>
          <w:lang w:eastAsia="en-IN"/>
          <w14:ligatures w14:val="none"/>
        </w:rPr>
        <w:t xml:space="preserve">Abalos, D., </w:t>
      </w:r>
      <w:proofErr w:type="spellStart"/>
      <w:r w:rsidRPr="002A18B2">
        <w:rPr>
          <w:rFonts w:ascii="Arial" w:eastAsia="Times New Roman" w:hAnsi="Arial" w:cs="Arial"/>
          <w:kern w:val="0"/>
          <w:lang w:eastAsia="en-IN"/>
          <w14:ligatures w14:val="none"/>
        </w:rPr>
        <w:t>Recous</w:t>
      </w:r>
      <w:proofErr w:type="spellEnd"/>
      <w:r w:rsidRPr="002A18B2">
        <w:rPr>
          <w:rFonts w:ascii="Arial" w:eastAsia="Times New Roman" w:hAnsi="Arial" w:cs="Arial"/>
          <w:kern w:val="0"/>
          <w:lang w:eastAsia="en-IN"/>
          <w14:ligatures w14:val="none"/>
        </w:rPr>
        <w:t xml:space="preserve">, S., Butterbach-Bahl, K., De </w:t>
      </w:r>
      <w:proofErr w:type="spellStart"/>
      <w:r w:rsidRPr="002A18B2">
        <w:rPr>
          <w:rFonts w:ascii="Arial" w:eastAsia="Times New Roman" w:hAnsi="Arial" w:cs="Arial"/>
          <w:kern w:val="0"/>
          <w:lang w:eastAsia="en-IN"/>
          <w14:ligatures w14:val="none"/>
        </w:rPr>
        <w:t>Notaris</w:t>
      </w:r>
      <w:proofErr w:type="spellEnd"/>
      <w:r w:rsidRPr="002A18B2">
        <w:rPr>
          <w:rFonts w:ascii="Arial" w:eastAsia="Times New Roman" w:hAnsi="Arial" w:cs="Arial"/>
          <w:kern w:val="0"/>
          <w:lang w:eastAsia="en-IN"/>
          <w14:ligatures w14:val="none"/>
        </w:rPr>
        <w:t xml:space="preserve">, C., Rittl, T. F., Topp, C. F. E., Petersen, S. O., Hansen, S., </w:t>
      </w:r>
      <w:proofErr w:type="spellStart"/>
      <w:r w:rsidRPr="002A18B2">
        <w:rPr>
          <w:rFonts w:ascii="Arial" w:eastAsia="Times New Roman" w:hAnsi="Arial" w:cs="Arial"/>
          <w:kern w:val="0"/>
          <w:lang w:eastAsia="en-IN"/>
          <w14:ligatures w14:val="none"/>
        </w:rPr>
        <w:t>Bleken</w:t>
      </w:r>
      <w:proofErr w:type="spellEnd"/>
      <w:r w:rsidRPr="002A18B2">
        <w:rPr>
          <w:rFonts w:ascii="Arial" w:eastAsia="Times New Roman" w:hAnsi="Arial" w:cs="Arial"/>
          <w:kern w:val="0"/>
          <w:lang w:eastAsia="en-IN"/>
          <w14:ligatures w14:val="none"/>
        </w:rPr>
        <w:t xml:space="preserve">, M. A., Rees, R. M., &amp; Olesen, J. E. (2022). A review and meta-analysis of mitigation measures for nitrous oxide emissions from crop residues. Science of the Total Environment, 828, 154388. </w:t>
      </w:r>
      <w:hyperlink r:id="rId10" w:history="1">
        <w:r w:rsidRPr="00D041E1">
          <w:rPr>
            <w:rStyle w:val="Hyperlink"/>
            <w:rFonts w:ascii="Arial" w:eastAsia="Times New Roman" w:hAnsi="Arial" w:cs="Arial"/>
            <w:kern w:val="0"/>
            <w:lang w:eastAsia="en-IN"/>
            <w14:ligatures w14:val="none"/>
          </w:rPr>
          <w:t>https://doi.org/10.1016/j.scitotenv.2022.154388</w:t>
        </w:r>
      </w:hyperlink>
    </w:p>
    <w:p w14:paraId="3C99045E" w14:textId="15C578C5" w:rsidR="002A18B2" w:rsidRP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14:ligatures w14:val="none"/>
        </w:rPr>
        <w:t xml:space="preserve">Badgley, G., Freeman, J., Hamman, J. J., Haya, B., </w:t>
      </w:r>
      <w:proofErr w:type="spellStart"/>
      <w:r w:rsidRPr="002A18B2">
        <w:rPr>
          <w:rFonts w:ascii="Arial" w:hAnsi="Arial" w:cs="Arial"/>
          <w:sz w:val="22"/>
          <w:szCs w:val="22"/>
          <w14:ligatures w14:val="none"/>
        </w:rPr>
        <w:t>Trugman</w:t>
      </w:r>
      <w:proofErr w:type="spellEnd"/>
      <w:r w:rsidRPr="002A18B2">
        <w:rPr>
          <w:rFonts w:ascii="Arial" w:hAnsi="Arial" w:cs="Arial"/>
          <w:sz w:val="22"/>
          <w:szCs w:val="22"/>
          <w14:ligatures w14:val="none"/>
        </w:rPr>
        <w:t xml:space="preserve">, A. T., Anderegg, W. R. L., &amp; </w:t>
      </w:r>
      <w:proofErr w:type="spellStart"/>
      <w:r w:rsidRPr="002A18B2">
        <w:rPr>
          <w:rFonts w:ascii="Arial" w:hAnsi="Arial" w:cs="Arial"/>
          <w:sz w:val="22"/>
          <w:szCs w:val="22"/>
          <w14:ligatures w14:val="none"/>
        </w:rPr>
        <w:t>Cullenward</w:t>
      </w:r>
      <w:proofErr w:type="spellEnd"/>
      <w:r w:rsidRPr="002A18B2">
        <w:rPr>
          <w:rFonts w:ascii="Arial" w:hAnsi="Arial" w:cs="Arial"/>
          <w:sz w:val="22"/>
          <w:szCs w:val="22"/>
          <w14:ligatures w14:val="none"/>
        </w:rPr>
        <w:t xml:space="preserve">, D. (2022). Systematic over-crediting in California’s forest carbon offsets program. Global Change Biology, 28(4), 1433–1445. </w:t>
      </w:r>
      <w:hyperlink r:id="rId11" w:history="1">
        <w:r w:rsidRPr="00D041E1">
          <w:rPr>
            <w:rStyle w:val="Hyperlink"/>
            <w:rFonts w:ascii="Arial" w:hAnsi="Arial" w:cs="Arial"/>
            <w:sz w:val="22"/>
            <w:szCs w:val="22"/>
            <w14:ligatures w14:val="none"/>
          </w:rPr>
          <w:t>https://doi.org/10.1111/gcb.15943</w:t>
        </w:r>
      </w:hyperlink>
    </w:p>
    <w:p w14:paraId="5DA8BB9B" w14:textId="032759D4" w:rsidR="002A18B2" w:rsidRDefault="002A18B2" w:rsidP="00D56865">
      <w:pPr>
        <w:pStyle w:val="NormalWeb"/>
        <w:numPr>
          <w:ilvl w:val="0"/>
          <w:numId w:val="3"/>
        </w:numPr>
        <w:jc w:val="both"/>
        <w:rPr>
          <w:rFonts w:ascii="Arial" w:hAnsi="Arial" w:cs="Arial"/>
          <w:sz w:val="22"/>
          <w:szCs w:val="22"/>
        </w:rPr>
      </w:pPr>
      <w:proofErr w:type="spellStart"/>
      <w:r w:rsidRPr="002A18B2">
        <w:rPr>
          <w:rFonts w:ascii="Arial" w:hAnsi="Arial" w:cs="Arial"/>
          <w:sz w:val="22"/>
          <w:szCs w:val="22"/>
        </w:rPr>
        <w:t>Bakkaloglu</w:t>
      </w:r>
      <w:proofErr w:type="spellEnd"/>
      <w:r w:rsidRPr="002A18B2">
        <w:rPr>
          <w:rFonts w:ascii="Arial" w:hAnsi="Arial" w:cs="Arial"/>
          <w:sz w:val="22"/>
          <w:szCs w:val="22"/>
        </w:rPr>
        <w:t xml:space="preserve">, S., Cooper, J., &amp; Hawkes, A. (2022). Methane emissions along biomethane and biogas supply chains are underestimated. One Earth. </w:t>
      </w:r>
      <w:hyperlink r:id="rId12" w:history="1">
        <w:r w:rsidRPr="00D041E1">
          <w:rPr>
            <w:rStyle w:val="Hyperlink"/>
            <w:rFonts w:ascii="Arial" w:hAnsi="Arial" w:cs="Arial"/>
            <w:sz w:val="22"/>
            <w:szCs w:val="22"/>
          </w:rPr>
          <w:t>https://doi.org/10.1016/j.oneear.2022.05.012</w:t>
        </w:r>
      </w:hyperlink>
    </w:p>
    <w:p w14:paraId="58A19B22" w14:textId="2E02CD92" w:rsidR="002A18B2" w:rsidRPr="002A18B2" w:rsidRDefault="002A18B2"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2A18B2">
        <w:rPr>
          <w:rFonts w:ascii="Arial" w:eastAsia="Times New Roman" w:hAnsi="Arial" w:cs="Arial"/>
          <w:kern w:val="0"/>
          <w:lang w:eastAsia="en-IN"/>
        </w:rPr>
        <w:t xml:space="preserve">Baldé, H., Wagner-Riddle, C., MacDonald, D., &amp; </w:t>
      </w:r>
      <w:proofErr w:type="spellStart"/>
      <w:r w:rsidRPr="002A18B2">
        <w:rPr>
          <w:rFonts w:ascii="Arial" w:eastAsia="Times New Roman" w:hAnsi="Arial" w:cs="Arial"/>
          <w:kern w:val="0"/>
          <w:lang w:eastAsia="en-IN"/>
        </w:rPr>
        <w:t>VanderZaag</w:t>
      </w:r>
      <w:proofErr w:type="spellEnd"/>
      <w:r w:rsidRPr="002A18B2">
        <w:rPr>
          <w:rFonts w:ascii="Arial" w:eastAsia="Times New Roman" w:hAnsi="Arial" w:cs="Arial"/>
          <w:kern w:val="0"/>
          <w:lang w:eastAsia="en-IN"/>
        </w:rPr>
        <w:t xml:space="preserve">, A. (2022). Fugitive methane emissions from two agricultural biogas plants. Waste Management, 151, 123-130. </w:t>
      </w:r>
      <w:hyperlink r:id="rId13" w:history="1">
        <w:r w:rsidRPr="00D041E1">
          <w:rPr>
            <w:rStyle w:val="Hyperlink"/>
            <w:rFonts w:ascii="Arial" w:eastAsia="Times New Roman" w:hAnsi="Arial" w:cs="Arial"/>
            <w:kern w:val="0"/>
            <w:lang w:eastAsia="en-IN"/>
          </w:rPr>
          <w:t>https://doi.org/10.1016/j.wasman.2022.07.033</w:t>
        </w:r>
      </w:hyperlink>
    </w:p>
    <w:p w14:paraId="77B7687E" w14:textId="5BAE8C55" w:rsidR="002A18B2" w:rsidRP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14:ligatures w14:val="none"/>
        </w:rPr>
        <w:t xml:space="preserve">Borchard, N., Schirrmann, M., </w:t>
      </w:r>
      <w:proofErr w:type="spellStart"/>
      <w:r w:rsidRPr="002A18B2">
        <w:rPr>
          <w:rFonts w:ascii="Arial" w:hAnsi="Arial" w:cs="Arial"/>
          <w:sz w:val="22"/>
          <w:szCs w:val="22"/>
          <w14:ligatures w14:val="none"/>
        </w:rPr>
        <w:t>Cayuela</w:t>
      </w:r>
      <w:proofErr w:type="spellEnd"/>
      <w:r w:rsidRPr="002A18B2">
        <w:rPr>
          <w:rFonts w:ascii="Arial" w:hAnsi="Arial" w:cs="Arial"/>
          <w:sz w:val="22"/>
          <w:szCs w:val="22"/>
          <w14:ligatures w14:val="none"/>
        </w:rPr>
        <w:t xml:space="preserve">, M. L., Kammann, C., </w:t>
      </w:r>
      <w:proofErr w:type="spellStart"/>
      <w:r w:rsidRPr="002A18B2">
        <w:rPr>
          <w:rFonts w:ascii="Arial" w:hAnsi="Arial" w:cs="Arial"/>
          <w:sz w:val="22"/>
          <w:szCs w:val="22"/>
          <w14:ligatures w14:val="none"/>
        </w:rPr>
        <w:t>Wrage-Mönnig</w:t>
      </w:r>
      <w:proofErr w:type="spellEnd"/>
      <w:r w:rsidRPr="002A18B2">
        <w:rPr>
          <w:rFonts w:ascii="Arial" w:hAnsi="Arial" w:cs="Arial"/>
          <w:sz w:val="22"/>
          <w:szCs w:val="22"/>
          <w14:ligatures w14:val="none"/>
        </w:rPr>
        <w:t xml:space="preserve">, N., Estavillo, J. M., Fuertes-Mendizabal, T., Sigua, G., Spokas, K., Ippolito, J. A., &amp; Novak, J. (2019). Biochar, soil and land-use interactions that reduce nitrate leaching and nitrous oxide emissions: A meta-analysis. Science of the Total Environment, 651, 2354–2364. </w:t>
      </w:r>
      <w:hyperlink r:id="rId14" w:history="1">
        <w:r w:rsidRPr="00D041E1">
          <w:rPr>
            <w:rStyle w:val="Hyperlink"/>
            <w:rFonts w:ascii="Arial" w:hAnsi="Arial" w:cs="Arial"/>
            <w:sz w:val="22"/>
            <w:szCs w:val="22"/>
            <w14:ligatures w14:val="none"/>
          </w:rPr>
          <w:t>https://doi.org/10.1016/j.scitotenv.2018.10.060</w:t>
        </w:r>
      </w:hyperlink>
    </w:p>
    <w:p w14:paraId="768E4B68" w14:textId="678564EB" w:rsidR="002A18B2" w:rsidRDefault="002A18B2" w:rsidP="00D56865">
      <w:pPr>
        <w:pStyle w:val="NormalWeb"/>
        <w:numPr>
          <w:ilvl w:val="0"/>
          <w:numId w:val="3"/>
        </w:numPr>
        <w:jc w:val="both"/>
        <w:rPr>
          <w:rFonts w:ascii="Arial" w:hAnsi="Arial" w:cs="Arial"/>
          <w:sz w:val="22"/>
          <w:szCs w:val="22"/>
        </w:rPr>
      </w:pPr>
      <w:proofErr w:type="spellStart"/>
      <w:r w:rsidRPr="002A18B2">
        <w:rPr>
          <w:rFonts w:ascii="Arial" w:hAnsi="Arial" w:cs="Arial"/>
          <w:sz w:val="22"/>
          <w:szCs w:val="22"/>
        </w:rPr>
        <w:t>Cayuela</w:t>
      </w:r>
      <w:proofErr w:type="spellEnd"/>
      <w:r w:rsidRPr="002A18B2">
        <w:rPr>
          <w:rFonts w:ascii="Arial" w:hAnsi="Arial" w:cs="Arial"/>
          <w:sz w:val="22"/>
          <w:szCs w:val="22"/>
        </w:rPr>
        <w:t xml:space="preserve">, M. L., Jeffery, S., &amp; Van </w:t>
      </w:r>
      <w:proofErr w:type="spellStart"/>
      <w:r w:rsidRPr="002A18B2">
        <w:rPr>
          <w:rFonts w:ascii="Arial" w:hAnsi="Arial" w:cs="Arial"/>
          <w:sz w:val="22"/>
          <w:szCs w:val="22"/>
        </w:rPr>
        <w:t>Zwieten</w:t>
      </w:r>
      <w:proofErr w:type="spellEnd"/>
      <w:r w:rsidRPr="002A18B2">
        <w:rPr>
          <w:rFonts w:ascii="Arial" w:hAnsi="Arial" w:cs="Arial"/>
          <w:sz w:val="22"/>
          <w:szCs w:val="22"/>
        </w:rPr>
        <w:t>, L. (2015). The molar H:Corg ratio of biochar is a key factor in mitigating N</w:t>
      </w:r>
      <w:r w:rsidRPr="002A18B2">
        <w:rPr>
          <w:rFonts w:ascii="Cambria Math" w:hAnsi="Cambria Math" w:cs="Cambria Math"/>
          <w:sz w:val="22"/>
          <w:szCs w:val="22"/>
        </w:rPr>
        <w:t>₂</w:t>
      </w:r>
      <w:r w:rsidRPr="002A18B2">
        <w:rPr>
          <w:rFonts w:ascii="Arial" w:hAnsi="Arial" w:cs="Arial"/>
          <w:sz w:val="22"/>
          <w:szCs w:val="22"/>
        </w:rPr>
        <w:t xml:space="preserve">O emissions from soil. Agriculture, Ecosystems &amp; Environment, 202, 135–138. </w:t>
      </w:r>
      <w:hyperlink r:id="rId15" w:history="1">
        <w:r w:rsidRPr="00D041E1">
          <w:rPr>
            <w:rStyle w:val="Hyperlink"/>
            <w:rFonts w:ascii="Arial" w:hAnsi="Arial" w:cs="Arial"/>
            <w:sz w:val="22"/>
            <w:szCs w:val="22"/>
          </w:rPr>
          <w:t>https://doi.org/10.1016/j.agee.2014.12.015</w:t>
        </w:r>
      </w:hyperlink>
    </w:p>
    <w:p w14:paraId="5A55B929" w14:textId="13DDF8D2" w:rsidR="002A18B2" w:rsidRPr="002A18B2" w:rsidRDefault="002A18B2" w:rsidP="00D56865">
      <w:pPr>
        <w:pStyle w:val="NormalWeb"/>
        <w:numPr>
          <w:ilvl w:val="0"/>
          <w:numId w:val="3"/>
        </w:numPr>
        <w:jc w:val="both"/>
        <w:rPr>
          <w:rFonts w:ascii="Arial" w:hAnsi="Arial" w:cs="Arial"/>
          <w:sz w:val="22"/>
          <w:szCs w:val="22"/>
        </w:rPr>
      </w:pPr>
      <w:r w:rsidRPr="002A18B2">
        <w:rPr>
          <w:rFonts w:ascii="Arial" w:hAnsi="Arial" w:cs="Arial"/>
          <w:color w:val="222222"/>
          <w:sz w:val="22"/>
          <w:szCs w:val="22"/>
          <w:shd w:val="clear" w:color="auto" w:fill="FFFFFF"/>
        </w:rPr>
        <w:lastRenderedPageBreak/>
        <w:t xml:space="preserve">Deng, X., Teng, F., Chen, M., Du, Z., Wang, B., Li, R., &amp; Wang, P. (2024). Exploring negative emission potential of biochar to achieve carbon neutrality goal in China. Nature Communications, 15, 1085. </w:t>
      </w:r>
      <w:hyperlink r:id="rId16" w:history="1">
        <w:r w:rsidRPr="00D041E1">
          <w:rPr>
            <w:rStyle w:val="Hyperlink"/>
            <w:rFonts w:ascii="Arial" w:hAnsi="Arial" w:cs="Arial"/>
            <w:sz w:val="22"/>
            <w:szCs w:val="22"/>
            <w:shd w:val="clear" w:color="auto" w:fill="FFFFFF"/>
          </w:rPr>
          <w:t>https://doi.org/10.1038/s41467-024-45314-y</w:t>
        </w:r>
      </w:hyperlink>
    </w:p>
    <w:p w14:paraId="14701F33" w14:textId="77045B98" w:rsidR="002A18B2" w:rsidRPr="002A18B2" w:rsidRDefault="002A18B2"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2A18B2">
        <w:rPr>
          <w:rFonts w:ascii="Arial" w:eastAsia="Times New Roman" w:hAnsi="Arial" w:cs="Arial"/>
          <w:kern w:val="0"/>
          <w:lang w:eastAsia="en-IN"/>
        </w:rPr>
        <w:t xml:space="preserve">Gao, S., Harrison, B. P., Thao, T., Gonzales, M. L., An, D., </w:t>
      </w:r>
      <w:proofErr w:type="spellStart"/>
      <w:r w:rsidRPr="002A18B2">
        <w:rPr>
          <w:rFonts w:ascii="Arial" w:eastAsia="Times New Roman" w:hAnsi="Arial" w:cs="Arial"/>
          <w:kern w:val="0"/>
          <w:lang w:eastAsia="en-IN"/>
        </w:rPr>
        <w:t>Ghezzehei</w:t>
      </w:r>
      <w:proofErr w:type="spellEnd"/>
      <w:r w:rsidRPr="002A18B2">
        <w:rPr>
          <w:rFonts w:ascii="Arial" w:eastAsia="Times New Roman" w:hAnsi="Arial" w:cs="Arial"/>
          <w:kern w:val="0"/>
          <w:lang w:eastAsia="en-IN"/>
        </w:rPr>
        <w:t xml:space="preserve">, T. A., Diaz, G., &amp; Ryals, R. A. (2023). Biochar co-compost improves nitrogen retention and reduces carbon emissions in a winter wheat cropping system. GCB Bioenergy, 15 (4), 462–477. </w:t>
      </w:r>
      <w:hyperlink r:id="rId17" w:history="1">
        <w:r w:rsidRPr="00D041E1">
          <w:rPr>
            <w:rStyle w:val="Hyperlink"/>
            <w:rFonts w:ascii="Arial" w:eastAsia="Times New Roman" w:hAnsi="Arial" w:cs="Arial"/>
            <w:kern w:val="0"/>
            <w:lang w:eastAsia="en-IN"/>
          </w:rPr>
          <w:t>https://doi.org/10.1111/gcbb.13028</w:t>
        </w:r>
      </w:hyperlink>
    </w:p>
    <w:p w14:paraId="04D5ED72" w14:textId="2E420CA5" w:rsidR="002A18B2" w:rsidRP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14:ligatures w14:val="none"/>
        </w:rPr>
        <w:t xml:space="preserve">Geissdoerfer, M., </w:t>
      </w:r>
      <w:proofErr w:type="spellStart"/>
      <w:r w:rsidRPr="002A18B2">
        <w:rPr>
          <w:rFonts w:ascii="Arial" w:hAnsi="Arial" w:cs="Arial"/>
          <w:sz w:val="22"/>
          <w:szCs w:val="22"/>
          <w14:ligatures w14:val="none"/>
        </w:rPr>
        <w:t>Savaget</w:t>
      </w:r>
      <w:proofErr w:type="spellEnd"/>
      <w:r w:rsidRPr="002A18B2">
        <w:rPr>
          <w:rFonts w:ascii="Arial" w:hAnsi="Arial" w:cs="Arial"/>
          <w:sz w:val="22"/>
          <w:szCs w:val="22"/>
          <w14:ligatures w14:val="none"/>
        </w:rPr>
        <w:t xml:space="preserve">, P., </w:t>
      </w:r>
      <w:proofErr w:type="spellStart"/>
      <w:r w:rsidRPr="002A18B2">
        <w:rPr>
          <w:rFonts w:ascii="Arial" w:hAnsi="Arial" w:cs="Arial"/>
          <w:sz w:val="22"/>
          <w:szCs w:val="22"/>
          <w14:ligatures w14:val="none"/>
        </w:rPr>
        <w:t>Bocken</w:t>
      </w:r>
      <w:proofErr w:type="spellEnd"/>
      <w:r w:rsidRPr="002A18B2">
        <w:rPr>
          <w:rFonts w:ascii="Arial" w:hAnsi="Arial" w:cs="Arial"/>
          <w:sz w:val="22"/>
          <w:szCs w:val="22"/>
          <w14:ligatures w14:val="none"/>
        </w:rPr>
        <w:t xml:space="preserve">, N. M. P., &amp; </w:t>
      </w:r>
      <w:proofErr w:type="spellStart"/>
      <w:r w:rsidRPr="002A18B2">
        <w:rPr>
          <w:rFonts w:ascii="Arial" w:hAnsi="Arial" w:cs="Arial"/>
          <w:sz w:val="22"/>
          <w:szCs w:val="22"/>
          <w14:ligatures w14:val="none"/>
        </w:rPr>
        <w:t>Hultink</w:t>
      </w:r>
      <w:proofErr w:type="spellEnd"/>
      <w:r w:rsidRPr="002A18B2">
        <w:rPr>
          <w:rFonts w:ascii="Arial" w:hAnsi="Arial" w:cs="Arial"/>
          <w:sz w:val="22"/>
          <w:szCs w:val="22"/>
          <w14:ligatures w14:val="none"/>
        </w:rPr>
        <w:t xml:space="preserve">, E. J. (2017). The circular economy—A new sustainability paradigm? Journal of Cleaner Production. </w:t>
      </w:r>
      <w:hyperlink r:id="rId18" w:history="1">
        <w:r w:rsidRPr="00D041E1">
          <w:rPr>
            <w:rStyle w:val="Hyperlink"/>
            <w:rFonts w:ascii="Arial" w:hAnsi="Arial" w:cs="Arial"/>
            <w:sz w:val="22"/>
            <w:szCs w:val="22"/>
            <w14:ligatures w14:val="none"/>
          </w:rPr>
          <w:t>https://doi.org/10.1016/j.jclepro.2016.12.048</w:t>
        </w:r>
      </w:hyperlink>
    </w:p>
    <w:p w14:paraId="31C1F530" w14:textId="60255EFB" w:rsid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rPr>
        <w:t xml:space="preserve">Gross, A., &amp; Glaser, B. (2021). Meta-analysis on how manure application changes soil organic carbon storage. Scientific Reports, 11, 5516. </w:t>
      </w:r>
      <w:hyperlink r:id="rId19" w:history="1">
        <w:r w:rsidRPr="00D041E1">
          <w:rPr>
            <w:rStyle w:val="Hyperlink"/>
            <w:rFonts w:ascii="Arial" w:hAnsi="Arial" w:cs="Arial"/>
            <w:sz w:val="22"/>
            <w:szCs w:val="22"/>
          </w:rPr>
          <w:t>https://doi.org/10.1038/s41598-021-82739-7</w:t>
        </w:r>
      </w:hyperlink>
    </w:p>
    <w:p w14:paraId="371EB3D5" w14:textId="60138AE7" w:rsidR="002A18B2" w:rsidRDefault="002A18B2" w:rsidP="00D56865">
      <w:pPr>
        <w:pStyle w:val="NormalWeb"/>
        <w:numPr>
          <w:ilvl w:val="0"/>
          <w:numId w:val="3"/>
        </w:numPr>
        <w:jc w:val="both"/>
        <w:rPr>
          <w:rFonts w:ascii="Arial" w:hAnsi="Arial" w:cs="Arial"/>
          <w:sz w:val="22"/>
          <w:szCs w:val="22"/>
        </w:rPr>
      </w:pPr>
      <w:proofErr w:type="spellStart"/>
      <w:r w:rsidRPr="002A18B2">
        <w:rPr>
          <w:rFonts w:ascii="Arial" w:hAnsi="Arial" w:cs="Arial"/>
          <w:sz w:val="22"/>
          <w:szCs w:val="22"/>
        </w:rPr>
        <w:t>Häfner</w:t>
      </w:r>
      <w:proofErr w:type="spellEnd"/>
      <w:r w:rsidRPr="002A18B2">
        <w:rPr>
          <w:rFonts w:ascii="Arial" w:hAnsi="Arial" w:cs="Arial"/>
          <w:sz w:val="22"/>
          <w:szCs w:val="22"/>
        </w:rPr>
        <w:t xml:space="preserve">, F., Ruser, R., Claß-Mahler, I., &amp; Möller, K. (2021). Field Application of Organic Fertilizers Triggers N2O Emissions </w:t>
      </w:r>
      <w:proofErr w:type="gramStart"/>
      <w:r w:rsidRPr="002A18B2">
        <w:rPr>
          <w:rFonts w:ascii="Arial" w:hAnsi="Arial" w:cs="Arial"/>
          <w:sz w:val="22"/>
          <w:szCs w:val="22"/>
        </w:rPr>
        <w:t>From</w:t>
      </w:r>
      <w:proofErr w:type="gramEnd"/>
      <w:r w:rsidRPr="002A18B2">
        <w:rPr>
          <w:rFonts w:ascii="Arial" w:hAnsi="Arial" w:cs="Arial"/>
          <w:sz w:val="22"/>
          <w:szCs w:val="22"/>
        </w:rPr>
        <w:t xml:space="preserve"> the Soil N Pool as Indicated by 15N-Labeled Digestates. Front. Sustain. Food Syst. </w:t>
      </w:r>
      <w:hyperlink r:id="rId20" w:history="1">
        <w:r w:rsidRPr="00D041E1">
          <w:rPr>
            <w:rStyle w:val="Hyperlink"/>
            <w:rFonts w:ascii="Arial" w:hAnsi="Arial" w:cs="Arial"/>
            <w:sz w:val="22"/>
            <w:szCs w:val="22"/>
          </w:rPr>
          <w:t>https://doi.org/10.3389/fsufs.2020.614349</w:t>
        </w:r>
      </w:hyperlink>
    </w:p>
    <w:p w14:paraId="49E57E65" w14:textId="7557EFD9" w:rsid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rPr>
        <w:t xml:space="preserve">Hale, S. E., Lehmann, J., Rutherford, D., Zimmerman, A. R., Bachmann, R. T., </w:t>
      </w:r>
      <w:proofErr w:type="spellStart"/>
      <w:r w:rsidRPr="002A18B2">
        <w:rPr>
          <w:rFonts w:ascii="Arial" w:hAnsi="Arial" w:cs="Arial"/>
          <w:sz w:val="22"/>
          <w:szCs w:val="22"/>
        </w:rPr>
        <w:t>Shitumbanuma</w:t>
      </w:r>
      <w:proofErr w:type="spellEnd"/>
      <w:r w:rsidRPr="002A18B2">
        <w:rPr>
          <w:rFonts w:ascii="Arial" w:hAnsi="Arial" w:cs="Arial"/>
          <w:sz w:val="22"/>
          <w:szCs w:val="22"/>
        </w:rPr>
        <w:t xml:space="preserve">, V., O’Toole, A., Sundqvist, K. L., Arp, H. P. H., &amp; Cornelissen, G. (2012). Quantifying the total and bioavailable polycyclic aromatic hydrocarbons and dioxins in </w:t>
      </w:r>
      <w:proofErr w:type="spellStart"/>
      <w:r w:rsidRPr="002A18B2">
        <w:rPr>
          <w:rFonts w:ascii="Arial" w:hAnsi="Arial" w:cs="Arial"/>
          <w:sz w:val="22"/>
          <w:szCs w:val="22"/>
        </w:rPr>
        <w:t>biochars</w:t>
      </w:r>
      <w:proofErr w:type="spellEnd"/>
      <w:r w:rsidRPr="002A18B2">
        <w:rPr>
          <w:rFonts w:ascii="Arial" w:hAnsi="Arial" w:cs="Arial"/>
          <w:sz w:val="22"/>
          <w:szCs w:val="22"/>
        </w:rPr>
        <w:t xml:space="preserve">. Environmental Science &amp; Technology, 46(5), 2830–2838. </w:t>
      </w:r>
      <w:hyperlink r:id="rId21" w:history="1">
        <w:r w:rsidRPr="00D041E1">
          <w:rPr>
            <w:rStyle w:val="Hyperlink"/>
            <w:rFonts w:ascii="Arial" w:hAnsi="Arial" w:cs="Arial"/>
            <w:sz w:val="22"/>
            <w:szCs w:val="22"/>
          </w:rPr>
          <w:t>https://doi.org/10.1021/es203984k</w:t>
        </w:r>
      </w:hyperlink>
    </w:p>
    <w:p w14:paraId="5CBFEB9F" w14:textId="666F1177" w:rsid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rPr>
        <w:t xml:space="preserve">Harrison, B. P., Gao, S., Gonzales, M., Thao, T., Bischak, E., </w:t>
      </w:r>
      <w:proofErr w:type="spellStart"/>
      <w:r w:rsidRPr="002A18B2">
        <w:rPr>
          <w:rFonts w:ascii="Arial" w:hAnsi="Arial" w:cs="Arial"/>
          <w:sz w:val="22"/>
          <w:szCs w:val="22"/>
        </w:rPr>
        <w:t>Ghezzehei</w:t>
      </w:r>
      <w:proofErr w:type="spellEnd"/>
      <w:r w:rsidRPr="002A18B2">
        <w:rPr>
          <w:rFonts w:ascii="Arial" w:hAnsi="Arial" w:cs="Arial"/>
          <w:sz w:val="22"/>
          <w:szCs w:val="22"/>
        </w:rPr>
        <w:t xml:space="preserve">, T. A., Berhe, A. A., Diaz, G., &amp; Ryals, R. A. (2022). Dairy manure co-composting with wood biochar plays a critical role in meeting global methane goals. Environmental Science &amp; Technology, 56(15), 10987–10996. </w:t>
      </w:r>
      <w:hyperlink r:id="rId22" w:history="1">
        <w:r w:rsidRPr="00D041E1">
          <w:rPr>
            <w:rStyle w:val="Hyperlink"/>
            <w:rFonts w:ascii="Arial" w:hAnsi="Arial" w:cs="Arial"/>
            <w:sz w:val="22"/>
            <w:szCs w:val="22"/>
          </w:rPr>
          <w:t>https://doi.org/10.1021/acs.est.2c03467</w:t>
        </w:r>
      </w:hyperlink>
    </w:p>
    <w:p w14:paraId="6A2B1999" w14:textId="0435543A" w:rsidR="002A18B2" w:rsidRDefault="002A18B2" w:rsidP="00D56865">
      <w:pPr>
        <w:pStyle w:val="NormalWeb"/>
        <w:numPr>
          <w:ilvl w:val="0"/>
          <w:numId w:val="3"/>
        </w:numPr>
        <w:jc w:val="both"/>
        <w:rPr>
          <w:rFonts w:ascii="Arial" w:hAnsi="Arial" w:cs="Arial"/>
          <w:sz w:val="22"/>
          <w:szCs w:val="22"/>
        </w:rPr>
      </w:pPr>
      <w:proofErr w:type="spellStart"/>
      <w:r w:rsidRPr="002A18B2">
        <w:rPr>
          <w:rFonts w:ascii="Arial" w:hAnsi="Arial" w:cs="Arial"/>
          <w:sz w:val="22"/>
          <w:szCs w:val="22"/>
        </w:rPr>
        <w:t>Hrad</w:t>
      </w:r>
      <w:proofErr w:type="spellEnd"/>
      <w:r w:rsidRPr="002A18B2">
        <w:rPr>
          <w:rFonts w:ascii="Arial" w:hAnsi="Arial" w:cs="Arial"/>
          <w:sz w:val="22"/>
          <w:szCs w:val="22"/>
        </w:rPr>
        <w:t xml:space="preserve">, M., Huber-Humer, M., Reinelt, T., Spangl, B., </w:t>
      </w:r>
      <w:proofErr w:type="spellStart"/>
      <w:r w:rsidRPr="002A18B2">
        <w:rPr>
          <w:rFonts w:ascii="Arial" w:hAnsi="Arial" w:cs="Arial"/>
          <w:sz w:val="22"/>
          <w:szCs w:val="22"/>
        </w:rPr>
        <w:t>Flandorfer</w:t>
      </w:r>
      <w:proofErr w:type="spellEnd"/>
      <w:r w:rsidRPr="002A18B2">
        <w:rPr>
          <w:rFonts w:ascii="Arial" w:hAnsi="Arial" w:cs="Arial"/>
          <w:sz w:val="22"/>
          <w:szCs w:val="22"/>
        </w:rPr>
        <w:t xml:space="preserve">, C., Innocenti, F., Yngvesson, J., Fredenslund, A., &amp; Scheutz, C. (2022). Determination of methane emissions from biogas plants, using different quantification methods. Agricultural and Forest Meteorology </w:t>
      </w:r>
      <w:hyperlink r:id="rId23" w:history="1">
        <w:r w:rsidRPr="00D041E1">
          <w:rPr>
            <w:rStyle w:val="Hyperlink"/>
            <w:rFonts w:ascii="Arial" w:hAnsi="Arial" w:cs="Arial"/>
            <w:sz w:val="22"/>
            <w:szCs w:val="22"/>
          </w:rPr>
          <w:t>https://doi.org/10.1016/j.agrformet.2022.109179</w:t>
        </w:r>
      </w:hyperlink>
    </w:p>
    <w:p w14:paraId="44B48CBC" w14:textId="3AC601E2" w:rsid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rPr>
        <w:t xml:space="preserve">Jeffery, S., Abalos, D., </w:t>
      </w:r>
      <w:proofErr w:type="spellStart"/>
      <w:r w:rsidRPr="002A18B2">
        <w:rPr>
          <w:rFonts w:ascii="Arial" w:hAnsi="Arial" w:cs="Arial"/>
          <w:sz w:val="22"/>
          <w:szCs w:val="22"/>
        </w:rPr>
        <w:t>Prodana</w:t>
      </w:r>
      <w:proofErr w:type="spellEnd"/>
      <w:r w:rsidRPr="002A18B2">
        <w:rPr>
          <w:rFonts w:ascii="Arial" w:hAnsi="Arial" w:cs="Arial"/>
          <w:sz w:val="22"/>
          <w:szCs w:val="22"/>
        </w:rPr>
        <w:t xml:space="preserve">, M., Bastos, A. C., van </w:t>
      </w:r>
      <w:proofErr w:type="spellStart"/>
      <w:r w:rsidRPr="002A18B2">
        <w:rPr>
          <w:rFonts w:ascii="Arial" w:hAnsi="Arial" w:cs="Arial"/>
          <w:sz w:val="22"/>
          <w:szCs w:val="22"/>
        </w:rPr>
        <w:t>Groenigen</w:t>
      </w:r>
      <w:proofErr w:type="spellEnd"/>
      <w:r w:rsidRPr="002A18B2">
        <w:rPr>
          <w:rFonts w:ascii="Arial" w:hAnsi="Arial" w:cs="Arial"/>
          <w:sz w:val="22"/>
          <w:szCs w:val="22"/>
        </w:rPr>
        <w:t xml:space="preserve">, J. W., Hungate, B. A., &amp; Verheijen, F. (2017). Biochar boosts tropical but not temperate crop yields. Environmental Research Letters. </w:t>
      </w:r>
      <w:hyperlink r:id="rId24" w:history="1">
        <w:r w:rsidRPr="00D041E1">
          <w:rPr>
            <w:rStyle w:val="Hyperlink"/>
            <w:rFonts w:ascii="Arial" w:hAnsi="Arial" w:cs="Arial"/>
            <w:sz w:val="22"/>
            <w:szCs w:val="22"/>
          </w:rPr>
          <w:t>https://doi.org/10.1088/1748-9326/aa67bd</w:t>
        </w:r>
      </w:hyperlink>
    </w:p>
    <w:p w14:paraId="27A9D07D" w14:textId="087B15DC" w:rsid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rPr>
        <w:t xml:space="preserve">Jeffery, S., Verheijen, F. G. A., Kammann, C., &amp; Abalos, D. (2016). Biochar effects on methane emissions from soils: A meta-analysis. Soil Biology and Biochemistry. </w:t>
      </w:r>
      <w:hyperlink r:id="rId25" w:history="1">
        <w:r w:rsidRPr="00D041E1">
          <w:rPr>
            <w:rStyle w:val="Hyperlink"/>
            <w:rFonts w:ascii="Arial" w:hAnsi="Arial" w:cs="Arial"/>
            <w:sz w:val="22"/>
            <w:szCs w:val="22"/>
          </w:rPr>
          <w:t>https://doi.org/10.1016/j.soilbio.2016.07.021</w:t>
        </w:r>
      </w:hyperlink>
    </w:p>
    <w:p w14:paraId="53CC548B" w14:textId="1A1872C9" w:rsidR="002A18B2" w:rsidRPr="002A18B2" w:rsidRDefault="002A18B2"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2A18B2">
        <w:rPr>
          <w:rFonts w:ascii="Arial" w:eastAsia="Times New Roman" w:hAnsi="Arial" w:cs="Arial"/>
          <w:kern w:val="0"/>
          <w:lang w:eastAsia="en-IN"/>
        </w:rPr>
        <w:t xml:space="preserve">Joona, J., Liski, E., &amp; </w:t>
      </w:r>
      <w:proofErr w:type="spellStart"/>
      <w:r w:rsidRPr="002A18B2">
        <w:rPr>
          <w:rFonts w:ascii="Arial" w:eastAsia="Times New Roman" w:hAnsi="Arial" w:cs="Arial"/>
          <w:kern w:val="0"/>
          <w:lang w:eastAsia="en-IN"/>
        </w:rPr>
        <w:t>Kahiluoto</w:t>
      </w:r>
      <w:proofErr w:type="spellEnd"/>
      <w:r w:rsidRPr="002A18B2">
        <w:rPr>
          <w:rFonts w:ascii="Arial" w:eastAsia="Times New Roman" w:hAnsi="Arial" w:cs="Arial"/>
          <w:kern w:val="0"/>
          <w:lang w:eastAsia="en-IN"/>
        </w:rPr>
        <w:t xml:space="preserve">, H. (2024). Manure increases soil organic carbon most when allocated to annual cropping. Catena. </w:t>
      </w:r>
      <w:hyperlink r:id="rId26" w:history="1">
        <w:r w:rsidRPr="00D041E1">
          <w:rPr>
            <w:rStyle w:val="Hyperlink"/>
            <w:rFonts w:ascii="Arial" w:eastAsia="Times New Roman" w:hAnsi="Arial" w:cs="Arial"/>
            <w:kern w:val="0"/>
            <w:lang w:eastAsia="en-IN"/>
          </w:rPr>
          <w:t>https://doi.org/10.1016/j.catena.2024.107844</w:t>
        </w:r>
      </w:hyperlink>
    </w:p>
    <w:p w14:paraId="24035859" w14:textId="43B96079" w:rsidR="002A18B2" w:rsidRDefault="002A18B2"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2A18B2">
        <w:rPr>
          <w:rFonts w:ascii="Arial" w:eastAsia="Times New Roman" w:hAnsi="Arial" w:cs="Arial"/>
          <w:kern w:val="0"/>
          <w:lang w:eastAsia="en-IN"/>
          <w14:ligatures w14:val="none"/>
        </w:rPr>
        <w:t xml:space="preserve">Khanna, M., Zilberman, D., Hochman, G., &amp; Basso, B. (2024). An economic perspective of the circular bioeconomy in the food and agricultural sector. Communications Earth &amp; Environment </w:t>
      </w:r>
      <w:hyperlink r:id="rId27" w:history="1">
        <w:r w:rsidRPr="00D041E1">
          <w:rPr>
            <w:rStyle w:val="Hyperlink"/>
            <w:rFonts w:ascii="Arial" w:eastAsia="Times New Roman" w:hAnsi="Arial" w:cs="Arial"/>
            <w:kern w:val="0"/>
            <w:lang w:eastAsia="en-IN"/>
            <w14:ligatures w14:val="none"/>
          </w:rPr>
          <w:t>https://doi.org/10.1038/s43247-024-01663-6</w:t>
        </w:r>
      </w:hyperlink>
    </w:p>
    <w:p w14:paraId="465BDE41" w14:textId="082EBC35" w:rsidR="002A18B2" w:rsidRP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14:ligatures w14:val="none"/>
        </w:rPr>
        <w:t xml:space="preserve">Kirchherr, J., </w:t>
      </w:r>
      <w:proofErr w:type="spellStart"/>
      <w:r w:rsidRPr="002A18B2">
        <w:rPr>
          <w:rFonts w:ascii="Arial" w:hAnsi="Arial" w:cs="Arial"/>
          <w:sz w:val="22"/>
          <w:szCs w:val="22"/>
          <w14:ligatures w14:val="none"/>
        </w:rPr>
        <w:t>Reike</w:t>
      </w:r>
      <w:proofErr w:type="spellEnd"/>
      <w:r w:rsidRPr="002A18B2">
        <w:rPr>
          <w:rFonts w:ascii="Arial" w:hAnsi="Arial" w:cs="Arial"/>
          <w:sz w:val="22"/>
          <w:szCs w:val="22"/>
          <w14:ligatures w14:val="none"/>
        </w:rPr>
        <w:t xml:space="preserve">, D., &amp; Hekkert, M. (2017). Conceptualizing the circular economy: An analysis of 114 definitions. Resources, Conservation and Recycling, 127, 221–232. </w:t>
      </w:r>
      <w:hyperlink r:id="rId28" w:history="1">
        <w:r w:rsidRPr="00D041E1">
          <w:rPr>
            <w:rStyle w:val="Hyperlink"/>
            <w:rFonts w:ascii="Arial" w:hAnsi="Arial" w:cs="Arial"/>
            <w:sz w:val="22"/>
            <w:szCs w:val="22"/>
            <w14:ligatures w14:val="none"/>
          </w:rPr>
          <w:t>https://doi.org/10.1016/j.resconrec.2017.09.005</w:t>
        </w:r>
      </w:hyperlink>
    </w:p>
    <w:p w14:paraId="0E3EB0B0" w14:textId="56C43330" w:rsidR="002A18B2" w:rsidRDefault="002A18B2" w:rsidP="00D56865">
      <w:pPr>
        <w:pStyle w:val="NormalWeb"/>
        <w:numPr>
          <w:ilvl w:val="0"/>
          <w:numId w:val="3"/>
        </w:numPr>
        <w:jc w:val="both"/>
        <w:rPr>
          <w:rFonts w:ascii="Arial" w:hAnsi="Arial" w:cs="Arial"/>
          <w:sz w:val="22"/>
          <w:szCs w:val="22"/>
        </w:rPr>
      </w:pPr>
      <w:r w:rsidRPr="002A18B2">
        <w:rPr>
          <w:rFonts w:ascii="Arial" w:hAnsi="Arial" w:cs="Arial"/>
          <w:sz w:val="22"/>
          <w:szCs w:val="22"/>
        </w:rPr>
        <w:t xml:space="preserve">Kreibich, N., &amp; </w:t>
      </w:r>
      <w:proofErr w:type="spellStart"/>
      <w:r w:rsidRPr="002A18B2">
        <w:rPr>
          <w:rFonts w:ascii="Arial" w:hAnsi="Arial" w:cs="Arial"/>
          <w:sz w:val="22"/>
          <w:szCs w:val="22"/>
        </w:rPr>
        <w:t>Hermwille</w:t>
      </w:r>
      <w:proofErr w:type="spellEnd"/>
      <w:r w:rsidRPr="002A18B2">
        <w:rPr>
          <w:rFonts w:ascii="Arial" w:hAnsi="Arial" w:cs="Arial"/>
          <w:sz w:val="22"/>
          <w:szCs w:val="22"/>
        </w:rPr>
        <w:t xml:space="preserve">, L. (2021). Caught in between: credibility and feasibility of the voluntary carbon market post-2020. Climate Policy, 21(7), 939–957. </w:t>
      </w:r>
      <w:hyperlink r:id="rId29" w:history="1">
        <w:r w:rsidRPr="00D041E1">
          <w:rPr>
            <w:rStyle w:val="Hyperlink"/>
            <w:rFonts w:ascii="Arial" w:hAnsi="Arial" w:cs="Arial"/>
            <w:sz w:val="22"/>
            <w:szCs w:val="22"/>
          </w:rPr>
          <w:t>https://doi.org/10.1080/14693062.2021.1948384</w:t>
        </w:r>
      </w:hyperlink>
    </w:p>
    <w:p w14:paraId="612F7D3C" w14:textId="390D61B3" w:rsidR="00337891" w:rsidRPr="00337891" w:rsidRDefault="00337891"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Launay, C., </w:t>
      </w:r>
      <w:proofErr w:type="spellStart"/>
      <w:r w:rsidRPr="00337891">
        <w:rPr>
          <w:rFonts w:ascii="Arial" w:eastAsia="Times New Roman" w:hAnsi="Arial" w:cs="Arial"/>
          <w:kern w:val="0"/>
          <w:lang w:eastAsia="en-IN"/>
        </w:rPr>
        <w:t>Houot</w:t>
      </w:r>
      <w:proofErr w:type="spellEnd"/>
      <w:r w:rsidRPr="00337891">
        <w:rPr>
          <w:rFonts w:ascii="Arial" w:eastAsia="Times New Roman" w:hAnsi="Arial" w:cs="Arial"/>
          <w:kern w:val="0"/>
          <w:lang w:eastAsia="en-IN"/>
        </w:rPr>
        <w:t xml:space="preserve">, S., Frédéric, S., Girault, R., Levavasseur, F., Marsac, S., &amp; Constantin, J. (2022). Incorporating energy cover crops for biogas production into agricultural systems: Benefits and environmental impacts—A review. Agronomy for Sustainable Development, 42, Article 57. </w:t>
      </w:r>
      <w:hyperlink r:id="rId30" w:history="1">
        <w:r w:rsidRPr="00D041E1">
          <w:rPr>
            <w:rStyle w:val="Hyperlink"/>
            <w:rFonts w:ascii="Arial" w:eastAsia="Times New Roman" w:hAnsi="Arial" w:cs="Arial"/>
            <w:kern w:val="0"/>
            <w:lang w:eastAsia="en-IN"/>
          </w:rPr>
          <w:t>https://doi.org/10.1007/s13593-022-00790-8</w:t>
        </w:r>
      </w:hyperlink>
    </w:p>
    <w:p w14:paraId="5C059B8E" w14:textId="7E642EBF" w:rsidR="00337891" w:rsidRPr="00337891" w:rsidRDefault="00337891"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rPr>
      </w:pPr>
      <w:r w:rsidRPr="00337891">
        <w:rPr>
          <w:rFonts w:ascii="Arial" w:eastAsia="Times New Roman" w:hAnsi="Arial" w:cs="Arial"/>
          <w:kern w:val="0"/>
          <w:lang w:eastAsia="en-IN"/>
          <w14:ligatures w14:val="none"/>
        </w:rPr>
        <w:t xml:space="preserve">Lehmann, J., Cowie, A., Masiello, C. A., Kammann, C., Woolf, D., Amonette, J. E., </w:t>
      </w:r>
      <w:proofErr w:type="spellStart"/>
      <w:r w:rsidRPr="00337891">
        <w:rPr>
          <w:rFonts w:ascii="Arial" w:eastAsia="Times New Roman" w:hAnsi="Arial" w:cs="Arial"/>
          <w:kern w:val="0"/>
          <w:lang w:eastAsia="en-IN"/>
          <w14:ligatures w14:val="none"/>
        </w:rPr>
        <w:t>Cayuela</w:t>
      </w:r>
      <w:proofErr w:type="spellEnd"/>
      <w:r w:rsidRPr="00337891">
        <w:rPr>
          <w:rFonts w:ascii="Arial" w:eastAsia="Times New Roman" w:hAnsi="Arial" w:cs="Arial"/>
          <w:kern w:val="0"/>
          <w:lang w:eastAsia="en-IN"/>
          <w14:ligatures w14:val="none"/>
        </w:rPr>
        <w:t>, M. L., Camps-</w:t>
      </w:r>
      <w:proofErr w:type="spellStart"/>
      <w:r w:rsidRPr="00337891">
        <w:rPr>
          <w:rFonts w:ascii="Arial" w:eastAsia="Times New Roman" w:hAnsi="Arial" w:cs="Arial"/>
          <w:kern w:val="0"/>
          <w:lang w:eastAsia="en-IN"/>
          <w14:ligatures w14:val="none"/>
        </w:rPr>
        <w:t>Arbestain</w:t>
      </w:r>
      <w:proofErr w:type="spellEnd"/>
      <w:r w:rsidRPr="00337891">
        <w:rPr>
          <w:rFonts w:ascii="Arial" w:eastAsia="Times New Roman" w:hAnsi="Arial" w:cs="Arial"/>
          <w:kern w:val="0"/>
          <w:lang w:eastAsia="en-IN"/>
          <w14:ligatures w14:val="none"/>
        </w:rPr>
        <w:t xml:space="preserve">, M., &amp; Whitman, T. (2021). Biochar in climate </w:t>
      </w:r>
      <w:r w:rsidRPr="00337891">
        <w:rPr>
          <w:rFonts w:ascii="Arial" w:eastAsia="Times New Roman" w:hAnsi="Arial" w:cs="Arial"/>
          <w:kern w:val="0"/>
          <w:lang w:eastAsia="en-IN"/>
          <w14:ligatures w14:val="none"/>
        </w:rPr>
        <w:lastRenderedPageBreak/>
        <w:t xml:space="preserve">change mitigation. Nature Geoscience, 14(12), 883–892. </w:t>
      </w:r>
      <w:hyperlink r:id="rId31" w:history="1">
        <w:r w:rsidRPr="00D041E1">
          <w:rPr>
            <w:rStyle w:val="Hyperlink"/>
            <w:rFonts w:ascii="Arial" w:eastAsia="Times New Roman" w:hAnsi="Arial" w:cs="Arial"/>
            <w:kern w:val="0"/>
            <w:lang w:eastAsia="en-IN"/>
            <w14:ligatures w14:val="none"/>
          </w:rPr>
          <w:t>https://doi.org/10.1038/s41561-021-00852-8</w:t>
        </w:r>
      </w:hyperlink>
    </w:p>
    <w:p w14:paraId="2B8D584C" w14:textId="5D5E152C" w:rsidR="00337891" w:rsidRPr="00337891" w:rsidRDefault="00337891" w:rsidP="00D56865">
      <w:pPr>
        <w:pStyle w:val="NormalWeb"/>
        <w:numPr>
          <w:ilvl w:val="0"/>
          <w:numId w:val="3"/>
        </w:numPr>
        <w:jc w:val="both"/>
        <w:rPr>
          <w:rFonts w:ascii="Arial" w:hAnsi="Arial" w:cs="Arial"/>
          <w:sz w:val="22"/>
          <w:szCs w:val="22"/>
        </w:rPr>
      </w:pPr>
      <w:r w:rsidRPr="00337891">
        <w:rPr>
          <w:rFonts w:ascii="Arial" w:eastAsiaTheme="minorHAnsi" w:hAnsi="Arial" w:cs="Arial"/>
          <w:kern w:val="2"/>
          <w:sz w:val="22"/>
          <w:szCs w:val="22"/>
          <w:lang w:eastAsia="en-US"/>
        </w:rPr>
        <w:t xml:space="preserve">Lemes, R., Kuligowski, K., </w:t>
      </w:r>
      <w:proofErr w:type="spellStart"/>
      <w:r w:rsidRPr="00337891">
        <w:rPr>
          <w:rFonts w:ascii="Arial" w:eastAsiaTheme="minorHAnsi" w:hAnsi="Arial" w:cs="Arial"/>
          <w:kern w:val="2"/>
          <w:sz w:val="22"/>
          <w:szCs w:val="22"/>
          <w:lang w:eastAsia="en-US"/>
        </w:rPr>
        <w:t>Raboni</w:t>
      </w:r>
      <w:proofErr w:type="spellEnd"/>
      <w:r w:rsidRPr="00337891">
        <w:rPr>
          <w:rFonts w:ascii="Arial" w:eastAsiaTheme="minorHAnsi" w:hAnsi="Arial" w:cs="Arial"/>
          <w:kern w:val="2"/>
          <w:sz w:val="22"/>
          <w:szCs w:val="22"/>
          <w:lang w:eastAsia="en-US"/>
        </w:rPr>
        <w:t xml:space="preserve">, R., Lopez, M., &amp; Martí, M. (2022). Full-Scale Investigation of Methane and Ammonia Mitigation by Early Single-Dose Slurry Storage Acidification. ACS Agricultural Science &amp; Technology, 2(6), 1196-1205. </w:t>
      </w:r>
      <w:hyperlink r:id="rId32" w:history="1">
        <w:r w:rsidRPr="00D041E1">
          <w:rPr>
            <w:rStyle w:val="Hyperlink"/>
            <w:rFonts w:ascii="Arial" w:eastAsiaTheme="minorHAnsi" w:hAnsi="Arial" w:cs="Arial"/>
            <w:kern w:val="2"/>
            <w:sz w:val="22"/>
            <w:szCs w:val="22"/>
            <w:lang w:eastAsia="en-US"/>
          </w:rPr>
          <w:t>https://doi.org/10.1021/acsagscitech.2c00172</w:t>
        </w:r>
      </w:hyperlink>
    </w:p>
    <w:p w14:paraId="30A8A7AC" w14:textId="311B4445"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 xml:space="preserve">Li, B., Liang, F., Wang, Y., Cao, W., Song, H., Chen, J., &amp; Guo, J. (2023). Magnitude and efficiency of straw return in building up soil organic carbon: A global synthesis integrating the impacts of agricultural managements and environmental conditions. Science of the Total Environment, 875, 162670. </w:t>
      </w:r>
      <w:hyperlink r:id="rId33" w:history="1">
        <w:r w:rsidRPr="00D041E1">
          <w:rPr>
            <w:rStyle w:val="Hyperlink"/>
            <w:rFonts w:ascii="Arial" w:hAnsi="Arial" w:cs="Arial"/>
            <w:sz w:val="22"/>
            <w:szCs w:val="22"/>
          </w:rPr>
          <w:t>https://doi.org/10.1016/j.scitotenv.2023.162670</w:t>
        </w:r>
      </w:hyperlink>
    </w:p>
    <w:p w14:paraId="47CADFA4" w14:textId="4EF22E27" w:rsidR="00337891" w:rsidRPr="00337891" w:rsidRDefault="00337891"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Li, H., Song, X., Wu, D., Wei, D., &amp; Ju, X. (2024). Digestate induces significantly higher N2O emission compared to urea under different soil properties and moisture. Environmental Research, 241, 117617. </w:t>
      </w:r>
      <w:hyperlink r:id="rId34" w:history="1">
        <w:r w:rsidRPr="00D041E1">
          <w:rPr>
            <w:rStyle w:val="Hyperlink"/>
            <w:rFonts w:ascii="Arial" w:eastAsia="Times New Roman" w:hAnsi="Arial" w:cs="Arial"/>
            <w:kern w:val="0"/>
            <w:lang w:eastAsia="en-IN"/>
          </w:rPr>
          <w:t>https://doi.org/10.1016/j.envres.2023.117617</w:t>
        </w:r>
      </w:hyperlink>
    </w:p>
    <w:p w14:paraId="15575453" w14:textId="7624F353" w:rsidR="00337891" w:rsidRPr="00337891" w:rsidRDefault="00337891" w:rsidP="00D56865">
      <w:pPr>
        <w:pStyle w:val="ListParagraph"/>
        <w:numPr>
          <w:ilvl w:val="0"/>
          <w:numId w:val="3"/>
        </w:numPr>
        <w:spacing w:before="100" w:beforeAutospacing="1" w:after="100" w:afterAutospacing="1" w:line="240" w:lineRule="auto"/>
        <w:jc w:val="both"/>
        <w:rPr>
          <w:rFonts w:ascii="Arial" w:hAnsi="Arial" w:cs="Arial"/>
        </w:rPr>
      </w:pPr>
      <w:r w:rsidRPr="00337891">
        <w:rPr>
          <w:rFonts w:ascii="Arial" w:eastAsia="Times New Roman" w:hAnsi="Arial" w:cs="Arial"/>
          <w:kern w:val="0"/>
          <w:lang w:eastAsia="en-IN"/>
          <w14:ligatures w14:val="none"/>
        </w:rPr>
        <w:t xml:space="preserve">Li, X., Wu, D., Liu, X., Huang, Y., Cai, A., Xu, H., Ran, J., Xiao, J., &amp; Zhang, W. (2024). A global dataset of biochar application effects on crop yield, soil properties, and greenhouse gas emissions. Scientific Data. </w:t>
      </w:r>
      <w:hyperlink r:id="rId35" w:history="1">
        <w:r w:rsidRPr="00D041E1">
          <w:rPr>
            <w:rStyle w:val="Hyperlink"/>
            <w:rFonts w:ascii="Arial" w:eastAsia="Times New Roman" w:hAnsi="Arial" w:cs="Arial"/>
            <w:kern w:val="0"/>
            <w:lang w:eastAsia="en-IN"/>
            <w14:ligatures w14:val="none"/>
          </w:rPr>
          <w:t>https://doi.org/10.1038/s41597-023-02867-9</w:t>
        </w:r>
      </w:hyperlink>
    </w:p>
    <w:p w14:paraId="6132DC2A" w14:textId="1A522E07" w:rsidR="00337891" w:rsidRPr="00337891" w:rsidRDefault="00337891" w:rsidP="00D56865">
      <w:pPr>
        <w:pStyle w:val="NormalWeb"/>
        <w:numPr>
          <w:ilvl w:val="0"/>
          <w:numId w:val="3"/>
        </w:numPr>
        <w:jc w:val="both"/>
        <w:rPr>
          <w:rFonts w:ascii="Arial" w:hAnsi="Arial" w:cs="Arial"/>
          <w:sz w:val="22"/>
          <w:szCs w:val="22"/>
        </w:rPr>
      </w:pPr>
      <w:r w:rsidRPr="00337891">
        <w:rPr>
          <w:rFonts w:ascii="Arial" w:eastAsiaTheme="minorHAnsi" w:hAnsi="Arial" w:cs="Arial"/>
          <w:kern w:val="2"/>
          <w:sz w:val="22"/>
          <w:szCs w:val="22"/>
          <w:lang w:eastAsia="en-US"/>
        </w:rPr>
        <w:t xml:space="preserve">Liyanage, T. D. P., Maeda, M., </w:t>
      </w:r>
      <w:proofErr w:type="spellStart"/>
      <w:r w:rsidRPr="00337891">
        <w:rPr>
          <w:rFonts w:ascii="Arial" w:eastAsiaTheme="minorHAnsi" w:hAnsi="Arial" w:cs="Arial"/>
          <w:kern w:val="2"/>
          <w:sz w:val="22"/>
          <w:szCs w:val="22"/>
          <w:lang w:eastAsia="en-US"/>
        </w:rPr>
        <w:t>Somura</w:t>
      </w:r>
      <w:proofErr w:type="spellEnd"/>
      <w:r w:rsidRPr="00337891">
        <w:rPr>
          <w:rFonts w:ascii="Arial" w:eastAsiaTheme="minorHAnsi" w:hAnsi="Arial" w:cs="Arial"/>
          <w:kern w:val="2"/>
          <w:sz w:val="22"/>
          <w:szCs w:val="22"/>
          <w:lang w:eastAsia="en-US"/>
        </w:rPr>
        <w:t xml:space="preserve">, H., Thuong, N. T. T., Mori, M., &amp; Fujiwara, T. (2022). Nitrous oxide and carbon dioxide emissions from two soils amended with different manure composts in aerobic incubation tests. Soil Science and Plant Nutrition, 68(4), 491–504. </w:t>
      </w:r>
      <w:hyperlink r:id="rId36" w:history="1">
        <w:r w:rsidRPr="00D041E1">
          <w:rPr>
            <w:rStyle w:val="Hyperlink"/>
            <w:rFonts w:ascii="Arial" w:eastAsiaTheme="minorHAnsi" w:hAnsi="Arial" w:cs="Arial"/>
            <w:kern w:val="2"/>
            <w:sz w:val="22"/>
            <w:szCs w:val="22"/>
            <w:lang w:eastAsia="en-US"/>
          </w:rPr>
          <w:t>https://doi.org/10.1080/00380768.2022.2095669</w:t>
        </w:r>
      </w:hyperlink>
    </w:p>
    <w:p w14:paraId="7C336632" w14:textId="56B8D28C" w:rsidR="00337891" w:rsidRPr="00337891" w:rsidRDefault="00337891" w:rsidP="00D56865">
      <w:pPr>
        <w:pStyle w:val="NormalWeb"/>
        <w:numPr>
          <w:ilvl w:val="0"/>
          <w:numId w:val="3"/>
        </w:numPr>
        <w:jc w:val="both"/>
        <w:rPr>
          <w:rFonts w:ascii="Arial" w:hAnsi="Arial" w:cs="Arial"/>
          <w:sz w:val="22"/>
          <w:szCs w:val="22"/>
        </w:rPr>
      </w:pPr>
      <w:r w:rsidRPr="00337891">
        <w:rPr>
          <w:rFonts w:ascii="Arial" w:hAnsi="Arial" w:cs="Arial"/>
          <w:color w:val="000000"/>
          <w:sz w:val="22"/>
          <w:szCs w:val="22"/>
          <w:shd w:val="clear" w:color="auto" w:fill="FFFFFF"/>
        </w:rPr>
        <w:t xml:space="preserve">Shekhar, S., </w:t>
      </w:r>
      <w:proofErr w:type="spellStart"/>
      <w:r w:rsidRPr="00337891">
        <w:rPr>
          <w:rFonts w:ascii="Arial" w:hAnsi="Arial" w:cs="Arial"/>
          <w:color w:val="000000"/>
          <w:sz w:val="22"/>
          <w:szCs w:val="22"/>
          <w:shd w:val="clear" w:color="auto" w:fill="FFFFFF"/>
        </w:rPr>
        <w:t>Mailapalli</w:t>
      </w:r>
      <w:proofErr w:type="spellEnd"/>
      <w:r w:rsidRPr="00337891">
        <w:rPr>
          <w:rFonts w:ascii="Arial" w:hAnsi="Arial" w:cs="Arial"/>
          <w:color w:val="000000"/>
          <w:sz w:val="22"/>
          <w:szCs w:val="22"/>
          <w:shd w:val="clear" w:color="auto" w:fill="FFFFFF"/>
        </w:rPr>
        <w:t xml:space="preserve">, D. R., &amp; </w:t>
      </w:r>
      <w:proofErr w:type="spellStart"/>
      <w:r w:rsidRPr="00337891">
        <w:rPr>
          <w:rFonts w:ascii="Arial" w:hAnsi="Arial" w:cs="Arial"/>
          <w:color w:val="000000"/>
          <w:sz w:val="22"/>
          <w:szCs w:val="22"/>
          <w:shd w:val="clear" w:color="auto" w:fill="FFFFFF"/>
        </w:rPr>
        <w:t>Raghuwanshi</w:t>
      </w:r>
      <w:proofErr w:type="spellEnd"/>
      <w:r w:rsidRPr="00337891">
        <w:rPr>
          <w:rFonts w:ascii="Arial" w:hAnsi="Arial" w:cs="Arial"/>
          <w:color w:val="000000"/>
          <w:sz w:val="22"/>
          <w:szCs w:val="22"/>
          <w:shd w:val="clear" w:color="auto" w:fill="FFFFFF"/>
        </w:rPr>
        <w:t xml:space="preserve">, N. S. (2022). Effect of Alternate Wetting and Drying Irrigation Practice on Rice Crop Growth and Yield: A Lysimeter Study. ACS Agricultural Science &amp; Technology, 2(5), 919-931. </w:t>
      </w:r>
      <w:hyperlink r:id="rId37" w:history="1">
        <w:r w:rsidRPr="00D041E1">
          <w:rPr>
            <w:rStyle w:val="Hyperlink"/>
            <w:rFonts w:ascii="Arial" w:hAnsi="Arial" w:cs="Arial"/>
            <w:sz w:val="22"/>
            <w:szCs w:val="22"/>
            <w:shd w:val="clear" w:color="auto" w:fill="FFFFFF"/>
          </w:rPr>
          <w:t>https://doi.org/10.1021/acsagscitech.1c00239</w:t>
        </w:r>
      </w:hyperlink>
    </w:p>
    <w:p w14:paraId="13052FCF" w14:textId="6CDCEC45"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 xml:space="preserve">Maillard, É., &amp; Angers, D. A. (2014). Animal manure application and soil organic carbon stocks: A meta-analysis. Global Change Biology. </w:t>
      </w:r>
      <w:hyperlink r:id="rId38" w:history="1">
        <w:r w:rsidRPr="00D041E1">
          <w:rPr>
            <w:rStyle w:val="Hyperlink"/>
            <w:rFonts w:ascii="Arial" w:hAnsi="Arial" w:cs="Arial"/>
            <w:sz w:val="22"/>
            <w:szCs w:val="22"/>
          </w:rPr>
          <w:t>https://doi.org/10.1111/gcb.12438</w:t>
        </w:r>
      </w:hyperlink>
    </w:p>
    <w:p w14:paraId="40A9C238" w14:textId="7E8B67A0"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 xml:space="preserve">Nordahl, S. L., Preble, C. V., </w:t>
      </w:r>
      <w:proofErr w:type="spellStart"/>
      <w:r w:rsidRPr="00337891">
        <w:rPr>
          <w:rFonts w:ascii="Arial" w:hAnsi="Arial" w:cs="Arial"/>
          <w:sz w:val="22"/>
          <w:szCs w:val="22"/>
        </w:rPr>
        <w:t>Kirchstetter</w:t>
      </w:r>
      <w:proofErr w:type="spellEnd"/>
      <w:r w:rsidRPr="00337891">
        <w:rPr>
          <w:rFonts w:ascii="Arial" w:hAnsi="Arial" w:cs="Arial"/>
          <w:sz w:val="22"/>
          <w:szCs w:val="22"/>
        </w:rPr>
        <w:t xml:space="preserve">, T. W., &amp; Scown, C. D. (2023). Greenhouse gas and air pollutant emissions from composting. Environmental Science &amp; Technology, 57(6), 2235–2247. </w:t>
      </w:r>
      <w:hyperlink r:id="rId39" w:history="1">
        <w:r w:rsidRPr="00D041E1">
          <w:rPr>
            <w:rStyle w:val="Hyperlink"/>
            <w:rFonts w:ascii="Arial" w:hAnsi="Arial" w:cs="Arial"/>
            <w:sz w:val="22"/>
            <w:szCs w:val="22"/>
          </w:rPr>
          <w:t>https://doi.org/10.1021/acs.est.2c05846</w:t>
        </w:r>
      </w:hyperlink>
    </w:p>
    <w:p w14:paraId="617FD3B8" w14:textId="59E95C91"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 xml:space="preserve">O'Brien, P. L., &amp; Hatfield, J. L. (2019). Dairy Manure and Synthetic Fertilizer: A Meta-Analysis of Crop Production and Environmental Quality. </w:t>
      </w:r>
      <w:proofErr w:type="spellStart"/>
      <w:r w:rsidRPr="00337891">
        <w:rPr>
          <w:rFonts w:ascii="Arial" w:hAnsi="Arial" w:cs="Arial"/>
          <w:sz w:val="22"/>
          <w:szCs w:val="22"/>
        </w:rPr>
        <w:t>Agrosystems</w:t>
      </w:r>
      <w:proofErr w:type="spellEnd"/>
      <w:r w:rsidRPr="00337891">
        <w:rPr>
          <w:rFonts w:ascii="Arial" w:hAnsi="Arial" w:cs="Arial"/>
          <w:sz w:val="22"/>
          <w:szCs w:val="22"/>
        </w:rPr>
        <w:t xml:space="preserve">, Geosciences &amp; Environment. </w:t>
      </w:r>
      <w:hyperlink r:id="rId40" w:history="1">
        <w:r w:rsidRPr="00D041E1">
          <w:rPr>
            <w:rStyle w:val="Hyperlink"/>
            <w:rFonts w:ascii="Arial" w:hAnsi="Arial" w:cs="Arial"/>
            <w:sz w:val="22"/>
            <w:szCs w:val="22"/>
          </w:rPr>
          <w:t>https://doi.org/10.2134/age2019.04.0027</w:t>
        </w:r>
      </w:hyperlink>
    </w:p>
    <w:p w14:paraId="2E39C626" w14:textId="3115ACA9"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 xml:space="preserve">Oldfield, E. E., Eagle, A. J., Rubin, R. L., Rudek, J., Sanderman, J., &amp; Gordon, D. R. (2022). Crediting agricultural soil carbon sequestration. Science, 375(6586), 1222–1225. </w:t>
      </w:r>
      <w:hyperlink r:id="rId41" w:history="1">
        <w:r w:rsidRPr="00D041E1">
          <w:rPr>
            <w:rStyle w:val="Hyperlink"/>
            <w:rFonts w:ascii="Arial" w:hAnsi="Arial" w:cs="Arial"/>
            <w:sz w:val="22"/>
            <w:szCs w:val="22"/>
          </w:rPr>
          <w:t>https://doi.org/10.1126/science.abl7991</w:t>
        </w:r>
      </w:hyperlink>
    </w:p>
    <w:p w14:paraId="02ED3834" w14:textId="5D4A3254"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 xml:space="preserve">Overmeyer, V., Trimborn, M., Clemens, J., Hölscher, R., &amp; Büscher, W. (2023). Acidification of slurry to reduce ammonia and methane emissions: Deployment of a retrofittable system in fattening pig barns. Journal of Environmental Management. </w:t>
      </w:r>
      <w:hyperlink r:id="rId42" w:history="1">
        <w:r w:rsidRPr="00D041E1">
          <w:rPr>
            <w:rStyle w:val="Hyperlink"/>
            <w:rFonts w:ascii="Arial" w:hAnsi="Arial" w:cs="Arial"/>
            <w:sz w:val="22"/>
            <w:szCs w:val="22"/>
          </w:rPr>
          <w:t>https://doi.org/10.1016/j.jenvman.2023.117263</w:t>
        </w:r>
      </w:hyperlink>
    </w:p>
    <w:p w14:paraId="255DF9A5" w14:textId="5647B938" w:rsidR="00337891" w:rsidRPr="00337891" w:rsidRDefault="00337891"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Pedersen, J., &amp; Hafner, S. D. (2023). Ammonia emissions after field application of anaerobically digested animal slurry: Literature review and perspectives. Agriculture, Ecosystems &amp; Environment, 357, 108697. </w:t>
      </w:r>
      <w:hyperlink r:id="rId43" w:history="1">
        <w:r w:rsidRPr="00D041E1">
          <w:rPr>
            <w:rStyle w:val="Hyperlink"/>
            <w:rFonts w:ascii="Arial" w:eastAsia="Times New Roman" w:hAnsi="Arial" w:cs="Arial"/>
            <w:kern w:val="0"/>
            <w:lang w:eastAsia="en-IN"/>
          </w:rPr>
          <w:t>https://doi.org/10.1016/j.agee.2023.108697</w:t>
        </w:r>
      </w:hyperlink>
    </w:p>
    <w:p w14:paraId="03215216" w14:textId="14A38C27" w:rsidR="00337891" w:rsidRP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14:ligatures w14:val="none"/>
        </w:rPr>
        <w:t xml:space="preserve">Peters, J. F., Iribarren, D., &amp; Dufour, J. (2015). Biomass pyrolysis for biochar or energy applications? A life cycle assessment. Environmental Science &amp; Technology, 49(8), 5195–5202 </w:t>
      </w:r>
      <w:hyperlink r:id="rId44" w:history="1">
        <w:r w:rsidRPr="00D041E1">
          <w:rPr>
            <w:rStyle w:val="Hyperlink"/>
            <w:rFonts w:ascii="Arial" w:hAnsi="Arial" w:cs="Arial"/>
            <w:sz w:val="22"/>
            <w:szCs w:val="22"/>
            <w14:ligatures w14:val="none"/>
          </w:rPr>
          <w:t>https://doi.org/10.1021/es5060786</w:t>
        </w:r>
      </w:hyperlink>
    </w:p>
    <w:p w14:paraId="47F184B6" w14:textId="0AD82DB1" w:rsidR="00337891" w:rsidRPr="00337891" w:rsidRDefault="00337891"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Probst, B. S., </w:t>
      </w:r>
      <w:proofErr w:type="spellStart"/>
      <w:r w:rsidRPr="00337891">
        <w:rPr>
          <w:rFonts w:ascii="Arial" w:eastAsia="Times New Roman" w:hAnsi="Arial" w:cs="Arial"/>
          <w:kern w:val="0"/>
          <w:lang w:eastAsia="en-IN"/>
        </w:rPr>
        <w:t>Toetzke</w:t>
      </w:r>
      <w:proofErr w:type="spellEnd"/>
      <w:r w:rsidRPr="00337891">
        <w:rPr>
          <w:rFonts w:ascii="Arial" w:eastAsia="Times New Roman" w:hAnsi="Arial" w:cs="Arial"/>
          <w:kern w:val="0"/>
          <w:lang w:eastAsia="en-IN"/>
        </w:rPr>
        <w:t xml:space="preserve">, M., </w:t>
      </w:r>
      <w:proofErr w:type="spellStart"/>
      <w:r w:rsidRPr="00337891">
        <w:rPr>
          <w:rFonts w:ascii="Arial" w:eastAsia="Times New Roman" w:hAnsi="Arial" w:cs="Arial"/>
          <w:kern w:val="0"/>
          <w:lang w:eastAsia="en-IN"/>
        </w:rPr>
        <w:t>Kontoleon</w:t>
      </w:r>
      <w:proofErr w:type="spellEnd"/>
      <w:r w:rsidRPr="00337891">
        <w:rPr>
          <w:rFonts w:ascii="Arial" w:eastAsia="Times New Roman" w:hAnsi="Arial" w:cs="Arial"/>
          <w:kern w:val="0"/>
          <w:lang w:eastAsia="en-IN"/>
        </w:rPr>
        <w:t xml:space="preserve">, A., Díaz Anadón, L., Minx, J. C., Haya, B. K., Schneider, L., Trotter, P. A., West, T. A. P., Gill-Wiehl, A., Hoffmann, V. H., </w:t>
      </w:r>
      <w:proofErr w:type="spellStart"/>
      <w:r w:rsidRPr="00337891">
        <w:rPr>
          <w:rFonts w:ascii="Arial" w:eastAsia="Times New Roman" w:hAnsi="Arial" w:cs="Arial"/>
          <w:kern w:val="0"/>
          <w:lang w:eastAsia="en-IN"/>
        </w:rPr>
        <w:t>Michaelowa</w:t>
      </w:r>
      <w:proofErr w:type="spellEnd"/>
      <w:r w:rsidRPr="00337891">
        <w:rPr>
          <w:rFonts w:ascii="Arial" w:eastAsia="Times New Roman" w:hAnsi="Arial" w:cs="Arial"/>
          <w:kern w:val="0"/>
          <w:lang w:eastAsia="en-IN"/>
        </w:rPr>
        <w:t xml:space="preserve">, A., </w:t>
      </w:r>
      <w:proofErr w:type="spellStart"/>
      <w:r w:rsidRPr="00337891">
        <w:rPr>
          <w:rFonts w:ascii="Arial" w:eastAsia="Times New Roman" w:hAnsi="Arial" w:cs="Arial"/>
          <w:kern w:val="0"/>
          <w:lang w:eastAsia="en-IN"/>
        </w:rPr>
        <w:t>Creutzig</w:t>
      </w:r>
      <w:proofErr w:type="spellEnd"/>
      <w:r w:rsidRPr="00337891">
        <w:rPr>
          <w:rFonts w:ascii="Arial" w:eastAsia="Times New Roman" w:hAnsi="Arial" w:cs="Arial"/>
          <w:kern w:val="0"/>
          <w:lang w:eastAsia="en-IN"/>
        </w:rPr>
        <w:t xml:space="preserve">, F., Lamb, W. F., Geden, O., </w:t>
      </w:r>
      <w:proofErr w:type="spellStart"/>
      <w:r w:rsidRPr="00337891">
        <w:rPr>
          <w:rFonts w:ascii="Arial" w:eastAsia="Times New Roman" w:hAnsi="Arial" w:cs="Arial"/>
          <w:kern w:val="0"/>
          <w:lang w:eastAsia="en-IN"/>
        </w:rPr>
        <w:t>Flachsland</w:t>
      </w:r>
      <w:proofErr w:type="spellEnd"/>
      <w:r w:rsidRPr="00337891">
        <w:rPr>
          <w:rFonts w:ascii="Arial" w:eastAsia="Times New Roman" w:hAnsi="Arial" w:cs="Arial"/>
          <w:kern w:val="0"/>
          <w:lang w:eastAsia="en-IN"/>
        </w:rPr>
        <w:t xml:space="preserve">, C., Honegger, M., van den Bergh, J. C. J. M., Jakob, M., Nemet, G., Peters, G. P., Rogelj, J., Schneider, L., Smith, S. M., Steckel, J. C., Fuss, S., </w:t>
      </w:r>
      <w:proofErr w:type="spellStart"/>
      <w:r w:rsidRPr="00337891">
        <w:rPr>
          <w:rFonts w:ascii="Arial" w:eastAsia="Times New Roman" w:hAnsi="Arial" w:cs="Arial"/>
          <w:kern w:val="0"/>
          <w:lang w:eastAsia="en-IN"/>
        </w:rPr>
        <w:t>Marschinski</w:t>
      </w:r>
      <w:proofErr w:type="spellEnd"/>
      <w:r w:rsidRPr="00337891">
        <w:rPr>
          <w:rFonts w:ascii="Arial" w:eastAsia="Times New Roman" w:hAnsi="Arial" w:cs="Arial"/>
          <w:kern w:val="0"/>
          <w:lang w:eastAsia="en-IN"/>
        </w:rPr>
        <w:t xml:space="preserve">, R., Pizer, W. A., Victor, D. G., Wagner, G., &amp; van der Zwaan, J. C. J. M. (2024). Systematic </w:t>
      </w:r>
      <w:r w:rsidRPr="00337891">
        <w:rPr>
          <w:rFonts w:ascii="Arial" w:eastAsia="Times New Roman" w:hAnsi="Arial" w:cs="Arial"/>
          <w:kern w:val="0"/>
          <w:lang w:eastAsia="en-IN"/>
        </w:rPr>
        <w:lastRenderedPageBreak/>
        <w:t xml:space="preserve">assessment of the achieved emission reductions of carbon crediting projects. Nature Communications, 15, 9562 </w:t>
      </w:r>
      <w:hyperlink r:id="rId45" w:history="1">
        <w:r w:rsidRPr="00D041E1">
          <w:rPr>
            <w:rStyle w:val="Hyperlink"/>
            <w:rFonts w:ascii="Arial" w:eastAsia="Times New Roman" w:hAnsi="Arial" w:cs="Arial"/>
            <w:kern w:val="0"/>
            <w:lang w:eastAsia="en-IN"/>
          </w:rPr>
          <w:t>https://doi.org/10.1038/s41467-024-53645-z</w:t>
        </w:r>
      </w:hyperlink>
    </w:p>
    <w:p w14:paraId="3D74ABFA" w14:textId="39CF362E" w:rsidR="00337891" w:rsidRDefault="00337891"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337891">
        <w:rPr>
          <w:rFonts w:ascii="Arial" w:eastAsia="Times New Roman" w:hAnsi="Arial" w:cs="Arial"/>
          <w:kern w:val="0"/>
          <w:lang w:eastAsia="en-IN"/>
          <w14:ligatures w14:val="none"/>
        </w:rPr>
        <w:t xml:space="preserve">Qian, H., Zhu, X., Huang, S., Linquist, B., Kuzyakov, Y., Wassmann, R., </w:t>
      </w:r>
      <w:proofErr w:type="spellStart"/>
      <w:r w:rsidRPr="00337891">
        <w:rPr>
          <w:rFonts w:ascii="Arial" w:eastAsia="Times New Roman" w:hAnsi="Arial" w:cs="Arial"/>
          <w:kern w:val="0"/>
          <w:lang w:eastAsia="en-IN"/>
          <w14:ligatures w14:val="none"/>
        </w:rPr>
        <w:t>Minamikawa</w:t>
      </w:r>
      <w:proofErr w:type="spellEnd"/>
      <w:r w:rsidRPr="00337891">
        <w:rPr>
          <w:rFonts w:ascii="Arial" w:eastAsia="Times New Roman" w:hAnsi="Arial" w:cs="Arial"/>
          <w:kern w:val="0"/>
          <w:lang w:eastAsia="en-IN"/>
          <w14:ligatures w14:val="none"/>
        </w:rPr>
        <w:t xml:space="preserve">, K., Martinez-Eixarch, M., Yan, X., Zhou, F., Sander, B. O., van </w:t>
      </w:r>
      <w:proofErr w:type="spellStart"/>
      <w:r w:rsidRPr="00337891">
        <w:rPr>
          <w:rFonts w:ascii="Arial" w:eastAsia="Times New Roman" w:hAnsi="Arial" w:cs="Arial"/>
          <w:kern w:val="0"/>
          <w:lang w:eastAsia="en-IN"/>
          <w14:ligatures w14:val="none"/>
        </w:rPr>
        <w:t>Groenigen</w:t>
      </w:r>
      <w:proofErr w:type="spellEnd"/>
      <w:r w:rsidRPr="00337891">
        <w:rPr>
          <w:rFonts w:ascii="Arial" w:eastAsia="Times New Roman" w:hAnsi="Arial" w:cs="Arial"/>
          <w:kern w:val="0"/>
          <w:lang w:eastAsia="en-IN"/>
          <w14:ligatures w14:val="none"/>
        </w:rPr>
        <w:t xml:space="preserve">, K. J., &amp; Jiang, Y. (2023). Greenhouse gas emissions and mitigation in rice agriculture. Nature Reviews Earth &amp; Environment, 4(10), 716–732. </w:t>
      </w:r>
      <w:hyperlink r:id="rId46" w:history="1">
        <w:r w:rsidRPr="00D041E1">
          <w:rPr>
            <w:rStyle w:val="Hyperlink"/>
            <w:rFonts w:ascii="Arial" w:eastAsia="Times New Roman" w:hAnsi="Arial" w:cs="Arial"/>
            <w:kern w:val="0"/>
            <w:lang w:eastAsia="en-IN"/>
            <w14:ligatures w14:val="none"/>
          </w:rPr>
          <w:t>https://doi.org/10.1038/s43017-023-00482-1</w:t>
        </w:r>
      </w:hyperlink>
    </w:p>
    <w:p w14:paraId="2A6E7A40" w14:textId="4AB3EFED" w:rsidR="00337891" w:rsidRP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14:ligatures w14:val="none"/>
        </w:rPr>
        <w:t xml:space="preserve">Roberts, K. G., </w:t>
      </w:r>
      <w:proofErr w:type="spellStart"/>
      <w:r w:rsidRPr="00337891">
        <w:rPr>
          <w:rFonts w:ascii="Arial" w:hAnsi="Arial" w:cs="Arial"/>
          <w:sz w:val="22"/>
          <w:szCs w:val="22"/>
          <w14:ligatures w14:val="none"/>
        </w:rPr>
        <w:t>Gloy</w:t>
      </w:r>
      <w:proofErr w:type="spellEnd"/>
      <w:r w:rsidRPr="00337891">
        <w:rPr>
          <w:rFonts w:ascii="Arial" w:hAnsi="Arial" w:cs="Arial"/>
          <w:sz w:val="22"/>
          <w:szCs w:val="22"/>
          <w14:ligatures w14:val="none"/>
        </w:rPr>
        <w:t xml:space="preserve">, B. A., Joseph, S., Scott, N. R., &amp; Lehmann, J. (2010). Life cycle assessment of biochar systems: Estimating the energetic, economic, and climate change potential. Environmental Science &amp; Technology, 44(2), 827–833. </w:t>
      </w:r>
      <w:hyperlink r:id="rId47" w:history="1">
        <w:r w:rsidRPr="00D041E1">
          <w:rPr>
            <w:rStyle w:val="Hyperlink"/>
            <w:rFonts w:ascii="Arial" w:hAnsi="Arial" w:cs="Arial"/>
            <w:sz w:val="22"/>
            <w:szCs w:val="22"/>
            <w14:ligatures w14:val="none"/>
          </w:rPr>
          <w:t>https://doi.org/10.1021/es902266r</w:t>
        </w:r>
      </w:hyperlink>
    </w:p>
    <w:p w14:paraId="7F352868" w14:textId="1159A3A6"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 xml:space="preserve">Sha, Z., Li, Q., </w:t>
      </w:r>
      <w:proofErr w:type="spellStart"/>
      <w:r w:rsidRPr="00337891">
        <w:rPr>
          <w:rFonts w:ascii="Arial" w:hAnsi="Arial" w:cs="Arial"/>
          <w:sz w:val="22"/>
          <w:szCs w:val="22"/>
        </w:rPr>
        <w:t>Lv</w:t>
      </w:r>
      <w:proofErr w:type="spellEnd"/>
      <w:r w:rsidRPr="00337891">
        <w:rPr>
          <w:rFonts w:ascii="Arial" w:hAnsi="Arial" w:cs="Arial"/>
          <w:sz w:val="22"/>
          <w:szCs w:val="22"/>
        </w:rPr>
        <w:t xml:space="preserve">, T., </w:t>
      </w:r>
      <w:proofErr w:type="spellStart"/>
      <w:r w:rsidRPr="00337891">
        <w:rPr>
          <w:rFonts w:ascii="Arial" w:hAnsi="Arial" w:cs="Arial"/>
          <w:sz w:val="22"/>
          <w:szCs w:val="22"/>
        </w:rPr>
        <w:t>Misselbrook</w:t>
      </w:r>
      <w:proofErr w:type="spellEnd"/>
      <w:r w:rsidRPr="00337891">
        <w:rPr>
          <w:rFonts w:ascii="Arial" w:hAnsi="Arial" w:cs="Arial"/>
          <w:sz w:val="22"/>
          <w:szCs w:val="22"/>
        </w:rPr>
        <w:t xml:space="preserve">, T., &amp; Liu, X. (2019). Response of ammonia volatilization to biochar addition: A meta-analysis. Science of the Total Environment, 655, 1387-1396. </w:t>
      </w:r>
      <w:hyperlink r:id="rId48" w:history="1">
        <w:r w:rsidRPr="00D041E1">
          <w:rPr>
            <w:rStyle w:val="Hyperlink"/>
            <w:rFonts w:ascii="Arial" w:hAnsi="Arial" w:cs="Arial"/>
            <w:sz w:val="22"/>
            <w:szCs w:val="22"/>
          </w:rPr>
          <w:t>https://doi.org/10.1016/j.scitotenv.2018.11.316</w:t>
        </w:r>
      </w:hyperlink>
    </w:p>
    <w:p w14:paraId="77B4E0C7" w14:textId="77777777"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Shen, X., Jin, S., Liang, Z., &amp; Ao, R. (2024). Unravelling the effects of straw return on rice production in central China: Evidence for future policy-making. Soil Use and Management.</w:t>
      </w:r>
    </w:p>
    <w:p w14:paraId="2122F7C3" w14:textId="5D4E59F7"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 xml:space="preserve">Shrestha, R. K., Jacinthe, P-A., Lal, R., Lorenz, K., Singh, M.P., Demyan, S. M., Ren, W., &amp; Lindsey, L. E. (2023). Biochar as a negative emission technology: A synthesis of field research on greenhouse gas emissions. Journal of Environmental Quality, 52(4), 769-798. </w:t>
      </w:r>
      <w:hyperlink r:id="rId49" w:history="1">
        <w:r w:rsidRPr="00D041E1">
          <w:rPr>
            <w:rStyle w:val="Hyperlink"/>
            <w:rFonts w:ascii="Arial" w:hAnsi="Arial" w:cs="Arial"/>
            <w:sz w:val="22"/>
            <w:szCs w:val="22"/>
          </w:rPr>
          <w:t>https://doi.org/10.1002/jeq2.20475</w:t>
        </w:r>
      </w:hyperlink>
    </w:p>
    <w:p w14:paraId="6FE9419D" w14:textId="24AB46C3"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Sigdel, S., Karsten, H., Dell, C. J., &amp; Hoover, R. (2025). Ammonia emissions and corn yield response from injected versus surface</w:t>
      </w:r>
      <w:r w:rsidRPr="00337891">
        <w:rPr>
          <w:rFonts w:ascii="Cambria Math" w:hAnsi="Cambria Math" w:cs="Cambria Math"/>
          <w:sz w:val="22"/>
          <w:szCs w:val="22"/>
        </w:rPr>
        <w:t>‐</w:t>
      </w:r>
      <w:r w:rsidRPr="00337891">
        <w:rPr>
          <w:rFonts w:ascii="Arial" w:hAnsi="Arial" w:cs="Arial"/>
          <w:sz w:val="22"/>
          <w:szCs w:val="22"/>
        </w:rPr>
        <w:t>applied liquid</w:t>
      </w:r>
      <w:r w:rsidRPr="00337891">
        <w:rPr>
          <w:rFonts w:ascii="Cambria Math" w:hAnsi="Cambria Math" w:cs="Cambria Math"/>
          <w:sz w:val="22"/>
          <w:szCs w:val="22"/>
        </w:rPr>
        <w:t>‐</w:t>
      </w:r>
      <w:r w:rsidRPr="00337891">
        <w:rPr>
          <w:rFonts w:ascii="Arial" w:hAnsi="Arial" w:cs="Arial"/>
          <w:sz w:val="22"/>
          <w:szCs w:val="22"/>
        </w:rPr>
        <w:t xml:space="preserve">separated anaerobic digestate. Agronomy Journal, 117(2), e70050. </w:t>
      </w:r>
      <w:hyperlink r:id="rId50" w:history="1">
        <w:r w:rsidRPr="00D041E1">
          <w:rPr>
            <w:rStyle w:val="Hyperlink"/>
            <w:rFonts w:ascii="Arial" w:hAnsi="Arial" w:cs="Arial"/>
            <w:sz w:val="22"/>
            <w:szCs w:val="22"/>
          </w:rPr>
          <w:t>https://doi.org/10.1002/agj2.70050</w:t>
        </w:r>
      </w:hyperlink>
    </w:p>
    <w:p w14:paraId="7676D437" w14:textId="35F99CDF" w:rsidR="00337891" w:rsidRDefault="00337891" w:rsidP="00D56865">
      <w:pPr>
        <w:pStyle w:val="NormalWeb"/>
        <w:numPr>
          <w:ilvl w:val="0"/>
          <w:numId w:val="3"/>
        </w:numPr>
        <w:jc w:val="both"/>
        <w:rPr>
          <w:rFonts w:ascii="Arial" w:hAnsi="Arial" w:cs="Arial"/>
          <w:sz w:val="22"/>
          <w:szCs w:val="22"/>
        </w:rPr>
      </w:pPr>
      <w:r w:rsidRPr="00337891">
        <w:rPr>
          <w:rFonts w:ascii="Arial" w:hAnsi="Arial" w:cs="Arial"/>
          <w:sz w:val="22"/>
          <w:szCs w:val="22"/>
        </w:rPr>
        <w:t xml:space="preserve">Singh, B. P., Cowie, A. L., &amp; </w:t>
      </w:r>
      <w:proofErr w:type="spellStart"/>
      <w:r w:rsidRPr="00337891">
        <w:rPr>
          <w:rFonts w:ascii="Arial" w:hAnsi="Arial" w:cs="Arial"/>
          <w:sz w:val="22"/>
          <w:szCs w:val="22"/>
        </w:rPr>
        <w:t>Smernik</w:t>
      </w:r>
      <w:proofErr w:type="spellEnd"/>
      <w:r w:rsidRPr="00337891">
        <w:rPr>
          <w:rFonts w:ascii="Arial" w:hAnsi="Arial" w:cs="Arial"/>
          <w:sz w:val="22"/>
          <w:szCs w:val="22"/>
        </w:rPr>
        <w:t xml:space="preserve">, R. J. (2012). Biochar carbon stability in a clayey soil as a function of feedstock and pyrolysis temperature. Environmental Science &amp; Technology, 46(21), 11770–11778. </w:t>
      </w:r>
      <w:hyperlink r:id="rId51" w:history="1">
        <w:r w:rsidRPr="00D041E1">
          <w:rPr>
            <w:rStyle w:val="Hyperlink"/>
            <w:rFonts w:ascii="Arial" w:hAnsi="Arial" w:cs="Arial"/>
            <w:sz w:val="22"/>
            <w:szCs w:val="22"/>
          </w:rPr>
          <w:t>https://doi.org/10.1021/es302545b</w:t>
        </w:r>
      </w:hyperlink>
    </w:p>
    <w:p w14:paraId="37B742DF" w14:textId="05074542" w:rsidR="008C66BC" w:rsidRDefault="008C66BC" w:rsidP="00D56865">
      <w:pPr>
        <w:pStyle w:val="NormalWeb"/>
        <w:numPr>
          <w:ilvl w:val="0"/>
          <w:numId w:val="3"/>
        </w:numPr>
        <w:jc w:val="both"/>
        <w:rPr>
          <w:rFonts w:ascii="Arial" w:hAnsi="Arial" w:cs="Arial"/>
          <w:sz w:val="22"/>
          <w:szCs w:val="22"/>
        </w:rPr>
      </w:pPr>
      <w:r w:rsidRPr="008C66BC">
        <w:rPr>
          <w:rFonts w:ascii="Arial" w:hAnsi="Arial" w:cs="Arial"/>
          <w:sz w:val="22"/>
          <w:szCs w:val="22"/>
        </w:rPr>
        <w:t xml:space="preserve">Smith, P., </w:t>
      </w:r>
      <w:proofErr w:type="spellStart"/>
      <w:r w:rsidRPr="008C66BC">
        <w:rPr>
          <w:rFonts w:ascii="Arial" w:hAnsi="Arial" w:cs="Arial"/>
          <w:sz w:val="22"/>
          <w:szCs w:val="22"/>
        </w:rPr>
        <w:t>Soussana</w:t>
      </w:r>
      <w:proofErr w:type="spellEnd"/>
      <w:r w:rsidRPr="008C66BC">
        <w:rPr>
          <w:rFonts w:ascii="Arial" w:hAnsi="Arial" w:cs="Arial"/>
          <w:sz w:val="22"/>
          <w:szCs w:val="22"/>
        </w:rPr>
        <w:t xml:space="preserve">, J.-F., Angers, D., Schipper, L., Chenu, C., </w:t>
      </w:r>
      <w:proofErr w:type="spellStart"/>
      <w:r w:rsidRPr="008C66BC">
        <w:rPr>
          <w:rFonts w:ascii="Arial" w:hAnsi="Arial" w:cs="Arial"/>
          <w:sz w:val="22"/>
          <w:szCs w:val="22"/>
        </w:rPr>
        <w:t>Rasse</w:t>
      </w:r>
      <w:proofErr w:type="spellEnd"/>
      <w:r w:rsidRPr="008C66BC">
        <w:rPr>
          <w:rFonts w:ascii="Arial" w:hAnsi="Arial" w:cs="Arial"/>
          <w:sz w:val="22"/>
          <w:szCs w:val="22"/>
        </w:rPr>
        <w:t xml:space="preserve">, D. P., ... Klumpp, K. (2020). How to measure, report and verify soil carbon change to realize the potential of soil carbon sequestration for atmospheric greenhouse gas removal. Global Change Biology, 26(1), 219–241. </w:t>
      </w:r>
      <w:hyperlink r:id="rId52" w:history="1">
        <w:r w:rsidRPr="00D041E1">
          <w:rPr>
            <w:rStyle w:val="Hyperlink"/>
            <w:rFonts w:ascii="Arial" w:hAnsi="Arial" w:cs="Arial"/>
            <w:sz w:val="22"/>
            <w:szCs w:val="22"/>
          </w:rPr>
          <w:t>https://doi.org/10.1111/gcb.14815</w:t>
        </w:r>
      </w:hyperlink>
    </w:p>
    <w:p w14:paraId="73AA5755" w14:textId="05003C6A" w:rsidR="008C66BC" w:rsidRDefault="008C66BC" w:rsidP="00D56865">
      <w:pPr>
        <w:pStyle w:val="NormalWeb"/>
        <w:numPr>
          <w:ilvl w:val="0"/>
          <w:numId w:val="3"/>
        </w:numPr>
        <w:jc w:val="both"/>
        <w:rPr>
          <w:rFonts w:ascii="Arial" w:hAnsi="Arial" w:cs="Arial"/>
          <w:sz w:val="22"/>
          <w:szCs w:val="22"/>
        </w:rPr>
      </w:pPr>
      <w:r w:rsidRPr="008C66BC">
        <w:rPr>
          <w:rFonts w:ascii="Arial" w:hAnsi="Arial" w:cs="Arial"/>
          <w:sz w:val="22"/>
          <w:szCs w:val="22"/>
        </w:rPr>
        <w:t xml:space="preserve">Spokas, K. A. (2010). Review of the stability of biochar in soils: predictability of O:C molar ratios. Carbon Management, 1(2), 289–303. </w:t>
      </w:r>
      <w:hyperlink r:id="rId53" w:history="1">
        <w:r w:rsidRPr="00D041E1">
          <w:rPr>
            <w:rStyle w:val="Hyperlink"/>
            <w:rFonts w:ascii="Arial" w:hAnsi="Arial" w:cs="Arial"/>
            <w:sz w:val="22"/>
            <w:szCs w:val="22"/>
          </w:rPr>
          <w:t>https://doi.org/10.4155/cmt.10.32</w:t>
        </w:r>
      </w:hyperlink>
    </w:p>
    <w:p w14:paraId="4FD368AA" w14:textId="437CB24B" w:rsidR="008C66BC" w:rsidRDefault="008C66BC" w:rsidP="00D56865">
      <w:pPr>
        <w:pStyle w:val="NormalWeb"/>
        <w:numPr>
          <w:ilvl w:val="0"/>
          <w:numId w:val="3"/>
        </w:numPr>
        <w:jc w:val="both"/>
        <w:rPr>
          <w:rFonts w:ascii="Arial" w:hAnsi="Arial" w:cs="Arial"/>
          <w:sz w:val="22"/>
          <w:szCs w:val="22"/>
        </w:rPr>
      </w:pPr>
      <w:r w:rsidRPr="008C66BC">
        <w:rPr>
          <w:rFonts w:ascii="Arial" w:hAnsi="Arial" w:cs="Arial"/>
          <w:sz w:val="22"/>
          <w:szCs w:val="22"/>
        </w:rPr>
        <w:t xml:space="preserve">Thao, T., Harrison, B. P., Gao, S., Ryals, R., Dahlquist-Willard, R., Diaz, G. C., &amp; </w:t>
      </w:r>
      <w:proofErr w:type="spellStart"/>
      <w:r w:rsidRPr="008C66BC">
        <w:rPr>
          <w:rFonts w:ascii="Arial" w:hAnsi="Arial" w:cs="Arial"/>
          <w:sz w:val="22"/>
          <w:szCs w:val="22"/>
        </w:rPr>
        <w:t>Ghezzehei</w:t>
      </w:r>
      <w:proofErr w:type="spellEnd"/>
      <w:r w:rsidRPr="008C66BC">
        <w:rPr>
          <w:rFonts w:ascii="Arial" w:hAnsi="Arial" w:cs="Arial"/>
          <w:sz w:val="22"/>
          <w:szCs w:val="22"/>
        </w:rPr>
        <w:t xml:space="preserve">, T. A. (2023). The effects of different biochar-dairy manure co-composts on soil moisture and nutrients retention, greenhouse gas emissions, and tomato productivity: Observations from a soil column experiment. </w:t>
      </w:r>
      <w:proofErr w:type="spellStart"/>
      <w:r w:rsidRPr="008C66BC">
        <w:rPr>
          <w:rFonts w:ascii="Arial" w:hAnsi="Arial" w:cs="Arial"/>
          <w:sz w:val="22"/>
          <w:szCs w:val="22"/>
        </w:rPr>
        <w:t>Agrosystems</w:t>
      </w:r>
      <w:proofErr w:type="spellEnd"/>
      <w:r w:rsidRPr="008C66BC">
        <w:rPr>
          <w:rFonts w:ascii="Arial" w:hAnsi="Arial" w:cs="Arial"/>
          <w:sz w:val="22"/>
          <w:szCs w:val="22"/>
        </w:rPr>
        <w:t xml:space="preserve">, Geosciences &amp; Environment, 6(3), e20408. </w:t>
      </w:r>
      <w:hyperlink r:id="rId54" w:history="1">
        <w:r w:rsidRPr="00D041E1">
          <w:rPr>
            <w:rStyle w:val="Hyperlink"/>
            <w:rFonts w:ascii="Arial" w:hAnsi="Arial" w:cs="Arial"/>
            <w:sz w:val="22"/>
            <w:szCs w:val="22"/>
          </w:rPr>
          <w:t>https://doi.org/10.1002/agg2.20408</w:t>
        </w:r>
      </w:hyperlink>
    </w:p>
    <w:p w14:paraId="3C9DBFE0" w14:textId="0CB6E62E" w:rsidR="008C66BC" w:rsidRPr="008C66BC" w:rsidRDefault="008C66BC" w:rsidP="00D56865">
      <w:pPr>
        <w:pStyle w:val="ListParagraph"/>
        <w:numPr>
          <w:ilvl w:val="0"/>
          <w:numId w:val="3"/>
        </w:numPr>
        <w:spacing w:before="100" w:beforeAutospacing="1" w:after="100" w:afterAutospacing="1" w:line="240" w:lineRule="auto"/>
        <w:jc w:val="both"/>
        <w:rPr>
          <w:rFonts w:ascii="Arial" w:hAnsi="Arial" w:cs="Arial"/>
        </w:rPr>
      </w:pPr>
      <w:r w:rsidRPr="008C66BC">
        <w:rPr>
          <w:rFonts w:ascii="Arial" w:eastAsia="Times New Roman" w:hAnsi="Arial" w:cs="Arial"/>
          <w:kern w:val="0"/>
          <w:lang w:eastAsia="en-IN"/>
        </w:rPr>
        <w:t xml:space="preserve">Tomczyk, A., </w:t>
      </w:r>
      <w:proofErr w:type="spellStart"/>
      <w:r w:rsidRPr="008C66BC">
        <w:rPr>
          <w:rFonts w:ascii="Arial" w:eastAsia="Times New Roman" w:hAnsi="Arial" w:cs="Arial"/>
          <w:kern w:val="0"/>
          <w:lang w:eastAsia="en-IN"/>
        </w:rPr>
        <w:t>Sokołowska</w:t>
      </w:r>
      <w:proofErr w:type="spellEnd"/>
      <w:r w:rsidRPr="008C66BC">
        <w:rPr>
          <w:rFonts w:ascii="Arial" w:eastAsia="Times New Roman" w:hAnsi="Arial" w:cs="Arial"/>
          <w:kern w:val="0"/>
          <w:lang w:eastAsia="en-IN"/>
        </w:rPr>
        <w:t xml:space="preserve">, Z., &amp; </w:t>
      </w:r>
      <w:proofErr w:type="spellStart"/>
      <w:r w:rsidRPr="008C66BC">
        <w:rPr>
          <w:rFonts w:ascii="Arial" w:eastAsia="Times New Roman" w:hAnsi="Arial" w:cs="Arial"/>
          <w:kern w:val="0"/>
          <w:lang w:eastAsia="en-IN"/>
        </w:rPr>
        <w:t>Boguta</w:t>
      </w:r>
      <w:proofErr w:type="spellEnd"/>
      <w:r w:rsidRPr="008C66BC">
        <w:rPr>
          <w:rFonts w:ascii="Arial" w:eastAsia="Times New Roman" w:hAnsi="Arial" w:cs="Arial"/>
          <w:kern w:val="0"/>
          <w:lang w:eastAsia="en-IN"/>
        </w:rPr>
        <w:t xml:space="preserve">, P. (2020). Biochar physicochemical properties: Pyrolysis temperature and feedstock kind effects. Reviews in Environmental Science and Bio/Technology, 19, 191–215. </w:t>
      </w:r>
      <w:hyperlink r:id="rId55" w:history="1">
        <w:r w:rsidRPr="00D041E1">
          <w:rPr>
            <w:rStyle w:val="Hyperlink"/>
            <w:rFonts w:ascii="Arial" w:eastAsia="Times New Roman" w:hAnsi="Arial" w:cs="Arial"/>
            <w:kern w:val="0"/>
            <w:lang w:eastAsia="en-IN"/>
          </w:rPr>
          <w:t>https://doi.org/10.1007/s11157-020-09523-3</w:t>
        </w:r>
      </w:hyperlink>
    </w:p>
    <w:p w14:paraId="4E06A60C" w14:textId="207FE570" w:rsidR="008C66BC" w:rsidRPr="008C66BC" w:rsidRDefault="008C66BC" w:rsidP="00D56865">
      <w:pPr>
        <w:pStyle w:val="NormalWeb"/>
        <w:numPr>
          <w:ilvl w:val="0"/>
          <w:numId w:val="3"/>
        </w:numPr>
        <w:jc w:val="both"/>
        <w:rPr>
          <w:rFonts w:ascii="Arial" w:hAnsi="Arial" w:cs="Arial"/>
          <w:sz w:val="22"/>
          <w:szCs w:val="22"/>
        </w:rPr>
      </w:pPr>
      <w:r w:rsidRPr="008C66BC">
        <w:rPr>
          <w:rFonts w:ascii="Arial" w:hAnsi="Arial" w:cs="Arial"/>
          <w:sz w:val="22"/>
          <w:szCs w:val="22"/>
          <w14:ligatures w14:val="none"/>
        </w:rPr>
        <w:t xml:space="preserve">Valkama, E., </w:t>
      </w:r>
      <w:proofErr w:type="spellStart"/>
      <w:r w:rsidRPr="008C66BC">
        <w:rPr>
          <w:rFonts w:ascii="Arial" w:hAnsi="Arial" w:cs="Arial"/>
          <w:sz w:val="22"/>
          <w:szCs w:val="22"/>
          <w14:ligatures w14:val="none"/>
        </w:rPr>
        <w:t>Tzemi</w:t>
      </w:r>
      <w:proofErr w:type="spellEnd"/>
      <w:r w:rsidRPr="008C66BC">
        <w:rPr>
          <w:rFonts w:ascii="Arial" w:hAnsi="Arial" w:cs="Arial"/>
          <w:sz w:val="22"/>
          <w:szCs w:val="22"/>
          <w14:ligatures w14:val="none"/>
        </w:rPr>
        <w:t xml:space="preserve">, D., Esparza-Robles, U. R., </w:t>
      </w:r>
      <w:proofErr w:type="spellStart"/>
      <w:r w:rsidRPr="008C66BC">
        <w:rPr>
          <w:rFonts w:ascii="Arial" w:hAnsi="Arial" w:cs="Arial"/>
          <w:sz w:val="22"/>
          <w:szCs w:val="22"/>
          <w14:ligatures w14:val="none"/>
        </w:rPr>
        <w:t>Syp</w:t>
      </w:r>
      <w:proofErr w:type="spellEnd"/>
      <w:r w:rsidRPr="008C66BC">
        <w:rPr>
          <w:rFonts w:ascii="Arial" w:hAnsi="Arial" w:cs="Arial"/>
          <w:sz w:val="22"/>
          <w:szCs w:val="22"/>
          <w14:ligatures w14:val="none"/>
        </w:rPr>
        <w:t xml:space="preserve">, A., O'Toole, A., &amp; Maenhout, P. (2024). Effectiveness of soil management strategies for mitigation of N2O emissions in European arable land: A meta-analysis. European Journal of Soil Science, 75(3), e13488. </w:t>
      </w:r>
      <w:hyperlink r:id="rId56" w:history="1">
        <w:r w:rsidRPr="00D041E1">
          <w:rPr>
            <w:rStyle w:val="Hyperlink"/>
            <w:rFonts w:ascii="Arial" w:hAnsi="Arial" w:cs="Arial"/>
            <w:sz w:val="22"/>
            <w:szCs w:val="22"/>
            <w14:ligatures w14:val="none"/>
          </w:rPr>
          <w:t>https://doi.org/10.1111/ejss.13488</w:t>
        </w:r>
      </w:hyperlink>
    </w:p>
    <w:p w14:paraId="2207EB1D" w14:textId="7F7304F8" w:rsidR="008C66BC" w:rsidRDefault="008C66BC" w:rsidP="00D56865">
      <w:pPr>
        <w:pStyle w:val="NormalWeb"/>
        <w:numPr>
          <w:ilvl w:val="0"/>
          <w:numId w:val="3"/>
        </w:numPr>
        <w:jc w:val="both"/>
        <w:rPr>
          <w:rFonts w:ascii="Arial" w:hAnsi="Arial" w:cs="Arial"/>
          <w:sz w:val="22"/>
          <w:szCs w:val="22"/>
        </w:rPr>
      </w:pPr>
      <w:r w:rsidRPr="008C66BC">
        <w:rPr>
          <w:rFonts w:ascii="Arial" w:hAnsi="Arial" w:cs="Arial"/>
          <w:sz w:val="22"/>
          <w:szCs w:val="22"/>
        </w:rPr>
        <w:t xml:space="preserve">Wang, J., Xiong, Z., &amp; Kuzyakov, Y. (2016). Biochar stability in soil: Meta-analysis of decomposition and priming effects. GCB Bioenergy, 8(3), 512–523. </w:t>
      </w:r>
      <w:hyperlink r:id="rId57" w:history="1">
        <w:r w:rsidRPr="00D041E1">
          <w:rPr>
            <w:rStyle w:val="Hyperlink"/>
            <w:rFonts w:ascii="Arial" w:hAnsi="Arial" w:cs="Arial"/>
            <w:sz w:val="22"/>
            <w:szCs w:val="22"/>
          </w:rPr>
          <w:t>https://doi.org/10.1111/gcbb.12266</w:t>
        </w:r>
      </w:hyperlink>
    </w:p>
    <w:p w14:paraId="05B1C7BF" w14:textId="5CB1F3AD" w:rsidR="008C66BC" w:rsidRPr="008C66BC" w:rsidRDefault="008C66BC" w:rsidP="00D56865">
      <w:pPr>
        <w:pStyle w:val="ListParagraph"/>
        <w:numPr>
          <w:ilvl w:val="0"/>
          <w:numId w:val="3"/>
        </w:numPr>
        <w:spacing w:before="100" w:beforeAutospacing="1" w:after="100" w:afterAutospacing="1" w:line="240" w:lineRule="auto"/>
        <w:jc w:val="both"/>
        <w:rPr>
          <w:rFonts w:ascii="Arial" w:eastAsia="Times New Roman" w:hAnsi="Arial" w:cs="Arial"/>
          <w:kern w:val="0"/>
          <w:lang w:eastAsia="en-IN"/>
          <w14:ligatures w14:val="none"/>
        </w:rPr>
      </w:pPr>
      <w:r w:rsidRPr="008C66BC">
        <w:rPr>
          <w:rFonts w:ascii="Arial" w:eastAsia="Times New Roman" w:hAnsi="Arial" w:cs="Arial"/>
          <w:kern w:val="0"/>
          <w:lang w:eastAsia="en-IN"/>
        </w:rPr>
        <w:t xml:space="preserve">West, T. A. P., Wunder, S., Sills, E. O., Börner, J., Rifai, S. W., </w:t>
      </w:r>
      <w:proofErr w:type="spellStart"/>
      <w:r w:rsidRPr="008C66BC">
        <w:rPr>
          <w:rFonts w:ascii="Arial" w:eastAsia="Times New Roman" w:hAnsi="Arial" w:cs="Arial"/>
          <w:kern w:val="0"/>
          <w:lang w:eastAsia="en-IN"/>
        </w:rPr>
        <w:t>Neidermeier</w:t>
      </w:r>
      <w:proofErr w:type="spellEnd"/>
      <w:r w:rsidRPr="008C66BC">
        <w:rPr>
          <w:rFonts w:ascii="Arial" w:eastAsia="Times New Roman" w:hAnsi="Arial" w:cs="Arial"/>
          <w:kern w:val="0"/>
          <w:lang w:eastAsia="en-IN"/>
        </w:rPr>
        <w:t xml:space="preserve">, A. N., Frey, G. P., &amp; </w:t>
      </w:r>
      <w:proofErr w:type="spellStart"/>
      <w:r w:rsidRPr="008C66BC">
        <w:rPr>
          <w:rFonts w:ascii="Arial" w:eastAsia="Times New Roman" w:hAnsi="Arial" w:cs="Arial"/>
          <w:kern w:val="0"/>
          <w:lang w:eastAsia="en-IN"/>
        </w:rPr>
        <w:t>Kontoleon</w:t>
      </w:r>
      <w:proofErr w:type="spellEnd"/>
      <w:r w:rsidRPr="008C66BC">
        <w:rPr>
          <w:rFonts w:ascii="Arial" w:eastAsia="Times New Roman" w:hAnsi="Arial" w:cs="Arial"/>
          <w:kern w:val="0"/>
          <w:lang w:eastAsia="en-IN"/>
        </w:rPr>
        <w:t xml:space="preserve">, A. (2023). Action needed to make carbon offsets from forest conservation work for climate change mitigation. Science, 381(6660), 873-877. </w:t>
      </w:r>
      <w:hyperlink r:id="rId58" w:history="1">
        <w:r w:rsidRPr="00D041E1">
          <w:rPr>
            <w:rStyle w:val="Hyperlink"/>
            <w:rFonts w:ascii="Arial" w:eastAsia="Times New Roman" w:hAnsi="Arial" w:cs="Arial"/>
            <w:kern w:val="0"/>
            <w:lang w:eastAsia="en-IN"/>
          </w:rPr>
          <w:t>https://doi.org/10.1126/science.ade3535</w:t>
        </w:r>
      </w:hyperlink>
    </w:p>
    <w:p w14:paraId="648936D8" w14:textId="02354405" w:rsidR="008C66BC" w:rsidRPr="008C66BC" w:rsidRDefault="008C66BC" w:rsidP="00D56865">
      <w:pPr>
        <w:pStyle w:val="NormalWeb"/>
        <w:numPr>
          <w:ilvl w:val="0"/>
          <w:numId w:val="3"/>
        </w:numPr>
        <w:jc w:val="both"/>
        <w:rPr>
          <w:rFonts w:ascii="Arial" w:hAnsi="Arial" w:cs="Arial"/>
          <w:i/>
          <w:iCs/>
          <w:sz w:val="22"/>
          <w:szCs w:val="22"/>
        </w:rPr>
      </w:pPr>
      <w:r w:rsidRPr="008C66BC">
        <w:rPr>
          <w:rFonts w:ascii="Arial" w:hAnsi="Arial" w:cs="Arial"/>
          <w:sz w:val="22"/>
          <w:szCs w:val="22"/>
          <w14:ligatures w14:val="none"/>
        </w:rPr>
        <w:t xml:space="preserve">Woolf, D., Lehmann, J., Ogle, S., Kishimoto-Mo, A. W., McConkey, B., &amp; Baldock, J. (2021). Greenhouse gas inventory model for biochar additions to soil. Environmental </w:t>
      </w:r>
      <w:r w:rsidRPr="008C66BC">
        <w:rPr>
          <w:rFonts w:ascii="Arial" w:hAnsi="Arial" w:cs="Arial"/>
          <w:sz w:val="22"/>
          <w:szCs w:val="22"/>
          <w14:ligatures w14:val="none"/>
        </w:rPr>
        <w:lastRenderedPageBreak/>
        <w:t xml:space="preserve">Science &amp; Technology, 55(21), 14795–14805. </w:t>
      </w:r>
      <w:hyperlink r:id="rId59" w:history="1">
        <w:r w:rsidRPr="00D041E1">
          <w:rPr>
            <w:rStyle w:val="Hyperlink"/>
            <w:rFonts w:ascii="Arial" w:hAnsi="Arial" w:cs="Arial"/>
            <w:sz w:val="22"/>
            <w:szCs w:val="22"/>
            <w14:ligatures w14:val="none"/>
          </w:rPr>
          <w:t>https://doi.org/10.1021/acs.est.1c02425</w:t>
        </w:r>
      </w:hyperlink>
    </w:p>
    <w:p w14:paraId="14C7E842" w14:textId="75B15C9A" w:rsidR="008C66BC" w:rsidRDefault="008C66BC" w:rsidP="00D56865">
      <w:pPr>
        <w:pStyle w:val="NormalWeb"/>
        <w:numPr>
          <w:ilvl w:val="0"/>
          <w:numId w:val="3"/>
        </w:numPr>
        <w:jc w:val="both"/>
        <w:rPr>
          <w:rFonts w:ascii="Arial" w:hAnsi="Arial" w:cs="Arial"/>
          <w:sz w:val="22"/>
          <w:szCs w:val="22"/>
        </w:rPr>
      </w:pPr>
      <w:r w:rsidRPr="008C66BC">
        <w:rPr>
          <w:rFonts w:ascii="Arial" w:hAnsi="Arial" w:cs="Arial"/>
          <w:sz w:val="22"/>
          <w:szCs w:val="22"/>
        </w:rPr>
        <w:t xml:space="preserve">Xu, W., Xu, H., Delgado-Baquerizo, M., </w:t>
      </w:r>
      <w:proofErr w:type="spellStart"/>
      <w:r w:rsidRPr="008C66BC">
        <w:rPr>
          <w:rFonts w:ascii="Arial" w:hAnsi="Arial" w:cs="Arial"/>
          <w:sz w:val="22"/>
          <w:szCs w:val="22"/>
        </w:rPr>
        <w:t>Gundale</w:t>
      </w:r>
      <w:proofErr w:type="spellEnd"/>
      <w:r w:rsidRPr="008C66BC">
        <w:rPr>
          <w:rFonts w:ascii="Arial" w:hAnsi="Arial" w:cs="Arial"/>
          <w:sz w:val="22"/>
          <w:szCs w:val="22"/>
        </w:rPr>
        <w:t xml:space="preserve">, M., Zou, X., &amp; Ruan, H. (2023). Global meta-analysis reveals positive effects of biochar on soil microbial diversity. </w:t>
      </w:r>
      <w:proofErr w:type="spellStart"/>
      <w:r w:rsidRPr="008C66BC">
        <w:rPr>
          <w:rFonts w:ascii="Arial" w:hAnsi="Arial" w:cs="Arial"/>
          <w:sz w:val="22"/>
          <w:szCs w:val="22"/>
        </w:rPr>
        <w:t>Geoderma</w:t>
      </w:r>
      <w:proofErr w:type="spellEnd"/>
      <w:r w:rsidRPr="008C66BC">
        <w:rPr>
          <w:rFonts w:ascii="Arial" w:hAnsi="Arial" w:cs="Arial"/>
          <w:sz w:val="22"/>
          <w:szCs w:val="22"/>
        </w:rPr>
        <w:t xml:space="preserve">, 436, 116528. </w:t>
      </w:r>
      <w:hyperlink r:id="rId60" w:history="1">
        <w:r w:rsidRPr="00D041E1">
          <w:rPr>
            <w:rStyle w:val="Hyperlink"/>
            <w:rFonts w:ascii="Arial" w:hAnsi="Arial" w:cs="Arial"/>
            <w:sz w:val="22"/>
            <w:szCs w:val="22"/>
          </w:rPr>
          <w:t>https://doi.org/10.1016/j.geoderma.2023.116528</w:t>
        </w:r>
      </w:hyperlink>
    </w:p>
    <w:p w14:paraId="5D192480" w14:textId="3262C4FD" w:rsidR="0011082E" w:rsidRPr="008E4081" w:rsidRDefault="008C66BC" w:rsidP="00D56865">
      <w:pPr>
        <w:pStyle w:val="ListParagraph"/>
        <w:numPr>
          <w:ilvl w:val="0"/>
          <w:numId w:val="3"/>
        </w:numPr>
        <w:jc w:val="both"/>
        <w:rPr>
          <w:rStyle w:val="Hyperlink"/>
          <w:rFonts w:ascii="Arial" w:eastAsia="Times New Roman" w:hAnsi="Arial" w:cs="Arial"/>
          <w:color w:val="auto"/>
          <w:kern w:val="0"/>
          <w:u w:val="none"/>
          <w:lang w:eastAsia="en-IN"/>
        </w:rPr>
      </w:pPr>
      <w:r w:rsidRPr="008C66BC">
        <w:rPr>
          <w:rFonts w:ascii="Arial" w:eastAsia="Times New Roman" w:hAnsi="Arial" w:cs="Arial"/>
          <w:kern w:val="0"/>
          <w:lang w:eastAsia="en-IN"/>
        </w:rPr>
        <w:t>Ye, L., Camps-</w:t>
      </w:r>
      <w:proofErr w:type="spellStart"/>
      <w:r w:rsidRPr="008C66BC">
        <w:rPr>
          <w:rFonts w:ascii="Arial" w:eastAsia="Times New Roman" w:hAnsi="Arial" w:cs="Arial"/>
          <w:kern w:val="0"/>
          <w:lang w:eastAsia="en-IN"/>
        </w:rPr>
        <w:t>Arbestain</w:t>
      </w:r>
      <w:proofErr w:type="spellEnd"/>
      <w:r w:rsidRPr="008C66BC">
        <w:rPr>
          <w:rFonts w:ascii="Arial" w:eastAsia="Times New Roman" w:hAnsi="Arial" w:cs="Arial"/>
          <w:kern w:val="0"/>
          <w:lang w:eastAsia="en-IN"/>
        </w:rPr>
        <w:t>, M., Shen, Q., Lehmann, J., Singh, B., &amp; Sabir, M. (2020). Biochar effects on crop yields with and without fertilizer: A meta</w:t>
      </w:r>
      <w:r w:rsidRPr="008C66BC">
        <w:rPr>
          <w:rFonts w:ascii="Cambria Math" w:eastAsia="Times New Roman" w:hAnsi="Cambria Math" w:cs="Cambria Math"/>
          <w:kern w:val="0"/>
          <w:lang w:eastAsia="en-IN"/>
        </w:rPr>
        <w:t>‐</w:t>
      </w:r>
      <w:r w:rsidRPr="008C66BC">
        <w:rPr>
          <w:rFonts w:ascii="Arial" w:eastAsia="Times New Roman" w:hAnsi="Arial" w:cs="Arial"/>
          <w:kern w:val="0"/>
          <w:lang w:eastAsia="en-IN"/>
        </w:rPr>
        <w:t xml:space="preserve">analysis of field studies using separate controls. Soil Use and Management, 36(1), 2-18. </w:t>
      </w:r>
      <w:hyperlink r:id="rId61" w:history="1">
        <w:r w:rsidRPr="008C66BC">
          <w:rPr>
            <w:rStyle w:val="Hyperlink"/>
            <w:rFonts w:ascii="Arial" w:eastAsia="Times New Roman" w:hAnsi="Arial" w:cs="Arial"/>
            <w:kern w:val="0"/>
            <w:lang w:eastAsia="en-IN"/>
          </w:rPr>
          <w:t>https://doi.org/10.1111/sum.12546</w:t>
        </w:r>
      </w:hyperlink>
    </w:p>
    <w:p w14:paraId="122BFBA6" w14:textId="784B9295" w:rsidR="00D56865" w:rsidRPr="008E4081" w:rsidRDefault="00D56865" w:rsidP="00D56865">
      <w:pPr>
        <w:pStyle w:val="ListParagraph"/>
        <w:numPr>
          <w:ilvl w:val="0"/>
          <w:numId w:val="3"/>
        </w:numPr>
        <w:jc w:val="both"/>
        <w:rPr>
          <w:rFonts w:ascii="Arial" w:eastAsia="Times New Roman" w:hAnsi="Arial" w:cs="Arial"/>
          <w:kern w:val="0"/>
          <w:highlight w:val="yellow"/>
          <w:lang w:eastAsia="en-IN"/>
        </w:rPr>
      </w:pPr>
      <w:r w:rsidRPr="008E4081">
        <w:rPr>
          <w:rFonts w:ascii="Arial" w:hAnsi="Arial" w:cs="Arial"/>
          <w:color w:val="222222"/>
          <w:sz w:val="20"/>
          <w:szCs w:val="20"/>
          <w:highlight w:val="yellow"/>
          <w:shd w:val="clear" w:color="auto" w:fill="FFFFFF"/>
        </w:rPr>
        <w:t xml:space="preserve">Nguyen, T. H., Wang, X., </w:t>
      </w:r>
      <w:proofErr w:type="spellStart"/>
      <w:r w:rsidRPr="008E4081">
        <w:rPr>
          <w:rFonts w:ascii="Arial" w:hAnsi="Arial" w:cs="Arial"/>
          <w:color w:val="222222"/>
          <w:sz w:val="20"/>
          <w:szCs w:val="20"/>
          <w:highlight w:val="yellow"/>
          <w:shd w:val="clear" w:color="auto" w:fill="FFFFFF"/>
        </w:rPr>
        <w:t>Utomo</w:t>
      </w:r>
      <w:proofErr w:type="spellEnd"/>
      <w:r w:rsidRPr="008E4081">
        <w:rPr>
          <w:rFonts w:ascii="Arial" w:hAnsi="Arial" w:cs="Arial"/>
          <w:color w:val="222222"/>
          <w:sz w:val="20"/>
          <w:szCs w:val="20"/>
          <w:highlight w:val="yellow"/>
          <w:shd w:val="clear" w:color="auto" w:fill="FFFFFF"/>
        </w:rPr>
        <w:t xml:space="preserve">, D., Gage, E., &amp; Xu, B. (2025). Circular </w:t>
      </w:r>
      <w:proofErr w:type="spellStart"/>
      <w:r w:rsidRPr="008E4081">
        <w:rPr>
          <w:rFonts w:ascii="Arial" w:hAnsi="Arial" w:cs="Arial"/>
          <w:color w:val="222222"/>
          <w:sz w:val="20"/>
          <w:szCs w:val="20"/>
          <w:highlight w:val="yellow"/>
          <w:shd w:val="clear" w:color="auto" w:fill="FFFFFF"/>
        </w:rPr>
        <w:t>bioeconomy</w:t>
      </w:r>
      <w:proofErr w:type="spellEnd"/>
      <w:r w:rsidRPr="008E4081">
        <w:rPr>
          <w:rFonts w:ascii="Arial" w:hAnsi="Arial" w:cs="Arial"/>
          <w:color w:val="222222"/>
          <w:sz w:val="20"/>
          <w:szCs w:val="20"/>
          <w:highlight w:val="yellow"/>
          <w:shd w:val="clear" w:color="auto" w:fill="FFFFFF"/>
        </w:rPr>
        <w:t xml:space="preserve"> and sustainable food systems: What are the possible </w:t>
      </w:r>
      <w:proofErr w:type="gramStart"/>
      <w:r w:rsidRPr="008E4081">
        <w:rPr>
          <w:rFonts w:ascii="Arial" w:hAnsi="Arial" w:cs="Arial"/>
          <w:color w:val="222222"/>
          <w:sz w:val="20"/>
          <w:szCs w:val="20"/>
          <w:highlight w:val="yellow"/>
          <w:shd w:val="clear" w:color="auto" w:fill="FFFFFF"/>
        </w:rPr>
        <w:t>mechanisms?.</w:t>
      </w:r>
      <w:proofErr w:type="gramEnd"/>
      <w:r w:rsidRPr="008E4081">
        <w:rPr>
          <w:rFonts w:ascii="Arial" w:hAnsi="Arial" w:cs="Arial"/>
          <w:color w:val="222222"/>
          <w:sz w:val="20"/>
          <w:szCs w:val="20"/>
          <w:highlight w:val="yellow"/>
          <w:shd w:val="clear" w:color="auto" w:fill="FFFFFF"/>
        </w:rPr>
        <w:t> </w:t>
      </w:r>
      <w:r w:rsidRPr="008E4081">
        <w:rPr>
          <w:rFonts w:ascii="Arial" w:hAnsi="Arial" w:cs="Arial"/>
          <w:i/>
          <w:iCs/>
          <w:color w:val="222222"/>
          <w:sz w:val="20"/>
          <w:szCs w:val="20"/>
          <w:highlight w:val="yellow"/>
          <w:shd w:val="clear" w:color="auto" w:fill="FFFFFF"/>
        </w:rPr>
        <w:t xml:space="preserve">Cleaner and Circular </w:t>
      </w:r>
      <w:proofErr w:type="spellStart"/>
      <w:r w:rsidRPr="008E4081">
        <w:rPr>
          <w:rFonts w:ascii="Arial" w:hAnsi="Arial" w:cs="Arial"/>
          <w:i/>
          <w:iCs/>
          <w:color w:val="222222"/>
          <w:sz w:val="20"/>
          <w:szCs w:val="20"/>
          <w:highlight w:val="yellow"/>
          <w:shd w:val="clear" w:color="auto" w:fill="FFFFFF"/>
        </w:rPr>
        <w:t>Bioeconomy</w:t>
      </w:r>
      <w:proofErr w:type="spellEnd"/>
      <w:r w:rsidRPr="008E4081">
        <w:rPr>
          <w:rFonts w:ascii="Arial" w:hAnsi="Arial" w:cs="Arial"/>
          <w:color w:val="222222"/>
          <w:sz w:val="20"/>
          <w:szCs w:val="20"/>
          <w:highlight w:val="yellow"/>
          <w:shd w:val="clear" w:color="auto" w:fill="FFFFFF"/>
        </w:rPr>
        <w:t xml:space="preserve">, 100145. </w:t>
      </w:r>
      <w:hyperlink r:id="rId62" w:tgtFrame="_blank" w:tooltip="Persistent link using digital object identifier" w:history="1">
        <w:r w:rsidRPr="008E4081">
          <w:rPr>
            <w:rStyle w:val="anchor-text"/>
            <w:rFonts w:ascii="Arial" w:hAnsi="Arial" w:cs="Arial"/>
            <w:color w:val="0272B1"/>
            <w:sz w:val="21"/>
            <w:szCs w:val="21"/>
            <w:highlight w:val="yellow"/>
          </w:rPr>
          <w:t>https://doi.org/10.1016/j.clcb.2025.100145</w:t>
        </w:r>
      </w:hyperlink>
    </w:p>
    <w:p w14:paraId="657E5FC2" w14:textId="18A7FF01" w:rsidR="003A40E8" w:rsidRPr="008E4081" w:rsidRDefault="00507EEF" w:rsidP="003A40E8">
      <w:pPr>
        <w:pStyle w:val="ListParagraph"/>
        <w:numPr>
          <w:ilvl w:val="0"/>
          <w:numId w:val="3"/>
        </w:numPr>
        <w:shd w:val="clear" w:color="auto" w:fill="FFFFFF"/>
        <w:spacing w:after="0" w:line="240" w:lineRule="auto"/>
        <w:rPr>
          <w:rFonts w:ascii="Arial" w:eastAsia="Times New Roman" w:hAnsi="Arial" w:cs="Arial"/>
          <w:color w:val="333333"/>
          <w:kern w:val="0"/>
          <w:szCs w:val="27"/>
          <w:highlight w:val="yellow"/>
          <w:lang w:val="en-US"/>
          <w14:ligatures w14:val="none"/>
        </w:rPr>
      </w:pPr>
      <w:r w:rsidRPr="008E4081">
        <w:rPr>
          <w:rFonts w:ascii="Arial" w:hAnsi="Arial" w:cs="Arial"/>
          <w:color w:val="222222"/>
          <w:sz w:val="20"/>
          <w:szCs w:val="20"/>
          <w:highlight w:val="yellow"/>
          <w:shd w:val="clear" w:color="auto" w:fill="FFFFFF"/>
        </w:rPr>
        <w:t xml:space="preserve">Tan, E. C., &amp; </w:t>
      </w:r>
      <w:proofErr w:type="spellStart"/>
      <w:r w:rsidRPr="008E4081">
        <w:rPr>
          <w:rFonts w:ascii="Arial" w:hAnsi="Arial" w:cs="Arial"/>
          <w:color w:val="222222"/>
          <w:sz w:val="20"/>
          <w:szCs w:val="20"/>
          <w:highlight w:val="yellow"/>
          <w:shd w:val="clear" w:color="auto" w:fill="FFFFFF"/>
        </w:rPr>
        <w:t>Lamers</w:t>
      </w:r>
      <w:proofErr w:type="spellEnd"/>
      <w:r w:rsidRPr="008E4081">
        <w:rPr>
          <w:rFonts w:ascii="Arial" w:hAnsi="Arial" w:cs="Arial"/>
          <w:color w:val="222222"/>
          <w:sz w:val="20"/>
          <w:szCs w:val="20"/>
          <w:highlight w:val="yellow"/>
          <w:shd w:val="clear" w:color="auto" w:fill="FFFFFF"/>
        </w:rPr>
        <w:t xml:space="preserve">, P. (2021). Circular </w:t>
      </w:r>
      <w:proofErr w:type="spellStart"/>
      <w:r w:rsidRPr="008E4081">
        <w:rPr>
          <w:rFonts w:ascii="Arial" w:hAnsi="Arial" w:cs="Arial"/>
          <w:color w:val="222222"/>
          <w:sz w:val="20"/>
          <w:szCs w:val="20"/>
          <w:highlight w:val="yellow"/>
          <w:shd w:val="clear" w:color="auto" w:fill="FFFFFF"/>
        </w:rPr>
        <w:t>bioeconomy</w:t>
      </w:r>
      <w:proofErr w:type="spellEnd"/>
      <w:r w:rsidRPr="008E4081">
        <w:rPr>
          <w:rFonts w:ascii="Arial" w:hAnsi="Arial" w:cs="Arial"/>
          <w:color w:val="222222"/>
          <w:sz w:val="20"/>
          <w:szCs w:val="20"/>
          <w:highlight w:val="yellow"/>
          <w:shd w:val="clear" w:color="auto" w:fill="FFFFFF"/>
        </w:rPr>
        <w:t xml:space="preserve"> concepts—a perspective. </w:t>
      </w:r>
      <w:r w:rsidRPr="008E4081">
        <w:rPr>
          <w:rFonts w:ascii="Arial" w:hAnsi="Arial" w:cs="Arial"/>
          <w:i/>
          <w:iCs/>
          <w:color w:val="222222"/>
          <w:sz w:val="20"/>
          <w:szCs w:val="20"/>
          <w:highlight w:val="yellow"/>
          <w:shd w:val="clear" w:color="auto" w:fill="FFFFFF"/>
        </w:rPr>
        <w:t>Frontiers in sustainability</w:t>
      </w:r>
      <w:r w:rsidRPr="008E4081">
        <w:rPr>
          <w:rFonts w:ascii="Arial" w:hAnsi="Arial" w:cs="Arial"/>
          <w:color w:val="222222"/>
          <w:sz w:val="20"/>
          <w:szCs w:val="20"/>
          <w:highlight w:val="yellow"/>
          <w:shd w:val="clear" w:color="auto" w:fill="FFFFFF"/>
        </w:rPr>
        <w:t>, </w:t>
      </w:r>
      <w:r w:rsidRPr="008E4081">
        <w:rPr>
          <w:rFonts w:ascii="Arial" w:hAnsi="Arial" w:cs="Arial"/>
          <w:i/>
          <w:iCs/>
          <w:color w:val="222222"/>
          <w:sz w:val="20"/>
          <w:szCs w:val="20"/>
          <w:highlight w:val="yellow"/>
          <w:shd w:val="clear" w:color="auto" w:fill="FFFFFF"/>
        </w:rPr>
        <w:t>2</w:t>
      </w:r>
      <w:r w:rsidRPr="008E4081">
        <w:rPr>
          <w:rFonts w:ascii="Arial" w:hAnsi="Arial" w:cs="Arial"/>
          <w:color w:val="222222"/>
          <w:sz w:val="20"/>
          <w:szCs w:val="20"/>
          <w:highlight w:val="yellow"/>
          <w:shd w:val="clear" w:color="auto" w:fill="FFFFFF"/>
        </w:rPr>
        <w:t xml:space="preserve">, 701509. </w:t>
      </w:r>
      <w:r w:rsidRPr="008E4081">
        <w:rPr>
          <w:rFonts w:ascii="Helvetica" w:hAnsi="Helvetica" w:cs="Helvetica"/>
          <w:color w:val="282828"/>
          <w:sz w:val="18"/>
          <w:szCs w:val="18"/>
          <w:highlight w:val="yellow"/>
          <w:shd w:val="clear" w:color="auto" w:fill="F7F7F7"/>
        </w:rPr>
        <w:t> </w:t>
      </w:r>
      <w:hyperlink r:id="rId63" w:history="1">
        <w:r w:rsidRPr="008E4081">
          <w:rPr>
            <w:rStyle w:val="Hyperlink"/>
            <w:rFonts w:ascii="Helvetica" w:hAnsi="Helvetica" w:cs="Helvetica"/>
            <w:sz w:val="18"/>
            <w:szCs w:val="18"/>
            <w:highlight w:val="yellow"/>
            <w:shd w:val="clear" w:color="auto" w:fill="F7F7F7"/>
          </w:rPr>
          <w:t>https://doi.org/10.3389/frsus.2021.701509</w:t>
        </w:r>
      </w:hyperlink>
      <w:r w:rsidR="003A40E8" w:rsidRPr="008E4081">
        <w:rPr>
          <w:rFonts w:ascii="Arial" w:eastAsia="Times New Roman" w:hAnsi="Arial" w:cs="Arial"/>
          <w:color w:val="333333"/>
          <w:kern w:val="0"/>
          <w:szCs w:val="27"/>
          <w:highlight w:val="yellow"/>
          <w:lang w:val="en-US"/>
          <w14:ligatures w14:val="none"/>
        </w:rPr>
        <w:t xml:space="preserve">Todor </w:t>
      </w:r>
      <w:proofErr w:type="spellStart"/>
      <w:r w:rsidR="003A40E8" w:rsidRPr="008E4081">
        <w:rPr>
          <w:rFonts w:ascii="Arial" w:eastAsia="Times New Roman" w:hAnsi="Arial" w:cs="Arial"/>
          <w:color w:val="333333"/>
          <w:kern w:val="0"/>
          <w:szCs w:val="27"/>
          <w:highlight w:val="yellow"/>
          <w:lang w:val="en-US"/>
          <w14:ligatures w14:val="none"/>
        </w:rPr>
        <w:t>Stoyanov</w:t>
      </w:r>
      <w:proofErr w:type="spellEnd"/>
      <w:r w:rsidR="003A40E8" w:rsidRPr="008E4081">
        <w:rPr>
          <w:rFonts w:ascii="Arial" w:eastAsia="Times New Roman" w:hAnsi="Arial" w:cs="Arial"/>
          <w:color w:val="333333"/>
          <w:kern w:val="0"/>
          <w:szCs w:val="27"/>
          <w:highlight w:val="yellow"/>
          <w:lang w:val="en-US"/>
          <w14:ligatures w14:val="none"/>
        </w:rPr>
        <w:t>. 2023. “Non-Wood Forest Products: History and State in Circular-</w:t>
      </w:r>
      <w:proofErr w:type="spellStart"/>
      <w:r w:rsidR="003A40E8" w:rsidRPr="008E4081">
        <w:rPr>
          <w:rFonts w:ascii="Arial" w:eastAsia="Times New Roman" w:hAnsi="Arial" w:cs="Arial"/>
          <w:color w:val="333333"/>
          <w:kern w:val="0"/>
          <w:szCs w:val="27"/>
          <w:highlight w:val="yellow"/>
          <w:lang w:val="en-US"/>
          <w14:ligatures w14:val="none"/>
        </w:rPr>
        <w:t>Bioeconomy</w:t>
      </w:r>
      <w:proofErr w:type="spellEnd"/>
      <w:r w:rsidR="003A40E8" w:rsidRPr="008E4081">
        <w:rPr>
          <w:rFonts w:ascii="Arial" w:eastAsia="Times New Roman" w:hAnsi="Arial" w:cs="Arial"/>
          <w:color w:val="333333"/>
          <w:kern w:val="0"/>
          <w:szCs w:val="27"/>
          <w:highlight w:val="yellow"/>
          <w:lang w:val="en-US"/>
          <w14:ligatures w14:val="none"/>
        </w:rPr>
        <w:t xml:space="preserve"> of Bulgaria”. </w:t>
      </w:r>
      <w:r w:rsidR="003A40E8" w:rsidRPr="008E4081">
        <w:rPr>
          <w:rFonts w:ascii="Arial" w:eastAsia="Times New Roman" w:hAnsi="Arial" w:cs="Arial"/>
          <w:i/>
          <w:iCs/>
          <w:color w:val="333333"/>
          <w:kern w:val="0"/>
          <w:szCs w:val="27"/>
          <w:highlight w:val="yellow"/>
          <w:lang w:val="en-US"/>
          <w14:ligatures w14:val="none"/>
        </w:rPr>
        <w:t>South Asian Journal of Social Studies and Economics</w:t>
      </w:r>
      <w:r w:rsidR="003A40E8" w:rsidRPr="008E4081">
        <w:rPr>
          <w:rFonts w:ascii="Arial" w:eastAsia="Times New Roman" w:hAnsi="Arial" w:cs="Arial"/>
          <w:color w:val="333333"/>
          <w:kern w:val="0"/>
          <w:szCs w:val="27"/>
          <w:highlight w:val="yellow"/>
          <w:lang w:val="en-US"/>
          <w14:ligatures w14:val="none"/>
        </w:rPr>
        <w:t> 19 (3):11–19. https://doi.org/10.9734/sajsse/2023/v19i3677.</w:t>
      </w:r>
    </w:p>
    <w:p w14:paraId="3859965C" w14:textId="77777777" w:rsidR="003A40E8" w:rsidRPr="008E4081" w:rsidRDefault="003A40E8" w:rsidP="00D56865">
      <w:pPr>
        <w:pStyle w:val="ListParagraph"/>
        <w:numPr>
          <w:ilvl w:val="0"/>
          <w:numId w:val="3"/>
        </w:numPr>
        <w:jc w:val="both"/>
        <w:rPr>
          <w:rFonts w:ascii="Arial" w:eastAsia="Times New Roman" w:hAnsi="Arial" w:cs="Arial"/>
          <w:kern w:val="0"/>
          <w:highlight w:val="yellow"/>
          <w:lang w:eastAsia="en-IN"/>
        </w:rPr>
      </w:pPr>
    </w:p>
    <w:p w14:paraId="7F8B7E80" w14:textId="77777777" w:rsidR="008C66BC" w:rsidRPr="004D3A3A" w:rsidRDefault="008C66BC" w:rsidP="00D56865">
      <w:pPr>
        <w:jc w:val="both"/>
        <w:rPr>
          <w:rFonts w:ascii="Arial" w:hAnsi="Arial" w:cs="Arial"/>
          <w:b/>
          <w:bCs/>
        </w:rPr>
      </w:pPr>
    </w:p>
    <w:sectPr w:rsidR="008C66BC" w:rsidRPr="004D3A3A" w:rsidSect="001E337C">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4330" w14:textId="77777777" w:rsidR="004F398B" w:rsidRDefault="004F398B" w:rsidP="00D5356F">
      <w:pPr>
        <w:spacing w:after="0" w:line="240" w:lineRule="auto"/>
      </w:pPr>
      <w:r>
        <w:separator/>
      </w:r>
    </w:p>
  </w:endnote>
  <w:endnote w:type="continuationSeparator" w:id="0">
    <w:p w14:paraId="68E8C0B8" w14:textId="77777777" w:rsidR="004F398B" w:rsidRDefault="004F398B" w:rsidP="00D5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686F" w14:textId="77777777" w:rsidR="00D5356F" w:rsidRDefault="00D5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8EA9" w14:textId="77777777" w:rsidR="00D5356F" w:rsidRDefault="00D53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7A60" w14:textId="77777777" w:rsidR="00D5356F" w:rsidRDefault="00D5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598D6" w14:textId="77777777" w:rsidR="004F398B" w:rsidRDefault="004F398B" w:rsidP="00D5356F">
      <w:pPr>
        <w:spacing w:after="0" w:line="240" w:lineRule="auto"/>
      </w:pPr>
      <w:r>
        <w:separator/>
      </w:r>
    </w:p>
  </w:footnote>
  <w:footnote w:type="continuationSeparator" w:id="0">
    <w:p w14:paraId="739D12A7" w14:textId="77777777" w:rsidR="004F398B" w:rsidRDefault="004F398B" w:rsidP="00D5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5358" w14:textId="0042A72B" w:rsidR="00D5356F" w:rsidRDefault="004F398B">
    <w:pPr>
      <w:pStyle w:val="Header"/>
    </w:pPr>
    <w:r>
      <w:rPr>
        <w:noProof/>
      </w:rPr>
      <w:pict w14:anchorId="6A134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039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B092" w14:textId="16FBB54E" w:rsidR="00D5356F" w:rsidRDefault="004F398B">
    <w:pPr>
      <w:pStyle w:val="Header"/>
    </w:pPr>
    <w:r>
      <w:rPr>
        <w:noProof/>
      </w:rPr>
      <w:pict w14:anchorId="2BE54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039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4605" w14:textId="2243F48D" w:rsidR="00D5356F" w:rsidRDefault="004F398B">
    <w:pPr>
      <w:pStyle w:val="Header"/>
    </w:pPr>
    <w:r>
      <w:rPr>
        <w:noProof/>
      </w:rPr>
      <w:pict w14:anchorId="706D0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039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42DCE"/>
    <w:multiLevelType w:val="multilevel"/>
    <w:tmpl w:val="DC42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679DD"/>
    <w:multiLevelType w:val="hybridMultilevel"/>
    <w:tmpl w:val="2AC4E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57CE5"/>
    <w:multiLevelType w:val="multilevel"/>
    <w:tmpl w:val="5D84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NDI2MDQzsgSyzZR0lIJTi4sz8/NACixrARYpbSEsAAAA"/>
  </w:docVars>
  <w:rsids>
    <w:rsidRoot w:val="0080063F"/>
    <w:rsid w:val="000E7611"/>
    <w:rsid w:val="0011082E"/>
    <w:rsid w:val="001C69F9"/>
    <w:rsid w:val="001E337C"/>
    <w:rsid w:val="0023653D"/>
    <w:rsid w:val="002A18B2"/>
    <w:rsid w:val="002D37EC"/>
    <w:rsid w:val="002E121B"/>
    <w:rsid w:val="00337891"/>
    <w:rsid w:val="003A40E8"/>
    <w:rsid w:val="003E3BB3"/>
    <w:rsid w:val="00463541"/>
    <w:rsid w:val="004D3A3A"/>
    <w:rsid w:val="004F398B"/>
    <w:rsid w:val="00502497"/>
    <w:rsid w:val="00507EEF"/>
    <w:rsid w:val="00583EF2"/>
    <w:rsid w:val="00592296"/>
    <w:rsid w:val="0080063F"/>
    <w:rsid w:val="00804FD1"/>
    <w:rsid w:val="00871F5B"/>
    <w:rsid w:val="008C66BC"/>
    <w:rsid w:val="008E3145"/>
    <w:rsid w:val="008E4081"/>
    <w:rsid w:val="00953F34"/>
    <w:rsid w:val="009635E0"/>
    <w:rsid w:val="00A63667"/>
    <w:rsid w:val="00AC093C"/>
    <w:rsid w:val="00B04FBC"/>
    <w:rsid w:val="00B06D5F"/>
    <w:rsid w:val="00B10936"/>
    <w:rsid w:val="00B52C09"/>
    <w:rsid w:val="00D40580"/>
    <w:rsid w:val="00D5356F"/>
    <w:rsid w:val="00D56865"/>
    <w:rsid w:val="00D6523E"/>
    <w:rsid w:val="00DF0047"/>
    <w:rsid w:val="00EC6484"/>
    <w:rsid w:val="00F66588"/>
    <w:rsid w:val="00F66AE5"/>
    <w:rsid w:val="00F94079"/>
    <w:rsid w:val="00FB52CE"/>
    <w:rsid w:val="00FF278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0EC92"/>
  <w15:docId w15:val="{40DC8FF4-A364-426F-9774-DE250DF7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800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00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006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006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6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00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006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006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6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63F"/>
    <w:rPr>
      <w:rFonts w:eastAsiaTheme="majorEastAsia" w:cstheme="majorBidi"/>
      <w:color w:val="272727" w:themeColor="text1" w:themeTint="D8"/>
    </w:rPr>
  </w:style>
  <w:style w:type="paragraph" w:styleId="Title">
    <w:name w:val="Title"/>
    <w:basedOn w:val="Normal"/>
    <w:next w:val="Normal"/>
    <w:link w:val="TitleChar"/>
    <w:uiPriority w:val="10"/>
    <w:qFormat/>
    <w:rsid w:val="0080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63F"/>
    <w:pPr>
      <w:spacing w:before="160"/>
      <w:jc w:val="center"/>
    </w:pPr>
    <w:rPr>
      <w:i/>
      <w:iCs/>
      <w:color w:val="404040" w:themeColor="text1" w:themeTint="BF"/>
    </w:rPr>
  </w:style>
  <w:style w:type="character" w:customStyle="1" w:styleId="QuoteChar">
    <w:name w:val="Quote Char"/>
    <w:basedOn w:val="DefaultParagraphFont"/>
    <w:link w:val="Quote"/>
    <w:uiPriority w:val="29"/>
    <w:rsid w:val="0080063F"/>
    <w:rPr>
      <w:i/>
      <w:iCs/>
      <w:color w:val="404040" w:themeColor="text1" w:themeTint="BF"/>
    </w:rPr>
  </w:style>
  <w:style w:type="paragraph" w:styleId="ListParagraph">
    <w:name w:val="List Paragraph"/>
    <w:basedOn w:val="Normal"/>
    <w:uiPriority w:val="34"/>
    <w:qFormat/>
    <w:rsid w:val="0080063F"/>
    <w:pPr>
      <w:ind w:left="720"/>
      <w:contextualSpacing/>
    </w:pPr>
  </w:style>
  <w:style w:type="character" w:styleId="IntenseEmphasis">
    <w:name w:val="Intense Emphasis"/>
    <w:basedOn w:val="DefaultParagraphFont"/>
    <w:uiPriority w:val="21"/>
    <w:qFormat/>
    <w:rsid w:val="0080063F"/>
    <w:rPr>
      <w:i/>
      <w:iCs/>
      <w:color w:val="2F5496" w:themeColor="accent1" w:themeShade="BF"/>
    </w:rPr>
  </w:style>
  <w:style w:type="paragraph" w:styleId="IntenseQuote">
    <w:name w:val="Intense Quote"/>
    <w:basedOn w:val="Normal"/>
    <w:next w:val="Normal"/>
    <w:link w:val="IntenseQuoteChar"/>
    <w:uiPriority w:val="30"/>
    <w:qFormat/>
    <w:rsid w:val="00800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63F"/>
    <w:rPr>
      <w:i/>
      <w:iCs/>
      <w:color w:val="2F5496" w:themeColor="accent1" w:themeShade="BF"/>
    </w:rPr>
  </w:style>
  <w:style w:type="character" w:styleId="IntenseReference">
    <w:name w:val="Intense Reference"/>
    <w:basedOn w:val="DefaultParagraphFont"/>
    <w:uiPriority w:val="32"/>
    <w:qFormat/>
    <w:rsid w:val="0080063F"/>
    <w:rPr>
      <w:b/>
      <w:bCs/>
      <w:smallCaps/>
      <w:color w:val="2F5496" w:themeColor="accent1" w:themeShade="BF"/>
      <w:spacing w:val="5"/>
    </w:rPr>
  </w:style>
  <w:style w:type="paragraph" w:styleId="NormalWeb">
    <w:name w:val="Normal (Web)"/>
    <w:basedOn w:val="Normal"/>
    <w:uiPriority w:val="99"/>
    <w:semiHidden/>
    <w:unhideWhenUsed/>
    <w:rsid w:val="0011082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11082E"/>
    <w:rPr>
      <w:b/>
      <w:bCs/>
    </w:rPr>
  </w:style>
  <w:style w:type="character" w:customStyle="1" w:styleId="ms-1">
    <w:name w:val="ms-1"/>
    <w:basedOn w:val="DefaultParagraphFont"/>
    <w:rsid w:val="0011082E"/>
  </w:style>
  <w:style w:type="character" w:styleId="Hyperlink">
    <w:name w:val="Hyperlink"/>
    <w:basedOn w:val="DefaultParagraphFont"/>
    <w:uiPriority w:val="99"/>
    <w:unhideWhenUsed/>
    <w:rsid w:val="0011082E"/>
    <w:rPr>
      <w:color w:val="0000FF"/>
      <w:u w:val="single"/>
    </w:rPr>
  </w:style>
  <w:style w:type="character" w:customStyle="1" w:styleId="max-w-15ch">
    <w:name w:val="max-w-[15ch]"/>
    <w:basedOn w:val="DefaultParagraphFont"/>
    <w:rsid w:val="0011082E"/>
  </w:style>
  <w:style w:type="character" w:customStyle="1" w:styleId="-me-1">
    <w:name w:val="-me-1"/>
    <w:basedOn w:val="DefaultParagraphFont"/>
    <w:rsid w:val="0011082E"/>
  </w:style>
  <w:style w:type="character" w:styleId="Emphasis">
    <w:name w:val="Emphasis"/>
    <w:basedOn w:val="DefaultParagraphFont"/>
    <w:uiPriority w:val="20"/>
    <w:qFormat/>
    <w:rsid w:val="0011082E"/>
    <w:rPr>
      <w:i/>
      <w:iCs/>
    </w:rPr>
  </w:style>
  <w:style w:type="character" w:customStyle="1" w:styleId="UnresolvedMention1">
    <w:name w:val="Unresolved Mention1"/>
    <w:basedOn w:val="DefaultParagraphFont"/>
    <w:uiPriority w:val="99"/>
    <w:semiHidden/>
    <w:unhideWhenUsed/>
    <w:rsid w:val="002A18B2"/>
    <w:rPr>
      <w:color w:val="605E5C"/>
      <w:shd w:val="clear" w:color="auto" w:fill="E1DFDD"/>
    </w:rPr>
  </w:style>
  <w:style w:type="paragraph" w:styleId="Header">
    <w:name w:val="header"/>
    <w:basedOn w:val="Normal"/>
    <w:link w:val="HeaderChar"/>
    <w:uiPriority w:val="99"/>
    <w:unhideWhenUsed/>
    <w:rsid w:val="00D53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6F"/>
  </w:style>
  <w:style w:type="paragraph" w:styleId="Footer">
    <w:name w:val="footer"/>
    <w:basedOn w:val="Normal"/>
    <w:link w:val="FooterChar"/>
    <w:uiPriority w:val="99"/>
    <w:unhideWhenUsed/>
    <w:rsid w:val="00D53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6F"/>
  </w:style>
  <w:style w:type="character" w:styleId="CommentReference">
    <w:name w:val="annotation reference"/>
    <w:basedOn w:val="DefaultParagraphFont"/>
    <w:uiPriority w:val="99"/>
    <w:semiHidden/>
    <w:unhideWhenUsed/>
    <w:rsid w:val="009635E0"/>
    <w:rPr>
      <w:sz w:val="16"/>
      <w:szCs w:val="16"/>
    </w:rPr>
  </w:style>
  <w:style w:type="paragraph" w:styleId="CommentText">
    <w:name w:val="annotation text"/>
    <w:basedOn w:val="Normal"/>
    <w:link w:val="CommentTextChar"/>
    <w:uiPriority w:val="99"/>
    <w:semiHidden/>
    <w:unhideWhenUsed/>
    <w:rsid w:val="009635E0"/>
    <w:pPr>
      <w:spacing w:line="240" w:lineRule="auto"/>
    </w:pPr>
    <w:rPr>
      <w:sz w:val="20"/>
      <w:szCs w:val="20"/>
    </w:rPr>
  </w:style>
  <w:style w:type="character" w:customStyle="1" w:styleId="CommentTextChar">
    <w:name w:val="Comment Text Char"/>
    <w:basedOn w:val="DefaultParagraphFont"/>
    <w:link w:val="CommentText"/>
    <w:uiPriority w:val="99"/>
    <w:semiHidden/>
    <w:rsid w:val="009635E0"/>
    <w:rPr>
      <w:sz w:val="20"/>
      <w:szCs w:val="20"/>
    </w:rPr>
  </w:style>
  <w:style w:type="paragraph" w:styleId="CommentSubject">
    <w:name w:val="annotation subject"/>
    <w:basedOn w:val="CommentText"/>
    <w:next w:val="CommentText"/>
    <w:link w:val="CommentSubjectChar"/>
    <w:uiPriority w:val="99"/>
    <w:semiHidden/>
    <w:unhideWhenUsed/>
    <w:rsid w:val="009635E0"/>
    <w:rPr>
      <w:b/>
      <w:bCs/>
    </w:rPr>
  </w:style>
  <w:style w:type="character" w:customStyle="1" w:styleId="CommentSubjectChar">
    <w:name w:val="Comment Subject Char"/>
    <w:basedOn w:val="CommentTextChar"/>
    <w:link w:val="CommentSubject"/>
    <w:uiPriority w:val="99"/>
    <w:semiHidden/>
    <w:rsid w:val="009635E0"/>
    <w:rPr>
      <w:b/>
      <w:bCs/>
      <w:sz w:val="20"/>
      <w:szCs w:val="20"/>
    </w:rPr>
  </w:style>
  <w:style w:type="paragraph" w:styleId="BalloonText">
    <w:name w:val="Balloon Text"/>
    <w:basedOn w:val="Normal"/>
    <w:link w:val="BalloonTextChar"/>
    <w:uiPriority w:val="99"/>
    <w:semiHidden/>
    <w:unhideWhenUsed/>
    <w:rsid w:val="00963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5E0"/>
    <w:rPr>
      <w:rFonts w:ascii="Tahoma" w:hAnsi="Tahoma" w:cs="Tahoma"/>
      <w:sz w:val="16"/>
      <w:szCs w:val="16"/>
    </w:rPr>
  </w:style>
  <w:style w:type="character" w:customStyle="1" w:styleId="anchor-text">
    <w:name w:val="anchor-text"/>
    <w:basedOn w:val="DefaultParagraphFont"/>
    <w:rsid w:val="00D5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9541">
      <w:bodyDiv w:val="1"/>
      <w:marLeft w:val="0"/>
      <w:marRight w:val="0"/>
      <w:marTop w:val="0"/>
      <w:marBottom w:val="0"/>
      <w:divBdr>
        <w:top w:val="none" w:sz="0" w:space="0" w:color="auto"/>
        <w:left w:val="none" w:sz="0" w:space="0" w:color="auto"/>
        <w:bottom w:val="none" w:sz="0" w:space="0" w:color="auto"/>
        <w:right w:val="none" w:sz="0" w:space="0" w:color="auto"/>
      </w:divBdr>
      <w:divsChild>
        <w:div w:id="1397128185">
          <w:marLeft w:val="0"/>
          <w:marRight w:val="0"/>
          <w:marTop w:val="0"/>
          <w:marBottom w:val="0"/>
          <w:divBdr>
            <w:top w:val="none" w:sz="0" w:space="0" w:color="auto"/>
            <w:left w:val="none" w:sz="0" w:space="0" w:color="auto"/>
            <w:bottom w:val="none" w:sz="0" w:space="0" w:color="auto"/>
            <w:right w:val="none" w:sz="0" w:space="0" w:color="auto"/>
          </w:divBdr>
          <w:divsChild>
            <w:div w:id="54201430">
              <w:marLeft w:val="0"/>
              <w:marRight w:val="0"/>
              <w:marTop w:val="0"/>
              <w:marBottom w:val="0"/>
              <w:divBdr>
                <w:top w:val="none" w:sz="0" w:space="0" w:color="auto"/>
                <w:left w:val="none" w:sz="0" w:space="0" w:color="auto"/>
                <w:bottom w:val="none" w:sz="0" w:space="0" w:color="auto"/>
                <w:right w:val="none" w:sz="0" w:space="0" w:color="auto"/>
              </w:divBdr>
              <w:divsChild>
                <w:div w:id="171141377">
                  <w:marLeft w:val="0"/>
                  <w:marRight w:val="0"/>
                  <w:marTop w:val="0"/>
                  <w:marBottom w:val="0"/>
                  <w:divBdr>
                    <w:top w:val="none" w:sz="0" w:space="0" w:color="auto"/>
                    <w:left w:val="none" w:sz="0" w:space="0" w:color="auto"/>
                    <w:bottom w:val="none" w:sz="0" w:space="0" w:color="auto"/>
                    <w:right w:val="none" w:sz="0" w:space="0" w:color="auto"/>
                  </w:divBdr>
                  <w:divsChild>
                    <w:div w:id="4318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atena.2024.107844" TargetMode="External"/><Relationship Id="rId21" Type="http://schemas.openxmlformats.org/officeDocument/2006/relationships/hyperlink" Target="https://doi.org/10.1021/es203984k" TargetMode="External"/><Relationship Id="rId42" Type="http://schemas.openxmlformats.org/officeDocument/2006/relationships/hyperlink" Target="https://doi.org/10.1016/j.jenvman.2023.117263" TargetMode="External"/><Relationship Id="rId47" Type="http://schemas.openxmlformats.org/officeDocument/2006/relationships/hyperlink" Target="https://doi.org/10.1021/es902266r" TargetMode="External"/><Relationship Id="rId63" Type="http://schemas.openxmlformats.org/officeDocument/2006/relationships/hyperlink" Target="https://doi.org/10.3389/frsus.2021.701509" TargetMode="External"/><Relationship Id="rId68" Type="http://schemas.openxmlformats.org/officeDocument/2006/relationships/header" Target="header3.xml"/><Relationship Id="rId7" Type="http://schemas.openxmlformats.org/officeDocument/2006/relationships/hyperlink" Target="https://www.sciencedirect.com/topics/earth-and-planetary-sciences/environmental-impact-assessment"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38/s41467-024-45314-y" TargetMode="External"/><Relationship Id="rId29" Type="http://schemas.openxmlformats.org/officeDocument/2006/relationships/hyperlink" Target="https://doi.org/10.1080/14693062.2021.1948384" TargetMode="External"/><Relationship Id="rId11" Type="http://schemas.openxmlformats.org/officeDocument/2006/relationships/hyperlink" Target="https://doi.org/10.1111/gcb.15943" TargetMode="External"/><Relationship Id="rId24" Type="http://schemas.openxmlformats.org/officeDocument/2006/relationships/hyperlink" Target="https://doi.org/10.1088/1748-9326/aa67bd" TargetMode="External"/><Relationship Id="rId32" Type="http://schemas.openxmlformats.org/officeDocument/2006/relationships/hyperlink" Target="https://doi.org/10.1021/acsagscitech.2c00172" TargetMode="External"/><Relationship Id="rId37" Type="http://schemas.openxmlformats.org/officeDocument/2006/relationships/hyperlink" Target="https://doi.org/10.1021/acsagscitech.1c00239" TargetMode="External"/><Relationship Id="rId40" Type="http://schemas.openxmlformats.org/officeDocument/2006/relationships/hyperlink" Target="https://doi.org/10.2134/age2019.04.0027" TargetMode="External"/><Relationship Id="rId45" Type="http://schemas.openxmlformats.org/officeDocument/2006/relationships/hyperlink" Target="https://doi.org/10.1038/s41467-024-53645-z" TargetMode="External"/><Relationship Id="rId53" Type="http://schemas.openxmlformats.org/officeDocument/2006/relationships/hyperlink" Target="https://doi.org/10.4155/cmt.10.32" TargetMode="External"/><Relationship Id="rId58" Type="http://schemas.openxmlformats.org/officeDocument/2006/relationships/hyperlink" Target="https://doi.org/10.1126/science.ade3535"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doi.org/10.1111/sum.12546" TargetMode="External"/><Relationship Id="rId19" Type="http://schemas.openxmlformats.org/officeDocument/2006/relationships/hyperlink" Target="https://doi.org/10.1038/s41598-021-82739-7" TargetMode="External"/><Relationship Id="rId14" Type="http://schemas.openxmlformats.org/officeDocument/2006/relationships/hyperlink" Target="https://doi.org/10.1016/j.scitotenv.2018.10.060" TargetMode="External"/><Relationship Id="rId22" Type="http://schemas.openxmlformats.org/officeDocument/2006/relationships/hyperlink" Target="https://doi.org/10.1021/acs.est.2c03467" TargetMode="External"/><Relationship Id="rId27" Type="http://schemas.openxmlformats.org/officeDocument/2006/relationships/hyperlink" Target="https://doi.org/10.1038/s43247-024-01663-6" TargetMode="External"/><Relationship Id="rId30" Type="http://schemas.openxmlformats.org/officeDocument/2006/relationships/hyperlink" Target="https://doi.org/10.1007/s13593-022-00790-8" TargetMode="External"/><Relationship Id="rId35" Type="http://schemas.openxmlformats.org/officeDocument/2006/relationships/hyperlink" Target="https://doi.org/10.1038/s41597-023-02867-9" TargetMode="External"/><Relationship Id="rId43" Type="http://schemas.openxmlformats.org/officeDocument/2006/relationships/hyperlink" Target="https://doi.org/10.1016/j.agee.2023.108697" TargetMode="External"/><Relationship Id="rId48" Type="http://schemas.openxmlformats.org/officeDocument/2006/relationships/hyperlink" Target="https://doi.org/10.1016/j.scitotenv.2018.11.316" TargetMode="External"/><Relationship Id="rId56" Type="http://schemas.openxmlformats.org/officeDocument/2006/relationships/hyperlink" Target="https://doi.org/10.1111/ejss.13488"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www.sciencedirect.com/topics/earth-and-planetary-sciences/environmental-impact-assessment" TargetMode="External"/><Relationship Id="rId51" Type="http://schemas.openxmlformats.org/officeDocument/2006/relationships/hyperlink" Target="https://doi.org/10.1021/es302545b" TargetMode="External"/><Relationship Id="rId3" Type="http://schemas.openxmlformats.org/officeDocument/2006/relationships/settings" Target="settings.xml"/><Relationship Id="rId12" Type="http://schemas.openxmlformats.org/officeDocument/2006/relationships/hyperlink" Target="https://doi.org/10.1016/j.oneear.2022.05.012" TargetMode="External"/><Relationship Id="rId17" Type="http://schemas.openxmlformats.org/officeDocument/2006/relationships/hyperlink" Target="https://doi.org/10.1111/gcbb.13028" TargetMode="External"/><Relationship Id="rId25" Type="http://schemas.openxmlformats.org/officeDocument/2006/relationships/hyperlink" Target="https://doi.org/10.1016/j.soilbio.2016.07.021" TargetMode="External"/><Relationship Id="rId33" Type="http://schemas.openxmlformats.org/officeDocument/2006/relationships/hyperlink" Target="https://doi.org/10.1016/j.scitotenv.2023.162670" TargetMode="External"/><Relationship Id="rId38" Type="http://schemas.openxmlformats.org/officeDocument/2006/relationships/hyperlink" Target="https://doi.org/10.1111/gcb.12438" TargetMode="External"/><Relationship Id="rId46" Type="http://schemas.openxmlformats.org/officeDocument/2006/relationships/hyperlink" Target="https://doi.org/10.1038/s43017-023-00482-1" TargetMode="External"/><Relationship Id="rId59" Type="http://schemas.openxmlformats.org/officeDocument/2006/relationships/hyperlink" Target="https://doi.org/10.1021/acs.est.1c02425" TargetMode="External"/><Relationship Id="rId67" Type="http://schemas.openxmlformats.org/officeDocument/2006/relationships/footer" Target="footer2.xml"/><Relationship Id="rId20" Type="http://schemas.openxmlformats.org/officeDocument/2006/relationships/hyperlink" Target="https://doi.org/10.3389/fsufs.2020.614349" TargetMode="External"/><Relationship Id="rId41" Type="http://schemas.openxmlformats.org/officeDocument/2006/relationships/hyperlink" Target="https://doi.org/10.1126/science.abl7991" TargetMode="External"/><Relationship Id="rId54" Type="http://schemas.openxmlformats.org/officeDocument/2006/relationships/hyperlink" Target="https://doi.org/10.1002/agg2.20408" TargetMode="External"/><Relationship Id="rId62" Type="http://schemas.openxmlformats.org/officeDocument/2006/relationships/hyperlink" Target="https://doi.org/10.1016/j.clcb.2025.100145"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agee.2014.12.015" TargetMode="External"/><Relationship Id="rId23" Type="http://schemas.openxmlformats.org/officeDocument/2006/relationships/hyperlink" Target="https://doi.org/10.1016/j.agrformet.2022.109179" TargetMode="External"/><Relationship Id="rId28" Type="http://schemas.openxmlformats.org/officeDocument/2006/relationships/hyperlink" Target="https://doi.org/10.1016/j.resconrec.2017.09.005" TargetMode="External"/><Relationship Id="rId36" Type="http://schemas.openxmlformats.org/officeDocument/2006/relationships/hyperlink" Target="https://doi.org/10.1080/00380768.2022.2095669" TargetMode="External"/><Relationship Id="rId49" Type="http://schemas.openxmlformats.org/officeDocument/2006/relationships/hyperlink" Target="https://doi.org/10.1002/jeq2.20475" TargetMode="External"/><Relationship Id="rId57" Type="http://schemas.openxmlformats.org/officeDocument/2006/relationships/hyperlink" Target="https://doi.org/10.1111/gcbb.12266" TargetMode="External"/><Relationship Id="rId10" Type="http://schemas.openxmlformats.org/officeDocument/2006/relationships/hyperlink" Target="https://doi.org/10.1016/j.scitotenv.2022.154388" TargetMode="External"/><Relationship Id="rId31" Type="http://schemas.openxmlformats.org/officeDocument/2006/relationships/hyperlink" Target="https://doi.org/10.1038/s41561-021-00852-8" TargetMode="External"/><Relationship Id="rId44" Type="http://schemas.openxmlformats.org/officeDocument/2006/relationships/hyperlink" Target="https://doi.org/10.1021/es5060786" TargetMode="External"/><Relationship Id="rId52" Type="http://schemas.openxmlformats.org/officeDocument/2006/relationships/hyperlink" Target="https://doi.org/10.1111/gcb.14815" TargetMode="External"/><Relationship Id="rId60" Type="http://schemas.openxmlformats.org/officeDocument/2006/relationships/hyperlink" Target="https://doi.org/10.1016/j.geoderma.2023.116528"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ubs.acs.org/doi/10.1021/acs.est.1c02425?utm_source=chatgpt.com" TargetMode="External"/><Relationship Id="rId13" Type="http://schemas.openxmlformats.org/officeDocument/2006/relationships/hyperlink" Target="https://doi.org/10.1016/j.wasman.2022.07.033" TargetMode="External"/><Relationship Id="rId18" Type="http://schemas.openxmlformats.org/officeDocument/2006/relationships/hyperlink" Target="https://doi.org/10.1016/j.jclepro.2016.12.048" TargetMode="External"/><Relationship Id="rId39" Type="http://schemas.openxmlformats.org/officeDocument/2006/relationships/hyperlink" Target="https://doi.org/10.1021/acs.est.2c05846" TargetMode="External"/><Relationship Id="rId34" Type="http://schemas.openxmlformats.org/officeDocument/2006/relationships/hyperlink" Target="https://doi.org/10.1016/j.envres.2023.117617" TargetMode="External"/><Relationship Id="rId50" Type="http://schemas.openxmlformats.org/officeDocument/2006/relationships/hyperlink" Target="https://doi.org/10.1002/agj2.70050" TargetMode="External"/><Relationship Id="rId55" Type="http://schemas.openxmlformats.org/officeDocument/2006/relationships/hyperlink" Target="https://doi.org/10.1007/s11157-020-095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11743</Words>
  <Characters>66938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Manisha</dc:creator>
  <cp:lastModifiedBy>SDI PC New 16</cp:lastModifiedBy>
  <cp:revision>7</cp:revision>
  <dcterms:created xsi:type="dcterms:W3CDTF">2025-12-02T19:30:00Z</dcterms:created>
  <dcterms:modified xsi:type="dcterms:W3CDTF">2025-12-03T12:03:00Z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b3d1619d-8776-46ce-a858-164b01fda973</vt:lpwstr>
  </property>
</Properties>
</file>