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463176" w14:textId="5E1F1492" w:rsidR="00E71AA1" w:rsidRDefault="007F71FF" w:rsidP="00125810">
      <w:pPr>
        <w:spacing w:line="480" w:lineRule="auto"/>
        <w:jc w:val="both"/>
        <w:rPr>
          <w:rFonts w:ascii="Times New Roman" w:hAnsi="Times New Roman" w:cs="Times New Roman"/>
          <w:b/>
          <w:bCs/>
        </w:rPr>
      </w:pPr>
      <w:r w:rsidRPr="007C4203">
        <w:rPr>
          <w:rFonts w:ascii="Times New Roman" w:eastAsia="Times New Roman" w:hAnsi="Times New Roman" w:cs="Times New Roman"/>
          <w:b/>
          <w:bCs/>
          <w:kern w:val="0"/>
          <w:highlight w:val="yellow"/>
          <w14:ligatures w14:val="none"/>
        </w:rPr>
        <w:t>Heavy Metal Contamination and Neurotoxicity Risk in Herbal Teas and Spices from Abuja, Nigeria</w:t>
      </w:r>
    </w:p>
    <w:p w14:paraId="21B99A2C" w14:textId="7FD1C381" w:rsidR="009F3DEA" w:rsidRPr="00125810" w:rsidRDefault="009F3DEA" w:rsidP="00125810">
      <w:pPr>
        <w:spacing w:line="480" w:lineRule="auto"/>
        <w:jc w:val="both"/>
        <w:rPr>
          <w:rFonts w:ascii="Times New Roman" w:hAnsi="Times New Roman" w:cs="Times New Roman"/>
        </w:rPr>
      </w:pPr>
      <w:r>
        <w:rPr>
          <w:rFonts w:ascii="Times New Roman" w:hAnsi="Times New Roman" w:cs="Times New Roman"/>
          <w:b/>
          <w:bCs/>
        </w:rPr>
        <w:t xml:space="preserve">Abstract  </w:t>
      </w:r>
    </w:p>
    <w:p w14:paraId="77C6917D" w14:textId="69650039" w:rsidR="00C20512" w:rsidRPr="00125810" w:rsidRDefault="00C20512" w:rsidP="00125810">
      <w:pPr>
        <w:spacing w:line="480" w:lineRule="auto"/>
        <w:jc w:val="both"/>
        <w:rPr>
          <w:rFonts w:ascii="Times New Roman" w:hAnsi="Times New Roman" w:cs="Times New Roman"/>
        </w:rPr>
      </w:pPr>
      <w:r w:rsidRPr="00125810">
        <w:rPr>
          <w:rFonts w:ascii="Times New Roman" w:hAnsi="Times New Roman" w:cs="Times New Roman"/>
        </w:rPr>
        <w:t>Herbal teas and spices are widely consumed in Nigeria in both urban and peri-urban societies, such as Abuja, for their nutritional, medicinal, and cultural values. However, contamination with toxic metals poses serious health risks due to their persistence, bioaccumulation, and toxicity even at low concentrations. This study assesses the levels of heavy metals (lead (Pb), cadmium (Cd), chromium (Cr), manganese (Mn), cobalt (Co), nickel (Ni), and copper (Cu)) in herbal teas and spices and evaluates the potential health risks associated with their consumption</w:t>
      </w:r>
      <w:r w:rsidRPr="00125810">
        <w:rPr>
          <w:rFonts w:ascii="Times New Roman" w:hAnsi="Times New Roman" w:cs="Times New Roman"/>
          <w:b/>
          <w:bCs/>
        </w:rPr>
        <w:t xml:space="preserve">. </w:t>
      </w:r>
      <w:r w:rsidRPr="00125810">
        <w:rPr>
          <w:rFonts w:ascii="Times New Roman" w:hAnsi="Times New Roman" w:cs="Times New Roman"/>
        </w:rPr>
        <w:t xml:space="preserve">Bulked samples of twelve herbal teas and eleven spices were digested and </w:t>
      </w:r>
      <w:proofErr w:type="spellStart"/>
      <w:r w:rsidR="00567238" w:rsidRPr="007C4203">
        <w:rPr>
          <w:rFonts w:ascii="Times New Roman" w:hAnsi="Times New Roman" w:cs="Times New Roman"/>
          <w:highlight w:val="yellow"/>
        </w:rPr>
        <w:t>analysed</w:t>
      </w:r>
      <w:proofErr w:type="spellEnd"/>
      <w:r w:rsidR="00567238" w:rsidRPr="00125810">
        <w:rPr>
          <w:rFonts w:ascii="Times New Roman" w:hAnsi="Times New Roman" w:cs="Times New Roman"/>
        </w:rPr>
        <w:t xml:space="preserve"> </w:t>
      </w:r>
      <w:r w:rsidRPr="00125810">
        <w:rPr>
          <w:rFonts w:ascii="Times New Roman" w:hAnsi="Times New Roman" w:cs="Times New Roman"/>
        </w:rPr>
        <w:t xml:space="preserve">with atomic absorption spectrophotometry (AAS) using standard methods (AOAC, 2000). Analytical results indicate detectable concentrations of all metals in both sample types. In spices, ginger powder (Mn: 598.8 mg kg⁻¹; Cr: 15.13 mg kg⁻¹) and turmeric powder (Mn: 403.8 mg kg⁻¹; Cr: 12.96 mg kg⁻¹) showed the highest contaminant levels. Yellow pepper exhibited elevated Pb (7.89 mg kg⁻¹) and Cd (2.280 mg kg⁻¹), while garlic powder recorded the highest Cr (10.88 mg kg⁻¹). In herbal teas, Top tea contained extremely high Mn (1661 mg kg⁻¹) and Pb (35.12 mg kg⁻¹), whereas Moringa tea had a notably high Pb concentration (77.00 mg kg⁻¹). When compared to WHO/FAO permissible limits (Cd: 0.100 mg kg⁻¹; Co: 0.200 mg kg⁻¹; Cr: 2.000 mg kg⁻¹; Cu: 20.00 mg kg⁻¹; Mn: 0.120 mg kg⁻¹; Ni: 1.630 mg kg⁻¹; Pb: 10.00 mg kg⁻¹), several instances of exceedance were observed, especially for Mn, Cr, and Pb. Health risk assessment revealed that the manganese’s hazard quotient (11.26) surpassed safe limits significantly, indicating a major risk of neurotoxicity, while lead HQ (1.11) slightly exceeded safety thresholds, suggesting potential nervous, renal, and hematopoietic effects. Other metals (Cd, Co, Cr, Cu, Ni) remained below risk levels (HQ &lt; 1). The results confirm </w:t>
      </w:r>
      <w:r w:rsidRPr="00125810">
        <w:rPr>
          <w:rFonts w:ascii="Times New Roman" w:hAnsi="Times New Roman" w:cs="Times New Roman"/>
        </w:rPr>
        <w:lastRenderedPageBreak/>
        <w:t>substantial contamination in widely consumed spices and teas, with implications for chronic dietary exposure. Regulatory agencies should enforce stricter quality control measures to protect public health.</w:t>
      </w:r>
      <w:r w:rsidR="00515108">
        <w:rPr>
          <w:rFonts w:ascii="Times New Roman" w:hAnsi="Times New Roman" w:cs="Times New Roman"/>
        </w:rPr>
        <w:t xml:space="preserve"> </w:t>
      </w:r>
      <w:r w:rsidR="00515108" w:rsidRPr="007C4203">
        <w:rPr>
          <w:rFonts w:ascii="Times New Roman" w:hAnsi="Times New Roman" w:cs="Times New Roman"/>
          <w:highlight w:val="yellow"/>
        </w:rPr>
        <w:t xml:space="preserve">These findings </w:t>
      </w:r>
      <w:proofErr w:type="spellStart"/>
      <w:r w:rsidR="00515108">
        <w:rPr>
          <w:rFonts w:ascii="Times New Roman" w:hAnsi="Times New Roman" w:cs="Times New Roman"/>
          <w:highlight w:val="yellow"/>
        </w:rPr>
        <w:t>emphasise</w:t>
      </w:r>
      <w:proofErr w:type="spellEnd"/>
      <w:r w:rsidR="00515108" w:rsidRPr="007C4203">
        <w:rPr>
          <w:rFonts w:ascii="Times New Roman" w:hAnsi="Times New Roman" w:cs="Times New Roman"/>
          <w:highlight w:val="yellow"/>
        </w:rPr>
        <w:t xml:space="preserve"> the urgent need for continuous monitoring, stricter enforcement of food safety standards, and increased public awareness of the dangers of heavy metal exposure through everyday dietary products.</w:t>
      </w:r>
      <w:r w:rsidR="00515108" w:rsidRPr="00515108">
        <w:rPr>
          <w:rFonts w:ascii="Times New Roman" w:hAnsi="Times New Roman" w:cs="Times New Roman"/>
        </w:rPr>
        <w:t xml:space="preserve"> </w:t>
      </w:r>
    </w:p>
    <w:p w14:paraId="66AE11FB" w14:textId="79EE136B" w:rsidR="00C20512" w:rsidRPr="00125810" w:rsidRDefault="00C20512" w:rsidP="00125810">
      <w:pPr>
        <w:spacing w:line="480" w:lineRule="auto"/>
        <w:jc w:val="both"/>
        <w:rPr>
          <w:rFonts w:ascii="Times New Roman" w:hAnsi="Times New Roman" w:cs="Times New Roman"/>
          <w:b/>
          <w:bCs/>
        </w:rPr>
      </w:pPr>
      <w:r w:rsidRPr="00125810">
        <w:rPr>
          <w:rFonts w:ascii="Times New Roman" w:hAnsi="Times New Roman" w:cs="Times New Roman"/>
          <w:b/>
          <w:bCs/>
        </w:rPr>
        <w:t xml:space="preserve">Keywords: </w:t>
      </w:r>
      <w:r w:rsidRPr="00A74D08">
        <w:rPr>
          <w:rFonts w:ascii="Times New Roman" w:hAnsi="Times New Roman" w:cs="Times New Roman"/>
          <w:b/>
          <w:bCs/>
          <w:i/>
          <w:iCs/>
        </w:rPr>
        <w:t>Beverages, Condiment, Metals, Toxicity, Risk</w:t>
      </w:r>
    </w:p>
    <w:p w14:paraId="46F9A331" w14:textId="676C6233" w:rsidR="001E5C8D" w:rsidRPr="001E5C8D" w:rsidRDefault="00C20512" w:rsidP="001E5C8D">
      <w:pPr>
        <w:spacing w:line="480" w:lineRule="auto"/>
        <w:jc w:val="both"/>
        <w:rPr>
          <w:rFonts w:ascii="Times New Roman" w:hAnsi="Times New Roman" w:cs="Times New Roman"/>
          <w:b/>
          <w:bCs/>
        </w:rPr>
      </w:pPr>
      <w:r w:rsidRPr="00125810">
        <w:rPr>
          <w:rFonts w:ascii="Times New Roman" w:hAnsi="Times New Roman" w:cs="Times New Roman"/>
          <w:b/>
          <w:bCs/>
        </w:rPr>
        <w:t>Introduction</w:t>
      </w:r>
    </w:p>
    <w:p w14:paraId="71F671EE" w14:textId="2716A1A5" w:rsidR="001E5C8D" w:rsidRPr="001E5C8D" w:rsidRDefault="007F71FF" w:rsidP="001E5C8D">
      <w:pPr>
        <w:spacing w:line="480" w:lineRule="auto"/>
        <w:jc w:val="both"/>
        <w:rPr>
          <w:rFonts w:ascii="Times New Roman" w:hAnsi="Times New Roman" w:cs="Times New Roman"/>
        </w:rPr>
      </w:pPr>
      <w:r w:rsidRPr="007C4203">
        <w:rPr>
          <w:rFonts w:ascii="Times New Roman" w:hAnsi="Times New Roman" w:cs="Times New Roman"/>
          <w:highlight w:val="yellow"/>
        </w:rPr>
        <w:t xml:space="preserve">The safety of food, especially in developing countries like Nigeria, is increasingly becoming a genuine call for concern due to food contamination; a good example is the usage of food spices as </w:t>
      </w:r>
      <w:proofErr w:type="spellStart"/>
      <w:r w:rsidRPr="007C4203">
        <w:rPr>
          <w:rFonts w:ascii="Times New Roman" w:hAnsi="Times New Roman" w:cs="Times New Roman"/>
          <w:highlight w:val="yellow"/>
        </w:rPr>
        <w:t>flavour</w:t>
      </w:r>
      <w:proofErr w:type="spellEnd"/>
      <w:r w:rsidRPr="007C4203">
        <w:rPr>
          <w:rFonts w:ascii="Times New Roman" w:hAnsi="Times New Roman" w:cs="Times New Roman"/>
          <w:highlight w:val="yellow"/>
        </w:rPr>
        <w:t xml:space="preserve"> and </w:t>
      </w:r>
      <w:proofErr w:type="spellStart"/>
      <w:r w:rsidRPr="007C4203">
        <w:rPr>
          <w:rFonts w:ascii="Times New Roman" w:hAnsi="Times New Roman" w:cs="Times New Roman"/>
          <w:highlight w:val="yellow"/>
        </w:rPr>
        <w:t>colouring</w:t>
      </w:r>
      <w:proofErr w:type="spellEnd"/>
      <w:r w:rsidRPr="007C4203">
        <w:rPr>
          <w:rFonts w:ascii="Times New Roman" w:hAnsi="Times New Roman" w:cs="Times New Roman"/>
          <w:highlight w:val="yellow"/>
        </w:rPr>
        <w:t xml:space="preserve"> matter in gastronomy. Food spices, with their aromatic </w:t>
      </w:r>
      <w:proofErr w:type="spellStart"/>
      <w:r w:rsidRPr="007C4203">
        <w:rPr>
          <w:rFonts w:ascii="Times New Roman" w:hAnsi="Times New Roman" w:cs="Times New Roman"/>
          <w:highlight w:val="yellow"/>
        </w:rPr>
        <w:t>flavours</w:t>
      </w:r>
      <w:proofErr w:type="spellEnd"/>
      <w:r w:rsidRPr="007C4203">
        <w:rPr>
          <w:rFonts w:ascii="Times New Roman" w:hAnsi="Times New Roman" w:cs="Times New Roman"/>
          <w:highlight w:val="yellow"/>
        </w:rPr>
        <w:t xml:space="preserve">, play an essential role as significant ingredients in culinary practices, particularly in Nigeria. They are ubiquitous in various forms, including herbs and medicinal plants (Olusola </w:t>
      </w:r>
      <w:r w:rsidRPr="007C4203">
        <w:rPr>
          <w:rFonts w:ascii="Times New Roman" w:hAnsi="Times New Roman" w:cs="Times New Roman"/>
          <w:i/>
          <w:iCs/>
          <w:highlight w:val="yellow"/>
        </w:rPr>
        <w:t>et al</w:t>
      </w:r>
      <w:r w:rsidRPr="007C4203">
        <w:rPr>
          <w:rFonts w:ascii="Times New Roman" w:hAnsi="Times New Roman" w:cs="Times New Roman"/>
          <w:highlight w:val="yellow"/>
        </w:rPr>
        <w:t>., 2025</w:t>
      </w:r>
      <w:r>
        <w:rPr>
          <w:rFonts w:ascii="Times New Roman" w:hAnsi="Times New Roman" w:cs="Times New Roman"/>
          <w:highlight w:val="yellow"/>
        </w:rPr>
        <w:t xml:space="preserve">; </w:t>
      </w:r>
      <w:r w:rsidRPr="007C4203">
        <w:rPr>
          <w:rFonts w:ascii="Times New Roman" w:hAnsi="Times New Roman" w:cs="Times New Roman"/>
          <w:highlight w:val="yellow"/>
        </w:rPr>
        <w:t>Patrick-</w:t>
      </w:r>
      <w:proofErr w:type="spellStart"/>
      <w:r w:rsidRPr="007C4203">
        <w:rPr>
          <w:rFonts w:ascii="Times New Roman" w:hAnsi="Times New Roman" w:cs="Times New Roman"/>
          <w:highlight w:val="yellow"/>
        </w:rPr>
        <w:t>Iwuanyanwu</w:t>
      </w:r>
      <w:proofErr w:type="spellEnd"/>
      <w:r w:rsidRPr="007C4203">
        <w:rPr>
          <w:rFonts w:ascii="Times New Roman" w:hAnsi="Times New Roman" w:cs="Times New Roman"/>
          <w:highlight w:val="yellow"/>
        </w:rPr>
        <w:t xml:space="preserve"> &amp; </w:t>
      </w:r>
      <w:proofErr w:type="spellStart"/>
      <w:r w:rsidRPr="007C4203">
        <w:rPr>
          <w:rFonts w:ascii="Times New Roman" w:hAnsi="Times New Roman" w:cs="Times New Roman"/>
          <w:highlight w:val="yellow"/>
        </w:rPr>
        <w:t>Udowelle</w:t>
      </w:r>
      <w:proofErr w:type="spellEnd"/>
      <w:r w:rsidRPr="007C4203">
        <w:rPr>
          <w:rFonts w:ascii="Times New Roman" w:hAnsi="Times New Roman" w:cs="Times New Roman"/>
          <w:highlight w:val="yellow"/>
        </w:rPr>
        <w:t>, 2017).</w:t>
      </w:r>
      <w:r>
        <w:rPr>
          <w:rFonts w:ascii="Times New Roman" w:hAnsi="Times New Roman" w:cs="Times New Roman"/>
        </w:rPr>
        <w:t xml:space="preserve"> </w:t>
      </w:r>
      <w:r w:rsidR="001E5C8D" w:rsidRPr="001E5C8D">
        <w:rPr>
          <w:rFonts w:ascii="Times New Roman" w:hAnsi="Times New Roman" w:cs="Times New Roman"/>
        </w:rPr>
        <w:t xml:space="preserve">Heavy metals, </w:t>
      </w:r>
      <w:proofErr w:type="spellStart"/>
      <w:r w:rsidR="00567238" w:rsidRPr="007C4203">
        <w:rPr>
          <w:rFonts w:ascii="Times New Roman" w:hAnsi="Times New Roman" w:cs="Times New Roman"/>
          <w:highlight w:val="yellow"/>
        </w:rPr>
        <w:t>characterised</w:t>
      </w:r>
      <w:proofErr w:type="spellEnd"/>
      <w:r w:rsidR="00567238" w:rsidRPr="007C4203">
        <w:rPr>
          <w:rFonts w:ascii="Times New Roman" w:hAnsi="Times New Roman" w:cs="Times New Roman"/>
          <w:highlight w:val="yellow"/>
        </w:rPr>
        <w:t xml:space="preserve"> </w:t>
      </w:r>
      <w:r w:rsidR="001E5C8D" w:rsidRPr="001E5C8D">
        <w:rPr>
          <w:rFonts w:ascii="Times New Roman" w:hAnsi="Times New Roman" w:cs="Times New Roman"/>
        </w:rPr>
        <w:t xml:space="preserve">by high atomic weights, atomic numbers, or density, are a group of metals and metalloids, many of which occupy the 3d orbital in their electron configuration. In environmental science, toxicology, and chemistry, heavy metals often refer to elements that are toxic or harmful to living organisms, even at low concentrations </w:t>
      </w:r>
      <w:bookmarkStart w:id="0" w:name="_Hlk211434767"/>
      <w:r w:rsidR="001E5C8D" w:rsidRPr="001E5C8D">
        <w:rPr>
          <w:rFonts w:ascii="Times New Roman" w:hAnsi="Times New Roman" w:cs="Times New Roman"/>
        </w:rPr>
        <w:t>(</w:t>
      </w:r>
      <w:proofErr w:type="spellStart"/>
      <w:r w:rsidR="001E5C8D" w:rsidRPr="001E5C8D">
        <w:rPr>
          <w:rFonts w:ascii="Times New Roman" w:hAnsi="Times New Roman" w:cs="Times New Roman"/>
        </w:rPr>
        <w:t>Jadaa</w:t>
      </w:r>
      <w:proofErr w:type="spellEnd"/>
      <w:r w:rsidR="001E5C8D" w:rsidRPr="001E5C8D">
        <w:rPr>
          <w:rFonts w:ascii="Times New Roman" w:hAnsi="Times New Roman" w:cs="Times New Roman"/>
        </w:rPr>
        <w:t xml:space="preserve"> </w:t>
      </w:r>
      <w:r w:rsidR="001E5C8D" w:rsidRPr="001E5C8D">
        <w:rPr>
          <w:rFonts w:ascii="Times New Roman" w:hAnsi="Times New Roman" w:cs="Times New Roman"/>
          <w:i/>
          <w:iCs/>
        </w:rPr>
        <w:t>et al</w:t>
      </w:r>
      <w:r w:rsidR="001E5C8D" w:rsidRPr="001E5C8D">
        <w:rPr>
          <w:rFonts w:ascii="Times New Roman" w:hAnsi="Times New Roman" w:cs="Times New Roman"/>
        </w:rPr>
        <w:t>., 2023)</w:t>
      </w:r>
      <w:bookmarkEnd w:id="0"/>
      <w:r w:rsidR="001E5C8D" w:rsidRPr="001E5C8D">
        <w:rPr>
          <w:rFonts w:ascii="Times New Roman" w:hAnsi="Times New Roman" w:cs="Times New Roman"/>
        </w:rPr>
        <w:t xml:space="preserve">. Spices and herbal teas, derived from various plant parts such as bark, rhizomes, fruits, seeds, flowers, and leaves, have been integral to global culinary traditions for their </w:t>
      </w:r>
      <w:proofErr w:type="spellStart"/>
      <w:r w:rsidR="00567238" w:rsidRPr="007C4203">
        <w:rPr>
          <w:rFonts w:ascii="Times New Roman" w:hAnsi="Times New Roman" w:cs="Times New Roman"/>
          <w:highlight w:val="yellow"/>
        </w:rPr>
        <w:t>flavours</w:t>
      </w:r>
      <w:proofErr w:type="spellEnd"/>
      <w:r w:rsidR="001E5C8D" w:rsidRPr="001E5C8D">
        <w:rPr>
          <w:rFonts w:ascii="Times New Roman" w:hAnsi="Times New Roman" w:cs="Times New Roman"/>
        </w:rPr>
        <w:t xml:space="preserve">, aromas, and therapeutic benefits. </w:t>
      </w:r>
      <w:r w:rsidR="00515108" w:rsidRPr="007C4203">
        <w:rPr>
          <w:rFonts w:ascii="Times New Roman" w:hAnsi="Times New Roman" w:cs="Times New Roman"/>
          <w:highlight w:val="yellow"/>
        </w:rPr>
        <w:t xml:space="preserve">Herbs and spices have been widely used from ancient times for both food and medicinal purposes. In culinary practices, they are employed as preservatives, </w:t>
      </w:r>
      <w:proofErr w:type="spellStart"/>
      <w:r w:rsidR="00515108" w:rsidRPr="007C4203">
        <w:rPr>
          <w:rFonts w:ascii="Times New Roman" w:hAnsi="Times New Roman" w:cs="Times New Roman"/>
          <w:highlight w:val="yellow"/>
        </w:rPr>
        <w:t>flavour</w:t>
      </w:r>
      <w:proofErr w:type="spellEnd"/>
      <w:r w:rsidR="00515108" w:rsidRPr="007C4203">
        <w:rPr>
          <w:rFonts w:ascii="Times New Roman" w:hAnsi="Times New Roman" w:cs="Times New Roman"/>
          <w:highlight w:val="yellow"/>
        </w:rPr>
        <w:t xml:space="preserve"> enhancers, </w:t>
      </w:r>
      <w:proofErr w:type="spellStart"/>
      <w:r w:rsidR="00515108" w:rsidRPr="007C4203">
        <w:rPr>
          <w:rFonts w:ascii="Times New Roman" w:hAnsi="Times New Roman" w:cs="Times New Roman"/>
          <w:highlight w:val="yellow"/>
        </w:rPr>
        <w:t>colourants</w:t>
      </w:r>
      <w:proofErr w:type="spellEnd"/>
      <w:r w:rsidR="00515108" w:rsidRPr="007C4203">
        <w:rPr>
          <w:rFonts w:ascii="Times New Roman" w:hAnsi="Times New Roman" w:cs="Times New Roman"/>
          <w:highlight w:val="yellow"/>
        </w:rPr>
        <w:t xml:space="preserve">, and </w:t>
      </w:r>
      <w:proofErr w:type="spellStart"/>
      <w:r w:rsidR="00515108" w:rsidRPr="007C4203">
        <w:rPr>
          <w:rFonts w:ascii="Times New Roman" w:hAnsi="Times New Roman" w:cs="Times New Roman"/>
          <w:highlight w:val="yellow"/>
        </w:rPr>
        <w:t>flavour</w:t>
      </w:r>
      <w:proofErr w:type="spellEnd"/>
      <w:r w:rsidR="00515108" w:rsidRPr="007C4203">
        <w:rPr>
          <w:rFonts w:ascii="Times New Roman" w:hAnsi="Times New Roman" w:cs="Times New Roman"/>
          <w:highlight w:val="yellow"/>
        </w:rPr>
        <w:t xml:space="preserve"> substitutes for salt and sugar. In medicine, they can be used to reduce the risk of or treat noncommunicable chronic diseases associated with oxidative stress and inflammation (Herrera </w:t>
      </w:r>
      <w:r w:rsidR="00515108" w:rsidRPr="007C4203">
        <w:rPr>
          <w:rFonts w:ascii="Times New Roman" w:hAnsi="Times New Roman" w:cs="Times New Roman"/>
          <w:i/>
          <w:iCs/>
          <w:highlight w:val="yellow"/>
        </w:rPr>
        <w:t>et al</w:t>
      </w:r>
      <w:r w:rsidR="00515108" w:rsidRPr="007C4203">
        <w:rPr>
          <w:rFonts w:ascii="Times New Roman" w:hAnsi="Times New Roman" w:cs="Times New Roman"/>
          <w:highlight w:val="yellow"/>
        </w:rPr>
        <w:t>., 2025</w:t>
      </w:r>
      <w:r w:rsidR="00515108">
        <w:rPr>
          <w:rFonts w:ascii="Times New Roman" w:hAnsi="Times New Roman" w:cs="Times New Roman"/>
          <w:highlight w:val="yellow"/>
        </w:rPr>
        <w:t xml:space="preserve">; </w:t>
      </w:r>
      <w:r w:rsidR="00515108" w:rsidRPr="007C4203">
        <w:rPr>
          <w:rFonts w:ascii="Times New Roman" w:hAnsi="Times New Roman" w:cs="Times New Roman"/>
          <w:highlight w:val="yellow"/>
        </w:rPr>
        <w:t>Mancao, 2022).</w:t>
      </w:r>
      <w:r w:rsidR="00515108" w:rsidRPr="00515108">
        <w:rPr>
          <w:rFonts w:ascii="Times New Roman" w:hAnsi="Times New Roman" w:cs="Times New Roman"/>
        </w:rPr>
        <w:t xml:space="preserve"> </w:t>
      </w:r>
      <w:r w:rsidR="001E5C8D" w:rsidRPr="001E5C8D">
        <w:rPr>
          <w:rFonts w:ascii="Times New Roman" w:hAnsi="Times New Roman" w:cs="Times New Roman"/>
        </w:rPr>
        <w:t xml:space="preserve">These plant-based products are </w:t>
      </w:r>
      <w:r w:rsidR="001E5C8D" w:rsidRPr="001E5C8D">
        <w:rPr>
          <w:rFonts w:ascii="Times New Roman" w:hAnsi="Times New Roman" w:cs="Times New Roman"/>
        </w:rPr>
        <w:lastRenderedPageBreak/>
        <w:t>valued for their antimicrobial, antidiabetic, anti-inflammatory, antioxidant, and antihypertensive properties (</w:t>
      </w:r>
      <w:bookmarkStart w:id="1" w:name="_Hlk209747015"/>
      <w:r w:rsidR="001E5C8D" w:rsidRPr="001E5C8D">
        <w:rPr>
          <w:rFonts w:ascii="Times New Roman" w:hAnsi="Times New Roman" w:cs="Times New Roman"/>
        </w:rPr>
        <w:t xml:space="preserve">Baig </w:t>
      </w:r>
      <w:r w:rsidR="001E5C8D" w:rsidRPr="001E5C8D">
        <w:rPr>
          <w:rFonts w:ascii="Times New Roman" w:hAnsi="Times New Roman" w:cs="Times New Roman"/>
          <w:i/>
          <w:iCs/>
        </w:rPr>
        <w:t>et al</w:t>
      </w:r>
      <w:r w:rsidR="001E5C8D" w:rsidRPr="001E5C8D">
        <w:rPr>
          <w:rFonts w:ascii="Times New Roman" w:hAnsi="Times New Roman" w:cs="Times New Roman"/>
        </w:rPr>
        <w:t>., 2019</w:t>
      </w:r>
      <w:bookmarkEnd w:id="1"/>
      <w:r w:rsidR="001E5C8D" w:rsidRPr="001E5C8D">
        <w:rPr>
          <w:rFonts w:ascii="Times New Roman" w:hAnsi="Times New Roman" w:cs="Times New Roman"/>
        </w:rPr>
        <w:t xml:space="preserve">; </w:t>
      </w:r>
      <w:proofErr w:type="spellStart"/>
      <w:r w:rsidR="001E5C8D" w:rsidRPr="001E5C8D">
        <w:rPr>
          <w:rFonts w:ascii="Times New Roman" w:hAnsi="Times New Roman" w:cs="Times New Roman"/>
        </w:rPr>
        <w:t>Winiarska-Mieczan</w:t>
      </w:r>
      <w:proofErr w:type="spellEnd"/>
      <w:r w:rsidR="001E5C8D" w:rsidRPr="001E5C8D">
        <w:rPr>
          <w:rFonts w:ascii="Times New Roman" w:hAnsi="Times New Roman" w:cs="Times New Roman"/>
        </w:rPr>
        <w:t xml:space="preserve"> </w:t>
      </w:r>
      <w:r w:rsidR="001E5C8D" w:rsidRPr="001E5C8D">
        <w:rPr>
          <w:rFonts w:ascii="Times New Roman" w:hAnsi="Times New Roman" w:cs="Times New Roman"/>
          <w:i/>
          <w:iCs/>
        </w:rPr>
        <w:t>et al</w:t>
      </w:r>
      <w:r w:rsidR="001E5C8D" w:rsidRPr="001E5C8D">
        <w:rPr>
          <w:rFonts w:ascii="Times New Roman" w:hAnsi="Times New Roman" w:cs="Times New Roman"/>
        </w:rPr>
        <w:t xml:space="preserve">., 2023). Historically, spices and herbs have played significant roles in trade, cultural interactions, and the advancement of </w:t>
      </w:r>
      <w:proofErr w:type="spellStart"/>
      <w:r w:rsidR="00515108">
        <w:rPr>
          <w:rFonts w:ascii="Times New Roman" w:hAnsi="Times New Roman" w:cs="Times New Roman"/>
          <w:highlight w:val="yellow"/>
        </w:rPr>
        <w:t>civilisations</w:t>
      </w:r>
      <w:proofErr w:type="spellEnd"/>
      <w:r w:rsidR="001E5C8D" w:rsidRPr="001E5C8D">
        <w:rPr>
          <w:rFonts w:ascii="Times New Roman" w:hAnsi="Times New Roman" w:cs="Times New Roman"/>
        </w:rPr>
        <w:t>.</w:t>
      </w:r>
    </w:p>
    <w:p w14:paraId="167D9D37" w14:textId="102D9B5E" w:rsidR="001E5C8D" w:rsidRPr="001E5C8D" w:rsidRDefault="001E5C8D" w:rsidP="001E5C8D">
      <w:pPr>
        <w:spacing w:line="480" w:lineRule="auto"/>
        <w:jc w:val="both"/>
        <w:rPr>
          <w:rFonts w:ascii="Times New Roman" w:hAnsi="Times New Roman" w:cs="Times New Roman"/>
        </w:rPr>
      </w:pPr>
      <w:r w:rsidRPr="001E5C8D">
        <w:rPr>
          <w:rFonts w:ascii="Times New Roman" w:hAnsi="Times New Roman" w:cs="Times New Roman"/>
        </w:rPr>
        <w:t xml:space="preserve">Despite their health benefits, spices and herbal teas are increasingly </w:t>
      </w:r>
      <w:proofErr w:type="spellStart"/>
      <w:r w:rsidR="00567238" w:rsidRPr="007C4203">
        <w:rPr>
          <w:rFonts w:ascii="Times New Roman" w:hAnsi="Times New Roman" w:cs="Times New Roman"/>
          <w:highlight w:val="yellow"/>
        </w:rPr>
        <w:t>recognised</w:t>
      </w:r>
      <w:proofErr w:type="spellEnd"/>
      <w:r w:rsidR="00567238" w:rsidRPr="007C4203">
        <w:rPr>
          <w:rFonts w:ascii="Times New Roman" w:hAnsi="Times New Roman" w:cs="Times New Roman"/>
          <w:highlight w:val="yellow"/>
        </w:rPr>
        <w:t xml:space="preserve"> </w:t>
      </w:r>
      <w:r w:rsidRPr="001E5C8D">
        <w:rPr>
          <w:rFonts w:ascii="Times New Roman" w:hAnsi="Times New Roman" w:cs="Times New Roman"/>
        </w:rPr>
        <w:t xml:space="preserve">as potential sources of heavy metal contamination. Contamination may occur naturally through soil mineral composition or processes like bioaccumulation and biomagnification. Anthropogenic activities, including improper disposal of scrap metals </w:t>
      </w:r>
      <w:bookmarkStart w:id="2" w:name="_Hlk211435024"/>
      <w:r w:rsidRPr="001E5C8D">
        <w:rPr>
          <w:rFonts w:ascii="Times New Roman" w:hAnsi="Times New Roman" w:cs="Times New Roman"/>
        </w:rPr>
        <w:t>(</w:t>
      </w:r>
      <w:r w:rsidR="00087B60">
        <w:rPr>
          <w:rFonts w:ascii="Times New Roman" w:hAnsi="Times New Roman" w:cs="Times New Roman"/>
        </w:rPr>
        <w:t>Hu</w:t>
      </w:r>
      <w:r w:rsidRPr="001E5C8D">
        <w:rPr>
          <w:rFonts w:ascii="Times New Roman" w:hAnsi="Times New Roman" w:cs="Times New Roman"/>
        </w:rPr>
        <w:t xml:space="preserve"> </w:t>
      </w:r>
      <w:r w:rsidRPr="001E5C8D">
        <w:rPr>
          <w:rFonts w:ascii="Times New Roman" w:hAnsi="Times New Roman" w:cs="Times New Roman"/>
          <w:i/>
          <w:iCs/>
        </w:rPr>
        <w:t>et al</w:t>
      </w:r>
      <w:r w:rsidRPr="001E5C8D">
        <w:rPr>
          <w:rFonts w:ascii="Times New Roman" w:hAnsi="Times New Roman" w:cs="Times New Roman"/>
        </w:rPr>
        <w:t>., 20</w:t>
      </w:r>
      <w:r w:rsidR="00087B60">
        <w:rPr>
          <w:rFonts w:ascii="Times New Roman" w:hAnsi="Times New Roman" w:cs="Times New Roman"/>
        </w:rPr>
        <w:t xml:space="preserve">24; Kelle </w:t>
      </w:r>
      <w:r w:rsidR="00087B60" w:rsidRPr="00087B60">
        <w:rPr>
          <w:rFonts w:ascii="Times New Roman" w:hAnsi="Times New Roman" w:cs="Times New Roman"/>
          <w:i/>
          <w:iCs/>
        </w:rPr>
        <w:t>et al</w:t>
      </w:r>
      <w:r w:rsidR="00087B60">
        <w:rPr>
          <w:rFonts w:ascii="Times New Roman" w:hAnsi="Times New Roman" w:cs="Times New Roman"/>
        </w:rPr>
        <w:t>., 20224</w:t>
      </w:r>
      <w:bookmarkEnd w:id="2"/>
      <w:r w:rsidRPr="001E5C8D">
        <w:rPr>
          <w:rFonts w:ascii="Times New Roman" w:hAnsi="Times New Roman" w:cs="Times New Roman"/>
        </w:rPr>
        <w:t>), emissions from power plants (</w:t>
      </w:r>
      <w:proofErr w:type="spellStart"/>
      <w:r w:rsidRPr="001E5C8D">
        <w:rPr>
          <w:rFonts w:ascii="Times New Roman" w:hAnsi="Times New Roman" w:cs="Times New Roman"/>
        </w:rPr>
        <w:t>Ogoko</w:t>
      </w:r>
      <w:proofErr w:type="spellEnd"/>
      <w:r w:rsidRPr="001E5C8D">
        <w:rPr>
          <w:rFonts w:ascii="Times New Roman" w:hAnsi="Times New Roman" w:cs="Times New Roman"/>
        </w:rPr>
        <w:t xml:space="preserve"> </w:t>
      </w:r>
      <w:r w:rsidRPr="001E5C8D">
        <w:rPr>
          <w:rFonts w:ascii="Times New Roman" w:hAnsi="Times New Roman" w:cs="Times New Roman"/>
          <w:i/>
          <w:iCs/>
        </w:rPr>
        <w:t>et al</w:t>
      </w:r>
      <w:r w:rsidRPr="001E5C8D">
        <w:rPr>
          <w:rFonts w:ascii="Times New Roman" w:hAnsi="Times New Roman" w:cs="Times New Roman"/>
        </w:rPr>
        <w:t xml:space="preserve">., 2019), mining operations (Yahaya </w:t>
      </w:r>
      <w:r w:rsidRPr="001E5C8D">
        <w:rPr>
          <w:rFonts w:ascii="Times New Roman" w:hAnsi="Times New Roman" w:cs="Times New Roman"/>
          <w:i/>
          <w:iCs/>
        </w:rPr>
        <w:t>et al</w:t>
      </w:r>
      <w:r w:rsidRPr="001E5C8D">
        <w:rPr>
          <w:rFonts w:ascii="Times New Roman" w:hAnsi="Times New Roman" w:cs="Times New Roman"/>
        </w:rPr>
        <w:t xml:space="preserve">., 2021), metal recycling (Olatunji </w:t>
      </w:r>
      <w:r w:rsidRPr="001E5C8D">
        <w:rPr>
          <w:rFonts w:ascii="Times New Roman" w:hAnsi="Times New Roman" w:cs="Times New Roman"/>
          <w:i/>
          <w:iCs/>
        </w:rPr>
        <w:t>et al</w:t>
      </w:r>
      <w:r w:rsidRPr="001E5C8D">
        <w:rPr>
          <w:rFonts w:ascii="Times New Roman" w:hAnsi="Times New Roman" w:cs="Times New Roman"/>
        </w:rPr>
        <w:t>., 2018), vehicular emissions (</w:t>
      </w:r>
      <w:r w:rsidR="00087B60" w:rsidRPr="001E5C8D">
        <w:rPr>
          <w:rFonts w:ascii="Times New Roman" w:hAnsi="Times New Roman" w:cs="Times New Roman"/>
        </w:rPr>
        <w:t xml:space="preserve">Ayinde </w:t>
      </w:r>
      <w:r w:rsidR="00087B60" w:rsidRPr="001E5C8D">
        <w:rPr>
          <w:rFonts w:ascii="Times New Roman" w:hAnsi="Times New Roman" w:cs="Times New Roman"/>
          <w:i/>
          <w:iCs/>
        </w:rPr>
        <w:t>et al</w:t>
      </w:r>
      <w:r w:rsidR="00087B60" w:rsidRPr="001E5C8D">
        <w:rPr>
          <w:rFonts w:ascii="Times New Roman" w:hAnsi="Times New Roman" w:cs="Times New Roman"/>
        </w:rPr>
        <w:t>., 2020</w:t>
      </w:r>
      <w:r w:rsidR="00087B60">
        <w:rPr>
          <w:rFonts w:ascii="Times New Roman" w:hAnsi="Times New Roman" w:cs="Times New Roman"/>
        </w:rPr>
        <w:t xml:space="preserve">; </w:t>
      </w:r>
      <w:r w:rsidRPr="001E5C8D">
        <w:rPr>
          <w:rFonts w:ascii="Times New Roman" w:hAnsi="Times New Roman" w:cs="Times New Roman"/>
        </w:rPr>
        <w:t xml:space="preserve"> </w:t>
      </w:r>
      <w:proofErr w:type="spellStart"/>
      <w:r w:rsidRPr="001E5C8D">
        <w:rPr>
          <w:rFonts w:ascii="Times New Roman" w:hAnsi="Times New Roman" w:cs="Times New Roman"/>
        </w:rPr>
        <w:t>Olukanni</w:t>
      </w:r>
      <w:proofErr w:type="spellEnd"/>
      <w:r w:rsidRPr="001E5C8D">
        <w:rPr>
          <w:rFonts w:ascii="Times New Roman" w:hAnsi="Times New Roman" w:cs="Times New Roman"/>
        </w:rPr>
        <w:t xml:space="preserve"> </w:t>
      </w:r>
      <w:r w:rsidRPr="001E5C8D">
        <w:rPr>
          <w:rFonts w:ascii="Times New Roman" w:hAnsi="Times New Roman" w:cs="Times New Roman"/>
          <w:i/>
          <w:iCs/>
        </w:rPr>
        <w:t>et al</w:t>
      </w:r>
      <w:r w:rsidRPr="001E5C8D">
        <w:rPr>
          <w:rFonts w:ascii="Times New Roman" w:hAnsi="Times New Roman" w:cs="Times New Roman"/>
        </w:rPr>
        <w:t>., 2021), oil spills (</w:t>
      </w:r>
      <w:proofErr w:type="spellStart"/>
      <w:r w:rsidR="00087B60" w:rsidRPr="00E53702">
        <w:t>Umanah</w:t>
      </w:r>
      <w:proofErr w:type="spellEnd"/>
      <w:r w:rsidR="00087B60">
        <w:t xml:space="preserve"> et al., 2025; </w:t>
      </w:r>
      <w:proofErr w:type="spellStart"/>
      <w:r w:rsidR="00087B60" w:rsidRPr="00EA1124">
        <w:t>Uzoatu</w:t>
      </w:r>
      <w:proofErr w:type="spellEnd"/>
      <w:r w:rsidR="00087B60">
        <w:t xml:space="preserve"> et al., 2025</w:t>
      </w:r>
      <w:r w:rsidRPr="001E5C8D">
        <w:rPr>
          <w:rFonts w:ascii="Times New Roman" w:hAnsi="Times New Roman" w:cs="Times New Roman"/>
        </w:rPr>
        <w:t>), poor solid waste management (</w:t>
      </w:r>
      <w:r w:rsidR="00087B60" w:rsidRPr="00E53702">
        <w:t>Sadeghi Poor</w:t>
      </w:r>
      <w:r w:rsidR="00087B60">
        <w:t xml:space="preserve"> </w:t>
      </w:r>
      <w:r w:rsidR="00087B60" w:rsidRPr="00087B60">
        <w:rPr>
          <w:i/>
          <w:iCs/>
        </w:rPr>
        <w:t>et al</w:t>
      </w:r>
      <w:r w:rsidR="00087B60">
        <w:t>., 2020</w:t>
      </w:r>
      <w:r w:rsidRPr="001E5C8D">
        <w:rPr>
          <w:rFonts w:ascii="Times New Roman" w:hAnsi="Times New Roman" w:cs="Times New Roman"/>
        </w:rPr>
        <w:t>), industrial effluent discharges (</w:t>
      </w:r>
      <w:proofErr w:type="spellStart"/>
      <w:r w:rsidRPr="001E5C8D">
        <w:rPr>
          <w:rFonts w:ascii="Times New Roman" w:hAnsi="Times New Roman" w:cs="Times New Roman"/>
        </w:rPr>
        <w:t>Odili</w:t>
      </w:r>
      <w:proofErr w:type="spellEnd"/>
      <w:r w:rsidRPr="001E5C8D">
        <w:rPr>
          <w:rFonts w:ascii="Times New Roman" w:hAnsi="Times New Roman" w:cs="Times New Roman"/>
        </w:rPr>
        <w:t xml:space="preserve"> </w:t>
      </w:r>
      <w:r w:rsidRPr="001E5C8D">
        <w:rPr>
          <w:rFonts w:ascii="Times New Roman" w:hAnsi="Times New Roman" w:cs="Times New Roman"/>
          <w:i/>
          <w:iCs/>
        </w:rPr>
        <w:t>et al</w:t>
      </w:r>
      <w:r w:rsidRPr="001E5C8D">
        <w:rPr>
          <w:rFonts w:ascii="Times New Roman" w:hAnsi="Times New Roman" w:cs="Times New Roman"/>
        </w:rPr>
        <w:t xml:space="preserve">., 2018; Oyeleke </w:t>
      </w:r>
      <w:r w:rsidRPr="001E5C8D">
        <w:rPr>
          <w:rFonts w:ascii="Times New Roman" w:hAnsi="Times New Roman" w:cs="Times New Roman"/>
          <w:i/>
          <w:iCs/>
        </w:rPr>
        <w:t>et al</w:t>
      </w:r>
      <w:r w:rsidRPr="001E5C8D">
        <w:rPr>
          <w:rFonts w:ascii="Times New Roman" w:hAnsi="Times New Roman" w:cs="Times New Roman"/>
        </w:rPr>
        <w:t>., 2016), activities at auto-mechanic workshops (</w:t>
      </w:r>
      <w:r w:rsidR="00087B60">
        <w:rPr>
          <w:rFonts w:ascii="Times New Roman" w:hAnsi="Times New Roman" w:cs="Times New Roman"/>
        </w:rPr>
        <w:t xml:space="preserve">Duro </w:t>
      </w:r>
      <w:r w:rsidR="00087B60" w:rsidRPr="00087B60">
        <w:rPr>
          <w:rFonts w:ascii="Times New Roman" w:hAnsi="Times New Roman" w:cs="Times New Roman"/>
          <w:i/>
          <w:iCs/>
        </w:rPr>
        <w:t>et al</w:t>
      </w:r>
      <w:r w:rsidR="00087B60">
        <w:rPr>
          <w:rFonts w:ascii="Times New Roman" w:hAnsi="Times New Roman" w:cs="Times New Roman"/>
        </w:rPr>
        <w:t>., 2024</w:t>
      </w:r>
      <w:r w:rsidRPr="001E5C8D">
        <w:rPr>
          <w:rFonts w:ascii="Times New Roman" w:hAnsi="Times New Roman" w:cs="Times New Roman"/>
        </w:rPr>
        <w:t>)</w:t>
      </w:r>
      <w:r w:rsidR="00087B60">
        <w:rPr>
          <w:rFonts w:ascii="Times New Roman" w:hAnsi="Times New Roman" w:cs="Times New Roman"/>
        </w:rPr>
        <w:t>. f</w:t>
      </w:r>
      <w:r w:rsidRPr="001E5C8D">
        <w:rPr>
          <w:rFonts w:ascii="Times New Roman" w:hAnsi="Times New Roman" w:cs="Times New Roman"/>
        </w:rPr>
        <w:t xml:space="preserve">urther contribute to contamination. Additional sources include the use of </w:t>
      </w:r>
      <w:proofErr w:type="spellStart"/>
      <w:r w:rsidR="00567238" w:rsidRPr="007C4203">
        <w:rPr>
          <w:rFonts w:ascii="Times New Roman" w:hAnsi="Times New Roman" w:cs="Times New Roman"/>
          <w:highlight w:val="yellow"/>
        </w:rPr>
        <w:t>fertilisers</w:t>
      </w:r>
      <w:proofErr w:type="spellEnd"/>
      <w:r w:rsidRPr="001E5C8D">
        <w:rPr>
          <w:rFonts w:ascii="Times New Roman" w:hAnsi="Times New Roman" w:cs="Times New Roman"/>
        </w:rPr>
        <w:t>, pesticides, atmospheric deposition, and poor post-harvest handling practices.</w:t>
      </w:r>
    </w:p>
    <w:p w14:paraId="0E948486" w14:textId="40AE12C8" w:rsidR="00F41A23" w:rsidRDefault="001E5C8D" w:rsidP="001E5C8D">
      <w:pPr>
        <w:spacing w:line="480" w:lineRule="auto"/>
        <w:jc w:val="both"/>
        <w:rPr>
          <w:rFonts w:ascii="Times New Roman" w:hAnsi="Times New Roman" w:cs="Times New Roman"/>
        </w:rPr>
      </w:pPr>
      <w:r w:rsidRPr="001E5C8D">
        <w:rPr>
          <w:rFonts w:ascii="Times New Roman" w:hAnsi="Times New Roman" w:cs="Times New Roman"/>
        </w:rPr>
        <w:t>Prolonged human exposure to heavy metals through contaminated spices and herbal teas poses significant public health risks. While some heavy metals, such as iron, zinc, copper, manganese, molybdenum, cobalt, chromium (Cr3+), magnesium, selenium, and nickel, are essential micronutrients for metabolic and physiological functions (</w:t>
      </w:r>
      <w:proofErr w:type="spellStart"/>
      <w:r w:rsidRPr="001E5C8D">
        <w:rPr>
          <w:rFonts w:ascii="Times New Roman" w:hAnsi="Times New Roman" w:cs="Times New Roman"/>
        </w:rPr>
        <w:t>Jadaa</w:t>
      </w:r>
      <w:proofErr w:type="spellEnd"/>
      <w:r w:rsidRPr="001E5C8D">
        <w:rPr>
          <w:rFonts w:ascii="Times New Roman" w:hAnsi="Times New Roman" w:cs="Times New Roman"/>
        </w:rPr>
        <w:t xml:space="preserve"> </w:t>
      </w:r>
      <w:r w:rsidRPr="001E5C8D">
        <w:rPr>
          <w:rFonts w:ascii="Times New Roman" w:hAnsi="Times New Roman" w:cs="Times New Roman"/>
          <w:i/>
          <w:iCs/>
        </w:rPr>
        <w:t>et al</w:t>
      </w:r>
      <w:r w:rsidRPr="001E5C8D">
        <w:rPr>
          <w:rFonts w:ascii="Times New Roman" w:hAnsi="Times New Roman" w:cs="Times New Roman"/>
        </w:rPr>
        <w:t xml:space="preserve">., 2023), excessive intake can lead to adverse health effects (Munir </w:t>
      </w:r>
      <w:r w:rsidRPr="001E5C8D">
        <w:rPr>
          <w:rFonts w:ascii="Times New Roman" w:hAnsi="Times New Roman" w:cs="Times New Roman"/>
          <w:i/>
          <w:iCs/>
        </w:rPr>
        <w:t>et al</w:t>
      </w:r>
      <w:r w:rsidRPr="001E5C8D">
        <w:rPr>
          <w:rFonts w:ascii="Times New Roman" w:hAnsi="Times New Roman" w:cs="Times New Roman"/>
        </w:rPr>
        <w:t>., 2021). Non-essential heavy metals, including cadmium (Cd), lead (Pb), mercury (Hg), arsenic (As), and hexavalent chromium (Cr</w:t>
      </w:r>
      <w:r w:rsidRPr="00A74D08">
        <w:rPr>
          <w:rFonts w:ascii="Times New Roman" w:hAnsi="Times New Roman" w:cs="Times New Roman"/>
          <w:vertAlign w:val="superscript"/>
        </w:rPr>
        <w:t>6</w:t>
      </w:r>
      <w:r w:rsidRPr="001E5C8D">
        <w:rPr>
          <w:rFonts w:ascii="Times New Roman" w:hAnsi="Times New Roman" w:cs="Times New Roman"/>
        </w:rPr>
        <w:t>+), are toxic even at low concentrations and have no biological role in the human body (</w:t>
      </w:r>
      <w:proofErr w:type="spellStart"/>
      <w:r w:rsidRPr="001E5C8D">
        <w:rPr>
          <w:rFonts w:ascii="Times New Roman" w:hAnsi="Times New Roman" w:cs="Times New Roman"/>
        </w:rPr>
        <w:t>Jadaa</w:t>
      </w:r>
      <w:proofErr w:type="spellEnd"/>
      <w:r w:rsidRPr="001E5C8D">
        <w:rPr>
          <w:rFonts w:ascii="Times New Roman" w:hAnsi="Times New Roman" w:cs="Times New Roman"/>
        </w:rPr>
        <w:t xml:space="preserve"> </w:t>
      </w:r>
      <w:r w:rsidRPr="001E5C8D">
        <w:rPr>
          <w:rFonts w:ascii="Times New Roman" w:hAnsi="Times New Roman" w:cs="Times New Roman"/>
          <w:i/>
          <w:iCs/>
        </w:rPr>
        <w:t>et al</w:t>
      </w:r>
      <w:r w:rsidRPr="001E5C8D">
        <w:rPr>
          <w:rFonts w:ascii="Times New Roman" w:hAnsi="Times New Roman" w:cs="Times New Roman"/>
        </w:rPr>
        <w:t xml:space="preserve">., 2023). Previous studies have documented heavy metal contamination in spices and herbal teas across various </w:t>
      </w:r>
      <w:r w:rsidRPr="001E5C8D">
        <w:rPr>
          <w:rFonts w:ascii="Times New Roman" w:hAnsi="Times New Roman" w:cs="Times New Roman"/>
        </w:rPr>
        <w:lastRenderedPageBreak/>
        <w:t xml:space="preserve">regions, highlighting a widespread public health concern </w:t>
      </w:r>
      <w:r w:rsidR="00A74D08">
        <w:rPr>
          <w:rFonts w:ascii="Times New Roman" w:hAnsi="Times New Roman" w:cs="Times New Roman"/>
        </w:rPr>
        <w:t xml:space="preserve">among the stakeholders </w:t>
      </w:r>
      <w:r w:rsidRPr="001E5C8D">
        <w:rPr>
          <w:rFonts w:ascii="Times New Roman" w:hAnsi="Times New Roman" w:cs="Times New Roman"/>
        </w:rPr>
        <w:t>(</w:t>
      </w:r>
      <w:r w:rsidR="00087B60">
        <w:rPr>
          <w:rFonts w:ascii="Times New Roman" w:hAnsi="Times New Roman" w:cs="Times New Roman"/>
        </w:rPr>
        <w:t xml:space="preserve">Lawal </w:t>
      </w:r>
      <w:r w:rsidR="00087B60" w:rsidRPr="00A74D08">
        <w:rPr>
          <w:rFonts w:ascii="Times New Roman" w:hAnsi="Times New Roman" w:cs="Times New Roman"/>
          <w:i/>
          <w:iCs/>
        </w:rPr>
        <w:t>et al</w:t>
      </w:r>
      <w:r w:rsidR="00087B60">
        <w:rPr>
          <w:rFonts w:ascii="Times New Roman" w:hAnsi="Times New Roman" w:cs="Times New Roman"/>
        </w:rPr>
        <w:t>., 2025</w:t>
      </w:r>
      <w:r w:rsidRPr="001E5C8D">
        <w:rPr>
          <w:rFonts w:ascii="Times New Roman" w:hAnsi="Times New Roman" w:cs="Times New Roman"/>
        </w:rPr>
        <w:t xml:space="preserve">). </w:t>
      </w:r>
    </w:p>
    <w:p w14:paraId="6C05143B" w14:textId="3893FE17" w:rsidR="001E5C8D" w:rsidRDefault="001E5C8D" w:rsidP="001E5C8D">
      <w:pPr>
        <w:spacing w:line="480" w:lineRule="auto"/>
        <w:jc w:val="both"/>
        <w:rPr>
          <w:rFonts w:ascii="Times New Roman" w:hAnsi="Times New Roman" w:cs="Times New Roman"/>
        </w:rPr>
      </w:pPr>
      <w:r w:rsidRPr="001E5C8D">
        <w:rPr>
          <w:rFonts w:ascii="Times New Roman" w:hAnsi="Times New Roman" w:cs="Times New Roman"/>
        </w:rPr>
        <w:t>Health risks associated with heavy metal exposure include osteoporosis, kidney damage, neurological disorders, reproductive issues, cardiovascular diseases, and cancers such as breast, lung, prostate, nasopharyngeal, and pancreatic cancer (</w:t>
      </w:r>
      <w:r w:rsidR="002D75B0">
        <w:rPr>
          <w:rFonts w:ascii="Times New Roman" w:hAnsi="Times New Roman" w:cs="Times New Roman"/>
        </w:rPr>
        <w:t xml:space="preserve">Lawal </w:t>
      </w:r>
      <w:r w:rsidR="002D75B0" w:rsidRPr="002D75B0">
        <w:rPr>
          <w:rFonts w:ascii="Times New Roman" w:hAnsi="Times New Roman" w:cs="Times New Roman"/>
          <w:i/>
          <w:iCs/>
        </w:rPr>
        <w:t>et al</w:t>
      </w:r>
      <w:r w:rsidR="002D75B0">
        <w:rPr>
          <w:rFonts w:ascii="Times New Roman" w:hAnsi="Times New Roman" w:cs="Times New Roman"/>
        </w:rPr>
        <w:t xml:space="preserve">., 2021; Budi </w:t>
      </w:r>
      <w:r w:rsidR="002D75B0" w:rsidRPr="002D75B0">
        <w:rPr>
          <w:rFonts w:ascii="Times New Roman" w:hAnsi="Times New Roman" w:cs="Times New Roman"/>
          <w:i/>
          <w:iCs/>
        </w:rPr>
        <w:t>et al</w:t>
      </w:r>
      <w:r w:rsidR="002D75B0">
        <w:rPr>
          <w:rFonts w:ascii="Times New Roman" w:hAnsi="Times New Roman" w:cs="Times New Roman"/>
        </w:rPr>
        <w:t>., 2024</w:t>
      </w:r>
      <w:r w:rsidRPr="001E5C8D">
        <w:rPr>
          <w:rFonts w:ascii="Times New Roman" w:hAnsi="Times New Roman" w:cs="Times New Roman"/>
        </w:rPr>
        <w:t>). Heavy metals can also trigger inflammatory responses, disrupt gut microbiota, and impair mental health and cognitive performance (</w:t>
      </w:r>
      <w:r w:rsidR="002D75B0">
        <w:rPr>
          <w:rFonts w:ascii="Times New Roman" w:hAnsi="Times New Roman" w:cs="Times New Roman"/>
        </w:rPr>
        <w:t>Wang</w:t>
      </w:r>
      <w:r w:rsidRPr="001E5C8D">
        <w:rPr>
          <w:rFonts w:ascii="Times New Roman" w:hAnsi="Times New Roman" w:cs="Times New Roman"/>
        </w:rPr>
        <w:t xml:space="preserve"> </w:t>
      </w:r>
      <w:r w:rsidRPr="001E5C8D">
        <w:rPr>
          <w:rFonts w:ascii="Times New Roman" w:hAnsi="Times New Roman" w:cs="Times New Roman"/>
          <w:i/>
          <w:iCs/>
        </w:rPr>
        <w:t>et al</w:t>
      </w:r>
      <w:r w:rsidRPr="001E5C8D">
        <w:rPr>
          <w:rFonts w:ascii="Times New Roman" w:hAnsi="Times New Roman" w:cs="Times New Roman"/>
        </w:rPr>
        <w:t>., 202</w:t>
      </w:r>
      <w:r w:rsidR="002D75B0">
        <w:rPr>
          <w:rFonts w:ascii="Times New Roman" w:hAnsi="Times New Roman" w:cs="Times New Roman"/>
        </w:rPr>
        <w:t>4</w:t>
      </w:r>
      <w:r w:rsidRPr="001E5C8D">
        <w:rPr>
          <w:rFonts w:ascii="Times New Roman" w:hAnsi="Times New Roman" w:cs="Times New Roman"/>
        </w:rPr>
        <w:t>).</w:t>
      </w:r>
    </w:p>
    <w:p w14:paraId="4F9968ED" w14:textId="795913B6" w:rsidR="00496A54" w:rsidRPr="001E5C8D" w:rsidRDefault="00496A54" w:rsidP="001E5C8D">
      <w:pPr>
        <w:spacing w:line="480" w:lineRule="auto"/>
        <w:jc w:val="both"/>
        <w:rPr>
          <w:rFonts w:ascii="Times New Roman" w:hAnsi="Times New Roman" w:cs="Times New Roman"/>
        </w:rPr>
      </w:pPr>
      <w:r w:rsidRPr="00496A54">
        <w:rPr>
          <w:rFonts w:ascii="Times New Roman" w:hAnsi="Times New Roman" w:cs="Times New Roman"/>
        </w:rPr>
        <w:t xml:space="preserve">To ensure food safety, accurately </w:t>
      </w:r>
      <w:r w:rsidR="00891FF5">
        <w:rPr>
          <w:rFonts w:ascii="Times New Roman" w:hAnsi="Times New Roman" w:cs="Times New Roman"/>
        </w:rPr>
        <w:t>detecting</w:t>
      </w:r>
      <w:r w:rsidRPr="00496A54">
        <w:rPr>
          <w:rFonts w:ascii="Times New Roman" w:hAnsi="Times New Roman" w:cs="Times New Roman"/>
        </w:rPr>
        <w:t xml:space="preserve"> and </w:t>
      </w:r>
      <w:r w:rsidR="00891FF5">
        <w:rPr>
          <w:rFonts w:ascii="Times New Roman" w:hAnsi="Times New Roman" w:cs="Times New Roman"/>
        </w:rPr>
        <w:t>quantifying</w:t>
      </w:r>
      <w:r w:rsidRPr="00496A54">
        <w:rPr>
          <w:rFonts w:ascii="Times New Roman" w:hAnsi="Times New Roman" w:cs="Times New Roman"/>
        </w:rPr>
        <w:t xml:space="preserve"> heavy metals </w:t>
      </w:r>
      <w:r>
        <w:rPr>
          <w:rFonts w:ascii="Times New Roman" w:hAnsi="Times New Roman" w:cs="Times New Roman"/>
        </w:rPr>
        <w:t xml:space="preserve">in food samples generally requires versatile </w:t>
      </w:r>
      <w:r w:rsidRPr="00496A54">
        <w:rPr>
          <w:rFonts w:ascii="Times New Roman" w:hAnsi="Times New Roman" w:cs="Times New Roman"/>
        </w:rPr>
        <w:t xml:space="preserve">techniques </w:t>
      </w:r>
      <w:r w:rsidR="00891FF5">
        <w:rPr>
          <w:rFonts w:ascii="Times New Roman" w:hAnsi="Times New Roman" w:cs="Times New Roman"/>
        </w:rPr>
        <w:t xml:space="preserve">such as </w:t>
      </w:r>
      <w:r w:rsidR="00891FF5" w:rsidRPr="00496A54">
        <w:rPr>
          <w:rFonts w:ascii="Times New Roman" w:hAnsi="Times New Roman" w:cs="Times New Roman"/>
        </w:rPr>
        <w:t>Flame</w:t>
      </w:r>
      <w:r w:rsidRPr="00496A54">
        <w:rPr>
          <w:rFonts w:ascii="Times New Roman" w:hAnsi="Times New Roman" w:cs="Times New Roman"/>
        </w:rPr>
        <w:t xml:space="preserve"> Atomic Absorption Spectrometry (FAAS), </w:t>
      </w:r>
      <w:r w:rsidR="00891FF5">
        <w:rPr>
          <w:rFonts w:ascii="Times New Roman" w:hAnsi="Times New Roman" w:cs="Times New Roman"/>
        </w:rPr>
        <w:t>Graphite Atomic Absorption Spectrophotometer (GAAS), and Inductively Coupled Plasma Optical Emission Spectroscopy (ICP-OES). The choice of these techniques</w:t>
      </w:r>
      <w:r w:rsidRPr="00496A54">
        <w:rPr>
          <w:rFonts w:ascii="Times New Roman" w:hAnsi="Times New Roman" w:cs="Times New Roman"/>
        </w:rPr>
        <w:t xml:space="preserve"> </w:t>
      </w:r>
      <w:r w:rsidR="00891FF5">
        <w:rPr>
          <w:rFonts w:ascii="Times New Roman" w:hAnsi="Times New Roman" w:cs="Times New Roman"/>
        </w:rPr>
        <w:t xml:space="preserve">is </w:t>
      </w:r>
      <w:r w:rsidRPr="00496A54">
        <w:rPr>
          <w:rFonts w:ascii="Times New Roman" w:hAnsi="Times New Roman" w:cs="Times New Roman"/>
        </w:rPr>
        <w:t>based on sample type, target metals, required sensitivity, and cost considerations (</w:t>
      </w:r>
      <w:proofErr w:type="spellStart"/>
      <w:r w:rsidR="002D75B0" w:rsidRPr="0041527C">
        <w:t>Inobeme</w:t>
      </w:r>
      <w:proofErr w:type="spellEnd"/>
      <w:r w:rsidRPr="00496A54">
        <w:rPr>
          <w:rFonts w:ascii="Times New Roman" w:hAnsi="Times New Roman" w:cs="Times New Roman"/>
        </w:rPr>
        <w:t xml:space="preserve"> </w:t>
      </w:r>
      <w:r w:rsidRPr="002D75B0">
        <w:rPr>
          <w:rFonts w:ascii="Times New Roman" w:hAnsi="Times New Roman" w:cs="Times New Roman"/>
          <w:i/>
          <w:iCs/>
        </w:rPr>
        <w:t>et al</w:t>
      </w:r>
      <w:r w:rsidRPr="00496A54">
        <w:rPr>
          <w:rFonts w:ascii="Times New Roman" w:hAnsi="Times New Roman" w:cs="Times New Roman"/>
        </w:rPr>
        <w:t>., 20</w:t>
      </w:r>
      <w:r w:rsidR="002D75B0">
        <w:rPr>
          <w:rFonts w:ascii="Times New Roman" w:hAnsi="Times New Roman" w:cs="Times New Roman"/>
        </w:rPr>
        <w:t>23</w:t>
      </w:r>
      <w:r w:rsidRPr="00496A54">
        <w:rPr>
          <w:rFonts w:ascii="Times New Roman" w:hAnsi="Times New Roman" w:cs="Times New Roman"/>
        </w:rPr>
        <w:t>).</w:t>
      </w:r>
    </w:p>
    <w:p w14:paraId="43E37A1F" w14:textId="04ADCB5D" w:rsidR="00C20512" w:rsidRDefault="00C20512" w:rsidP="00F41A23">
      <w:pPr>
        <w:spacing w:line="480" w:lineRule="auto"/>
        <w:jc w:val="both"/>
      </w:pPr>
      <w:r w:rsidRPr="00F41A23">
        <w:rPr>
          <w:rFonts w:ascii="Times New Roman" w:hAnsi="Times New Roman" w:cs="Times New Roman"/>
        </w:rPr>
        <w:t xml:space="preserve"> </w:t>
      </w:r>
      <w:r w:rsidR="00F41A23" w:rsidRPr="00F41A23">
        <w:t>The European Food Safety Authority (EFSA) and the Joint FAO/WHO Expert Committee on Food Additives (JECFA) have established strict acceptable daily intake (ADI) values for heavy metals. The ADI represents the maximum quantity of a specific heavy metal that can be ingested daily over a lifetime without posing significant health risks (</w:t>
      </w:r>
      <w:proofErr w:type="spellStart"/>
      <w:r w:rsidR="002D75B0">
        <w:t>Ayanniyi</w:t>
      </w:r>
      <w:proofErr w:type="spellEnd"/>
      <w:r w:rsidR="002D75B0">
        <w:t xml:space="preserve"> </w:t>
      </w:r>
      <w:r w:rsidR="002D75B0" w:rsidRPr="002D75B0">
        <w:rPr>
          <w:i/>
          <w:iCs/>
        </w:rPr>
        <w:t>et al</w:t>
      </w:r>
      <w:r w:rsidR="002D75B0">
        <w:t>., 2024</w:t>
      </w:r>
      <w:r w:rsidR="00F41A23" w:rsidRPr="00F41A23">
        <w:t>). This threshold defines the safe limit for consumption, ensuring minimal risk of adverse effects in the general population. Exceeding this limit through contaminated sources like spices or herbal teas can trigger severe health consequences, including gastrointestinal disorders, liver damage, and oxidative stress</w:t>
      </w:r>
      <w:r w:rsidR="00F41A23">
        <w:t>, among others, as previously enumerated</w:t>
      </w:r>
      <w:r w:rsidR="00496A54">
        <w:t>.</w:t>
      </w:r>
    </w:p>
    <w:tbl>
      <w:tblPr>
        <w:tblpPr w:leftFromText="180" w:rightFromText="180" w:vertAnchor="text" w:horzAnchor="margin" w:tblpY="297"/>
        <w:tblW w:w="1031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56"/>
        <w:gridCol w:w="764"/>
        <w:gridCol w:w="1290"/>
        <w:gridCol w:w="1276"/>
        <w:gridCol w:w="1270"/>
        <w:gridCol w:w="1290"/>
        <w:gridCol w:w="1270"/>
        <w:gridCol w:w="1195"/>
      </w:tblGrid>
      <w:tr w:rsidR="00496A54" w:rsidRPr="00F41A23" w14:paraId="4DBB6439" w14:textId="77777777">
        <w:trPr>
          <w:trHeight w:val="165"/>
        </w:trPr>
        <w:tc>
          <w:tcPr>
            <w:tcW w:w="1956" w:type="dxa"/>
            <w:tcBorders>
              <w:top w:val="single" w:sz="4" w:space="0" w:color="auto"/>
              <w:left w:val="single" w:sz="4" w:space="0" w:color="auto"/>
              <w:bottom w:val="single" w:sz="4" w:space="0" w:color="auto"/>
              <w:right w:val="single" w:sz="4" w:space="0" w:color="auto"/>
            </w:tcBorders>
            <w:hideMark/>
          </w:tcPr>
          <w:p w14:paraId="46C34D46" w14:textId="77777777" w:rsidR="00496A54" w:rsidRPr="00496A54" w:rsidRDefault="00496A54">
            <w:pPr>
              <w:rPr>
                <w:b/>
                <w:bCs/>
              </w:rPr>
            </w:pPr>
            <w:r w:rsidRPr="00496A54">
              <w:rPr>
                <w:b/>
                <w:bCs/>
              </w:rPr>
              <w:t>Heavy metals</w:t>
            </w:r>
          </w:p>
        </w:tc>
        <w:tc>
          <w:tcPr>
            <w:tcW w:w="764" w:type="dxa"/>
            <w:tcBorders>
              <w:top w:val="single" w:sz="4" w:space="0" w:color="auto"/>
              <w:left w:val="single" w:sz="4" w:space="0" w:color="auto"/>
              <w:bottom w:val="single" w:sz="4" w:space="0" w:color="auto"/>
              <w:right w:val="single" w:sz="4" w:space="0" w:color="auto"/>
            </w:tcBorders>
            <w:hideMark/>
          </w:tcPr>
          <w:p w14:paraId="4D7855F6" w14:textId="77777777" w:rsidR="00496A54" w:rsidRPr="00496A54" w:rsidRDefault="00496A54">
            <w:pPr>
              <w:rPr>
                <w:b/>
                <w:bCs/>
              </w:rPr>
            </w:pPr>
            <w:r w:rsidRPr="00496A54">
              <w:rPr>
                <w:b/>
                <w:bCs/>
              </w:rPr>
              <w:t>Cd</w:t>
            </w:r>
          </w:p>
        </w:tc>
        <w:tc>
          <w:tcPr>
            <w:tcW w:w="1290" w:type="dxa"/>
            <w:tcBorders>
              <w:top w:val="single" w:sz="4" w:space="0" w:color="auto"/>
              <w:left w:val="single" w:sz="4" w:space="0" w:color="auto"/>
              <w:bottom w:val="single" w:sz="4" w:space="0" w:color="auto"/>
              <w:right w:val="single" w:sz="4" w:space="0" w:color="auto"/>
            </w:tcBorders>
            <w:hideMark/>
          </w:tcPr>
          <w:p w14:paraId="1C86AEE9" w14:textId="77777777" w:rsidR="00496A54" w:rsidRPr="00496A54" w:rsidRDefault="00496A54">
            <w:pPr>
              <w:rPr>
                <w:b/>
                <w:bCs/>
              </w:rPr>
            </w:pPr>
            <w:r w:rsidRPr="00496A54">
              <w:rPr>
                <w:b/>
                <w:bCs/>
              </w:rPr>
              <w:t>Co</w:t>
            </w:r>
          </w:p>
        </w:tc>
        <w:tc>
          <w:tcPr>
            <w:tcW w:w="1276" w:type="dxa"/>
            <w:tcBorders>
              <w:top w:val="single" w:sz="4" w:space="0" w:color="auto"/>
              <w:left w:val="single" w:sz="4" w:space="0" w:color="auto"/>
              <w:bottom w:val="single" w:sz="4" w:space="0" w:color="auto"/>
              <w:right w:val="single" w:sz="4" w:space="0" w:color="auto"/>
            </w:tcBorders>
            <w:hideMark/>
          </w:tcPr>
          <w:p w14:paraId="75F0F3BD" w14:textId="77777777" w:rsidR="00496A54" w:rsidRPr="00496A54" w:rsidRDefault="00496A54">
            <w:pPr>
              <w:rPr>
                <w:b/>
                <w:bCs/>
              </w:rPr>
            </w:pPr>
            <w:r w:rsidRPr="00496A54">
              <w:rPr>
                <w:b/>
                <w:bCs/>
              </w:rPr>
              <w:t>Pb</w:t>
            </w:r>
          </w:p>
        </w:tc>
        <w:tc>
          <w:tcPr>
            <w:tcW w:w="1270" w:type="dxa"/>
            <w:tcBorders>
              <w:top w:val="single" w:sz="4" w:space="0" w:color="auto"/>
              <w:left w:val="single" w:sz="4" w:space="0" w:color="auto"/>
              <w:bottom w:val="single" w:sz="4" w:space="0" w:color="auto"/>
              <w:right w:val="single" w:sz="4" w:space="0" w:color="auto"/>
            </w:tcBorders>
            <w:hideMark/>
          </w:tcPr>
          <w:p w14:paraId="37C3845C" w14:textId="77777777" w:rsidR="00496A54" w:rsidRPr="00496A54" w:rsidRDefault="00496A54">
            <w:pPr>
              <w:rPr>
                <w:b/>
                <w:bCs/>
              </w:rPr>
            </w:pPr>
            <w:r w:rsidRPr="00496A54">
              <w:rPr>
                <w:b/>
                <w:bCs/>
              </w:rPr>
              <w:t>Cr</w:t>
            </w:r>
          </w:p>
        </w:tc>
        <w:tc>
          <w:tcPr>
            <w:tcW w:w="1290" w:type="dxa"/>
            <w:tcBorders>
              <w:top w:val="single" w:sz="4" w:space="0" w:color="auto"/>
              <w:left w:val="single" w:sz="4" w:space="0" w:color="auto"/>
              <w:bottom w:val="single" w:sz="4" w:space="0" w:color="auto"/>
              <w:right w:val="single" w:sz="4" w:space="0" w:color="auto"/>
            </w:tcBorders>
            <w:hideMark/>
          </w:tcPr>
          <w:p w14:paraId="62B98A12" w14:textId="77777777" w:rsidR="00496A54" w:rsidRPr="00496A54" w:rsidRDefault="00496A54">
            <w:pPr>
              <w:rPr>
                <w:b/>
                <w:bCs/>
              </w:rPr>
            </w:pPr>
            <w:r w:rsidRPr="00496A54">
              <w:rPr>
                <w:b/>
                <w:bCs/>
              </w:rPr>
              <w:t>Cu</w:t>
            </w:r>
          </w:p>
        </w:tc>
        <w:tc>
          <w:tcPr>
            <w:tcW w:w="1270" w:type="dxa"/>
            <w:tcBorders>
              <w:top w:val="single" w:sz="4" w:space="0" w:color="auto"/>
              <w:left w:val="single" w:sz="4" w:space="0" w:color="auto"/>
              <w:bottom w:val="single" w:sz="4" w:space="0" w:color="auto"/>
              <w:right w:val="single" w:sz="4" w:space="0" w:color="auto"/>
            </w:tcBorders>
            <w:hideMark/>
          </w:tcPr>
          <w:p w14:paraId="02F2CDC7" w14:textId="77777777" w:rsidR="00496A54" w:rsidRPr="00496A54" w:rsidRDefault="00496A54">
            <w:pPr>
              <w:rPr>
                <w:b/>
                <w:bCs/>
              </w:rPr>
            </w:pPr>
            <w:r w:rsidRPr="00496A54">
              <w:rPr>
                <w:b/>
                <w:bCs/>
              </w:rPr>
              <w:t>Mn</w:t>
            </w:r>
          </w:p>
        </w:tc>
        <w:tc>
          <w:tcPr>
            <w:tcW w:w="1195" w:type="dxa"/>
            <w:tcBorders>
              <w:top w:val="single" w:sz="4" w:space="0" w:color="auto"/>
              <w:left w:val="single" w:sz="4" w:space="0" w:color="auto"/>
              <w:bottom w:val="single" w:sz="4" w:space="0" w:color="auto"/>
              <w:right w:val="single" w:sz="4" w:space="0" w:color="auto"/>
            </w:tcBorders>
            <w:hideMark/>
          </w:tcPr>
          <w:p w14:paraId="37CCFAB9" w14:textId="77777777" w:rsidR="00496A54" w:rsidRPr="00496A54" w:rsidRDefault="00496A54">
            <w:pPr>
              <w:rPr>
                <w:b/>
                <w:bCs/>
              </w:rPr>
            </w:pPr>
            <w:r w:rsidRPr="00496A54">
              <w:rPr>
                <w:b/>
                <w:bCs/>
              </w:rPr>
              <w:t>Ni</w:t>
            </w:r>
          </w:p>
        </w:tc>
      </w:tr>
      <w:tr w:rsidR="00496A54" w:rsidRPr="00F41A23" w14:paraId="6A22AEF0" w14:textId="77777777">
        <w:trPr>
          <w:trHeight w:val="284"/>
        </w:trPr>
        <w:tc>
          <w:tcPr>
            <w:tcW w:w="1956" w:type="dxa"/>
            <w:tcBorders>
              <w:top w:val="single" w:sz="4" w:space="0" w:color="auto"/>
              <w:left w:val="single" w:sz="4" w:space="0" w:color="auto"/>
              <w:bottom w:val="single" w:sz="4" w:space="0" w:color="auto"/>
              <w:right w:val="single" w:sz="4" w:space="0" w:color="auto"/>
            </w:tcBorders>
            <w:hideMark/>
          </w:tcPr>
          <w:p w14:paraId="2900C775" w14:textId="77777777" w:rsidR="00496A54" w:rsidRPr="00F41A23" w:rsidRDefault="00496A54">
            <w:r w:rsidRPr="00F41A23">
              <w:lastRenderedPageBreak/>
              <w:t>ADI (mg/60/day)</w:t>
            </w:r>
          </w:p>
        </w:tc>
        <w:tc>
          <w:tcPr>
            <w:tcW w:w="764" w:type="dxa"/>
            <w:tcBorders>
              <w:top w:val="single" w:sz="4" w:space="0" w:color="auto"/>
              <w:left w:val="single" w:sz="4" w:space="0" w:color="auto"/>
              <w:bottom w:val="single" w:sz="4" w:space="0" w:color="auto"/>
              <w:right w:val="single" w:sz="4" w:space="0" w:color="auto"/>
            </w:tcBorders>
            <w:hideMark/>
          </w:tcPr>
          <w:p w14:paraId="1DF0AACC" w14:textId="77777777" w:rsidR="00496A54" w:rsidRPr="00F41A23" w:rsidRDefault="00496A54">
            <w:r w:rsidRPr="00F41A23">
              <w:t>0.060</w:t>
            </w:r>
          </w:p>
        </w:tc>
        <w:tc>
          <w:tcPr>
            <w:tcW w:w="1290" w:type="dxa"/>
            <w:tcBorders>
              <w:top w:val="single" w:sz="4" w:space="0" w:color="auto"/>
              <w:left w:val="single" w:sz="4" w:space="0" w:color="auto"/>
              <w:bottom w:val="single" w:sz="4" w:space="0" w:color="auto"/>
              <w:right w:val="single" w:sz="4" w:space="0" w:color="auto"/>
            </w:tcBorders>
            <w:hideMark/>
          </w:tcPr>
          <w:p w14:paraId="34D51F0A" w14:textId="77777777" w:rsidR="00496A54" w:rsidRPr="00F41A23" w:rsidRDefault="00496A54">
            <w:r w:rsidRPr="00F41A23">
              <w:t>1.800</w:t>
            </w:r>
          </w:p>
        </w:tc>
        <w:tc>
          <w:tcPr>
            <w:tcW w:w="1276" w:type="dxa"/>
            <w:tcBorders>
              <w:top w:val="single" w:sz="4" w:space="0" w:color="auto"/>
              <w:left w:val="single" w:sz="4" w:space="0" w:color="auto"/>
              <w:bottom w:val="single" w:sz="4" w:space="0" w:color="auto"/>
              <w:right w:val="single" w:sz="4" w:space="0" w:color="auto"/>
            </w:tcBorders>
            <w:hideMark/>
          </w:tcPr>
          <w:p w14:paraId="6F148EAF" w14:textId="77777777" w:rsidR="00496A54" w:rsidRPr="00F41A23" w:rsidRDefault="00496A54">
            <w:r w:rsidRPr="00F41A23">
              <w:t>0.216</w:t>
            </w:r>
          </w:p>
        </w:tc>
        <w:tc>
          <w:tcPr>
            <w:tcW w:w="1270" w:type="dxa"/>
            <w:tcBorders>
              <w:top w:val="single" w:sz="4" w:space="0" w:color="auto"/>
              <w:left w:val="single" w:sz="4" w:space="0" w:color="auto"/>
              <w:bottom w:val="single" w:sz="4" w:space="0" w:color="auto"/>
              <w:right w:val="single" w:sz="4" w:space="0" w:color="auto"/>
            </w:tcBorders>
            <w:hideMark/>
          </w:tcPr>
          <w:p w14:paraId="02B2B76E" w14:textId="77777777" w:rsidR="00496A54" w:rsidRPr="00F41A23" w:rsidRDefault="00496A54">
            <w:r w:rsidRPr="00F41A23">
              <w:t>18.00</w:t>
            </w:r>
          </w:p>
        </w:tc>
        <w:tc>
          <w:tcPr>
            <w:tcW w:w="1290" w:type="dxa"/>
            <w:tcBorders>
              <w:top w:val="single" w:sz="4" w:space="0" w:color="auto"/>
              <w:left w:val="single" w:sz="4" w:space="0" w:color="auto"/>
              <w:bottom w:val="single" w:sz="4" w:space="0" w:color="auto"/>
              <w:right w:val="single" w:sz="4" w:space="0" w:color="auto"/>
            </w:tcBorders>
            <w:hideMark/>
          </w:tcPr>
          <w:p w14:paraId="1D33A126" w14:textId="77777777" w:rsidR="00496A54" w:rsidRPr="00F41A23" w:rsidRDefault="00496A54">
            <w:r w:rsidRPr="00F41A23">
              <w:t>4.200</w:t>
            </w:r>
          </w:p>
        </w:tc>
        <w:tc>
          <w:tcPr>
            <w:tcW w:w="1270" w:type="dxa"/>
            <w:tcBorders>
              <w:top w:val="single" w:sz="4" w:space="0" w:color="auto"/>
              <w:left w:val="single" w:sz="4" w:space="0" w:color="auto"/>
              <w:bottom w:val="single" w:sz="4" w:space="0" w:color="auto"/>
              <w:right w:val="single" w:sz="4" w:space="0" w:color="auto"/>
            </w:tcBorders>
            <w:hideMark/>
          </w:tcPr>
          <w:p w14:paraId="60B9EC65" w14:textId="77777777" w:rsidR="00496A54" w:rsidRPr="00F41A23" w:rsidRDefault="00496A54">
            <w:r w:rsidRPr="00F41A23">
              <w:t>0.660</w:t>
            </w:r>
          </w:p>
        </w:tc>
        <w:tc>
          <w:tcPr>
            <w:tcW w:w="1195" w:type="dxa"/>
            <w:tcBorders>
              <w:top w:val="single" w:sz="4" w:space="0" w:color="auto"/>
              <w:left w:val="single" w:sz="4" w:space="0" w:color="auto"/>
              <w:bottom w:val="single" w:sz="4" w:space="0" w:color="auto"/>
              <w:right w:val="single" w:sz="4" w:space="0" w:color="auto"/>
            </w:tcBorders>
            <w:hideMark/>
          </w:tcPr>
          <w:p w14:paraId="57AEDB5F" w14:textId="77777777" w:rsidR="00496A54" w:rsidRPr="00F41A23" w:rsidRDefault="00496A54">
            <w:r w:rsidRPr="00F41A23">
              <w:t>0.780</w:t>
            </w:r>
          </w:p>
        </w:tc>
      </w:tr>
    </w:tbl>
    <w:p w14:paraId="4F9E2ED0" w14:textId="77777777" w:rsidR="00496A54" w:rsidRPr="00496A54" w:rsidRDefault="00496A54" w:rsidP="00496A54">
      <w:pPr>
        <w:spacing w:line="480" w:lineRule="auto"/>
        <w:jc w:val="both"/>
        <w:rPr>
          <w:rFonts w:ascii="Times New Roman" w:hAnsi="Times New Roman" w:cs="Times New Roman"/>
          <w:b/>
          <w:bCs/>
        </w:rPr>
      </w:pPr>
      <w:r w:rsidRPr="00496A54">
        <w:rPr>
          <w:rFonts w:ascii="Times New Roman" w:hAnsi="Times New Roman" w:cs="Times New Roman"/>
          <w:b/>
          <w:bCs/>
        </w:rPr>
        <w:t xml:space="preserve">Table 1: The ADI </w:t>
      </w:r>
      <w:r>
        <w:rPr>
          <w:rFonts w:ascii="Times New Roman" w:hAnsi="Times New Roman" w:cs="Times New Roman"/>
          <w:b/>
          <w:bCs/>
        </w:rPr>
        <w:t>o</w:t>
      </w:r>
      <w:r w:rsidRPr="00496A54">
        <w:rPr>
          <w:rFonts w:ascii="Times New Roman" w:hAnsi="Times New Roman" w:cs="Times New Roman"/>
          <w:b/>
          <w:bCs/>
        </w:rPr>
        <w:t xml:space="preserve">f some Heavy Metals </w:t>
      </w:r>
    </w:p>
    <w:p w14:paraId="6BCD870F" w14:textId="215EE050" w:rsidR="00496A54" w:rsidRPr="00496A54" w:rsidRDefault="00496A54" w:rsidP="00F41A23">
      <w:pPr>
        <w:spacing w:line="480" w:lineRule="auto"/>
        <w:jc w:val="both"/>
        <w:rPr>
          <w:rFonts w:ascii="Times New Roman" w:hAnsi="Times New Roman" w:cs="Times New Roman"/>
        </w:rPr>
      </w:pPr>
      <w:r w:rsidRPr="00125810">
        <w:rPr>
          <w:rFonts w:ascii="Times New Roman" w:hAnsi="Times New Roman" w:cs="Times New Roman"/>
        </w:rPr>
        <w:t>(EFSA, 2023)</w:t>
      </w:r>
    </w:p>
    <w:p w14:paraId="5E5C5BA8" w14:textId="57E082EA" w:rsidR="00C20512" w:rsidRPr="00125810" w:rsidRDefault="00C20512" w:rsidP="00125810">
      <w:pPr>
        <w:spacing w:line="480" w:lineRule="auto"/>
        <w:jc w:val="both"/>
        <w:rPr>
          <w:rFonts w:ascii="Times New Roman" w:hAnsi="Times New Roman" w:cs="Times New Roman"/>
        </w:rPr>
      </w:pPr>
      <w:r w:rsidRPr="00125810">
        <w:rPr>
          <w:rFonts w:ascii="Times New Roman" w:hAnsi="Times New Roman" w:cs="Times New Roman"/>
        </w:rPr>
        <w:t>Given the growing health concerns associated with heavy metal contamination, the present study aims to determine the concentrations of selected heavy metals in culinary spices and herbal teas marketed in Abuja, Federal Capital Territory (FCT), Nigeria. The study also seeks to conduct a health risk assessment, evaluating both non-carcinogenic and carcinogenic risks to consumers who regularly use these products.</w:t>
      </w:r>
    </w:p>
    <w:p w14:paraId="18351307" w14:textId="77777777" w:rsidR="00C20512" w:rsidRPr="00125810" w:rsidRDefault="00C20512" w:rsidP="00125810">
      <w:pPr>
        <w:spacing w:line="480" w:lineRule="auto"/>
        <w:jc w:val="both"/>
        <w:rPr>
          <w:rFonts w:ascii="Times New Roman" w:hAnsi="Times New Roman" w:cs="Times New Roman"/>
        </w:rPr>
      </w:pPr>
      <w:r w:rsidRPr="00125810">
        <w:rPr>
          <w:rFonts w:ascii="Times New Roman" w:hAnsi="Times New Roman" w:cs="Times New Roman"/>
          <w:b/>
          <w:bCs/>
        </w:rPr>
        <w:t>Materials and Methods</w:t>
      </w:r>
    </w:p>
    <w:p w14:paraId="4727A299" w14:textId="0C9FBF08" w:rsidR="00C20512" w:rsidRPr="00125810" w:rsidRDefault="00C20512" w:rsidP="00125810">
      <w:pPr>
        <w:spacing w:line="480" w:lineRule="auto"/>
        <w:jc w:val="both"/>
        <w:rPr>
          <w:rFonts w:ascii="Times New Roman" w:hAnsi="Times New Roman" w:cs="Times New Roman"/>
        </w:rPr>
      </w:pPr>
      <w:r w:rsidRPr="00125810">
        <w:rPr>
          <w:rFonts w:ascii="Times New Roman" w:hAnsi="Times New Roman" w:cs="Times New Roman"/>
        </w:rPr>
        <w:t xml:space="preserve">A total of 11 spices and 12 herbal tea brands were purchased randomly from different grocery stores and supermarkets within the FCT, Abuja, and were </w:t>
      </w:r>
      <w:r w:rsidR="00515108" w:rsidRPr="007C4203">
        <w:rPr>
          <w:rFonts w:ascii="Times New Roman" w:hAnsi="Times New Roman" w:cs="Times New Roman"/>
          <w:highlight w:val="yellow"/>
        </w:rPr>
        <w:t xml:space="preserve">labelled </w:t>
      </w:r>
      <w:r w:rsidRPr="00125810">
        <w:rPr>
          <w:rFonts w:ascii="Times New Roman" w:hAnsi="Times New Roman" w:cs="Times New Roman"/>
        </w:rPr>
        <w:t xml:space="preserve">accordingly. The collected samples were </w:t>
      </w:r>
      <w:proofErr w:type="spellStart"/>
      <w:r w:rsidR="00515108" w:rsidRPr="007C4203">
        <w:rPr>
          <w:rFonts w:ascii="Times New Roman" w:hAnsi="Times New Roman" w:cs="Times New Roman"/>
          <w:highlight w:val="yellow"/>
        </w:rPr>
        <w:t>pulverised</w:t>
      </w:r>
      <w:proofErr w:type="spellEnd"/>
      <w:r w:rsidR="00515108" w:rsidRPr="007C4203">
        <w:rPr>
          <w:rFonts w:ascii="Times New Roman" w:hAnsi="Times New Roman" w:cs="Times New Roman"/>
          <w:highlight w:val="yellow"/>
        </w:rPr>
        <w:t xml:space="preserve"> </w:t>
      </w:r>
      <w:r w:rsidRPr="00125810">
        <w:rPr>
          <w:rFonts w:ascii="Times New Roman" w:hAnsi="Times New Roman" w:cs="Times New Roman"/>
        </w:rPr>
        <w:t>using a MasterChef laboratory blender and stored in a Ziplock bag. </w:t>
      </w:r>
    </w:p>
    <w:p w14:paraId="7DA3B3BD" w14:textId="6030EE16" w:rsidR="0051502F" w:rsidRPr="00125810" w:rsidRDefault="00C20512" w:rsidP="00125810">
      <w:pPr>
        <w:spacing w:line="480" w:lineRule="auto"/>
        <w:jc w:val="both"/>
        <w:rPr>
          <w:rFonts w:ascii="Times New Roman" w:hAnsi="Times New Roman" w:cs="Times New Roman"/>
        </w:rPr>
      </w:pPr>
      <w:r w:rsidRPr="00125810">
        <w:rPr>
          <w:rFonts w:ascii="Times New Roman" w:hAnsi="Times New Roman" w:cs="Times New Roman"/>
        </w:rPr>
        <w:t xml:space="preserve"> Heavy metals in herbal tea and spice samples were determined according to the method previously described by AOAC 2000. Briefly, 2g ± 0.01g of each sample was weighed using a weighing balance (Mettler Toledo) </w:t>
      </w:r>
      <w:r w:rsidR="00C90C84">
        <w:rPr>
          <w:rFonts w:ascii="Times New Roman" w:hAnsi="Times New Roman" w:cs="Times New Roman"/>
        </w:rPr>
        <w:t>and placed into an acid digestion unit. This was followed by the addition of 20 mL of concentrated aqua regia, consisting of a 3:1 ratio of concentrated hydrochloric acid and nitric acid</w:t>
      </w:r>
      <w:r w:rsidRPr="00125810">
        <w:rPr>
          <w:rFonts w:ascii="Times New Roman" w:hAnsi="Times New Roman" w:cs="Times New Roman"/>
        </w:rPr>
        <w:t>. The mixture was incubated for 10 min at 155 °C for a further 7 min at 200 °C. The digested sample was filtered using Whatman filter paper, which was pre-rinsed with the acid solution to avoid contamination. The digested sample was rinsed to bring the sample to 50 ± 0.05 ml with Milli-Q water. The levels of 7 residual heavy metals in herbal tea and spices were determined using Solaar Elemental Thermo Scientific Atomic Absorption Spectrophotometry (AAS). The AAS equipment was previously calibrated with</w:t>
      </w:r>
      <w:r w:rsidR="00A74D08">
        <w:rPr>
          <w:rFonts w:ascii="Times New Roman" w:hAnsi="Times New Roman" w:cs="Times New Roman"/>
        </w:rPr>
        <w:t xml:space="preserve"> respective calibrated and </w:t>
      </w:r>
      <w:r w:rsidRPr="00125810">
        <w:rPr>
          <w:rFonts w:ascii="Times New Roman" w:hAnsi="Times New Roman" w:cs="Times New Roman"/>
        </w:rPr>
        <w:t xml:space="preserve"> Instrumental </w:t>
      </w:r>
      <w:r w:rsidRPr="00125810">
        <w:rPr>
          <w:rFonts w:ascii="Times New Roman" w:hAnsi="Times New Roman" w:cs="Times New Roman"/>
        </w:rPr>
        <w:lastRenderedPageBreak/>
        <w:t xml:space="preserve">conditions for heavy metal determinations were established based on standard guidelines, with Cadmium (Cd), Cobalt (Co), </w:t>
      </w:r>
      <w:r w:rsidR="007414B7" w:rsidRPr="00125810">
        <w:rPr>
          <w:rFonts w:ascii="Times New Roman" w:hAnsi="Times New Roman" w:cs="Times New Roman"/>
        </w:rPr>
        <w:t>Lead</w:t>
      </w:r>
      <w:r w:rsidR="007414B7">
        <w:rPr>
          <w:rFonts w:ascii="Times New Roman" w:hAnsi="Times New Roman" w:cs="Times New Roman"/>
        </w:rPr>
        <w:t xml:space="preserve"> </w:t>
      </w:r>
      <w:r w:rsidRPr="00125810">
        <w:rPr>
          <w:rFonts w:ascii="Times New Roman" w:hAnsi="Times New Roman" w:cs="Times New Roman"/>
        </w:rPr>
        <w:t>(Pb), Chromium (Cr), Copper (Cu), Manganese (Mn), and Nickel (Ni) were analyzed at their respective wavelengths: 228.8 nm, 240.7 nm, 217 nm, 357.\ nm, 324.8 nm, 279.5 nm, and 232 nm (</w:t>
      </w:r>
      <w:r w:rsidR="00891FF5">
        <w:rPr>
          <w:rFonts w:ascii="Times New Roman" w:hAnsi="Times New Roman" w:cs="Times New Roman"/>
        </w:rPr>
        <w:t>AOAC, 2000</w:t>
      </w:r>
      <w:r w:rsidR="007414B7">
        <w:rPr>
          <w:rFonts w:ascii="Times New Roman" w:hAnsi="Times New Roman" w:cs="Times New Roman"/>
        </w:rPr>
        <w:t xml:space="preserve">; </w:t>
      </w:r>
      <w:r w:rsidR="007414B7" w:rsidRPr="00E03DB9">
        <w:t>Kowalska</w:t>
      </w:r>
      <w:r w:rsidR="007414B7">
        <w:t xml:space="preserve"> et al., 2021</w:t>
      </w:r>
      <w:r w:rsidRPr="00125810">
        <w:rPr>
          <w:rFonts w:ascii="Times New Roman" w:hAnsi="Times New Roman" w:cs="Times New Roman"/>
        </w:rPr>
        <w:t>). The concentration of each metal was calculated using the following formula: </w:t>
      </w:r>
    </w:p>
    <w:p w14:paraId="45C5F940" w14:textId="3CD38633" w:rsidR="00C20512" w:rsidRPr="00125810" w:rsidRDefault="0052756C" w:rsidP="00125810">
      <w:pPr>
        <w:spacing w:line="480" w:lineRule="auto"/>
        <w:jc w:val="both"/>
        <w:rPr>
          <w:rFonts w:ascii="Times New Roman" w:hAnsi="Times New Roman" w:cs="Times New Roman"/>
        </w:rPr>
      </w:pPr>
      <w:r w:rsidRPr="00125810">
        <w:rPr>
          <w:rFonts w:ascii="Times New Roman" w:hAnsi="Times New Roman" w:cs="Times New Roman"/>
          <w:noProof/>
        </w:rPr>
        <w:drawing>
          <wp:anchor distT="0" distB="0" distL="114300" distR="114300" simplePos="0" relativeHeight="251658240" behindDoc="0" locked="0" layoutInCell="1" allowOverlap="1" wp14:anchorId="3FBAF3D2" wp14:editId="53A0F983">
            <wp:simplePos x="0" y="0"/>
            <wp:positionH relativeFrom="margin">
              <wp:posOffset>1305560</wp:posOffset>
            </wp:positionH>
            <wp:positionV relativeFrom="paragraph">
              <wp:posOffset>13335</wp:posOffset>
            </wp:positionV>
            <wp:extent cx="3710940" cy="294640"/>
            <wp:effectExtent l="0" t="0" r="3810" b="0"/>
            <wp:wrapSquare wrapText="bothSides"/>
            <wp:docPr id="177829353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10940" cy="294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1502F" w:rsidRPr="00125810">
        <w:rPr>
          <w:rFonts w:ascii="Times New Roman" w:hAnsi="Times New Roman" w:cs="Times New Roman"/>
        </w:rPr>
        <w:t>Final concentration</w:t>
      </w:r>
    </w:p>
    <w:p w14:paraId="56F7EABC" w14:textId="77777777" w:rsidR="00C20512" w:rsidRPr="00567238" w:rsidRDefault="00C20512" w:rsidP="00125810">
      <w:pPr>
        <w:spacing w:line="480" w:lineRule="auto"/>
        <w:jc w:val="both"/>
        <w:rPr>
          <w:rFonts w:ascii="Times New Roman" w:hAnsi="Times New Roman" w:cs="Times New Roman"/>
        </w:rPr>
      </w:pPr>
      <w:r w:rsidRPr="00567238">
        <w:rPr>
          <w:rFonts w:ascii="Times New Roman" w:hAnsi="Times New Roman" w:cs="Times New Roman"/>
        </w:rPr>
        <w:t>Analytical Method Validation and Quality Control</w:t>
      </w:r>
    </w:p>
    <w:p w14:paraId="7FF50A01" w14:textId="2A845BEB" w:rsidR="00C20512" w:rsidRPr="00567238" w:rsidRDefault="00C20512" w:rsidP="00125810">
      <w:pPr>
        <w:spacing w:line="480" w:lineRule="auto"/>
        <w:jc w:val="both"/>
        <w:rPr>
          <w:rFonts w:ascii="Times New Roman" w:hAnsi="Times New Roman" w:cs="Times New Roman"/>
        </w:rPr>
      </w:pPr>
      <w:r w:rsidRPr="00567238">
        <w:rPr>
          <w:rFonts w:ascii="Times New Roman" w:hAnsi="Times New Roman" w:cs="Times New Roman"/>
        </w:rPr>
        <w:t>A comprehensive quality control and methods validation protocol was implemented to ensure the accuracy, reliability, and reproducibility of the analytical results during the determination of heavy metals in the spices and tea samples. This included calibration, linearity assessment</w:t>
      </w:r>
      <w:r w:rsidR="00515108">
        <w:rPr>
          <w:rFonts w:ascii="Times New Roman" w:hAnsi="Times New Roman" w:cs="Times New Roman"/>
        </w:rPr>
        <w:t>,</w:t>
      </w:r>
      <w:r w:rsidR="00A74D08" w:rsidRPr="00567238">
        <w:rPr>
          <w:rFonts w:ascii="Times New Roman" w:hAnsi="Times New Roman" w:cs="Times New Roman"/>
        </w:rPr>
        <w:t xml:space="preserve"> </w:t>
      </w:r>
      <w:r w:rsidRPr="00567238">
        <w:rPr>
          <w:rFonts w:ascii="Times New Roman" w:hAnsi="Times New Roman" w:cs="Times New Roman"/>
        </w:rPr>
        <w:t>spiking (recovery) experiments, and the determination of the LOD and LOQ</w:t>
      </w:r>
      <w:r w:rsidR="00891FF5" w:rsidRPr="00567238">
        <w:rPr>
          <w:rFonts w:ascii="Times New Roman" w:hAnsi="Times New Roman" w:cs="Times New Roman"/>
        </w:rPr>
        <w:t xml:space="preserve"> (</w:t>
      </w:r>
      <w:r w:rsidR="007414B7" w:rsidRPr="00567238">
        <w:t xml:space="preserve">Kowalska </w:t>
      </w:r>
      <w:r w:rsidR="007414B7" w:rsidRPr="00567238">
        <w:rPr>
          <w:i/>
          <w:iCs/>
        </w:rPr>
        <w:t>et al</w:t>
      </w:r>
      <w:r w:rsidR="007414B7" w:rsidRPr="00567238">
        <w:t>., 2021</w:t>
      </w:r>
      <w:r w:rsidR="00891FF5" w:rsidRPr="00567238">
        <w:rPr>
          <w:rFonts w:ascii="Times New Roman" w:hAnsi="Times New Roman" w:cs="Times New Roman"/>
        </w:rPr>
        <w:t>)</w:t>
      </w:r>
      <w:r w:rsidRPr="00567238">
        <w:rPr>
          <w:rFonts w:ascii="Times New Roman" w:hAnsi="Times New Roman" w:cs="Times New Roman"/>
        </w:rPr>
        <w:t>. </w:t>
      </w:r>
    </w:p>
    <w:p w14:paraId="2FB911A9" w14:textId="59600A69" w:rsidR="00E45044" w:rsidRPr="00567238" w:rsidRDefault="00C20512" w:rsidP="00125810">
      <w:pPr>
        <w:spacing w:line="480" w:lineRule="auto"/>
        <w:jc w:val="both"/>
        <w:rPr>
          <w:rFonts w:ascii="Times New Roman" w:hAnsi="Times New Roman" w:cs="Times New Roman"/>
        </w:rPr>
      </w:pPr>
      <w:r w:rsidRPr="00567238">
        <w:rPr>
          <w:rFonts w:ascii="Times New Roman" w:hAnsi="Times New Roman" w:cs="Times New Roman"/>
        </w:rPr>
        <w:t xml:space="preserve">All glassware used in the analysis was thoroughly washed with detergent and rinsed with water, followed by several additional rinses with Milli-Q water severally times, and further treated with acetone to eliminate any potential contamination before finally dried in the oven set at 105 </w:t>
      </w:r>
      <w:r w:rsidR="007414B7" w:rsidRPr="00567238">
        <w:rPr>
          <w:rFonts w:ascii="Times New Roman" w:hAnsi="Times New Roman" w:cs="Times New Roman"/>
          <w:vertAlign w:val="superscript"/>
        </w:rPr>
        <w:t>o</w:t>
      </w:r>
      <w:r w:rsidRPr="00567238">
        <w:rPr>
          <w:rFonts w:ascii="Times New Roman" w:hAnsi="Times New Roman" w:cs="Times New Roman"/>
        </w:rPr>
        <w:t xml:space="preserve">C for 30 minutes. The efficiency of the sample digestion procedure was evaluated using method blanks and matrix-spiked samples. Known concentrations of certified metal standards were added to previously </w:t>
      </w:r>
      <w:proofErr w:type="spellStart"/>
      <w:r w:rsidR="00515108" w:rsidRPr="007C4203">
        <w:rPr>
          <w:rFonts w:ascii="Times New Roman" w:hAnsi="Times New Roman" w:cs="Times New Roman"/>
          <w:highlight w:val="yellow"/>
        </w:rPr>
        <w:t>analysed</w:t>
      </w:r>
      <w:proofErr w:type="spellEnd"/>
      <w:r w:rsidR="00515108" w:rsidRPr="007C4203">
        <w:rPr>
          <w:rFonts w:ascii="Times New Roman" w:hAnsi="Times New Roman" w:cs="Times New Roman"/>
          <w:highlight w:val="yellow"/>
        </w:rPr>
        <w:t xml:space="preserve"> </w:t>
      </w:r>
      <w:r w:rsidRPr="00567238">
        <w:rPr>
          <w:rFonts w:ascii="Times New Roman" w:hAnsi="Times New Roman" w:cs="Times New Roman"/>
        </w:rPr>
        <w:t xml:space="preserve">sample aliquots and then </w:t>
      </w:r>
      <w:proofErr w:type="spellStart"/>
      <w:r w:rsidR="00515108" w:rsidRPr="007C4203">
        <w:rPr>
          <w:rFonts w:ascii="Times New Roman" w:hAnsi="Times New Roman" w:cs="Times New Roman"/>
          <w:highlight w:val="yellow"/>
        </w:rPr>
        <w:t>reanalysed</w:t>
      </w:r>
      <w:proofErr w:type="spellEnd"/>
      <w:r w:rsidR="00515108" w:rsidRPr="007C4203">
        <w:rPr>
          <w:rFonts w:ascii="Times New Roman" w:hAnsi="Times New Roman" w:cs="Times New Roman"/>
          <w:highlight w:val="yellow"/>
        </w:rPr>
        <w:t xml:space="preserve"> </w:t>
      </w:r>
      <w:r w:rsidRPr="00567238">
        <w:rPr>
          <w:rFonts w:ascii="Times New Roman" w:hAnsi="Times New Roman" w:cs="Times New Roman"/>
        </w:rPr>
        <w:t>to validate the method’s consistency and accuracy. The concentrations of heavy metals in the samples were quantified using the external calibration method.</w:t>
      </w:r>
      <w:r w:rsidR="00E45044" w:rsidRPr="00567238">
        <w:rPr>
          <w:rFonts w:ascii="Times New Roman" w:hAnsi="Times New Roman" w:cs="Times New Roman"/>
        </w:rPr>
        <w:t xml:space="preserve"> All measurements were carried out in triplicate</w:t>
      </w:r>
      <w:r w:rsidR="00843996" w:rsidRPr="00567238">
        <w:rPr>
          <w:rFonts w:ascii="Times New Roman" w:hAnsi="Times New Roman" w:cs="Times New Roman"/>
        </w:rPr>
        <w:t>.</w:t>
      </w:r>
    </w:p>
    <w:p w14:paraId="3A371EB2" w14:textId="19383E38" w:rsidR="00C20512" w:rsidRPr="00567238" w:rsidRDefault="00C20512" w:rsidP="00125810">
      <w:pPr>
        <w:spacing w:line="480" w:lineRule="auto"/>
        <w:jc w:val="both"/>
        <w:rPr>
          <w:rFonts w:ascii="Times New Roman" w:hAnsi="Times New Roman" w:cs="Times New Roman"/>
        </w:rPr>
      </w:pPr>
      <w:r w:rsidRPr="00567238">
        <w:rPr>
          <w:rFonts w:ascii="Times New Roman" w:hAnsi="Times New Roman" w:cs="Times New Roman"/>
        </w:rPr>
        <w:t xml:space="preserve">Standard calibration curves were prepared for each target metal, including Cadmium (Cd), Cobalt (Co), Lead (Pb), Chromium (Cr), Copper (Cu), Manganese (Mn), and Nickel (Ni), using certified reference standard solutions. Eight different concentrations were used depending on the sensitivity </w:t>
      </w:r>
      <w:r w:rsidRPr="00567238">
        <w:rPr>
          <w:rFonts w:ascii="Times New Roman" w:hAnsi="Times New Roman" w:cs="Times New Roman"/>
        </w:rPr>
        <w:lastRenderedPageBreak/>
        <w:t>of the AAS toward each metal. The instrument response (absorbance) was plotted against the known standard concentrations, resulting in calibration curves with correlation coefficients (r² values) ranging between 0.9990 and 0.9999, which were considered acceptable for quantitative analysis</w:t>
      </w:r>
      <w:r w:rsidR="007414B7" w:rsidRPr="00567238">
        <w:rPr>
          <w:rFonts w:ascii="Times New Roman" w:hAnsi="Times New Roman" w:cs="Times New Roman"/>
        </w:rPr>
        <w:t xml:space="preserve"> (AOAC,2000)</w:t>
      </w:r>
      <w:r w:rsidRPr="00567238">
        <w:rPr>
          <w:rFonts w:ascii="Times New Roman" w:hAnsi="Times New Roman" w:cs="Times New Roman"/>
        </w:rPr>
        <w:t>.</w:t>
      </w:r>
    </w:p>
    <w:p w14:paraId="6FA1714C" w14:textId="77777777" w:rsidR="00C20512" w:rsidRPr="00567238" w:rsidRDefault="00C20512" w:rsidP="00125810">
      <w:pPr>
        <w:spacing w:line="480" w:lineRule="auto"/>
        <w:jc w:val="both"/>
        <w:rPr>
          <w:rFonts w:ascii="Times New Roman" w:hAnsi="Times New Roman" w:cs="Times New Roman"/>
        </w:rPr>
      </w:pPr>
      <w:r w:rsidRPr="00567238">
        <w:rPr>
          <w:rFonts w:ascii="Times New Roman" w:hAnsi="Times New Roman" w:cs="Times New Roman"/>
        </w:rPr>
        <w:t>The linearity of the detector response was confirmed across a suitable concentration range for each analyte. This linear relationship between analyte concentration and absorbance confirmed the capability of the method to accurately quantify metals within the expected sample concentration range. </w:t>
      </w:r>
    </w:p>
    <w:p w14:paraId="1F845A43" w14:textId="547C4851" w:rsidR="00C20512" w:rsidRPr="00567238" w:rsidRDefault="00C20512" w:rsidP="00125810">
      <w:pPr>
        <w:spacing w:line="480" w:lineRule="auto"/>
        <w:jc w:val="both"/>
        <w:rPr>
          <w:rFonts w:ascii="Times New Roman" w:hAnsi="Times New Roman" w:cs="Times New Roman"/>
        </w:rPr>
      </w:pPr>
      <w:r w:rsidRPr="00567238">
        <w:rPr>
          <w:rFonts w:ascii="Times New Roman" w:hAnsi="Times New Roman" w:cs="Times New Roman"/>
        </w:rPr>
        <w:t xml:space="preserve">The limits of detection and quantification were determined based on the standard deviation of the response and the slope of the calibration curve, following the recommendations of the IUPAC. The limit of detection (LOD) was defined as the lowest concentration distinguishable from background noise, determined at 3 times the signal-to-noise (S/N) ratio, while the limit of quantification (LOQ) was defined as 10 times the S/N ratio. The LOD values for the </w:t>
      </w:r>
      <w:proofErr w:type="spellStart"/>
      <w:r w:rsidR="00515108" w:rsidRPr="007C4203">
        <w:rPr>
          <w:rFonts w:ascii="Times New Roman" w:hAnsi="Times New Roman" w:cs="Times New Roman"/>
          <w:highlight w:val="yellow"/>
        </w:rPr>
        <w:t>analysed</w:t>
      </w:r>
      <w:proofErr w:type="spellEnd"/>
      <w:r w:rsidR="00515108" w:rsidRPr="00567238">
        <w:rPr>
          <w:rFonts w:ascii="Times New Roman" w:hAnsi="Times New Roman" w:cs="Times New Roman"/>
        </w:rPr>
        <w:t xml:space="preserve"> </w:t>
      </w:r>
      <w:r w:rsidRPr="00567238">
        <w:rPr>
          <w:rFonts w:ascii="Times New Roman" w:hAnsi="Times New Roman" w:cs="Times New Roman"/>
        </w:rPr>
        <w:t>heavy metals ranged from 0.001 to 0.01 mg/kg. These values were established through spiked serial dilutions of the working standards used to generate the calibration curves</w:t>
      </w:r>
      <w:r w:rsidR="007414B7" w:rsidRPr="00567238">
        <w:rPr>
          <w:rFonts w:ascii="Times New Roman" w:hAnsi="Times New Roman" w:cs="Times New Roman"/>
        </w:rPr>
        <w:t xml:space="preserve"> (AOAC, 2000)</w:t>
      </w:r>
      <w:r w:rsidRPr="00567238">
        <w:rPr>
          <w:rFonts w:ascii="Times New Roman" w:hAnsi="Times New Roman" w:cs="Times New Roman"/>
        </w:rPr>
        <w:t>.</w:t>
      </w:r>
    </w:p>
    <w:p w14:paraId="33877450" w14:textId="0A440666" w:rsidR="00C20512" w:rsidRPr="00567238" w:rsidRDefault="00C20512" w:rsidP="00125810">
      <w:pPr>
        <w:spacing w:line="480" w:lineRule="auto"/>
        <w:jc w:val="both"/>
        <w:rPr>
          <w:rFonts w:ascii="Times New Roman" w:hAnsi="Times New Roman" w:cs="Times New Roman"/>
        </w:rPr>
      </w:pPr>
      <w:r w:rsidRPr="00567238">
        <w:rPr>
          <w:rFonts w:ascii="Times New Roman" w:hAnsi="Times New Roman" w:cs="Times New Roman"/>
        </w:rPr>
        <w:t xml:space="preserve">  The optimal instrumental conditions for the atomic absorption spectrophotometer (AAS) and limit of detection (LOD) and quantification (LOQ) of the analytical method for each metal were calculated and further described in Table 1</w:t>
      </w:r>
    </w:p>
    <w:p w14:paraId="6E85EED6" w14:textId="77777777" w:rsidR="00C20512" w:rsidRPr="00567238" w:rsidRDefault="00C20512" w:rsidP="00125810">
      <w:pPr>
        <w:spacing w:line="480" w:lineRule="auto"/>
        <w:jc w:val="both"/>
        <w:rPr>
          <w:rFonts w:ascii="Times New Roman" w:hAnsi="Times New Roman" w:cs="Times New Roman"/>
        </w:rPr>
      </w:pPr>
      <w:r w:rsidRPr="00567238">
        <w:rPr>
          <w:rFonts w:ascii="Times New Roman" w:hAnsi="Times New Roman" w:cs="Times New Roman"/>
        </w:rPr>
        <w:t xml:space="preserve">Recovery studies were conducted to evaluate the analytical method’s accuracy and precision. Spiked experiments were performed by adding known concentrations of heavy metal standards to spice samples and laboratory blanks. The spiked samples were allowed to stand for 1 h before </w:t>
      </w:r>
      <w:r w:rsidRPr="00567238">
        <w:rPr>
          <w:rFonts w:ascii="Times New Roman" w:hAnsi="Times New Roman" w:cs="Times New Roman"/>
        </w:rPr>
        <w:lastRenderedPageBreak/>
        <w:t>digestion to facilitate the interaction and partitioning of the metals into the sample matrix. Recovery was calculated from 4 replicates using the following formula: </w:t>
      </w:r>
    </w:p>
    <w:p w14:paraId="2328766A" w14:textId="4B75C059" w:rsidR="00C20512" w:rsidRPr="00567238" w:rsidRDefault="00C20512" w:rsidP="00125810">
      <w:pPr>
        <w:spacing w:line="480" w:lineRule="auto"/>
        <w:jc w:val="both"/>
        <w:rPr>
          <w:rFonts w:ascii="Times New Roman" w:hAnsi="Times New Roman" w:cs="Times New Roman"/>
        </w:rPr>
      </w:pPr>
      <w:r w:rsidRPr="00567238">
        <w:rPr>
          <w:rFonts w:ascii="Times New Roman" w:hAnsi="Times New Roman" w:cs="Times New Roman"/>
          <w:noProof/>
        </w:rPr>
        <w:drawing>
          <wp:inline distT="0" distB="0" distL="0" distR="0" wp14:anchorId="02289ED4" wp14:editId="3D93000D">
            <wp:extent cx="5118100" cy="298450"/>
            <wp:effectExtent l="0" t="0" r="6350" b="6350"/>
            <wp:docPr id="194512267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18100" cy="298450"/>
                    </a:xfrm>
                    <a:prstGeom prst="rect">
                      <a:avLst/>
                    </a:prstGeom>
                    <a:noFill/>
                    <a:ln>
                      <a:noFill/>
                    </a:ln>
                  </pic:spPr>
                </pic:pic>
              </a:graphicData>
            </a:graphic>
          </wp:inline>
        </w:drawing>
      </w:r>
      <w:r w:rsidRPr="00567238">
        <w:rPr>
          <w:rFonts w:ascii="Times New Roman" w:hAnsi="Times New Roman" w:cs="Times New Roman"/>
        </w:rPr>
        <w:t>X 100</w:t>
      </w:r>
    </w:p>
    <w:p w14:paraId="62537EEC" w14:textId="772E994D" w:rsidR="00C20512" w:rsidRPr="00567238" w:rsidRDefault="00C20512" w:rsidP="00125810">
      <w:pPr>
        <w:spacing w:line="480" w:lineRule="auto"/>
        <w:jc w:val="both"/>
        <w:rPr>
          <w:rFonts w:ascii="Times New Roman" w:hAnsi="Times New Roman" w:cs="Times New Roman"/>
        </w:rPr>
      </w:pPr>
      <w:r w:rsidRPr="00567238">
        <w:rPr>
          <w:rFonts w:ascii="Times New Roman" w:hAnsi="Times New Roman" w:cs="Times New Roman"/>
        </w:rPr>
        <w:t xml:space="preserve">The recovery values, which typically ranged between 80% and 120%, indicated minimal matrix interference and high accuracy. (Barriga-Vélez </w:t>
      </w:r>
      <w:r w:rsidRPr="00567238">
        <w:rPr>
          <w:rFonts w:ascii="Times New Roman" w:hAnsi="Times New Roman" w:cs="Times New Roman"/>
          <w:i/>
          <w:iCs/>
        </w:rPr>
        <w:t>et al</w:t>
      </w:r>
      <w:r w:rsidRPr="00567238">
        <w:rPr>
          <w:rFonts w:ascii="Times New Roman" w:hAnsi="Times New Roman" w:cs="Times New Roman"/>
        </w:rPr>
        <w:t>., 2023) </w:t>
      </w:r>
    </w:p>
    <w:p w14:paraId="38390957" w14:textId="4C077FBA" w:rsidR="00C20512" w:rsidRPr="00567238" w:rsidRDefault="00C20512" w:rsidP="00125810">
      <w:pPr>
        <w:spacing w:line="480" w:lineRule="auto"/>
        <w:jc w:val="both"/>
        <w:rPr>
          <w:rFonts w:ascii="Times New Roman" w:hAnsi="Times New Roman" w:cs="Times New Roman"/>
        </w:rPr>
      </w:pPr>
      <w:r w:rsidRPr="00567238">
        <w:rPr>
          <w:rFonts w:ascii="Times New Roman" w:hAnsi="Times New Roman" w:cs="Times New Roman"/>
        </w:rPr>
        <w:t xml:space="preserve">Heavy metal concentrations in the final </w:t>
      </w:r>
      <w:proofErr w:type="spellStart"/>
      <w:r w:rsidR="00515108" w:rsidRPr="007C4203">
        <w:rPr>
          <w:rFonts w:ascii="Times New Roman" w:hAnsi="Times New Roman" w:cs="Times New Roman"/>
          <w:highlight w:val="yellow"/>
        </w:rPr>
        <w:t>analysed</w:t>
      </w:r>
      <w:proofErr w:type="spellEnd"/>
      <w:r w:rsidR="00515108" w:rsidRPr="007C4203">
        <w:rPr>
          <w:rFonts w:ascii="Times New Roman" w:hAnsi="Times New Roman" w:cs="Times New Roman"/>
          <w:highlight w:val="yellow"/>
        </w:rPr>
        <w:t xml:space="preserve"> </w:t>
      </w:r>
      <w:r w:rsidRPr="00567238">
        <w:rPr>
          <w:rFonts w:ascii="Times New Roman" w:hAnsi="Times New Roman" w:cs="Times New Roman"/>
        </w:rPr>
        <w:t>samples were reported in milligrams per kilogram (mg kg</w:t>
      </w:r>
      <w:r w:rsidRPr="00567238">
        <w:rPr>
          <w:rFonts w:ascii="Times New Roman" w:hAnsi="Times New Roman" w:cs="Times New Roman"/>
          <w:vertAlign w:val="superscript"/>
        </w:rPr>
        <w:t>-1</w:t>
      </w:r>
      <w:r w:rsidRPr="00567238">
        <w:rPr>
          <w:rFonts w:ascii="Times New Roman" w:hAnsi="Times New Roman" w:cs="Times New Roman"/>
        </w:rPr>
        <w:t xml:space="preserve">) on a dry weight basis. These values were compared with the Maximum Permissible Limits (MPL) established by national food safety standards. Descriptive statistical parameters, including mean and range, were computed using Microsoft Excel (version 6) to </w:t>
      </w:r>
      <w:proofErr w:type="spellStart"/>
      <w:r w:rsidR="00515108" w:rsidRPr="007C4203">
        <w:rPr>
          <w:rFonts w:ascii="Times New Roman" w:hAnsi="Times New Roman" w:cs="Times New Roman"/>
          <w:highlight w:val="yellow"/>
        </w:rPr>
        <w:t>summarise</w:t>
      </w:r>
      <w:proofErr w:type="spellEnd"/>
      <w:r w:rsidR="00515108" w:rsidRPr="007C4203">
        <w:rPr>
          <w:rFonts w:ascii="Times New Roman" w:hAnsi="Times New Roman" w:cs="Times New Roman"/>
          <w:highlight w:val="yellow"/>
        </w:rPr>
        <w:t xml:space="preserve"> </w:t>
      </w:r>
      <w:r w:rsidRPr="00567238">
        <w:rPr>
          <w:rFonts w:ascii="Times New Roman" w:hAnsi="Times New Roman" w:cs="Times New Roman"/>
        </w:rPr>
        <w:t xml:space="preserve">the distribution of heavy metal concentrations across all </w:t>
      </w:r>
      <w:proofErr w:type="spellStart"/>
      <w:r w:rsidR="00515108" w:rsidRPr="007C4203">
        <w:rPr>
          <w:rFonts w:ascii="Times New Roman" w:hAnsi="Times New Roman" w:cs="Times New Roman"/>
          <w:highlight w:val="yellow"/>
        </w:rPr>
        <w:t>analysed</w:t>
      </w:r>
      <w:proofErr w:type="spellEnd"/>
      <w:r w:rsidR="00515108" w:rsidRPr="007C4203">
        <w:rPr>
          <w:rFonts w:ascii="Times New Roman" w:hAnsi="Times New Roman" w:cs="Times New Roman"/>
          <w:highlight w:val="yellow"/>
        </w:rPr>
        <w:t xml:space="preserve"> </w:t>
      </w:r>
      <w:r w:rsidRPr="00567238">
        <w:rPr>
          <w:rFonts w:ascii="Times New Roman" w:hAnsi="Times New Roman" w:cs="Times New Roman"/>
        </w:rPr>
        <w:t>samples.</w:t>
      </w:r>
    </w:p>
    <w:p w14:paraId="7F280DC4" w14:textId="303690B7" w:rsidR="00C20512" w:rsidRPr="00125810" w:rsidRDefault="00C20512" w:rsidP="00125810">
      <w:pPr>
        <w:spacing w:line="480" w:lineRule="auto"/>
        <w:jc w:val="both"/>
        <w:rPr>
          <w:rFonts w:ascii="Times New Roman" w:hAnsi="Times New Roman" w:cs="Times New Roman"/>
        </w:rPr>
      </w:pPr>
      <w:r w:rsidRPr="00125810">
        <w:rPr>
          <w:rFonts w:ascii="Times New Roman" w:hAnsi="Times New Roman" w:cs="Times New Roman"/>
          <w:noProof/>
        </w:rPr>
        <w:drawing>
          <wp:inline distT="0" distB="0" distL="0" distR="0" wp14:anchorId="6B61CED4" wp14:editId="098436CA">
            <wp:extent cx="5118100" cy="298450"/>
            <wp:effectExtent l="0" t="0" r="6350" b="6350"/>
            <wp:docPr id="76145643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18100" cy="298450"/>
                    </a:xfrm>
                    <a:prstGeom prst="rect">
                      <a:avLst/>
                    </a:prstGeom>
                    <a:noFill/>
                    <a:ln>
                      <a:noFill/>
                    </a:ln>
                  </pic:spPr>
                </pic:pic>
              </a:graphicData>
            </a:graphic>
          </wp:inline>
        </w:drawing>
      </w:r>
      <w:r w:rsidRPr="00125810">
        <w:rPr>
          <w:rFonts w:ascii="Times New Roman" w:hAnsi="Times New Roman" w:cs="Times New Roman"/>
        </w:rPr>
        <w:t>X 100</w:t>
      </w:r>
    </w:p>
    <w:p w14:paraId="3EA51D20" w14:textId="1D5F2BC9" w:rsidR="00C20512" w:rsidRPr="00125810" w:rsidRDefault="00C20512" w:rsidP="00125810">
      <w:pPr>
        <w:spacing w:line="480" w:lineRule="auto"/>
        <w:jc w:val="both"/>
        <w:rPr>
          <w:rFonts w:ascii="Times New Roman" w:hAnsi="Times New Roman" w:cs="Times New Roman"/>
        </w:rPr>
      </w:pPr>
      <w:r w:rsidRPr="00125810">
        <w:rPr>
          <w:rFonts w:ascii="Times New Roman" w:hAnsi="Times New Roman" w:cs="Times New Roman"/>
        </w:rPr>
        <w:t xml:space="preserve">(Barriga-Vélez </w:t>
      </w:r>
      <w:r w:rsidRPr="00125810">
        <w:rPr>
          <w:rFonts w:ascii="Times New Roman" w:hAnsi="Times New Roman" w:cs="Times New Roman"/>
          <w:i/>
          <w:iCs/>
        </w:rPr>
        <w:t>et al</w:t>
      </w:r>
      <w:r w:rsidRPr="00125810">
        <w:rPr>
          <w:rFonts w:ascii="Times New Roman" w:hAnsi="Times New Roman" w:cs="Times New Roman"/>
        </w:rPr>
        <w:t>., 2023).</w:t>
      </w:r>
    </w:p>
    <w:p w14:paraId="2B2D62B9" w14:textId="77777777" w:rsidR="00EE61E3" w:rsidRDefault="00C20512" w:rsidP="00125810">
      <w:pPr>
        <w:spacing w:line="480" w:lineRule="auto"/>
        <w:jc w:val="both"/>
        <w:rPr>
          <w:rFonts w:ascii="Times New Roman" w:hAnsi="Times New Roman" w:cs="Times New Roman"/>
          <w:b/>
          <w:bCs/>
        </w:rPr>
      </w:pPr>
      <w:r w:rsidRPr="00125810">
        <w:rPr>
          <w:rFonts w:ascii="Times New Roman" w:hAnsi="Times New Roman" w:cs="Times New Roman"/>
          <w:b/>
          <w:bCs/>
        </w:rPr>
        <w:t>Assessment of human health risk </w:t>
      </w:r>
    </w:p>
    <w:p w14:paraId="34109FCC" w14:textId="6146B09D" w:rsidR="00EE61E3" w:rsidRDefault="00EE61E3" w:rsidP="00125810">
      <w:pPr>
        <w:spacing w:line="480" w:lineRule="auto"/>
        <w:jc w:val="both"/>
        <w:rPr>
          <w:rFonts w:ascii="Times New Roman" w:hAnsi="Times New Roman" w:cs="Times New Roman"/>
        </w:rPr>
      </w:pPr>
      <w:r w:rsidRPr="00EE61E3">
        <w:rPr>
          <w:rFonts w:ascii="Times New Roman" w:hAnsi="Times New Roman" w:cs="Times New Roman"/>
        </w:rPr>
        <w:t>The US EPA (2000) mandated assessing health risks from heavy metal contamination in spices and herbal teas by comparing average contaminant levels to international standards. It was specified that the Estimated Daily Intake (EDI) must be calculated using mean heavy metal concentrations and daily consumption rates. The FAO (2000) indicated that Nigeria’s annual food supply is 3.650 kg/capita for spices and 0.6 kg/capita for herbal teas, equating to food ingestion rates (FIR) of 0.01 kg/capita/day and 0.0016 kg/capita/day, respectively</w:t>
      </w:r>
      <w:r w:rsidR="00227496">
        <w:rPr>
          <w:rFonts w:ascii="Times New Roman" w:hAnsi="Times New Roman" w:cs="Times New Roman"/>
        </w:rPr>
        <w:t>,</w:t>
      </w:r>
      <w:r>
        <w:rPr>
          <w:rFonts w:ascii="Times New Roman" w:hAnsi="Times New Roman" w:cs="Times New Roman"/>
        </w:rPr>
        <w:t xml:space="preserve"> as further illustrated in the equation below:</w:t>
      </w:r>
    </w:p>
    <w:p w14:paraId="56B6B9F2" w14:textId="279902E4" w:rsidR="00C20512" w:rsidRPr="00125810" w:rsidRDefault="00C20512" w:rsidP="00125810">
      <w:pPr>
        <w:spacing w:line="480" w:lineRule="auto"/>
        <w:jc w:val="both"/>
        <w:rPr>
          <w:rFonts w:ascii="Times New Roman" w:hAnsi="Times New Roman" w:cs="Times New Roman"/>
        </w:rPr>
      </w:pPr>
      <w:r w:rsidRPr="00125810">
        <w:rPr>
          <w:rFonts w:ascii="Times New Roman" w:hAnsi="Times New Roman" w:cs="Times New Roman"/>
          <w:noProof/>
        </w:rPr>
        <w:lastRenderedPageBreak/>
        <w:drawing>
          <wp:inline distT="0" distB="0" distL="0" distR="0" wp14:anchorId="2248947B" wp14:editId="186D9F9A">
            <wp:extent cx="1212850" cy="209550"/>
            <wp:effectExtent l="0" t="0" r="6350" b="0"/>
            <wp:docPr id="49536420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2850" cy="209550"/>
                    </a:xfrm>
                    <a:prstGeom prst="rect">
                      <a:avLst/>
                    </a:prstGeom>
                    <a:noFill/>
                    <a:ln>
                      <a:noFill/>
                    </a:ln>
                  </pic:spPr>
                </pic:pic>
              </a:graphicData>
            </a:graphic>
          </wp:inline>
        </w:drawing>
      </w:r>
      <w:r w:rsidRPr="00125810">
        <w:rPr>
          <w:rFonts w:ascii="Times New Roman" w:hAnsi="Times New Roman" w:cs="Times New Roman"/>
        </w:rPr>
        <w:t>…</w:t>
      </w:r>
      <w:proofErr w:type="gramStart"/>
      <w:r w:rsidRPr="00125810">
        <w:rPr>
          <w:rFonts w:ascii="Times New Roman" w:hAnsi="Times New Roman" w:cs="Times New Roman"/>
        </w:rPr>
        <w:t>….</w:t>
      </w:r>
      <w:proofErr w:type="spellStart"/>
      <w:r w:rsidRPr="00125810">
        <w:rPr>
          <w:rFonts w:ascii="Times New Roman" w:hAnsi="Times New Roman" w:cs="Times New Roman"/>
        </w:rPr>
        <w:t>Eqn</w:t>
      </w:r>
      <w:proofErr w:type="spellEnd"/>
      <w:proofErr w:type="gramEnd"/>
      <w:r w:rsidRPr="00125810">
        <w:rPr>
          <w:rFonts w:ascii="Times New Roman" w:hAnsi="Times New Roman" w:cs="Times New Roman"/>
        </w:rPr>
        <w:t xml:space="preserve"> I </w:t>
      </w:r>
    </w:p>
    <w:p w14:paraId="3B08548D" w14:textId="1F66B5E0" w:rsidR="00C20512" w:rsidRPr="00125810" w:rsidRDefault="00C20512" w:rsidP="00125810">
      <w:pPr>
        <w:spacing w:line="480" w:lineRule="auto"/>
        <w:jc w:val="both"/>
        <w:rPr>
          <w:rFonts w:ascii="Times New Roman" w:hAnsi="Times New Roman" w:cs="Times New Roman"/>
        </w:rPr>
      </w:pPr>
      <w:r w:rsidRPr="00125810">
        <w:rPr>
          <w:rFonts w:ascii="Times New Roman" w:hAnsi="Times New Roman" w:cs="Times New Roman"/>
        </w:rPr>
        <w:t xml:space="preserve"> where C is the dry weight concentration of the residual heavy metals in the spice and herbal tea in mg kg</w:t>
      </w:r>
      <w:r w:rsidRPr="00125810">
        <w:rPr>
          <w:rFonts w:ascii="Times New Roman" w:hAnsi="Times New Roman" w:cs="Times New Roman"/>
          <w:vertAlign w:val="superscript"/>
        </w:rPr>
        <w:t>-1</w:t>
      </w:r>
      <w:r w:rsidRPr="00125810">
        <w:rPr>
          <w:rFonts w:ascii="Times New Roman" w:hAnsi="Times New Roman" w:cs="Times New Roman"/>
        </w:rPr>
        <w:t>, FIR accuracy rate, and BW is the reference body weight of 60 kg for an adult human.</w:t>
      </w:r>
    </w:p>
    <w:p w14:paraId="49A084AE" w14:textId="1C7E6D66" w:rsidR="00C20512" w:rsidRDefault="00C20512" w:rsidP="00125810">
      <w:pPr>
        <w:spacing w:line="480" w:lineRule="auto"/>
        <w:jc w:val="both"/>
        <w:rPr>
          <w:rFonts w:ascii="Times New Roman" w:hAnsi="Times New Roman" w:cs="Times New Roman"/>
        </w:rPr>
      </w:pPr>
      <w:r w:rsidRPr="00125810">
        <w:rPr>
          <w:rFonts w:ascii="Times New Roman" w:hAnsi="Times New Roman" w:cs="Times New Roman"/>
        </w:rPr>
        <w:t xml:space="preserve">Hazard quotient: The hazard quotient (HQ) was regarded as the probable risk of undesirable health effects from pesticide mixtures to specify the long-term assessment of risk and was computed by dividing the EDI by the pertinent ADI and multiplying by </w:t>
      </w:r>
      <w:proofErr w:type="gramStart"/>
      <w:r w:rsidRPr="00125810">
        <w:rPr>
          <w:rFonts w:ascii="Times New Roman" w:hAnsi="Times New Roman" w:cs="Times New Roman"/>
        </w:rPr>
        <w:t>100</w:t>
      </w:r>
      <w:r w:rsidR="00E45044">
        <w:rPr>
          <w:rFonts w:ascii="Times New Roman" w:hAnsi="Times New Roman" w:cs="Times New Roman"/>
        </w:rPr>
        <w:t xml:space="preserve">  as</w:t>
      </w:r>
      <w:proofErr w:type="gramEnd"/>
      <w:r w:rsidR="00E45044">
        <w:rPr>
          <w:rFonts w:ascii="Times New Roman" w:hAnsi="Times New Roman" w:cs="Times New Roman"/>
        </w:rPr>
        <w:t xml:space="preserve"> stated in the equation below (</w:t>
      </w:r>
      <w:r w:rsidR="00C90C84" w:rsidRPr="00616EF6">
        <w:t>Kowalska</w:t>
      </w:r>
      <w:r w:rsidR="00C90C84">
        <w:t>,2021</w:t>
      </w:r>
      <w:r w:rsidR="00E45044" w:rsidRPr="00EE61E3">
        <w:rPr>
          <w:rFonts w:ascii="Times New Roman" w:hAnsi="Times New Roman" w:cs="Times New Roman"/>
        </w:rPr>
        <w:t>)</w:t>
      </w:r>
      <w:r w:rsidRPr="00125810">
        <w:rPr>
          <w:rFonts w:ascii="Times New Roman" w:hAnsi="Times New Roman" w:cs="Times New Roman"/>
        </w:rPr>
        <w:t>.</w:t>
      </w:r>
    </w:p>
    <w:p w14:paraId="2E0EF0C9" w14:textId="7368BDF9" w:rsidR="00C20512" w:rsidRPr="00125810" w:rsidRDefault="00C20512" w:rsidP="00125810">
      <w:pPr>
        <w:spacing w:line="480" w:lineRule="auto"/>
        <w:jc w:val="both"/>
        <w:rPr>
          <w:rFonts w:ascii="Times New Roman" w:hAnsi="Times New Roman" w:cs="Times New Roman"/>
        </w:rPr>
      </w:pPr>
      <w:r w:rsidRPr="00125810">
        <w:rPr>
          <w:rFonts w:ascii="Times New Roman" w:hAnsi="Times New Roman" w:cs="Times New Roman"/>
          <w:noProof/>
        </w:rPr>
        <w:drawing>
          <wp:inline distT="0" distB="0" distL="0" distR="0" wp14:anchorId="5574E7A8" wp14:editId="1B0A40E8">
            <wp:extent cx="1397000" cy="209550"/>
            <wp:effectExtent l="0" t="0" r="0" b="0"/>
            <wp:docPr id="20445582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7000" cy="209550"/>
                    </a:xfrm>
                    <a:prstGeom prst="rect">
                      <a:avLst/>
                    </a:prstGeom>
                    <a:noFill/>
                    <a:ln>
                      <a:noFill/>
                    </a:ln>
                  </pic:spPr>
                </pic:pic>
              </a:graphicData>
            </a:graphic>
          </wp:inline>
        </w:drawing>
      </w:r>
      <w:r w:rsidRPr="00125810">
        <w:rPr>
          <w:rFonts w:ascii="Times New Roman" w:hAnsi="Times New Roman" w:cs="Times New Roman"/>
        </w:rPr>
        <w:t xml:space="preserve">……….. </w:t>
      </w:r>
      <w:proofErr w:type="spellStart"/>
      <w:r w:rsidRPr="00125810">
        <w:rPr>
          <w:rFonts w:ascii="Times New Roman" w:hAnsi="Times New Roman" w:cs="Times New Roman"/>
        </w:rPr>
        <w:t>Eqn</w:t>
      </w:r>
      <w:proofErr w:type="spellEnd"/>
      <w:r w:rsidRPr="00125810">
        <w:rPr>
          <w:rFonts w:ascii="Times New Roman" w:hAnsi="Times New Roman" w:cs="Times New Roman"/>
        </w:rPr>
        <w:t xml:space="preserve"> ii</w:t>
      </w:r>
    </w:p>
    <w:p w14:paraId="0E38263D" w14:textId="77777777" w:rsidR="00C20512" w:rsidRPr="00125810" w:rsidRDefault="00C20512" w:rsidP="00125810">
      <w:pPr>
        <w:spacing w:line="480" w:lineRule="auto"/>
        <w:jc w:val="both"/>
        <w:rPr>
          <w:rFonts w:ascii="Times New Roman" w:hAnsi="Times New Roman" w:cs="Times New Roman"/>
        </w:rPr>
      </w:pPr>
      <w:r w:rsidRPr="00125810">
        <w:rPr>
          <w:rFonts w:ascii="Times New Roman" w:hAnsi="Times New Roman" w:cs="Times New Roman"/>
          <w:b/>
          <w:bCs/>
        </w:rPr>
        <w:t>Statistical analysis</w:t>
      </w:r>
    </w:p>
    <w:p w14:paraId="43FE8EF5" w14:textId="56BBCE06" w:rsidR="00E45044" w:rsidRPr="00E45044" w:rsidRDefault="00E45044" w:rsidP="00E45044">
      <w:pPr>
        <w:spacing w:line="480" w:lineRule="auto"/>
        <w:jc w:val="both"/>
        <w:rPr>
          <w:rFonts w:ascii="Times New Roman" w:hAnsi="Times New Roman" w:cs="Times New Roman"/>
        </w:rPr>
      </w:pPr>
      <w:r w:rsidRPr="00E45044">
        <w:rPr>
          <w:rFonts w:ascii="Times New Roman" w:hAnsi="Times New Roman" w:cs="Times New Roman"/>
        </w:rPr>
        <w:t xml:space="preserve">The study’s results from sample matrices were statistically </w:t>
      </w:r>
      <w:proofErr w:type="spellStart"/>
      <w:r w:rsidR="00515108" w:rsidRPr="007C4203">
        <w:rPr>
          <w:rFonts w:ascii="Times New Roman" w:hAnsi="Times New Roman" w:cs="Times New Roman"/>
          <w:highlight w:val="yellow"/>
        </w:rPr>
        <w:t>analysed</w:t>
      </w:r>
      <w:proofErr w:type="spellEnd"/>
      <w:r w:rsidR="00515108" w:rsidRPr="00E45044">
        <w:rPr>
          <w:rFonts w:ascii="Times New Roman" w:hAnsi="Times New Roman" w:cs="Times New Roman"/>
        </w:rPr>
        <w:t xml:space="preserve"> </w:t>
      </w:r>
      <w:r w:rsidRPr="00E45044">
        <w:rPr>
          <w:rFonts w:ascii="Times New Roman" w:hAnsi="Times New Roman" w:cs="Times New Roman"/>
        </w:rPr>
        <w:t xml:space="preserve">using MS Excel and SPSS version 21, as reported. Descriptive statistics, including mean, range, minimum, maximum, and standard deviation, were generated. It was stated that instrument control, data acquisition, and spectrophotometric analysis were performed using Solaar software (Thermo Scientific, USA). </w:t>
      </w:r>
    </w:p>
    <w:p w14:paraId="2A9A9370" w14:textId="71B586BA" w:rsidR="00C20512" w:rsidRDefault="00C20512" w:rsidP="00125810">
      <w:pPr>
        <w:spacing w:line="480" w:lineRule="auto"/>
        <w:jc w:val="both"/>
        <w:rPr>
          <w:rFonts w:ascii="Times New Roman" w:hAnsi="Times New Roman" w:cs="Times New Roman"/>
          <w:b/>
          <w:bCs/>
        </w:rPr>
      </w:pPr>
      <w:r w:rsidRPr="00125810">
        <w:rPr>
          <w:rFonts w:ascii="Times New Roman" w:hAnsi="Times New Roman" w:cs="Times New Roman"/>
          <w:b/>
          <w:bCs/>
        </w:rPr>
        <w:t>Results and Discussion</w:t>
      </w:r>
    </w:p>
    <w:p w14:paraId="68199EDB" w14:textId="169DC604" w:rsidR="003748B3" w:rsidRPr="00A71E9F" w:rsidRDefault="003748B3" w:rsidP="003748B3">
      <w:pPr>
        <w:spacing w:line="480" w:lineRule="auto"/>
        <w:jc w:val="both"/>
        <w:rPr>
          <w:rFonts w:ascii="Times New Roman" w:hAnsi="Times New Roman" w:cs="Times New Roman"/>
          <w:b/>
          <w:bCs/>
        </w:rPr>
      </w:pPr>
      <w:r w:rsidRPr="00CE1B67">
        <w:rPr>
          <w:rFonts w:ascii="Times New Roman" w:hAnsi="Times New Roman" w:cs="Times New Roman"/>
          <w:b/>
          <w:bCs/>
        </w:rPr>
        <w:t xml:space="preserve">Table </w:t>
      </w:r>
      <w:r>
        <w:rPr>
          <w:rFonts w:ascii="Times New Roman" w:hAnsi="Times New Roman" w:cs="Times New Roman"/>
          <w:b/>
          <w:bCs/>
        </w:rPr>
        <w:t>2</w:t>
      </w:r>
      <w:r w:rsidRPr="00CE1B67">
        <w:rPr>
          <w:rFonts w:ascii="Times New Roman" w:hAnsi="Times New Roman" w:cs="Times New Roman"/>
          <w:b/>
          <w:bCs/>
        </w:rPr>
        <w:t>. Percentage Recovery of Heavy Metals</w:t>
      </w:r>
      <w:r w:rsidRPr="00A71E9F">
        <w:rPr>
          <w:rFonts w:ascii="Times New Roman" w:hAnsi="Times New Roman" w:cs="Times New Roman"/>
          <w:b/>
          <w:bCs/>
        </w:rPr>
        <w:t xml:space="preserve"> </w:t>
      </w:r>
      <w:r>
        <w:rPr>
          <w:rFonts w:ascii="Times New Roman" w:hAnsi="Times New Roman" w:cs="Times New Roman"/>
          <w:b/>
          <w:bCs/>
        </w:rPr>
        <w:t>f</w:t>
      </w:r>
      <w:r w:rsidRPr="00A71E9F">
        <w:rPr>
          <w:rFonts w:ascii="Times New Roman" w:hAnsi="Times New Roman" w:cs="Times New Roman"/>
          <w:b/>
          <w:bCs/>
        </w:rPr>
        <w:t xml:space="preserve">rom Herbal </w:t>
      </w:r>
      <w:r>
        <w:rPr>
          <w:rFonts w:ascii="Times New Roman" w:hAnsi="Times New Roman" w:cs="Times New Roman"/>
          <w:b/>
          <w:bCs/>
        </w:rPr>
        <w:t>a</w:t>
      </w:r>
      <w:r w:rsidRPr="00A71E9F">
        <w:rPr>
          <w:rFonts w:ascii="Times New Roman" w:hAnsi="Times New Roman" w:cs="Times New Roman"/>
          <w:b/>
          <w:bCs/>
        </w:rPr>
        <w:t>nd Spice Samples.</w:t>
      </w:r>
    </w:p>
    <w:tbl>
      <w:tblPr>
        <w:tblStyle w:val="TableGrid"/>
        <w:tblW w:w="900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813"/>
        <w:gridCol w:w="2234"/>
        <w:gridCol w:w="1985"/>
        <w:gridCol w:w="1417"/>
      </w:tblGrid>
      <w:tr w:rsidR="003748B3" w14:paraId="45B888F1" w14:textId="77777777" w:rsidTr="00937E9B">
        <w:trPr>
          <w:trHeight w:val="892"/>
        </w:trPr>
        <w:tc>
          <w:tcPr>
            <w:tcW w:w="1560" w:type="dxa"/>
          </w:tcPr>
          <w:p w14:paraId="39F02C39" w14:textId="77777777" w:rsidR="003748B3" w:rsidRDefault="003748B3" w:rsidP="00937E9B">
            <w:pPr>
              <w:pStyle w:val="NoSpacing"/>
            </w:pPr>
            <w:r>
              <w:t>Heavy Metals</w:t>
            </w:r>
          </w:p>
        </w:tc>
        <w:tc>
          <w:tcPr>
            <w:tcW w:w="1813" w:type="dxa"/>
          </w:tcPr>
          <w:p w14:paraId="4DDD596D" w14:textId="77777777" w:rsidR="003748B3" w:rsidRDefault="003748B3" w:rsidP="00937E9B">
            <w:pPr>
              <w:pStyle w:val="NoSpacing"/>
            </w:pPr>
            <w:r w:rsidRPr="002C65D4">
              <w:t>Added conc</w:t>
            </w:r>
            <w:r>
              <w:t xml:space="preserve"> </w:t>
            </w:r>
            <w:r w:rsidRPr="002C65D4">
              <w:t>(mg/L)</w:t>
            </w:r>
          </w:p>
        </w:tc>
        <w:tc>
          <w:tcPr>
            <w:tcW w:w="2234" w:type="dxa"/>
          </w:tcPr>
          <w:p w14:paraId="3FBC98D1" w14:textId="77777777" w:rsidR="003748B3" w:rsidRDefault="003748B3" w:rsidP="00937E9B">
            <w:pPr>
              <w:pStyle w:val="NoSpacing"/>
            </w:pPr>
            <w:r w:rsidRPr="002C65D4">
              <w:t>Concentration of spiked sample (mg/L)</w:t>
            </w:r>
          </w:p>
        </w:tc>
        <w:tc>
          <w:tcPr>
            <w:tcW w:w="1985" w:type="dxa"/>
          </w:tcPr>
          <w:p w14:paraId="413F6B2F" w14:textId="77777777" w:rsidR="003748B3" w:rsidRDefault="003748B3" w:rsidP="00937E9B">
            <w:pPr>
              <w:pStyle w:val="NoSpacing"/>
            </w:pPr>
            <w:r w:rsidRPr="002C65D4">
              <w:t xml:space="preserve">Concentration of </w:t>
            </w:r>
            <w:r>
              <w:t xml:space="preserve">the </w:t>
            </w:r>
            <w:r w:rsidRPr="002C65D4">
              <w:t>unspiked sample</w:t>
            </w:r>
          </w:p>
        </w:tc>
        <w:tc>
          <w:tcPr>
            <w:tcW w:w="1417" w:type="dxa"/>
          </w:tcPr>
          <w:p w14:paraId="38FFBB13" w14:textId="77777777" w:rsidR="003748B3" w:rsidRDefault="003748B3" w:rsidP="00937E9B">
            <w:pPr>
              <w:pStyle w:val="NoSpacing"/>
            </w:pPr>
            <w:r w:rsidRPr="002C65D4">
              <w:t>% recovery</w:t>
            </w:r>
          </w:p>
        </w:tc>
      </w:tr>
      <w:tr w:rsidR="003748B3" w14:paraId="4A26C0AD" w14:textId="77777777" w:rsidTr="00937E9B">
        <w:trPr>
          <w:trHeight w:val="302"/>
        </w:trPr>
        <w:tc>
          <w:tcPr>
            <w:tcW w:w="1560" w:type="dxa"/>
          </w:tcPr>
          <w:p w14:paraId="536A5280" w14:textId="77777777" w:rsidR="003748B3" w:rsidRDefault="003748B3" w:rsidP="00937E9B">
            <w:pPr>
              <w:pStyle w:val="NoSpacing"/>
            </w:pPr>
            <w:r>
              <w:t>Ni</w:t>
            </w:r>
          </w:p>
        </w:tc>
        <w:tc>
          <w:tcPr>
            <w:tcW w:w="1813" w:type="dxa"/>
          </w:tcPr>
          <w:p w14:paraId="30EBE73F" w14:textId="77777777" w:rsidR="003748B3" w:rsidRDefault="003748B3" w:rsidP="00937E9B">
            <w:pPr>
              <w:pStyle w:val="NoSpacing"/>
            </w:pPr>
            <w:r w:rsidRPr="002C65D4">
              <w:t xml:space="preserve">3.00 </w:t>
            </w:r>
          </w:p>
        </w:tc>
        <w:tc>
          <w:tcPr>
            <w:tcW w:w="2234" w:type="dxa"/>
          </w:tcPr>
          <w:p w14:paraId="65132132" w14:textId="77777777" w:rsidR="003748B3" w:rsidRDefault="003748B3" w:rsidP="00937E9B">
            <w:pPr>
              <w:pStyle w:val="NoSpacing"/>
            </w:pPr>
            <w:r w:rsidRPr="00A87CD2">
              <w:t>2.9</w:t>
            </w:r>
            <w:r>
              <w:t>19</w:t>
            </w:r>
          </w:p>
        </w:tc>
        <w:tc>
          <w:tcPr>
            <w:tcW w:w="1985" w:type="dxa"/>
          </w:tcPr>
          <w:p w14:paraId="29ED55AE" w14:textId="77777777" w:rsidR="003748B3" w:rsidRDefault="003748B3" w:rsidP="00937E9B">
            <w:pPr>
              <w:pStyle w:val="NoSpacing"/>
            </w:pPr>
            <w:r w:rsidRPr="00A87CD2">
              <w:t>0.042</w:t>
            </w:r>
          </w:p>
        </w:tc>
        <w:tc>
          <w:tcPr>
            <w:tcW w:w="1417" w:type="dxa"/>
            <w:vAlign w:val="bottom"/>
          </w:tcPr>
          <w:p w14:paraId="10FCB7E0" w14:textId="77777777" w:rsidR="003748B3" w:rsidRDefault="003748B3" w:rsidP="00937E9B">
            <w:pPr>
              <w:pStyle w:val="NoSpacing"/>
            </w:pPr>
            <w:r>
              <w:rPr>
                <w:rFonts w:ascii="Calibri" w:hAnsi="Calibri" w:cs="Calibri"/>
                <w:color w:val="000000"/>
                <w:sz w:val="22"/>
                <w:szCs w:val="22"/>
              </w:rPr>
              <w:t>95.90</w:t>
            </w:r>
          </w:p>
        </w:tc>
      </w:tr>
      <w:tr w:rsidR="003748B3" w14:paraId="13A3263D" w14:textId="77777777" w:rsidTr="00937E9B">
        <w:trPr>
          <w:trHeight w:val="296"/>
        </w:trPr>
        <w:tc>
          <w:tcPr>
            <w:tcW w:w="1560" w:type="dxa"/>
          </w:tcPr>
          <w:p w14:paraId="4BBA7E72" w14:textId="77777777" w:rsidR="003748B3" w:rsidRDefault="003748B3" w:rsidP="00937E9B">
            <w:pPr>
              <w:pStyle w:val="NoSpacing"/>
            </w:pPr>
            <w:r>
              <w:t>Pb</w:t>
            </w:r>
          </w:p>
        </w:tc>
        <w:tc>
          <w:tcPr>
            <w:tcW w:w="1813" w:type="dxa"/>
          </w:tcPr>
          <w:p w14:paraId="4C91ADD6" w14:textId="77777777" w:rsidR="003748B3" w:rsidRDefault="003748B3" w:rsidP="00937E9B">
            <w:pPr>
              <w:pStyle w:val="NoSpacing"/>
            </w:pPr>
            <w:r>
              <w:t>0.5</w:t>
            </w:r>
          </w:p>
        </w:tc>
        <w:tc>
          <w:tcPr>
            <w:tcW w:w="2234" w:type="dxa"/>
          </w:tcPr>
          <w:p w14:paraId="0BC6BD18" w14:textId="77777777" w:rsidR="003748B3" w:rsidRDefault="003748B3" w:rsidP="00937E9B">
            <w:pPr>
              <w:pStyle w:val="NoSpacing"/>
            </w:pPr>
            <w:r w:rsidRPr="00A87CD2">
              <w:t>0.4</w:t>
            </w:r>
            <w:r>
              <w:t>70</w:t>
            </w:r>
          </w:p>
        </w:tc>
        <w:tc>
          <w:tcPr>
            <w:tcW w:w="1985" w:type="dxa"/>
          </w:tcPr>
          <w:p w14:paraId="6250E6BB" w14:textId="77777777" w:rsidR="003748B3" w:rsidRDefault="003748B3" w:rsidP="00937E9B">
            <w:pPr>
              <w:pStyle w:val="NoSpacing"/>
            </w:pPr>
            <w:r w:rsidRPr="00A87CD2">
              <w:t>0.030</w:t>
            </w:r>
          </w:p>
        </w:tc>
        <w:tc>
          <w:tcPr>
            <w:tcW w:w="1417" w:type="dxa"/>
            <w:vAlign w:val="bottom"/>
          </w:tcPr>
          <w:p w14:paraId="54B089CB" w14:textId="77777777" w:rsidR="003748B3" w:rsidRDefault="003748B3" w:rsidP="00937E9B">
            <w:pPr>
              <w:pStyle w:val="NoSpacing"/>
            </w:pPr>
            <w:r>
              <w:rPr>
                <w:rFonts w:ascii="Calibri" w:hAnsi="Calibri" w:cs="Calibri"/>
                <w:color w:val="000000"/>
                <w:sz w:val="22"/>
                <w:szCs w:val="22"/>
              </w:rPr>
              <w:t>88.00</w:t>
            </w:r>
          </w:p>
        </w:tc>
      </w:tr>
      <w:tr w:rsidR="003748B3" w14:paraId="06C88A5F" w14:textId="77777777" w:rsidTr="00937E9B">
        <w:trPr>
          <w:trHeight w:val="309"/>
        </w:trPr>
        <w:tc>
          <w:tcPr>
            <w:tcW w:w="1560" w:type="dxa"/>
          </w:tcPr>
          <w:p w14:paraId="74FE9E71" w14:textId="77777777" w:rsidR="003748B3" w:rsidRDefault="003748B3" w:rsidP="00937E9B">
            <w:pPr>
              <w:pStyle w:val="NoSpacing"/>
            </w:pPr>
            <w:r>
              <w:t>Co</w:t>
            </w:r>
          </w:p>
        </w:tc>
        <w:tc>
          <w:tcPr>
            <w:tcW w:w="1813" w:type="dxa"/>
          </w:tcPr>
          <w:p w14:paraId="67113C4D" w14:textId="77777777" w:rsidR="003748B3" w:rsidRDefault="003748B3" w:rsidP="00937E9B">
            <w:pPr>
              <w:pStyle w:val="NoSpacing"/>
            </w:pPr>
            <w:r>
              <w:t>2</w:t>
            </w:r>
          </w:p>
        </w:tc>
        <w:tc>
          <w:tcPr>
            <w:tcW w:w="2234" w:type="dxa"/>
          </w:tcPr>
          <w:p w14:paraId="1B433B81" w14:textId="77777777" w:rsidR="003748B3" w:rsidRDefault="003748B3" w:rsidP="00937E9B">
            <w:pPr>
              <w:pStyle w:val="NoSpacing"/>
            </w:pPr>
            <w:r w:rsidRPr="00A87CD2">
              <w:t>2.</w:t>
            </w:r>
            <w:r>
              <w:t>130</w:t>
            </w:r>
          </w:p>
        </w:tc>
        <w:tc>
          <w:tcPr>
            <w:tcW w:w="1985" w:type="dxa"/>
          </w:tcPr>
          <w:p w14:paraId="7D4E7C0E" w14:textId="77777777" w:rsidR="003748B3" w:rsidRDefault="003748B3" w:rsidP="00937E9B">
            <w:pPr>
              <w:pStyle w:val="NoSpacing"/>
            </w:pPr>
            <w:r w:rsidRPr="00A87CD2">
              <w:t>0.098</w:t>
            </w:r>
          </w:p>
        </w:tc>
        <w:tc>
          <w:tcPr>
            <w:tcW w:w="1417" w:type="dxa"/>
            <w:vAlign w:val="bottom"/>
          </w:tcPr>
          <w:p w14:paraId="46FA2E21" w14:textId="77777777" w:rsidR="003748B3" w:rsidRDefault="003748B3" w:rsidP="00937E9B">
            <w:pPr>
              <w:pStyle w:val="NoSpacing"/>
            </w:pPr>
            <w:r>
              <w:rPr>
                <w:rFonts w:ascii="Calibri" w:hAnsi="Calibri" w:cs="Calibri"/>
                <w:color w:val="000000"/>
                <w:sz w:val="22"/>
                <w:szCs w:val="22"/>
              </w:rPr>
              <w:t>101.6</w:t>
            </w:r>
          </w:p>
        </w:tc>
      </w:tr>
      <w:tr w:rsidR="003748B3" w14:paraId="7145878E" w14:textId="77777777" w:rsidTr="00937E9B">
        <w:trPr>
          <w:trHeight w:val="302"/>
        </w:trPr>
        <w:tc>
          <w:tcPr>
            <w:tcW w:w="1560" w:type="dxa"/>
          </w:tcPr>
          <w:p w14:paraId="567124F1" w14:textId="77777777" w:rsidR="003748B3" w:rsidRDefault="003748B3" w:rsidP="00937E9B">
            <w:pPr>
              <w:pStyle w:val="NoSpacing"/>
            </w:pPr>
            <w:r>
              <w:t>Cd</w:t>
            </w:r>
          </w:p>
        </w:tc>
        <w:tc>
          <w:tcPr>
            <w:tcW w:w="1813" w:type="dxa"/>
          </w:tcPr>
          <w:p w14:paraId="4DA327DD" w14:textId="77777777" w:rsidR="003748B3" w:rsidRDefault="003748B3" w:rsidP="00937E9B">
            <w:pPr>
              <w:pStyle w:val="NoSpacing"/>
            </w:pPr>
            <w:r>
              <w:t>2</w:t>
            </w:r>
          </w:p>
        </w:tc>
        <w:tc>
          <w:tcPr>
            <w:tcW w:w="2234" w:type="dxa"/>
          </w:tcPr>
          <w:p w14:paraId="073D1BDC" w14:textId="77777777" w:rsidR="003748B3" w:rsidRDefault="003748B3" w:rsidP="00937E9B">
            <w:pPr>
              <w:pStyle w:val="NoSpacing"/>
            </w:pPr>
            <w:r w:rsidRPr="00A87CD2">
              <w:t>2.01</w:t>
            </w:r>
            <w:r>
              <w:t>2</w:t>
            </w:r>
          </w:p>
        </w:tc>
        <w:tc>
          <w:tcPr>
            <w:tcW w:w="1985" w:type="dxa"/>
          </w:tcPr>
          <w:p w14:paraId="4E6280D7" w14:textId="77777777" w:rsidR="003748B3" w:rsidRDefault="003748B3" w:rsidP="00937E9B">
            <w:pPr>
              <w:pStyle w:val="NoSpacing"/>
            </w:pPr>
            <w:r w:rsidRPr="00A87CD2">
              <w:t xml:space="preserve"> 0.002</w:t>
            </w:r>
          </w:p>
        </w:tc>
        <w:tc>
          <w:tcPr>
            <w:tcW w:w="1417" w:type="dxa"/>
            <w:vAlign w:val="bottom"/>
          </w:tcPr>
          <w:p w14:paraId="33F5A19B" w14:textId="77777777" w:rsidR="003748B3" w:rsidRDefault="003748B3" w:rsidP="00937E9B">
            <w:pPr>
              <w:pStyle w:val="NoSpacing"/>
            </w:pPr>
            <w:r>
              <w:rPr>
                <w:rFonts w:ascii="Calibri" w:hAnsi="Calibri" w:cs="Calibri"/>
                <w:color w:val="000000"/>
                <w:sz w:val="22"/>
                <w:szCs w:val="22"/>
              </w:rPr>
              <w:t>100.5</w:t>
            </w:r>
          </w:p>
        </w:tc>
      </w:tr>
      <w:tr w:rsidR="003748B3" w14:paraId="752CAFEC" w14:textId="77777777" w:rsidTr="00937E9B">
        <w:trPr>
          <w:trHeight w:val="302"/>
        </w:trPr>
        <w:tc>
          <w:tcPr>
            <w:tcW w:w="1560" w:type="dxa"/>
          </w:tcPr>
          <w:p w14:paraId="136E4109" w14:textId="77777777" w:rsidR="003748B3" w:rsidRDefault="003748B3" w:rsidP="00937E9B">
            <w:pPr>
              <w:pStyle w:val="NoSpacing"/>
            </w:pPr>
            <w:r>
              <w:t>Cr</w:t>
            </w:r>
          </w:p>
        </w:tc>
        <w:tc>
          <w:tcPr>
            <w:tcW w:w="1813" w:type="dxa"/>
          </w:tcPr>
          <w:p w14:paraId="07C19FDC" w14:textId="77777777" w:rsidR="003748B3" w:rsidRDefault="003748B3" w:rsidP="00937E9B">
            <w:pPr>
              <w:pStyle w:val="NoSpacing"/>
            </w:pPr>
            <w:r>
              <w:t>1</w:t>
            </w:r>
          </w:p>
        </w:tc>
        <w:tc>
          <w:tcPr>
            <w:tcW w:w="2234" w:type="dxa"/>
          </w:tcPr>
          <w:p w14:paraId="2A1E6722" w14:textId="77777777" w:rsidR="003748B3" w:rsidRDefault="003748B3" w:rsidP="00937E9B">
            <w:pPr>
              <w:pStyle w:val="NoSpacing"/>
            </w:pPr>
            <w:r w:rsidRPr="00A87CD2">
              <w:t>1.0</w:t>
            </w:r>
            <w:r>
              <w:t>11</w:t>
            </w:r>
          </w:p>
        </w:tc>
        <w:tc>
          <w:tcPr>
            <w:tcW w:w="1985" w:type="dxa"/>
          </w:tcPr>
          <w:p w14:paraId="6B673D45" w14:textId="77777777" w:rsidR="003748B3" w:rsidRDefault="003748B3" w:rsidP="00937E9B">
            <w:pPr>
              <w:pStyle w:val="NoSpacing"/>
            </w:pPr>
            <w:r w:rsidRPr="00A87CD2">
              <w:t>0.097</w:t>
            </w:r>
          </w:p>
        </w:tc>
        <w:tc>
          <w:tcPr>
            <w:tcW w:w="1417" w:type="dxa"/>
            <w:vAlign w:val="bottom"/>
          </w:tcPr>
          <w:p w14:paraId="72A66990" w14:textId="77777777" w:rsidR="003748B3" w:rsidRDefault="003748B3" w:rsidP="00937E9B">
            <w:pPr>
              <w:pStyle w:val="NoSpacing"/>
            </w:pPr>
            <w:r>
              <w:rPr>
                <w:rFonts w:ascii="Calibri" w:hAnsi="Calibri" w:cs="Calibri"/>
                <w:color w:val="000000"/>
                <w:sz w:val="22"/>
                <w:szCs w:val="22"/>
              </w:rPr>
              <w:t>91.40</w:t>
            </w:r>
          </w:p>
        </w:tc>
      </w:tr>
      <w:tr w:rsidR="003748B3" w14:paraId="4A2A4C83" w14:textId="77777777" w:rsidTr="00937E9B">
        <w:trPr>
          <w:trHeight w:val="296"/>
        </w:trPr>
        <w:tc>
          <w:tcPr>
            <w:tcW w:w="1560" w:type="dxa"/>
          </w:tcPr>
          <w:p w14:paraId="4E65DF41" w14:textId="77777777" w:rsidR="003748B3" w:rsidRDefault="003748B3" w:rsidP="00937E9B">
            <w:pPr>
              <w:pStyle w:val="NoSpacing"/>
            </w:pPr>
            <w:r>
              <w:t>Mn</w:t>
            </w:r>
          </w:p>
        </w:tc>
        <w:tc>
          <w:tcPr>
            <w:tcW w:w="1813" w:type="dxa"/>
          </w:tcPr>
          <w:p w14:paraId="35329775" w14:textId="77777777" w:rsidR="003748B3" w:rsidRDefault="003748B3" w:rsidP="00937E9B">
            <w:pPr>
              <w:pStyle w:val="NoSpacing"/>
            </w:pPr>
            <w:r>
              <w:t>1</w:t>
            </w:r>
          </w:p>
        </w:tc>
        <w:tc>
          <w:tcPr>
            <w:tcW w:w="2234" w:type="dxa"/>
          </w:tcPr>
          <w:p w14:paraId="70E92AFC" w14:textId="77777777" w:rsidR="003748B3" w:rsidRPr="00A87CD2" w:rsidRDefault="003748B3" w:rsidP="00937E9B">
            <w:pPr>
              <w:pStyle w:val="NoSpacing"/>
            </w:pPr>
            <w:r>
              <w:t>1.001</w:t>
            </w:r>
          </w:p>
        </w:tc>
        <w:tc>
          <w:tcPr>
            <w:tcW w:w="1985" w:type="dxa"/>
          </w:tcPr>
          <w:p w14:paraId="3C22EA53" w14:textId="77777777" w:rsidR="003748B3" w:rsidRPr="00A87CD2" w:rsidRDefault="003748B3" w:rsidP="00937E9B">
            <w:pPr>
              <w:pStyle w:val="NoSpacing"/>
            </w:pPr>
            <w:r>
              <w:t>0.098</w:t>
            </w:r>
          </w:p>
        </w:tc>
        <w:tc>
          <w:tcPr>
            <w:tcW w:w="1417" w:type="dxa"/>
            <w:vAlign w:val="bottom"/>
          </w:tcPr>
          <w:p w14:paraId="228457D5" w14:textId="77777777" w:rsidR="003748B3" w:rsidRDefault="003748B3" w:rsidP="00937E9B">
            <w:pPr>
              <w:pStyle w:val="NoSpacing"/>
            </w:pPr>
            <w:r>
              <w:rPr>
                <w:rFonts w:ascii="Calibri" w:hAnsi="Calibri" w:cs="Calibri"/>
                <w:color w:val="000000"/>
                <w:sz w:val="22"/>
                <w:szCs w:val="22"/>
              </w:rPr>
              <w:t>90.30</w:t>
            </w:r>
          </w:p>
        </w:tc>
      </w:tr>
      <w:tr w:rsidR="003748B3" w14:paraId="7133CEDA" w14:textId="77777777" w:rsidTr="00937E9B">
        <w:trPr>
          <w:trHeight w:val="309"/>
        </w:trPr>
        <w:tc>
          <w:tcPr>
            <w:tcW w:w="1560" w:type="dxa"/>
          </w:tcPr>
          <w:p w14:paraId="53C61807" w14:textId="77777777" w:rsidR="003748B3" w:rsidRDefault="003748B3" w:rsidP="00937E9B">
            <w:pPr>
              <w:pStyle w:val="NoSpacing"/>
            </w:pPr>
            <w:r>
              <w:t>Cu</w:t>
            </w:r>
          </w:p>
        </w:tc>
        <w:tc>
          <w:tcPr>
            <w:tcW w:w="1813" w:type="dxa"/>
            <w:vAlign w:val="center"/>
          </w:tcPr>
          <w:p w14:paraId="7194A798" w14:textId="77777777" w:rsidR="003748B3" w:rsidRDefault="003748B3" w:rsidP="00937E9B">
            <w:pPr>
              <w:pStyle w:val="NoSpacing"/>
            </w:pPr>
            <w:r>
              <w:rPr>
                <w:rFonts w:ascii="Calibri" w:hAnsi="Calibri" w:cs="Calibri"/>
                <w:color w:val="000000"/>
              </w:rPr>
              <w:t>1</w:t>
            </w:r>
          </w:p>
        </w:tc>
        <w:tc>
          <w:tcPr>
            <w:tcW w:w="2234" w:type="dxa"/>
            <w:vAlign w:val="center"/>
          </w:tcPr>
          <w:p w14:paraId="6EEE775D" w14:textId="77777777" w:rsidR="003748B3" w:rsidRPr="00A87CD2" w:rsidRDefault="003748B3" w:rsidP="00937E9B">
            <w:pPr>
              <w:pStyle w:val="NoSpacing"/>
            </w:pPr>
            <w:r>
              <w:t>1.003</w:t>
            </w:r>
          </w:p>
        </w:tc>
        <w:tc>
          <w:tcPr>
            <w:tcW w:w="1985" w:type="dxa"/>
            <w:vAlign w:val="bottom"/>
          </w:tcPr>
          <w:p w14:paraId="4D662272" w14:textId="77777777" w:rsidR="003748B3" w:rsidRPr="00A87CD2" w:rsidRDefault="003748B3" w:rsidP="00937E9B">
            <w:pPr>
              <w:pStyle w:val="NoSpacing"/>
            </w:pPr>
            <w:r>
              <w:rPr>
                <w:rFonts w:ascii="Calibri" w:hAnsi="Calibri" w:cs="Calibri"/>
                <w:color w:val="000000"/>
                <w:sz w:val="22"/>
                <w:szCs w:val="22"/>
              </w:rPr>
              <w:t>0.096</w:t>
            </w:r>
          </w:p>
        </w:tc>
        <w:tc>
          <w:tcPr>
            <w:tcW w:w="1417" w:type="dxa"/>
            <w:vAlign w:val="bottom"/>
          </w:tcPr>
          <w:p w14:paraId="62444C66" w14:textId="77777777" w:rsidR="003748B3" w:rsidRDefault="003748B3" w:rsidP="00937E9B">
            <w:pPr>
              <w:pStyle w:val="NoSpacing"/>
            </w:pPr>
            <w:r>
              <w:rPr>
                <w:rFonts w:ascii="Calibri" w:hAnsi="Calibri" w:cs="Calibri"/>
                <w:color w:val="000000"/>
                <w:sz w:val="22"/>
                <w:szCs w:val="22"/>
              </w:rPr>
              <w:t>90.70</w:t>
            </w:r>
          </w:p>
        </w:tc>
      </w:tr>
    </w:tbl>
    <w:p w14:paraId="6B936D51" w14:textId="77777777" w:rsidR="003748B3" w:rsidRDefault="003748B3" w:rsidP="003748B3">
      <w:pPr>
        <w:spacing w:line="480" w:lineRule="auto"/>
        <w:jc w:val="both"/>
        <w:rPr>
          <w:rFonts w:ascii="Times New Roman" w:hAnsi="Times New Roman" w:cs="Times New Roman"/>
        </w:rPr>
      </w:pPr>
    </w:p>
    <w:p w14:paraId="11D59A77" w14:textId="7DDB92A5" w:rsidR="003748B3" w:rsidRPr="00B32E62" w:rsidRDefault="003748B3" w:rsidP="003748B3">
      <w:pPr>
        <w:spacing w:line="480" w:lineRule="auto"/>
        <w:jc w:val="both"/>
      </w:pPr>
      <w:r>
        <w:t xml:space="preserve">Table 2 presents the recovery percentages of Cd, Co, Cr, Cu, Mn, Ni, and Pb in spice and herbal tea samples. The recovery ranged from 88% to 101.6%. The table shows spike recovery for heavy metals in spice and herbal tea samples. Ni (95.90%), Cu (90.7%), Co (101.6%), Cd (100.5%), and Cr (91.40%) fall within the ideal 90–110% range, indicating the method is reliable. Pb (88%) and Mn (90.3%) are slightly low, suggesting matrix effects.  The method is robust for most metals but requires </w:t>
      </w:r>
      <w:proofErr w:type="spellStart"/>
      <w:r w:rsidR="00515108" w:rsidRPr="007C4203">
        <w:rPr>
          <w:highlight w:val="yellow"/>
        </w:rPr>
        <w:t>optimisation</w:t>
      </w:r>
      <w:proofErr w:type="spellEnd"/>
      <w:r w:rsidR="00515108">
        <w:t xml:space="preserve"> </w:t>
      </w:r>
      <w:r>
        <w:t>for Pb, Mn, and Cu verification to ensure accurate detection in complex plant matrices.</w:t>
      </w:r>
    </w:p>
    <w:p w14:paraId="5D5384C7" w14:textId="7E48B0AC" w:rsidR="003748B3" w:rsidRPr="00125810" w:rsidRDefault="003748B3" w:rsidP="00125810">
      <w:pPr>
        <w:spacing w:line="480" w:lineRule="auto"/>
        <w:jc w:val="both"/>
        <w:rPr>
          <w:rFonts w:ascii="Times New Roman" w:hAnsi="Times New Roman" w:cs="Times New Roman"/>
        </w:rPr>
      </w:pPr>
      <w:r w:rsidRPr="00125810">
        <w:rPr>
          <w:rFonts w:ascii="Times New Roman" w:hAnsi="Times New Roman" w:cs="Times New Roman"/>
          <w:b/>
          <w:bCs/>
        </w:rPr>
        <w:t xml:space="preserve">Table </w:t>
      </w:r>
      <w:r>
        <w:rPr>
          <w:rFonts w:ascii="Times New Roman" w:hAnsi="Times New Roman" w:cs="Times New Roman"/>
          <w:b/>
          <w:bCs/>
        </w:rPr>
        <w:t>3</w:t>
      </w:r>
      <w:r w:rsidRPr="00125810">
        <w:rPr>
          <w:rFonts w:ascii="Times New Roman" w:hAnsi="Times New Roman" w:cs="Times New Roman"/>
          <w:b/>
          <w:bCs/>
        </w:rPr>
        <w:t xml:space="preserve">: Residual Concentrations of Heavy Metals in Different Spices </w:t>
      </w:r>
      <w:r>
        <w:rPr>
          <w:rFonts w:ascii="Times New Roman" w:hAnsi="Times New Roman" w:cs="Times New Roman"/>
          <w:b/>
          <w:bCs/>
        </w:rPr>
        <w:t>Sold</w:t>
      </w:r>
      <w:r w:rsidRPr="00125810">
        <w:rPr>
          <w:rFonts w:ascii="Times New Roman" w:hAnsi="Times New Roman" w:cs="Times New Roman"/>
          <w:b/>
          <w:bCs/>
        </w:rPr>
        <w:t xml:space="preserve"> in Abuja, Nigeria</w:t>
      </w:r>
    </w:p>
    <w:tbl>
      <w:tblPr>
        <w:tblW w:w="11613"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2"/>
        <w:gridCol w:w="1520"/>
        <w:gridCol w:w="1382"/>
        <w:gridCol w:w="1452"/>
        <w:gridCol w:w="1451"/>
        <w:gridCol w:w="1452"/>
        <w:gridCol w:w="1451"/>
        <w:gridCol w:w="1453"/>
      </w:tblGrid>
      <w:tr w:rsidR="00291D94" w:rsidRPr="003E6512" w14:paraId="123868E7" w14:textId="77777777" w:rsidTr="003748B3">
        <w:trPr>
          <w:trHeight w:val="284"/>
          <w:jc w:val="center"/>
        </w:trPr>
        <w:tc>
          <w:tcPr>
            <w:tcW w:w="1452" w:type="dxa"/>
            <w:vMerge w:val="restart"/>
            <w:tcBorders>
              <w:top w:val="single" w:sz="4" w:space="0" w:color="auto"/>
              <w:left w:val="single" w:sz="4" w:space="0" w:color="auto"/>
              <w:bottom w:val="single" w:sz="4" w:space="0" w:color="auto"/>
              <w:right w:val="single" w:sz="4" w:space="0" w:color="auto"/>
            </w:tcBorders>
            <w:vAlign w:val="bottom"/>
            <w:hideMark/>
          </w:tcPr>
          <w:p w14:paraId="4EC0775A" w14:textId="77777777" w:rsidR="00291D94" w:rsidRPr="00291D94" w:rsidRDefault="00291D94" w:rsidP="003748B3">
            <w:pPr>
              <w:pStyle w:val="NoSpacing"/>
              <w:jc w:val="center"/>
              <w:rPr>
                <w:b/>
                <w:bCs/>
              </w:rPr>
            </w:pPr>
            <w:r w:rsidRPr="00291D94">
              <w:rPr>
                <w:b/>
                <w:bCs/>
              </w:rPr>
              <w:t>Spices</w:t>
            </w:r>
          </w:p>
        </w:tc>
        <w:tc>
          <w:tcPr>
            <w:tcW w:w="10161" w:type="dxa"/>
            <w:gridSpan w:val="7"/>
            <w:tcBorders>
              <w:top w:val="single" w:sz="4" w:space="0" w:color="auto"/>
              <w:left w:val="single" w:sz="4" w:space="0" w:color="auto"/>
              <w:bottom w:val="single" w:sz="4" w:space="0" w:color="auto"/>
              <w:right w:val="single" w:sz="4" w:space="0" w:color="auto"/>
            </w:tcBorders>
            <w:vAlign w:val="bottom"/>
            <w:hideMark/>
          </w:tcPr>
          <w:p w14:paraId="48AF901C" w14:textId="77777777" w:rsidR="00291D94" w:rsidRPr="00291D94" w:rsidRDefault="00291D94" w:rsidP="003748B3">
            <w:pPr>
              <w:pStyle w:val="NoSpacing"/>
              <w:jc w:val="center"/>
              <w:rPr>
                <w:b/>
                <w:bCs/>
              </w:rPr>
            </w:pPr>
            <w:r w:rsidRPr="00291D94">
              <w:rPr>
                <w:rFonts w:eastAsiaTheme="majorEastAsia"/>
                <w:b/>
                <w:bCs/>
              </w:rPr>
              <w:t>Concentration (mg kg</w:t>
            </w:r>
            <w:r w:rsidRPr="00291D94">
              <w:rPr>
                <w:rFonts w:eastAsiaTheme="majorEastAsia"/>
                <w:b/>
                <w:bCs/>
                <w:vertAlign w:val="superscript"/>
              </w:rPr>
              <w:t>-1</w:t>
            </w:r>
            <w:r w:rsidRPr="00291D94">
              <w:rPr>
                <w:rFonts w:eastAsiaTheme="majorEastAsia"/>
                <w:b/>
                <w:bCs/>
              </w:rPr>
              <w:t>)</w:t>
            </w:r>
          </w:p>
        </w:tc>
      </w:tr>
      <w:tr w:rsidR="00291D94" w:rsidRPr="003E6512" w14:paraId="4D40937C" w14:textId="77777777" w:rsidTr="003748B3">
        <w:trPr>
          <w:trHeight w:val="145"/>
          <w:jc w:val="center"/>
        </w:trPr>
        <w:tc>
          <w:tcPr>
            <w:tcW w:w="1452" w:type="dxa"/>
            <w:vMerge/>
            <w:tcBorders>
              <w:top w:val="single" w:sz="4" w:space="0" w:color="auto"/>
              <w:left w:val="single" w:sz="4" w:space="0" w:color="auto"/>
              <w:bottom w:val="single" w:sz="4" w:space="0" w:color="auto"/>
              <w:right w:val="single" w:sz="4" w:space="0" w:color="auto"/>
            </w:tcBorders>
            <w:vAlign w:val="center"/>
            <w:hideMark/>
          </w:tcPr>
          <w:p w14:paraId="191D1A85" w14:textId="77777777" w:rsidR="00291D94" w:rsidRPr="00291D94" w:rsidRDefault="00291D94" w:rsidP="003748B3">
            <w:pPr>
              <w:pStyle w:val="NoSpacing"/>
              <w:jc w:val="center"/>
              <w:rPr>
                <w:b/>
                <w:bCs/>
              </w:rPr>
            </w:pPr>
          </w:p>
        </w:tc>
        <w:tc>
          <w:tcPr>
            <w:tcW w:w="1520" w:type="dxa"/>
            <w:tcBorders>
              <w:top w:val="single" w:sz="4" w:space="0" w:color="auto"/>
              <w:left w:val="single" w:sz="4" w:space="0" w:color="auto"/>
              <w:bottom w:val="single" w:sz="4" w:space="0" w:color="auto"/>
              <w:right w:val="single" w:sz="4" w:space="0" w:color="auto"/>
            </w:tcBorders>
            <w:vAlign w:val="bottom"/>
            <w:hideMark/>
          </w:tcPr>
          <w:p w14:paraId="0C8F276D" w14:textId="77777777" w:rsidR="00291D94" w:rsidRPr="00291D94" w:rsidRDefault="00291D94" w:rsidP="003748B3">
            <w:pPr>
              <w:pStyle w:val="NoSpacing"/>
              <w:jc w:val="center"/>
              <w:rPr>
                <w:b/>
                <w:bCs/>
              </w:rPr>
            </w:pPr>
            <w:r w:rsidRPr="00291D94">
              <w:rPr>
                <w:rFonts w:eastAsiaTheme="majorEastAsia"/>
                <w:b/>
                <w:bCs/>
              </w:rPr>
              <w:t>Cd</w:t>
            </w:r>
          </w:p>
        </w:tc>
        <w:tc>
          <w:tcPr>
            <w:tcW w:w="1382" w:type="dxa"/>
            <w:tcBorders>
              <w:top w:val="single" w:sz="4" w:space="0" w:color="auto"/>
              <w:left w:val="single" w:sz="4" w:space="0" w:color="auto"/>
              <w:bottom w:val="single" w:sz="4" w:space="0" w:color="auto"/>
              <w:right w:val="single" w:sz="4" w:space="0" w:color="auto"/>
            </w:tcBorders>
            <w:vAlign w:val="bottom"/>
            <w:hideMark/>
          </w:tcPr>
          <w:p w14:paraId="6AE84288" w14:textId="77777777" w:rsidR="00291D94" w:rsidRPr="00291D94" w:rsidRDefault="00291D94" w:rsidP="003748B3">
            <w:pPr>
              <w:pStyle w:val="NoSpacing"/>
              <w:jc w:val="center"/>
              <w:rPr>
                <w:b/>
                <w:bCs/>
              </w:rPr>
            </w:pPr>
            <w:r w:rsidRPr="00291D94">
              <w:rPr>
                <w:rFonts w:eastAsiaTheme="majorEastAsia"/>
                <w:b/>
                <w:bCs/>
              </w:rPr>
              <w:t>Co</w:t>
            </w:r>
          </w:p>
        </w:tc>
        <w:tc>
          <w:tcPr>
            <w:tcW w:w="1452" w:type="dxa"/>
            <w:tcBorders>
              <w:top w:val="single" w:sz="4" w:space="0" w:color="auto"/>
              <w:left w:val="single" w:sz="4" w:space="0" w:color="auto"/>
              <w:bottom w:val="single" w:sz="4" w:space="0" w:color="auto"/>
              <w:right w:val="single" w:sz="4" w:space="0" w:color="auto"/>
            </w:tcBorders>
            <w:vAlign w:val="bottom"/>
            <w:hideMark/>
          </w:tcPr>
          <w:p w14:paraId="6B4D559D" w14:textId="77777777" w:rsidR="00291D94" w:rsidRPr="00291D94" w:rsidRDefault="00291D94" w:rsidP="003748B3">
            <w:pPr>
              <w:pStyle w:val="NoSpacing"/>
              <w:jc w:val="center"/>
              <w:rPr>
                <w:b/>
                <w:bCs/>
              </w:rPr>
            </w:pPr>
            <w:r w:rsidRPr="00291D94">
              <w:rPr>
                <w:rFonts w:eastAsiaTheme="majorEastAsia"/>
                <w:b/>
                <w:bCs/>
              </w:rPr>
              <w:t>Cr</w:t>
            </w:r>
          </w:p>
        </w:tc>
        <w:tc>
          <w:tcPr>
            <w:tcW w:w="1451" w:type="dxa"/>
            <w:tcBorders>
              <w:top w:val="single" w:sz="4" w:space="0" w:color="auto"/>
              <w:left w:val="single" w:sz="4" w:space="0" w:color="auto"/>
              <w:bottom w:val="single" w:sz="4" w:space="0" w:color="auto"/>
              <w:right w:val="single" w:sz="4" w:space="0" w:color="auto"/>
            </w:tcBorders>
            <w:vAlign w:val="bottom"/>
            <w:hideMark/>
          </w:tcPr>
          <w:p w14:paraId="10DA4BC5" w14:textId="77777777" w:rsidR="00291D94" w:rsidRPr="00291D94" w:rsidRDefault="00291D94" w:rsidP="003748B3">
            <w:pPr>
              <w:pStyle w:val="NoSpacing"/>
              <w:jc w:val="center"/>
              <w:rPr>
                <w:b/>
                <w:bCs/>
              </w:rPr>
            </w:pPr>
            <w:r w:rsidRPr="00291D94">
              <w:rPr>
                <w:rFonts w:eastAsiaTheme="majorEastAsia"/>
                <w:b/>
                <w:bCs/>
              </w:rPr>
              <w:t>Cu</w:t>
            </w:r>
          </w:p>
        </w:tc>
        <w:tc>
          <w:tcPr>
            <w:tcW w:w="1452" w:type="dxa"/>
            <w:tcBorders>
              <w:top w:val="single" w:sz="4" w:space="0" w:color="auto"/>
              <w:left w:val="single" w:sz="4" w:space="0" w:color="auto"/>
              <w:bottom w:val="single" w:sz="4" w:space="0" w:color="auto"/>
              <w:right w:val="single" w:sz="4" w:space="0" w:color="auto"/>
            </w:tcBorders>
            <w:vAlign w:val="bottom"/>
            <w:hideMark/>
          </w:tcPr>
          <w:p w14:paraId="21996F0E" w14:textId="77777777" w:rsidR="00291D94" w:rsidRPr="00291D94" w:rsidRDefault="00291D94" w:rsidP="003748B3">
            <w:pPr>
              <w:pStyle w:val="NoSpacing"/>
              <w:jc w:val="center"/>
              <w:rPr>
                <w:b/>
                <w:bCs/>
              </w:rPr>
            </w:pPr>
            <w:r w:rsidRPr="00291D94">
              <w:rPr>
                <w:rFonts w:eastAsiaTheme="majorEastAsia"/>
                <w:b/>
                <w:bCs/>
              </w:rPr>
              <w:t>Mn</w:t>
            </w:r>
          </w:p>
        </w:tc>
        <w:tc>
          <w:tcPr>
            <w:tcW w:w="1451" w:type="dxa"/>
            <w:tcBorders>
              <w:top w:val="single" w:sz="4" w:space="0" w:color="auto"/>
              <w:left w:val="single" w:sz="4" w:space="0" w:color="auto"/>
              <w:bottom w:val="single" w:sz="4" w:space="0" w:color="auto"/>
              <w:right w:val="single" w:sz="4" w:space="0" w:color="auto"/>
            </w:tcBorders>
            <w:vAlign w:val="bottom"/>
            <w:hideMark/>
          </w:tcPr>
          <w:p w14:paraId="16461F31" w14:textId="77777777" w:rsidR="00291D94" w:rsidRPr="00291D94" w:rsidRDefault="00291D94" w:rsidP="003748B3">
            <w:pPr>
              <w:pStyle w:val="NoSpacing"/>
              <w:jc w:val="center"/>
              <w:rPr>
                <w:b/>
                <w:bCs/>
              </w:rPr>
            </w:pPr>
            <w:r w:rsidRPr="00291D94">
              <w:rPr>
                <w:rFonts w:eastAsiaTheme="majorEastAsia"/>
                <w:b/>
                <w:bCs/>
              </w:rPr>
              <w:t>Ni</w:t>
            </w:r>
          </w:p>
        </w:tc>
        <w:tc>
          <w:tcPr>
            <w:tcW w:w="1453" w:type="dxa"/>
            <w:tcBorders>
              <w:top w:val="single" w:sz="4" w:space="0" w:color="auto"/>
              <w:left w:val="single" w:sz="4" w:space="0" w:color="auto"/>
              <w:bottom w:val="single" w:sz="4" w:space="0" w:color="auto"/>
              <w:right w:val="single" w:sz="4" w:space="0" w:color="auto"/>
            </w:tcBorders>
            <w:vAlign w:val="bottom"/>
            <w:hideMark/>
          </w:tcPr>
          <w:p w14:paraId="1B2749A2" w14:textId="77777777" w:rsidR="00291D94" w:rsidRPr="00291D94" w:rsidRDefault="00291D94" w:rsidP="003748B3">
            <w:pPr>
              <w:pStyle w:val="NoSpacing"/>
              <w:jc w:val="center"/>
              <w:rPr>
                <w:b/>
                <w:bCs/>
              </w:rPr>
            </w:pPr>
            <w:r w:rsidRPr="00291D94">
              <w:rPr>
                <w:rFonts w:eastAsiaTheme="majorEastAsia"/>
                <w:b/>
                <w:bCs/>
              </w:rPr>
              <w:t>Pb</w:t>
            </w:r>
          </w:p>
        </w:tc>
      </w:tr>
      <w:tr w:rsidR="00291D94" w:rsidRPr="003E6512" w14:paraId="0BC83C95" w14:textId="77777777" w:rsidTr="003748B3">
        <w:trPr>
          <w:trHeight w:val="316"/>
          <w:jc w:val="center"/>
        </w:trPr>
        <w:tc>
          <w:tcPr>
            <w:tcW w:w="1452" w:type="dxa"/>
            <w:tcBorders>
              <w:top w:val="single" w:sz="4" w:space="0" w:color="auto"/>
              <w:left w:val="single" w:sz="4" w:space="0" w:color="auto"/>
              <w:bottom w:val="single" w:sz="4" w:space="0" w:color="auto"/>
              <w:right w:val="single" w:sz="4" w:space="0" w:color="auto"/>
            </w:tcBorders>
            <w:vAlign w:val="bottom"/>
            <w:hideMark/>
          </w:tcPr>
          <w:p w14:paraId="4166C866" w14:textId="77777777" w:rsidR="00291D94" w:rsidRPr="003E6512" w:rsidRDefault="00291D94" w:rsidP="003748B3">
            <w:pPr>
              <w:pStyle w:val="NoSpacing"/>
            </w:pPr>
            <w:r w:rsidRPr="003E6512">
              <w:t>Black pepper</w:t>
            </w:r>
          </w:p>
        </w:tc>
        <w:tc>
          <w:tcPr>
            <w:tcW w:w="1520" w:type="dxa"/>
            <w:tcBorders>
              <w:top w:val="single" w:sz="4" w:space="0" w:color="auto"/>
              <w:left w:val="single" w:sz="4" w:space="0" w:color="auto"/>
              <w:bottom w:val="single" w:sz="4" w:space="0" w:color="auto"/>
              <w:right w:val="single" w:sz="4" w:space="0" w:color="auto"/>
            </w:tcBorders>
            <w:vAlign w:val="bottom"/>
            <w:hideMark/>
          </w:tcPr>
          <w:p w14:paraId="1F22CE6B" w14:textId="77777777" w:rsidR="00291D94" w:rsidRPr="003E6512" w:rsidRDefault="00291D94" w:rsidP="003748B3">
            <w:pPr>
              <w:pStyle w:val="NoSpacing"/>
            </w:pPr>
            <w:r w:rsidRPr="003E6512">
              <w:t>1.640±0.011</w:t>
            </w:r>
          </w:p>
        </w:tc>
        <w:tc>
          <w:tcPr>
            <w:tcW w:w="1382" w:type="dxa"/>
            <w:tcBorders>
              <w:top w:val="single" w:sz="4" w:space="0" w:color="auto"/>
              <w:left w:val="single" w:sz="4" w:space="0" w:color="auto"/>
              <w:bottom w:val="single" w:sz="4" w:space="0" w:color="auto"/>
              <w:right w:val="single" w:sz="4" w:space="0" w:color="auto"/>
            </w:tcBorders>
            <w:vAlign w:val="bottom"/>
            <w:hideMark/>
          </w:tcPr>
          <w:p w14:paraId="15559ECA" w14:textId="77777777" w:rsidR="00291D94" w:rsidRPr="003E6512" w:rsidRDefault="00291D94" w:rsidP="003748B3">
            <w:pPr>
              <w:pStyle w:val="NoSpacing"/>
            </w:pPr>
            <w:r w:rsidRPr="003E6512">
              <w:t>0.960±0.01</w:t>
            </w:r>
          </w:p>
        </w:tc>
        <w:tc>
          <w:tcPr>
            <w:tcW w:w="1452" w:type="dxa"/>
            <w:tcBorders>
              <w:top w:val="single" w:sz="4" w:space="0" w:color="auto"/>
              <w:left w:val="single" w:sz="4" w:space="0" w:color="auto"/>
              <w:bottom w:val="single" w:sz="4" w:space="0" w:color="auto"/>
              <w:right w:val="single" w:sz="4" w:space="0" w:color="auto"/>
            </w:tcBorders>
            <w:vAlign w:val="bottom"/>
            <w:hideMark/>
          </w:tcPr>
          <w:p w14:paraId="10B95C8A" w14:textId="77777777" w:rsidR="00291D94" w:rsidRPr="003E6512" w:rsidRDefault="00291D94" w:rsidP="003748B3">
            <w:pPr>
              <w:pStyle w:val="NoSpacing"/>
            </w:pPr>
            <w:r w:rsidRPr="003E6512">
              <w:t>BDL</w:t>
            </w:r>
          </w:p>
        </w:tc>
        <w:tc>
          <w:tcPr>
            <w:tcW w:w="1451" w:type="dxa"/>
            <w:tcBorders>
              <w:top w:val="single" w:sz="4" w:space="0" w:color="auto"/>
              <w:left w:val="single" w:sz="4" w:space="0" w:color="auto"/>
              <w:bottom w:val="single" w:sz="4" w:space="0" w:color="auto"/>
              <w:right w:val="single" w:sz="4" w:space="0" w:color="auto"/>
            </w:tcBorders>
            <w:vAlign w:val="bottom"/>
            <w:hideMark/>
          </w:tcPr>
          <w:p w14:paraId="321FD39B" w14:textId="77777777" w:rsidR="00291D94" w:rsidRPr="003E6512" w:rsidRDefault="00291D94" w:rsidP="003748B3">
            <w:pPr>
              <w:pStyle w:val="NoSpacing"/>
            </w:pPr>
            <w:r w:rsidRPr="003E6512">
              <w:t>58.30±0.02</w:t>
            </w:r>
          </w:p>
        </w:tc>
        <w:tc>
          <w:tcPr>
            <w:tcW w:w="1452" w:type="dxa"/>
            <w:tcBorders>
              <w:top w:val="single" w:sz="4" w:space="0" w:color="auto"/>
              <w:left w:val="single" w:sz="4" w:space="0" w:color="auto"/>
              <w:bottom w:val="single" w:sz="4" w:space="0" w:color="auto"/>
              <w:right w:val="single" w:sz="4" w:space="0" w:color="auto"/>
            </w:tcBorders>
            <w:vAlign w:val="bottom"/>
            <w:hideMark/>
          </w:tcPr>
          <w:p w14:paraId="0A05A100" w14:textId="77777777" w:rsidR="00291D94" w:rsidRPr="003E6512" w:rsidRDefault="00291D94" w:rsidP="003748B3">
            <w:pPr>
              <w:pStyle w:val="NoSpacing"/>
            </w:pPr>
            <w:r w:rsidRPr="003E6512">
              <w:t>157.95±0.02</w:t>
            </w:r>
          </w:p>
        </w:tc>
        <w:tc>
          <w:tcPr>
            <w:tcW w:w="1451" w:type="dxa"/>
            <w:tcBorders>
              <w:top w:val="single" w:sz="4" w:space="0" w:color="auto"/>
              <w:left w:val="single" w:sz="4" w:space="0" w:color="auto"/>
              <w:bottom w:val="single" w:sz="4" w:space="0" w:color="auto"/>
              <w:right w:val="single" w:sz="4" w:space="0" w:color="auto"/>
            </w:tcBorders>
            <w:vAlign w:val="bottom"/>
            <w:hideMark/>
          </w:tcPr>
          <w:p w14:paraId="14FE3F9D" w14:textId="77777777" w:rsidR="00291D94" w:rsidRPr="003E6512" w:rsidRDefault="00291D94" w:rsidP="003748B3">
            <w:pPr>
              <w:pStyle w:val="NoSpacing"/>
            </w:pPr>
            <w:r w:rsidRPr="003E6512">
              <w:t>6.110±0.00</w:t>
            </w:r>
          </w:p>
        </w:tc>
        <w:tc>
          <w:tcPr>
            <w:tcW w:w="1453" w:type="dxa"/>
            <w:tcBorders>
              <w:top w:val="single" w:sz="4" w:space="0" w:color="auto"/>
              <w:left w:val="single" w:sz="4" w:space="0" w:color="auto"/>
              <w:bottom w:val="single" w:sz="4" w:space="0" w:color="auto"/>
              <w:right w:val="single" w:sz="4" w:space="0" w:color="auto"/>
            </w:tcBorders>
            <w:vAlign w:val="bottom"/>
            <w:hideMark/>
          </w:tcPr>
          <w:p w14:paraId="78DB2FDD" w14:textId="77777777" w:rsidR="00291D94" w:rsidRPr="003E6512" w:rsidRDefault="00291D94" w:rsidP="003748B3">
            <w:pPr>
              <w:pStyle w:val="NoSpacing"/>
            </w:pPr>
            <w:r w:rsidRPr="003E6512">
              <w:t>6.830±0.00</w:t>
            </w:r>
          </w:p>
        </w:tc>
      </w:tr>
      <w:tr w:rsidR="00291D94" w:rsidRPr="003E6512" w14:paraId="2F9061B2" w14:textId="77777777" w:rsidTr="003748B3">
        <w:trPr>
          <w:trHeight w:val="559"/>
          <w:jc w:val="center"/>
        </w:trPr>
        <w:tc>
          <w:tcPr>
            <w:tcW w:w="1452" w:type="dxa"/>
            <w:tcBorders>
              <w:top w:val="single" w:sz="4" w:space="0" w:color="auto"/>
              <w:left w:val="single" w:sz="4" w:space="0" w:color="auto"/>
              <w:bottom w:val="single" w:sz="4" w:space="0" w:color="auto"/>
              <w:right w:val="single" w:sz="4" w:space="0" w:color="auto"/>
            </w:tcBorders>
            <w:vAlign w:val="bottom"/>
            <w:hideMark/>
          </w:tcPr>
          <w:p w14:paraId="1BC8C705" w14:textId="77777777" w:rsidR="00291D94" w:rsidRPr="003E6512" w:rsidRDefault="00291D94" w:rsidP="003748B3">
            <w:pPr>
              <w:pStyle w:val="NoSpacing"/>
            </w:pPr>
            <w:r w:rsidRPr="003E6512">
              <w:t>Cayenne pepper</w:t>
            </w:r>
          </w:p>
        </w:tc>
        <w:tc>
          <w:tcPr>
            <w:tcW w:w="1520" w:type="dxa"/>
            <w:tcBorders>
              <w:top w:val="single" w:sz="4" w:space="0" w:color="auto"/>
              <w:left w:val="single" w:sz="4" w:space="0" w:color="auto"/>
              <w:bottom w:val="single" w:sz="4" w:space="0" w:color="auto"/>
              <w:right w:val="single" w:sz="4" w:space="0" w:color="auto"/>
            </w:tcBorders>
            <w:vAlign w:val="bottom"/>
            <w:hideMark/>
          </w:tcPr>
          <w:p w14:paraId="0087C8B6" w14:textId="77777777" w:rsidR="00291D94" w:rsidRPr="003E6512" w:rsidRDefault="00291D94" w:rsidP="003748B3">
            <w:pPr>
              <w:pStyle w:val="NoSpacing"/>
            </w:pPr>
            <w:r w:rsidRPr="003E6512">
              <w:t>0.910±0.02</w:t>
            </w:r>
          </w:p>
        </w:tc>
        <w:tc>
          <w:tcPr>
            <w:tcW w:w="1382" w:type="dxa"/>
            <w:tcBorders>
              <w:top w:val="single" w:sz="4" w:space="0" w:color="auto"/>
              <w:left w:val="single" w:sz="4" w:space="0" w:color="auto"/>
              <w:bottom w:val="single" w:sz="4" w:space="0" w:color="auto"/>
              <w:right w:val="single" w:sz="4" w:space="0" w:color="auto"/>
            </w:tcBorders>
            <w:vAlign w:val="bottom"/>
            <w:hideMark/>
          </w:tcPr>
          <w:p w14:paraId="742BA2F0" w14:textId="77777777" w:rsidR="00291D94" w:rsidRPr="003E6512" w:rsidRDefault="00291D94" w:rsidP="003748B3">
            <w:pPr>
              <w:pStyle w:val="NoSpacing"/>
            </w:pPr>
            <w:r w:rsidRPr="003E6512">
              <w:t>3.500±0.00</w:t>
            </w:r>
          </w:p>
        </w:tc>
        <w:tc>
          <w:tcPr>
            <w:tcW w:w="1452" w:type="dxa"/>
            <w:tcBorders>
              <w:top w:val="single" w:sz="4" w:space="0" w:color="auto"/>
              <w:left w:val="single" w:sz="4" w:space="0" w:color="auto"/>
              <w:bottom w:val="single" w:sz="4" w:space="0" w:color="auto"/>
              <w:right w:val="single" w:sz="4" w:space="0" w:color="auto"/>
            </w:tcBorders>
            <w:vAlign w:val="bottom"/>
            <w:hideMark/>
          </w:tcPr>
          <w:p w14:paraId="4916D390" w14:textId="77777777" w:rsidR="00291D94" w:rsidRPr="003E6512" w:rsidRDefault="00291D94" w:rsidP="003748B3">
            <w:pPr>
              <w:pStyle w:val="NoSpacing"/>
            </w:pPr>
            <w:r w:rsidRPr="003E6512">
              <w:t>3.780±0.00</w:t>
            </w:r>
          </w:p>
        </w:tc>
        <w:tc>
          <w:tcPr>
            <w:tcW w:w="1451" w:type="dxa"/>
            <w:tcBorders>
              <w:top w:val="single" w:sz="4" w:space="0" w:color="auto"/>
              <w:left w:val="single" w:sz="4" w:space="0" w:color="auto"/>
              <w:bottom w:val="single" w:sz="4" w:space="0" w:color="auto"/>
              <w:right w:val="single" w:sz="4" w:space="0" w:color="auto"/>
            </w:tcBorders>
            <w:vAlign w:val="bottom"/>
            <w:hideMark/>
          </w:tcPr>
          <w:p w14:paraId="0BBF22CB" w14:textId="77777777" w:rsidR="00291D94" w:rsidRPr="003E6512" w:rsidRDefault="00291D94" w:rsidP="003748B3">
            <w:pPr>
              <w:pStyle w:val="NoSpacing"/>
            </w:pPr>
            <w:r w:rsidRPr="003E6512">
              <w:t>36.36±0.02</w:t>
            </w:r>
          </w:p>
        </w:tc>
        <w:tc>
          <w:tcPr>
            <w:tcW w:w="1452" w:type="dxa"/>
            <w:tcBorders>
              <w:top w:val="single" w:sz="4" w:space="0" w:color="auto"/>
              <w:left w:val="single" w:sz="4" w:space="0" w:color="auto"/>
              <w:bottom w:val="single" w:sz="4" w:space="0" w:color="auto"/>
              <w:right w:val="single" w:sz="4" w:space="0" w:color="auto"/>
            </w:tcBorders>
            <w:vAlign w:val="bottom"/>
            <w:hideMark/>
          </w:tcPr>
          <w:p w14:paraId="3EA6734E" w14:textId="77777777" w:rsidR="00291D94" w:rsidRPr="003E6512" w:rsidRDefault="00291D94" w:rsidP="003748B3">
            <w:pPr>
              <w:pStyle w:val="NoSpacing"/>
            </w:pPr>
            <w:r w:rsidRPr="003E6512">
              <w:t>33.84±0.01</w:t>
            </w:r>
          </w:p>
        </w:tc>
        <w:tc>
          <w:tcPr>
            <w:tcW w:w="1451" w:type="dxa"/>
            <w:tcBorders>
              <w:top w:val="single" w:sz="4" w:space="0" w:color="auto"/>
              <w:left w:val="single" w:sz="4" w:space="0" w:color="auto"/>
              <w:bottom w:val="single" w:sz="4" w:space="0" w:color="auto"/>
              <w:right w:val="single" w:sz="4" w:space="0" w:color="auto"/>
            </w:tcBorders>
            <w:vAlign w:val="bottom"/>
            <w:hideMark/>
          </w:tcPr>
          <w:p w14:paraId="12A23B99" w14:textId="77777777" w:rsidR="00291D94" w:rsidRPr="003E6512" w:rsidRDefault="00291D94" w:rsidP="003748B3">
            <w:pPr>
              <w:pStyle w:val="NoSpacing"/>
            </w:pPr>
            <w:r w:rsidRPr="003E6512">
              <w:t>2.690±0.03</w:t>
            </w:r>
          </w:p>
        </w:tc>
        <w:tc>
          <w:tcPr>
            <w:tcW w:w="1453" w:type="dxa"/>
            <w:tcBorders>
              <w:top w:val="single" w:sz="4" w:space="0" w:color="auto"/>
              <w:left w:val="single" w:sz="4" w:space="0" w:color="auto"/>
              <w:bottom w:val="single" w:sz="4" w:space="0" w:color="auto"/>
              <w:right w:val="single" w:sz="4" w:space="0" w:color="auto"/>
            </w:tcBorders>
            <w:vAlign w:val="bottom"/>
            <w:hideMark/>
          </w:tcPr>
          <w:p w14:paraId="74D52243" w14:textId="77777777" w:rsidR="00291D94" w:rsidRPr="003E6512" w:rsidRDefault="00291D94" w:rsidP="003748B3">
            <w:pPr>
              <w:pStyle w:val="NoSpacing"/>
            </w:pPr>
            <w:r w:rsidRPr="003E6512">
              <w:t>3.170±0.00</w:t>
            </w:r>
          </w:p>
        </w:tc>
      </w:tr>
      <w:tr w:rsidR="00291D94" w:rsidRPr="003E6512" w14:paraId="1993D07C" w14:textId="77777777" w:rsidTr="003748B3">
        <w:trPr>
          <w:trHeight w:val="284"/>
          <w:jc w:val="center"/>
        </w:trPr>
        <w:tc>
          <w:tcPr>
            <w:tcW w:w="1452" w:type="dxa"/>
            <w:tcBorders>
              <w:top w:val="single" w:sz="4" w:space="0" w:color="auto"/>
              <w:left w:val="single" w:sz="4" w:space="0" w:color="auto"/>
              <w:bottom w:val="single" w:sz="4" w:space="0" w:color="auto"/>
              <w:right w:val="single" w:sz="4" w:space="0" w:color="auto"/>
            </w:tcBorders>
            <w:vAlign w:val="bottom"/>
            <w:hideMark/>
          </w:tcPr>
          <w:p w14:paraId="5100BF28" w14:textId="77777777" w:rsidR="00291D94" w:rsidRPr="003E6512" w:rsidRDefault="00291D94" w:rsidP="003748B3">
            <w:pPr>
              <w:pStyle w:val="NoSpacing"/>
            </w:pPr>
            <w:r w:rsidRPr="003E6512">
              <w:t>Nutmeg</w:t>
            </w:r>
          </w:p>
        </w:tc>
        <w:tc>
          <w:tcPr>
            <w:tcW w:w="1520" w:type="dxa"/>
            <w:tcBorders>
              <w:top w:val="single" w:sz="4" w:space="0" w:color="auto"/>
              <w:left w:val="single" w:sz="4" w:space="0" w:color="auto"/>
              <w:bottom w:val="single" w:sz="4" w:space="0" w:color="auto"/>
              <w:right w:val="single" w:sz="4" w:space="0" w:color="auto"/>
            </w:tcBorders>
            <w:vAlign w:val="bottom"/>
            <w:hideMark/>
          </w:tcPr>
          <w:p w14:paraId="24B2450A" w14:textId="77777777" w:rsidR="00291D94" w:rsidRPr="003E6512" w:rsidRDefault="00291D94" w:rsidP="003748B3">
            <w:pPr>
              <w:pStyle w:val="NoSpacing"/>
            </w:pPr>
            <w:r w:rsidRPr="003E6512">
              <w:t>0.720±0.00</w:t>
            </w:r>
          </w:p>
        </w:tc>
        <w:tc>
          <w:tcPr>
            <w:tcW w:w="1382" w:type="dxa"/>
            <w:tcBorders>
              <w:top w:val="single" w:sz="4" w:space="0" w:color="auto"/>
              <w:left w:val="single" w:sz="4" w:space="0" w:color="auto"/>
              <w:bottom w:val="single" w:sz="4" w:space="0" w:color="auto"/>
              <w:right w:val="single" w:sz="4" w:space="0" w:color="auto"/>
            </w:tcBorders>
            <w:vAlign w:val="bottom"/>
            <w:hideMark/>
          </w:tcPr>
          <w:p w14:paraId="660F4C80" w14:textId="77777777" w:rsidR="00291D94" w:rsidRPr="003E6512" w:rsidRDefault="00291D94" w:rsidP="003748B3">
            <w:pPr>
              <w:pStyle w:val="NoSpacing"/>
            </w:pPr>
            <w:r w:rsidRPr="003E6512">
              <w:t>BDL</w:t>
            </w:r>
          </w:p>
        </w:tc>
        <w:tc>
          <w:tcPr>
            <w:tcW w:w="1452" w:type="dxa"/>
            <w:tcBorders>
              <w:top w:val="single" w:sz="4" w:space="0" w:color="auto"/>
              <w:left w:val="single" w:sz="4" w:space="0" w:color="auto"/>
              <w:bottom w:val="single" w:sz="4" w:space="0" w:color="auto"/>
              <w:right w:val="single" w:sz="4" w:space="0" w:color="auto"/>
            </w:tcBorders>
            <w:vAlign w:val="bottom"/>
            <w:hideMark/>
          </w:tcPr>
          <w:p w14:paraId="73F6A95B" w14:textId="77777777" w:rsidR="00291D94" w:rsidRPr="003E6512" w:rsidRDefault="00291D94" w:rsidP="003748B3">
            <w:pPr>
              <w:pStyle w:val="NoSpacing"/>
            </w:pPr>
            <w:r w:rsidRPr="003E6512">
              <w:t>3.320±0.01</w:t>
            </w:r>
          </w:p>
        </w:tc>
        <w:tc>
          <w:tcPr>
            <w:tcW w:w="1451" w:type="dxa"/>
            <w:tcBorders>
              <w:top w:val="single" w:sz="4" w:space="0" w:color="auto"/>
              <w:left w:val="single" w:sz="4" w:space="0" w:color="auto"/>
              <w:bottom w:val="single" w:sz="4" w:space="0" w:color="auto"/>
              <w:right w:val="single" w:sz="4" w:space="0" w:color="auto"/>
            </w:tcBorders>
            <w:vAlign w:val="bottom"/>
            <w:hideMark/>
          </w:tcPr>
          <w:p w14:paraId="58CC069C" w14:textId="77777777" w:rsidR="00291D94" w:rsidRPr="003E6512" w:rsidRDefault="00291D94" w:rsidP="003748B3">
            <w:pPr>
              <w:pStyle w:val="NoSpacing"/>
            </w:pPr>
            <w:r w:rsidRPr="003E6512">
              <w:t>55.36±0.03</w:t>
            </w:r>
          </w:p>
        </w:tc>
        <w:tc>
          <w:tcPr>
            <w:tcW w:w="1452" w:type="dxa"/>
            <w:tcBorders>
              <w:top w:val="single" w:sz="4" w:space="0" w:color="auto"/>
              <w:left w:val="single" w:sz="4" w:space="0" w:color="auto"/>
              <w:bottom w:val="single" w:sz="4" w:space="0" w:color="auto"/>
              <w:right w:val="single" w:sz="4" w:space="0" w:color="auto"/>
            </w:tcBorders>
            <w:vAlign w:val="bottom"/>
            <w:hideMark/>
          </w:tcPr>
          <w:p w14:paraId="262686EF" w14:textId="77777777" w:rsidR="00291D94" w:rsidRPr="003E6512" w:rsidRDefault="00291D94" w:rsidP="003748B3">
            <w:pPr>
              <w:pStyle w:val="NoSpacing"/>
            </w:pPr>
            <w:r w:rsidRPr="003E6512">
              <w:t>54.72±0.00</w:t>
            </w:r>
          </w:p>
        </w:tc>
        <w:tc>
          <w:tcPr>
            <w:tcW w:w="1451" w:type="dxa"/>
            <w:tcBorders>
              <w:top w:val="single" w:sz="4" w:space="0" w:color="auto"/>
              <w:left w:val="single" w:sz="4" w:space="0" w:color="auto"/>
              <w:bottom w:val="single" w:sz="4" w:space="0" w:color="auto"/>
              <w:right w:val="single" w:sz="4" w:space="0" w:color="auto"/>
            </w:tcBorders>
            <w:vAlign w:val="bottom"/>
            <w:hideMark/>
          </w:tcPr>
          <w:p w14:paraId="2F1346C2" w14:textId="77777777" w:rsidR="00291D94" w:rsidRPr="003E6512" w:rsidRDefault="00291D94" w:rsidP="003748B3">
            <w:pPr>
              <w:pStyle w:val="NoSpacing"/>
            </w:pPr>
            <w:r w:rsidRPr="003E6512">
              <w:t>4.070±0.01</w:t>
            </w:r>
          </w:p>
        </w:tc>
        <w:tc>
          <w:tcPr>
            <w:tcW w:w="1453" w:type="dxa"/>
            <w:tcBorders>
              <w:top w:val="single" w:sz="4" w:space="0" w:color="auto"/>
              <w:left w:val="single" w:sz="4" w:space="0" w:color="auto"/>
              <w:bottom w:val="single" w:sz="4" w:space="0" w:color="auto"/>
              <w:right w:val="single" w:sz="4" w:space="0" w:color="auto"/>
            </w:tcBorders>
            <w:vAlign w:val="bottom"/>
            <w:hideMark/>
          </w:tcPr>
          <w:p w14:paraId="118E4257" w14:textId="77777777" w:rsidR="00291D94" w:rsidRPr="003E6512" w:rsidRDefault="00291D94" w:rsidP="003748B3">
            <w:pPr>
              <w:pStyle w:val="NoSpacing"/>
            </w:pPr>
            <w:r w:rsidRPr="003E6512">
              <w:t>3.740±0.00</w:t>
            </w:r>
          </w:p>
        </w:tc>
      </w:tr>
      <w:tr w:rsidR="00291D94" w:rsidRPr="003E6512" w14:paraId="302D14C0" w14:textId="77777777" w:rsidTr="003748B3">
        <w:trPr>
          <w:trHeight w:val="559"/>
          <w:jc w:val="center"/>
        </w:trPr>
        <w:tc>
          <w:tcPr>
            <w:tcW w:w="1452" w:type="dxa"/>
            <w:tcBorders>
              <w:top w:val="single" w:sz="4" w:space="0" w:color="auto"/>
              <w:left w:val="single" w:sz="4" w:space="0" w:color="auto"/>
              <w:bottom w:val="single" w:sz="4" w:space="0" w:color="auto"/>
              <w:right w:val="single" w:sz="4" w:space="0" w:color="auto"/>
            </w:tcBorders>
            <w:vAlign w:val="bottom"/>
            <w:hideMark/>
          </w:tcPr>
          <w:p w14:paraId="56B1E675" w14:textId="77777777" w:rsidR="00291D94" w:rsidRPr="003E6512" w:rsidRDefault="00291D94" w:rsidP="003748B3">
            <w:pPr>
              <w:pStyle w:val="NoSpacing"/>
            </w:pPr>
            <w:r w:rsidRPr="003E6512">
              <w:t>Curry powder</w:t>
            </w:r>
          </w:p>
        </w:tc>
        <w:tc>
          <w:tcPr>
            <w:tcW w:w="1520" w:type="dxa"/>
            <w:tcBorders>
              <w:top w:val="single" w:sz="4" w:space="0" w:color="auto"/>
              <w:left w:val="single" w:sz="4" w:space="0" w:color="auto"/>
              <w:bottom w:val="single" w:sz="4" w:space="0" w:color="auto"/>
              <w:right w:val="single" w:sz="4" w:space="0" w:color="auto"/>
            </w:tcBorders>
            <w:vAlign w:val="bottom"/>
            <w:hideMark/>
          </w:tcPr>
          <w:p w14:paraId="01E3064D" w14:textId="77777777" w:rsidR="00291D94" w:rsidRPr="003E6512" w:rsidRDefault="00291D94" w:rsidP="003748B3">
            <w:pPr>
              <w:pStyle w:val="NoSpacing"/>
            </w:pPr>
            <w:r w:rsidRPr="003E6512">
              <w:t>0.930±0.01</w:t>
            </w:r>
          </w:p>
        </w:tc>
        <w:tc>
          <w:tcPr>
            <w:tcW w:w="1382" w:type="dxa"/>
            <w:tcBorders>
              <w:top w:val="single" w:sz="4" w:space="0" w:color="auto"/>
              <w:left w:val="single" w:sz="4" w:space="0" w:color="auto"/>
              <w:bottom w:val="single" w:sz="4" w:space="0" w:color="auto"/>
              <w:right w:val="single" w:sz="4" w:space="0" w:color="auto"/>
            </w:tcBorders>
            <w:vAlign w:val="bottom"/>
            <w:hideMark/>
          </w:tcPr>
          <w:p w14:paraId="7D756BBF" w14:textId="77777777" w:rsidR="00291D94" w:rsidRPr="003E6512" w:rsidRDefault="00291D94" w:rsidP="003748B3">
            <w:pPr>
              <w:pStyle w:val="NoSpacing"/>
            </w:pPr>
            <w:r w:rsidRPr="003E6512">
              <w:t>0.660±0.00</w:t>
            </w:r>
          </w:p>
        </w:tc>
        <w:tc>
          <w:tcPr>
            <w:tcW w:w="1452" w:type="dxa"/>
            <w:tcBorders>
              <w:top w:val="single" w:sz="4" w:space="0" w:color="auto"/>
              <w:left w:val="single" w:sz="4" w:space="0" w:color="auto"/>
              <w:bottom w:val="single" w:sz="4" w:space="0" w:color="auto"/>
              <w:right w:val="single" w:sz="4" w:space="0" w:color="auto"/>
            </w:tcBorders>
            <w:vAlign w:val="bottom"/>
            <w:hideMark/>
          </w:tcPr>
          <w:p w14:paraId="1CB36BF0" w14:textId="77777777" w:rsidR="00291D94" w:rsidRPr="003E6512" w:rsidRDefault="00291D94" w:rsidP="003748B3">
            <w:pPr>
              <w:pStyle w:val="NoSpacing"/>
            </w:pPr>
            <w:r w:rsidRPr="003E6512">
              <w:t>4.650±0.01</w:t>
            </w:r>
          </w:p>
        </w:tc>
        <w:tc>
          <w:tcPr>
            <w:tcW w:w="1451" w:type="dxa"/>
            <w:tcBorders>
              <w:top w:val="single" w:sz="4" w:space="0" w:color="auto"/>
              <w:left w:val="single" w:sz="4" w:space="0" w:color="auto"/>
              <w:bottom w:val="single" w:sz="4" w:space="0" w:color="auto"/>
              <w:right w:val="single" w:sz="4" w:space="0" w:color="auto"/>
            </w:tcBorders>
            <w:vAlign w:val="bottom"/>
            <w:hideMark/>
          </w:tcPr>
          <w:p w14:paraId="2A408FCF" w14:textId="77777777" w:rsidR="00291D94" w:rsidRPr="003E6512" w:rsidRDefault="00291D94" w:rsidP="003748B3">
            <w:pPr>
              <w:pStyle w:val="NoSpacing"/>
            </w:pPr>
            <w:r w:rsidRPr="003E6512">
              <w:t>29.78±0.01</w:t>
            </w:r>
          </w:p>
        </w:tc>
        <w:tc>
          <w:tcPr>
            <w:tcW w:w="1452" w:type="dxa"/>
            <w:tcBorders>
              <w:top w:val="single" w:sz="4" w:space="0" w:color="auto"/>
              <w:left w:val="single" w:sz="4" w:space="0" w:color="auto"/>
              <w:bottom w:val="single" w:sz="4" w:space="0" w:color="auto"/>
              <w:right w:val="single" w:sz="4" w:space="0" w:color="auto"/>
            </w:tcBorders>
            <w:vAlign w:val="bottom"/>
            <w:hideMark/>
          </w:tcPr>
          <w:p w14:paraId="09D9C5D4" w14:textId="77777777" w:rsidR="00291D94" w:rsidRPr="003E6512" w:rsidRDefault="00291D94" w:rsidP="003748B3">
            <w:pPr>
              <w:pStyle w:val="NoSpacing"/>
            </w:pPr>
            <w:r w:rsidRPr="003E6512">
              <w:t>51.59±0.00</w:t>
            </w:r>
          </w:p>
        </w:tc>
        <w:tc>
          <w:tcPr>
            <w:tcW w:w="1451" w:type="dxa"/>
            <w:tcBorders>
              <w:top w:val="single" w:sz="4" w:space="0" w:color="auto"/>
              <w:left w:val="single" w:sz="4" w:space="0" w:color="auto"/>
              <w:bottom w:val="single" w:sz="4" w:space="0" w:color="auto"/>
              <w:right w:val="single" w:sz="4" w:space="0" w:color="auto"/>
            </w:tcBorders>
            <w:vAlign w:val="bottom"/>
            <w:hideMark/>
          </w:tcPr>
          <w:p w14:paraId="02871064" w14:textId="77777777" w:rsidR="00291D94" w:rsidRPr="003E6512" w:rsidRDefault="00291D94" w:rsidP="003748B3">
            <w:pPr>
              <w:pStyle w:val="NoSpacing"/>
            </w:pPr>
            <w:r w:rsidRPr="003E6512">
              <w:t>3.070±0.00</w:t>
            </w:r>
          </w:p>
        </w:tc>
        <w:tc>
          <w:tcPr>
            <w:tcW w:w="1453" w:type="dxa"/>
            <w:tcBorders>
              <w:top w:val="single" w:sz="4" w:space="0" w:color="auto"/>
              <w:left w:val="single" w:sz="4" w:space="0" w:color="auto"/>
              <w:bottom w:val="single" w:sz="4" w:space="0" w:color="auto"/>
              <w:right w:val="single" w:sz="4" w:space="0" w:color="auto"/>
            </w:tcBorders>
            <w:vAlign w:val="bottom"/>
            <w:hideMark/>
          </w:tcPr>
          <w:p w14:paraId="128C6C8D" w14:textId="77777777" w:rsidR="00291D94" w:rsidRPr="003E6512" w:rsidRDefault="00291D94" w:rsidP="003748B3">
            <w:pPr>
              <w:pStyle w:val="NoSpacing"/>
            </w:pPr>
            <w:r w:rsidRPr="003E6512">
              <w:t>2.520±0.01</w:t>
            </w:r>
          </w:p>
        </w:tc>
      </w:tr>
      <w:tr w:rsidR="00291D94" w:rsidRPr="003E6512" w14:paraId="56BF79AF" w14:textId="77777777" w:rsidTr="003748B3">
        <w:trPr>
          <w:trHeight w:val="559"/>
          <w:jc w:val="center"/>
        </w:trPr>
        <w:tc>
          <w:tcPr>
            <w:tcW w:w="1452" w:type="dxa"/>
            <w:tcBorders>
              <w:top w:val="single" w:sz="4" w:space="0" w:color="auto"/>
              <w:left w:val="single" w:sz="4" w:space="0" w:color="auto"/>
              <w:bottom w:val="single" w:sz="4" w:space="0" w:color="auto"/>
              <w:right w:val="single" w:sz="4" w:space="0" w:color="auto"/>
            </w:tcBorders>
            <w:vAlign w:val="bottom"/>
            <w:hideMark/>
          </w:tcPr>
          <w:p w14:paraId="4C81C4B8" w14:textId="77777777" w:rsidR="00291D94" w:rsidRPr="003E6512" w:rsidRDefault="00291D94" w:rsidP="003748B3">
            <w:pPr>
              <w:pStyle w:val="NoSpacing"/>
            </w:pPr>
            <w:r w:rsidRPr="003E6512">
              <w:t>Chicken season</w:t>
            </w:r>
          </w:p>
        </w:tc>
        <w:tc>
          <w:tcPr>
            <w:tcW w:w="1520" w:type="dxa"/>
            <w:tcBorders>
              <w:top w:val="single" w:sz="4" w:space="0" w:color="auto"/>
              <w:left w:val="single" w:sz="4" w:space="0" w:color="auto"/>
              <w:bottom w:val="single" w:sz="4" w:space="0" w:color="auto"/>
              <w:right w:val="single" w:sz="4" w:space="0" w:color="auto"/>
            </w:tcBorders>
            <w:vAlign w:val="bottom"/>
            <w:hideMark/>
          </w:tcPr>
          <w:p w14:paraId="29649ED0" w14:textId="77777777" w:rsidR="00291D94" w:rsidRPr="003E6512" w:rsidRDefault="00291D94" w:rsidP="003748B3">
            <w:pPr>
              <w:pStyle w:val="NoSpacing"/>
            </w:pPr>
            <w:r w:rsidRPr="003E6512">
              <w:t>0.840±0.03</w:t>
            </w:r>
          </w:p>
        </w:tc>
        <w:tc>
          <w:tcPr>
            <w:tcW w:w="1382" w:type="dxa"/>
            <w:tcBorders>
              <w:top w:val="single" w:sz="4" w:space="0" w:color="auto"/>
              <w:left w:val="single" w:sz="4" w:space="0" w:color="auto"/>
              <w:bottom w:val="single" w:sz="4" w:space="0" w:color="auto"/>
              <w:right w:val="single" w:sz="4" w:space="0" w:color="auto"/>
            </w:tcBorders>
            <w:vAlign w:val="bottom"/>
            <w:hideMark/>
          </w:tcPr>
          <w:p w14:paraId="142D4E7B" w14:textId="77777777" w:rsidR="00291D94" w:rsidRPr="003E6512" w:rsidRDefault="00291D94" w:rsidP="003748B3">
            <w:pPr>
              <w:pStyle w:val="NoSpacing"/>
            </w:pPr>
            <w:r w:rsidRPr="003E6512">
              <w:t>BDL</w:t>
            </w:r>
          </w:p>
        </w:tc>
        <w:tc>
          <w:tcPr>
            <w:tcW w:w="1452" w:type="dxa"/>
            <w:tcBorders>
              <w:top w:val="single" w:sz="4" w:space="0" w:color="auto"/>
              <w:left w:val="single" w:sz="4" w:space="0" w:color="auto"/>
              <w:bottom w:val="single" w:sz="4" w:space="0" w:color="auto"/>
              <w:right w:val="single" w:sz="4" w:space="0" w:color="auto"/>
            </w:tcBorders>
            <w:vAlign w:val="bottom"/>
            <w:hideMark/>
          </w:tcPr>
          <w:p w14:paraId="29289203" w14:textId="77777777" w:rsidR="00291D94" w:rsidRPr="003E6512" w:rsidRDefault="00291D94" w:rsidP="003748B3">
            <w:pPr>
              <w:pStyle w:val="NoSpacing"/>
            </w:pPr>
            <w:r w:rsidRPr="003E6512">
              <w:t>6.080±0.00</w:t>
            </w:r>
          </w:p>
        </w:tc>
        <w:tc>
          <w:tcPr>
            <w:tcW w:w="1451" w:type="dxa"/>
            <w:tcBorders>
              <w:top w:val="single" w:sz="4" w:space="0" w:color="auto"/>
              <w:left w:val="single" w:sz="4" w:space="0" w:color="auto"/>
              <w:bottom w:val="single" w:sz="4" w:space="0" w:color="auto"/>
              <w:right w:val="single" w:sz="4" w:space="0" w:color="auto"/>
            </w:tcBorders>
            <w:vAlign w:val="bottom"/>
            <w:hideMark/>
          </w:tcPr>
          <w:p w14:paraId="147641F4" w14:textId="77777777" w:rsidR="00291D94" w:rsidRPr="003E6512" w:rsidRDefault="00291D94" w:rsidP="003748B3">
            <w:pPr>
              <w:pStyle w:val="NoSpacing"/>
            </w:pPr>
            <w:r w:rsidRPr="003E6512">
              <w:t>22.35±0.00</w:t>
            </w:r>
          </w:p>
        </w:tc>
        <w:tc>
          <w:tcPr>
            <w:tcW w:w="1452" w:type="dxa"/>
            <w:tcBorders>
              <w:top w:val="single" w:sz="4" w:space="0" w:color="auto"/>
              <w:left w:val="single" w:sz="4" w:space="0" w:color="auto"/>
              <w:bottom w:val="single" w:sz="4" w:space="0" w:color="auto"/>
              <w:right w:val="single" w:sz="4" w:space="0" w:color="auto"/>
            </w:tcBorders>
            <w:vAlign w:val="bottom"/>
            <w:hideMark/>
          </w:tcPr>
          <w:p w14:paraId="17CCDE59" w14:textId="77777777" w:rsidR="00291D94" w:rsidRPr="003E6512" w:rsidRDefault="00291D94" w:rsidP="003748B3">
            <w:pPr>
              <w:pStyle w:val="NoSpacing"/>
            </w:pPr>
            <w:r w:rsidRPr="003E6512">
              <w:t>52.18±0.00</w:t>
            </w:r>
          </w:p>
        </w:tc>
        <w:tc>
          <w:tcPr>
            <w:tcW w:w="1451" w:type="dxa"/>
            <w:tcBorders>
              <w:top w:val="single" w:sz="4" w:space="0" w:color="auto"/>
              <w:left w:val="single" w:sz="4" w:space="0" w:color="auto"/>
              <w:bottom w:val="single" w:sz="4" w:space="0" w:color="auto"/>
              <w:right w:val="single" w:sz="4" w:space="0" w:color="auto"/>
            </w:tcBorders>
            <w:vAlign w:val="bottom"/>
            <w:hideMark/>
          </w:tcPr>
          <w:p w14:paraId="297AB25B" w14:textId="77777777" w:rsidR="00291D94" w:rsidRPr="003E6512" w:rsidRDefault="00291D94" w:rsidP="003748B3">
            <w:pPr>
              <w:pStyle w:val="NoSpacing"/>
            </w:pPr>
            <w:r w:rsidRPr="003E6512">
              <w:t>4.190±0.02</w:t>
            </w:r>
          </w:p>
        </w:tc>
        <w:tc>
          <w:tcPr>
            <w:tcW w:w="1453" w:type="dxa"/>
            <w:tcBorders>
              <w:top w:val="single" w:sz="4" w:space="0" w:color="auto"/>
              <w:left w:val="single" w:sz="4" w:space="0" w:color="auto"/>
              <w:bottom w:val="single" w:sz="4" w:space="0" w:color="auto"/>
              <w:right w:val="single" w:sz="4" w:space="0" w:color="auto"/>
            </w:tcBorders>
            <w:vAlign w:val="bottom"/>
            <w:hideMark/>
          </w:tcPr>
          <w:p w14:paraId="63192579" w14:textId="77777777" w:rsidR="00291D94" w:rsidRPr="003E6512" w:rsidRDefault="00291D94" w:rsidP="003748B3">
            <w:pPr>
              <w:pStyle w:val="NoSpacing"/>
            </w:pPr>
            <w:r w:rsidRPr="003E6512">
              <w:t>2.870±0.02</w:t>
            </w:r>
          </w:p>
        </w:tc>
      </w:tr>
      <w:tr w:rsidR="00291D94" w:rsidRPr="003E6512" w14:paraId="7BA0F60D" w14:textId="77777777" w:rsidTr="003748B3">
        <w:trPr>
          <w:trHeight w:val="559"/>
          <w:jc w:val="center"/>
        </w:trPr>
        <w:tc>
          <w:tcPr>
            <w:tcW w:w="1452" w:type="dxa"/>
            <w:tcBorders>
              <w:top w:val="single" w:sz="4" w:space="0" w:color="auto"/>
              <w:left w:val="single" w:sz="4" w:space="0" w:color="auto"/>
              <w:bottom w:val="single" w:sz="4" w:space="0" w:color="auto"/>
              <w:right w:val="single" w:sz="4" w:space="0" w:color="auto"/>
            </w:tcBorders>
            <w:vAlign w:val="bottom"/>
            <w:hideMark/>
          </w:tcPr>
          <w:p w14:paraId="0AAC098A" w14:textId="77777777" w:rsidR="00291D94" w:rsidRPr="003E6512" w:rsidRDefault="00291D94" w:rsidP="003748B3">
            <w:pPr>
              <w:pStyle w:val="NoSpacing"/>
            </w:pPr>
            <w:r w:rsidRPr="003E6512">
              <w:t>Fried seasoning</w:t>
            </w:r>
          </w:p>
        </w:tc>
        <w:tc>
          <w:tcPr>
            <w:tcW w:w="1520" w:type="dxa"/>
            <w:tcBorders>
              <w:top w:val="single" w:sz="4" w:space="0" w:color="auto"/>
              <w:left w:val="single" w:sz="4" w:space="0" w:color="auto"/>
              <w:bottom w:val="single" w:sz="4" w:space="0" w:color="auto"/>
              <w:right w:val="single" w:sz="4" w:space="0" w:color="auto"/>
            </w:tcBorders>
            <w:vAlign w:val="bottom"/>
            <w:hideMark/>
          </w:tcPr>
          <w:p w14:paraId="04F6BA3E" w14:textId="77777777" w:rsidR="00291D94" w:rsidRPr="003E6512" w:rsidRDefault="00291D94" w:rsidP="003748B3">
            <w:pPr>
              <w:pStyle w:val="NoSpacing"/>
            </w:pPr>
            <w:r w:rsidRPr="003E6512">
              <w:t>0.680±0.00</w:t>
            </w:r>
          </w:p>
        </w:tc>
        <w:tc>
          <w:tcPr>
            <w:tcW w:w="1382" w:type="dxa"/>
            <w:tcBorders>
              <w:top w:val="single" w:sz="4" w:space="0" w:color="auto"/>
              <w:left w:val="single" w:sz="4" w:space="0" w:color="auto"/>
              <w:bottom w:val="single" w:sz="4" w:space="0" w:color="auto"/>
              <w:right w:val="single" w:sz="4" w:space="0" w:color="auto"/>
            </w:tcBorders>
            <w:vAlign w:val="bottom"/>
            <w:hideMark/>
          </w:tcPr>
          <w:p w14:paraId="08539E77" w14:textId="77777777" w:rsidR="00291D94" w:rsidRPr="003E6512" w:rsidRDefault="00291D94" w:rsidP="003748B3">
            <w:pPr>
              <w:pStyle w:val="NoSpacing"/>
            </w:pPr>
            <w:r w:rsidRPr="003E6512">
              <w:t>BDL</w:t>
            </w:r>
          </w:p>
        </w:tc>
        <w:tc>
          <w:tcPr>
            <w:tcW w:w="1452" w:type="dxa"/>
            <w:tcBorders>
              <w:top w:val="single" w:sz="4" w:space="0" w:color="auto"/>
              <w:left w:val="single" w:sz="4" w:space="0" w:color="auto"/>
              <w:bottom w:val="single" w:sz="4" w:space="0" w:color="auto"/>
              <w:right w:val="single" w:sz="4" w:space="0" w:color="auto"/>
            </w:tcBorders>
            <w:vAlign w:val="bottom"/>
            <w:hideMark/>
          </w:tcPr>
          <w:p w14:paraId="0AF2E8B7" w14:textId="77777777" w:rsidR="00291D94" w:rsidRPr="003E6512" w:rsidRDefault="00291D94" w:rsidP="003748B3">
            <w:pPr>
              <w:pStyle w:val="NoSpacing"/>
            </w:pPr>
            <w:r w:rsidRPr="003E6512">
              <w:t>9.170±0.00</w:t>
            </w:r>
          </w:p>
        </w:tc>
        <w:tc>
          <w:tcPr>
            <w:tcW w:w="1451" w:type="dxa"/>
            <w:tcBorders>
              <w:top w:val="single" w:sz="4" w:space="0" w:color="auto"/>
              <w:left w:val="single" w:sz="4" w:space="0" w:color="auto"/>
              <w:bottom w:val="single" w:sz="4" w:space="0" w:color="auto"/>
              <w:right w:val="single" w:sz="4" w:space="0" w:color="auto"/>
            </w:tcBorders>
            <w:vAlign w:val="bottom"/>
            <w:hideMark/>
          </w:tcPr>
          <w:p w14:paraId="23D671C6" w14:textId="77777777" w:rsidR="00291D94" w:rsidRPr="003E6512" w:rsidRDefault="00291D94" w:rsidP="003748B3">
            <w:pPr>
              <w:pStyle w:val="NoSpacing"/>
            </w:pPr>
            <w:r w:rsidRPr="003E6512">
              <w:t>4.380±0.01</w:t>
            </w:r>
          </w:p>
        </w:tc>
        <w:tc>
          <w:tcPr>
            <w:tcW w:w="1452" w:type="dxa"/>
            <w:tcBorders>
              <w:top w:val="single" w:sz="4" w:space="0" w:color="auto"/>
              <w:left w:val="single" w:sz="4" w:space="0" w:color="auto"/>
              <w:bottom w:val="single" w:sz="4" w:space="0" w:color="auto"/>
              <w:right w:val="single" w:sz="4" w:space="0" w:color="auto"/>
            </w:tcBorders>
            <w:vAlign w:val="bottom"/>
            <w:hideMark/>
          </w:tcPr>
          <w:p w14:paraId="74D782BB" w14:textId="77777777" w:rsidR="00291D94" w:rsidRPr="003E6512" w:rsidRDefault="00291D94" w:rsidP="003748B3">
            <w:pPr>
              <w:pStyle w:val="NoSpacing"/>
            </w:pPr>
            <w:r w:rsidRPr="003E6512">
              <w:t>15.53±0.01</w:t>
            </w:r>
          </w:p>
        </w:tc>
        <w:tc>
          <w:tcPr>
            <w:tcW w:w="1451" w:type="dxa"/>
            <w:tcBorders>
              <w:top w:val="single" w:sz="4" w:space="0" w:color="auto"/>
              <w:left w:val="single" w:sz="4" w:space="0" w:color="auto"/>
              <w:bottom w:val="single" w:sz="4" w:space="0" w:color="auto"/>
              <w:right w:val="single" w:sz="4" w:space="0" w:color="auto"/>
            </w:tcBorders>
            <w:vAlign w:val="bottom"/>
            <w:hideMark/>
          </w:tcPr>
          <w:p w14:paraId="0ABF3CEB" w14:textId="77777777" w:rsidR="00291D94" w:rsidRPr="003E6512" w:rsidRDefault="00291D94" w:rsidP="003748B3">
            <w:pPr>
              <w:pStyle w:val="NoSpacing"/>
            </w:pPr>
            <w:r w:rsidRPr="003E6512">
              <w:t>3.670 ±0.01</w:t>
            </w:r>
          </w:p>
        </w:tc>
        <w:tc>
          <w:tcPr>
            <w:tcW w:w="1453" w:type="dxa"/>
            <w:tcBorders>
              <w:top w:val="single" w:sz="4" w:space="0" w:color="auto"/>
              <w:left w:val="single" w:sz="4" w:space="0" w:color="auto"/>
              <w:bottom w:val="single" w:sz="4" w:space="0" w:color="auto"/>
              <w:right w:val="single" w:sz="4" w:space="0" w:color="auto"/>
            </w:tcBorders>
            <w:vAlign w:val="bottom"/>
            <w:hideMark/>
          </w:tcPr>
          <w:p w14:paraId="6590B5F2" w14:textId="77777777" w:rsidR="00291D94" w:rsidRPr="003E6512" w:rsidRDefault="00291D94" w:rsidP="003748B3">
            <w:pPr>
              <w:pStyle w:val="NoSpacing"/>
            </w:pPr>
            <w:r w:rsidRPr="003E6512">
              <w:t>1.750±0.03</w:t>
            </w:r>
          </w:p>
        </w:tc>
      </w:tr>
      <w:tr w:rsidR="00291D94" w:rsidRPr="003E6512" w14:paraId="070DC5B2" w14:textId="77777777" w:rsidTr="003748B3">
        <w:trPr>
          <w:trHeight w:val="559"/>
          <w:jc w:val="center"/>
        </w:trPr>
        <w:tc>
          <w:tcPr>
            <w:tcW w:w="1452" w:type="dxa"/>
            <w:tcBorders>
              <w:top w:val="single" w:sz="4" w:space="0" w:color="auto"/>
              <w:left w:val="single" w:sz="4" w:space="0" w:color="auto"/>
              <w:bottom w:val="single" w:sz="4" w:space="0" w:color="auto"/>
              <w:right w:val="single" w:sz="4" w:space="0" w:color="auto"/>
            </w:tcBorders>
            <w:vAlign w:val="bottom"/>
            <w:hideMark/>
          </w:tcPr>
          <w:p w14:paraId="690C5B90" w14:textId="77777777" w:rsidR="00291D94" w:rsidRPr="003E6512" w:rsidRDefault="00291D94" w:rsidP="003748B3">
            <w:pPr>
              <w:pStyle w:val="NoSpacing"/>
            </w:pPr>
            <w:r w:rsidRPr="003E6512">
              <w:t>Yellow pepper</w:t>
            </w:r>
          </w:p>
        </w:tc>
        <w:tc>
          <w:tcPr>
            <w:tcW w:w="1520" w:type="dxa"/>
            <w:tcBorders>
              <w:top w:val="single" w:sz="4" w:space="0" w:color="auto"/>
              <w:left w:val="single" w:sz="4" w:space="0" w:color="auto"/>
              <w:bottom w:val="single" w:sz="4" w:space="0" w:color="auto"/>
              <w:right w:val="single" w:sz="4" w:space="0" w:color="auto"/>
            </w:tcBorders>
            <w:vAlign w:val="bottom"/>
            <w:hideMark/>
          </w:tcPr>
          <w:p w14:paraId="1A21937C" w14:textId="77777777" w:rsidR="00291D94" w:rsidRPr="003E6512" w:rsidRDefault="00291D94" w:rsidP="003748B3">
            <w:pPr>
              <w:pStyle w:val="NoSpacing"/>
            </w:pPr>
            <w:r w:rsidRPr="003E6512">
              <w:t>2.280±0.01</w:t>
            </w:r>
          </w:p>
        </w:tc>
        <w:tc>
          <w:tcPr>
            <w:tcW w:w="1382" w:type="dxa"/>
            <w:tcBorders>
              <w:top w:val="single" w:sz="4" w:space="0" w:color="auto"/>
              <w:left w:val="single" w:sz="4" w:space="0" w:color="auto"/>
              <w:bottom w:val="single" w:sz="4" w:space="0" w:color="auto"/>
              <w:right w:val="single" w:sz="4" w:space="0" w:color="auto"/>
            </w:tcBorders>
            <w:vAlign w:val="bottom"/>
            <w:hideMark/>
          </w:tcPr>
          <w:p w14:paraId="1523AC4E" w14:textId="77777777" w:rsidR="00291D94" w:rsidRPr="003E6512" w:rsidRDefault="00291D94" w:rsidP="003748B3">
            <w:pPr>
              <w:pStyle w:val="NoSpacing"/>
            </w:pPr>
            <w:r w:rsidRPr="003E6512">
              <w:t>1.310±0.01</w:t>
            </w:r>
          </w:p>
        </w:tc>
        <w:tc>
          <w:tcPr>
            <w:tcW w:w="1452" w:type="dxa"/>
            <w:tcBorders>
              <w:top w:val="single" w:sz="4" w:space="0" w:color="auto"/>
              <w:left w:val="single" w:sz="4" w:space="0" w:color="auto"/>
              <w:bottom w:val="single" w:sz="4" w:space="0" w:color="auto"/>
              <w:right w:val="single" w:sz="4" w:space="0" w:color="auto"/>
            </w:tcBorders>
            <w:vAlign w:val="bottom"/>
            <w:hideMark/>
          </w:tcPr>
          <w:p w14:paraId="1495DEEA" w14:textId="77777777" w:rsidR="00291D94" w:rsidRPr="003E6512" w:rsidRDefault="00291D94" w:rsidP="003748B3">
            <w:pPr>
              <w:pStyle w:val="NoSpacing"/>
            </w:pPr>
            <w:r w:rsidRPr="003E6512">
              <w:t>8.100±0.00</w:t>
            </w:r>
          </w:p>
        </w:tc>
        <w:tc>
          <w:tcPr>
            <w:tcW w:w="1451" w:type="dxa"/>
            <w:tcBorders>
              <w:top w:val="single" w:sz="4" w:space="0" w:color="auto"/>
              <w:left w:val="single" w:sz="4" w:space="0" w:color="auto"/>
              <w:bottom w:val="single" w:sz="4" w:space="0" w:color="auto"/>
              <w:right w:val="single" w:sz="4" w:space="0" w:color="auto"/>
            </w:tcBorders>
            <w:vAlign w:val="bottom"/>
            <w:hideMark/>
          </w:tcPr>
          <w:p w14:paraId="549581C9" w14:textId="77777777" w:rsidR="00291D94" w:rsidRPr="003E6512" w:rsidRDefault="00291D94" w:rsidP="003748B3">
            <w:pPr>
              <w:pStyle w:val="NoSpacing"/>
            </w:pPr>
            <w:r w:rsidRPr="003E6512">
              <w:t>23.51±0.01</w:t>
            </w:r>
          </w:p>
        </w:tc>
        <w:tc>
          <w:tcPr>
            <w:tcW w:w="1452" w:type="dxa"/>
            <w:tcBorders>
              <w:top w:val="single" w:sz="4" w:space="0" w:color="auto"/>
              <w:left w:val="single" w:sz="4" w:space="0" w:color="auto"/>
              <w:bottom w:val="single" w:sz="4" w:space="0" w:color="auto"/>
              <w:right w:val="single" w:sz="4" w:space="0" w:color="auto"/>
            </w:tcBorders>
            <w:vAlign w:val="bottom"/>
            <w:hideMark/>
          </w:tcPr>
          <w:p w14:paraId="06A0E081" w14:textId="77777777" w:rsidR="00291D94" w:rsidRPr="003E6512" w:rsidRDefault="00291D94" w:rsidP="003748B3">
            <w:pPr>
              <w:pStyle w:val="NoSpacing"/>
            </w:pPr>
            <w:r w:rsidRPr="003E6512">
              <w:t>20.06±0.00</w:t>
            </w:r>
          </w:p>
        </w:tc>
        <w:tc>
          <w:tcPr>
            <w:tcW w:w="1451" w:type="dxa"/>
            <w:tcBorders>
              <w:top w:val="single" w:sz="4" w:space="0" w:color="auto"/>
              <w:left w:val="single" w:sz="4" w:space="0" w:color="auto"/>
              <w:bottom w:val="single" w:sz="4" w:space="0" w:color="auto"/>
              <w:right w:val="single" w:sz="4" w:space="0" w:color="auto"/>
            </w:tcBorders>
            <w:vAlign w:val="bottom"/>
            <w:hideMark/>
          </w:tcPr>
          <w:p w14:paraId="64D1583A" w14:textId="77777777" w:rsidR="00291D94" w:rsidRPr="003E6512" w:rsidRDefault="00291D94" w:rsidP="003748B3">
            <w:pPr>
              <w:pStyle w:val="NoSpacing"/>
            </w:pPr>
            <w:r w:rsidRPr="003E6512">
              <w:t>2.460±0.00</w:t>
            </w:r>
          </w:p>
        </w:tc>
        <w:tc>
          <w:tcPr>
            <w:tcW w:w="1453" w:type="dxa"/>
            <w:tcBorders>
              <w:top w:val="single" w:sz="4" w:space="0" w:color="auto"/>
              <w:left w:val="single" w:sz="4" w:space="0" w:color="auto"/>
              <w:bottom w:val="single" w:sz="4" w:space="0" w:color="auto"/>
              <w:right w:val="single" w:sz="4" w:space="0" w:color="auto"/>
            </w:tcBorders>
            <w:vAlign w:val="bottom"/>
            <w:hideMark/>
          </w:tcPr>
          <w:p w14:paraId="4E329F15" w14:textId="77777777" w:rsidR="00291D94" w:rsidRPr="003E6512" w:rsidRDefault="00291D94" w:rsidP="003748B3">
            <w:pPr>
              <w:pStyle w:val="NoSpacing"/>
            </w:pPr>
            <w:r w:rsidRPr="003E6512">
              <w:t>7.890±0.02</w:t>
            </w:r>
          </w:p>
        </w:tc>
      </w:tr>
      <w:tr w:rsidR="00291D94" w:rsidRPr="003E6512" w14:paraId="06C7249F" w14:textId="77777777" w:rsidTr="003748B3">
        <w:trPr>
          <w:trHeight w:val="559"/>
          <w:jc w:val="center"/>
        </w:trPr>
        <w:tc>
          <w:tcPr>
            <w:tcW w:w="1452" w:type="dxa"/>
            <w:tcBorders>
              <w:top w:val="single" w:sz="4" w:space="0" w:color="auto"/>
              <w:left w:val="single" w:sz="4" w:space="0" w:color="auto"/>
              <w:bottom w:val="single" w:sz="4" w:space="0" w:color="auto"/>
              <w:right w:val="single" w:sz="4" w:space="0" w:color="auto"/>
            </w:tcBorders>
            <w:vAlign w:val="bottom"/>
            <w:hideMark/>
          </w:tcPr>
          <w:p w14:paraId="3665E1B5" w14:textId="77777777" w:rsidR="00291D94" w:rsidRPr="003E6512" w:rsidRDefault="00291D94" w:rsidP="003748B3">
            <w:pPr>
              <w:pStyle w:val="NoSpacing"/>
            </w:pPr>
            <w:r w:rsidRPr="003E6512">
              <w:t>Garlic powder</w:t>
            </w:r>
          </w:p>
        </w:tc>
        <w:tc>
          <w:tcPr>
            <w:tcW w:w="1520" w:type="dxa"/>
            <w:tcBorders>
              <w:top w:val="single" w:sz="4" w:space="0" w:color="auto"/>
              <w:left w:val="single" w:sz="4" w:space="0" w:color="auto"/>
              <w:bottom w:val="single" w:sz="4" w:space="0" w:color="auto"/>
              <w:right w:val="single" w:sz="4" w:space="0" w:color="auto"/>
            </w:tcBorders>
            <w:vAlign w:val="bottom"/>
            <w:hideMark/>
          </w:tcPr>
          <w:p w14:paraId="7D909E63" w14:textId="77777777" w:rsidR="00291D94" w:rsidRPr="003E6512" w:rsidRDefault="00291D94" w:rsidP="003748B3">
            <w:pPr>
              <w:pStyle w:val="NoSpacing"/>
            </w:pPr>
            <w:r w:rsidRPr="003E6512">
              <w:t>0.760±0.012</w:t>
            </w:r>
          </w:p>
        </w:tc>
        <w:tc>
          <w:tcPr>
            <w:tcW w:w="1382" w:type="dxa"/>
            <w:tcBorders>
              <w:top w:val="single" w:sz="4" w:space="0" w:color="auto"/>
              <w:left w:val="single" w:sz="4" w:space="0" w:color="auto"/>
              <w:bottom w:val="single" w:sz="4" w:space="0" w:color="auto"/>
              <w:right w:val="single" w:sz="4" w:space="0" w:color="auto"/>
            </w:tcBorders>
            <w:vAlign w:val="bottom"/>
            <w:hideMark/>
          </w:tcPr>
          <w:p w14:paraId="301940AA" w14:textId="77777777" w:rsidR="00291D94" w:rsidRPr="003E6512" w:rsidRDefault="00291D94" w:rsidP="003748B3">
            <w:pPr>
              <w:pStyle w:val="NoSpacing"/>
            </w:pPr>
            <w:r w:rsidRPr="003E6512">
              <w:t>0.690±0.00</w:t>
            </w:r>
          </w:p>
        </w:tc>
        <w:tc>
          <w:tcPr>
            <w:tcW w:w="1452" w:type="dxa"/>
            <w:tcBorders>
              <w:top w:val="single" w:sz="4" w:space="0" w:color="auto"/>
              <w:left w:val="single" w:sz="4" w:space="0" w:color="auto"/>
              <w:bottom w:val="single" w:sz="4" w:space="0" w:color="auto"/>
              <w:right w:val="single" w:sz="4" w:space="0" w:color="auto"/>
            </w:tcBorders>
            <w:vAlign w:val="bottom"/>
            <w:hideMark/>
          </w:tcPr>
          <w:p w14:paraId="53D2879C" w14:textId="77777777" w:rsidR="00291D94" w:rsidRPr="003E6512" w:rsidRDefault="00291D94" w:rsidP="003748B3">
            <w:pPr>
              <w:pStyle w:val="NoSpacing"/>
            </w:pPr>
            <w:r w:rsidRPr="003E6512">
              <w:t>10.88±0.012</w:t>
            </w:r>
          </w:p>
        </w:tc>
        <w:tc>
          <w:tcPr>
            <w:tcW w:w="1451" w:type="dxa"/>
            <w:tcBorders>
              <w:top w:val="single" w:sz="4" w:space="0" w:color="auto"/>
              <w:left w:val="single" w:sz="4" w:space="0" w:color="auto"/>
              <w:bottom w:val="single" w:sz="4" w:space="0" w:color="auto"/>
              <w:right w:val="single" w:sz="4" w:space="0" w:color="auto"/>
            </w:tcBorders>
            <w:vAlign w:val="bottom"/>
            <w:hideMark/>
          </w:tcPr>
          <w:p w14:paraId="4EA93AF2" w14:textId="77777777" w:rsidR="00291D94" w:rsidRPr="003E6512" w:rsidRDefault="00291D94" w:rsidP="003748B3">
            <w:pPr>
              <w:pStyle w:val="NoSpacing"/>
            </w:pPr>
            <w:r w:rsidRPr="003E6512">
              <w:t>11.53±0.00</w:t>
            </w:r>
          </w:p>
        </w:tc>
        <w:tc>
          <w:tcPr>
            <w:tcW w:w="1452" w:type="dxa"/>
            <w:tcBorders>
              <w:top w:val="single" w:sz="4" w:space="0" w:color="auto"/>
              <w:left w:val="single" w:sz="4" w:space="0" w:color="auto"/>
              <w:bottom w:val="single" w:sz="4" w:space="0" w:color="auto"/>
              <w:right w:val="single" w:sz="4" w:space="0" w:color="auto"/>
            </w:tcBorders>
            <w:vAlign w:val="bottom"/>
            <w:hideMark/>
          </w:tcPr>
          <w:p w14:paraId="4D47367F" w14:textId="77777777" w:rsidR="00291D94" w:rsidRPr="003E6512" w:rsidRDefault="00291D94" w:rsidP="003748B3">
            <w:pPr>
              <w:pStyle w:val="NoSpacing"/>
            </w:pPr>
            <w:r w:rsidRPr="003E6512">
              <w:t>13.12±0.00</w:t>
            </w:r>
          </w:p>
        </w:tc>
        <w:tc>
          <w:tcPr>
            <w:tcW w:w="1451" w:type="dxa"/>
            <w:tcBorders>
              <w:top w:val="single" w:sz="4" w:space="0" w:color="auto"/>
              <w:left w:val="single" w:sz="4" w:space="0" w:color="auto"/>
              <w:bottom w:val="single" w:sz="4" w:space="0" w:color="auto"/>
              <w:right w:val="single" w:sz="4" w:space="0" w:color="auto"/>
            </w:tcBorders>
            <w:vAlign w:val="bottom"/>
            <w:hideMark/>
          </w:tcPr>
          <w:p w14:paraId="40028525" w14:textId="77777777" w:rsidR="00291D94" w:rsidRPr="003E6512" w:rsidRDefault="00291D94" w:rsidP="003748B3">
            <w:pPr>
              <w:pStyle w:val="NoSpacing"/>
            </w:pPr>
            <w:r w:rsidRPr="003E6512">
              <w:t>3.420±0.01</w:t>
            </w:r>
          </w:p>
        </w:tc>
        <w:tc>
          <w:tcPr>
            <w:tcW w:w="1453" w:type="dxa"/>
            <w:tcBorders>
              <w:top w:val="single" w:sz="4" w:space="0" w:color="auto"/>
              <w:left w:val="single" w:sz="4" w:space="0" w:color="auto"/>
              <w:bottom w:val="single" w:sz="4" w:space="0" w:color="auto"/>
              <w:right w:val="single" w:sz="4" w:space="0" w:color="auto"/>
            </w:tcBorders>
            <w:vAlign w:val="bottom"/>
            <w:hideMark/>
          </w:tcPr>
          <w:p w14:paraId="3BBAC292" w14:textId="77777777" w:rsidR="00291D94" w:rsidRPr="003E6512" w:rsidRDefault="00291D94" w:rsidP="003748B3">
            <w:pPr>
              <w:pStyle w:val="NoSpacing"/>
            </w:pPr>
            <w:r w:rsidRPr="003E6512">
              <w:t>4.270±0.00</w:t>
            </w:r>
          </w:p>
        </w:tc>
      </w:tr>
      <w:tr w:rsidR="00291D94" w:rsidRPr="003E6512" w14:paraId="74251A1C" w14:textId="77777777" w:rsidTr="003748B3">
        <w:trPr>
          <w:trHeight w:val="559"/>
          <w:jc w:val="center"/>
        </w:trPr>
        <w:tc>
          <w:tcPr>
            <w:tcW w:w="1452" w:type="dxa"/>
            <w:tcBorders>
              <w:top w:val="single" w:sz="4" w:space="0" w:color="auto"/>
              <w:left w:val="single" w:sz="4" w:space="0" w:color="auto"/>
              <w:bottom w:val="single" w:sz="4" w:space="0" w:color="auto"/>
              <w:right w:val="single" w:sz="4" w:space="0" w:color="auto"/>
            </w:tcBorders>
            <w:vAlign w:val="bottom"/>
            <w:hideMark/>
          </w:tcPr>
          <w:p w14:paraId="20D4A97A" w14:textId="77777777" w:rsidR="00291D94" w:rsidRPr="003E6512" w:rsidRDefault="00291D94" w:rsidP="003748B3">
            <w:pPr>
              <w:pStyle w:val="NoSpacing"/>
            </w:pPr>
            <w:r w:rsidRPr="003E6512">
              <w:t>Turmeric powder</w:t>
            </w:r>
          </w:p>
        </w:tc>
        <w:tc>
          <w:tcPr>
            <w:tcW w:w="1520" w:type="dxa"/>
            <w:tcBorders>
              <w:top w:val="single" w:sz="4" w:space="0" w:color="auto"/>
              <w:left w:val="single" w:sz="4" w:space="0" w:color="auto"/>
              <w:bottom w:val="single" w:sz="4" w:space="0" w:color="auto"/>
              <w:right w:val="single" w:sz="4" w:space="0" w:color="auto"/>
            </w:tcBorders>
            <w:vAlign w:val="bottom"/>
            <w:hideMark/>
          </w:tcPr>
          <w:p w14:paraId="19766C43" w14:textId="77777777" w:rsidR="00291D94" w:rsidRPr="003E6512" w:rsidRDefault="00291D94" w:rsidP="003748B3">
            <w:pPr>
              <w:pStyle w:val="NoSpacing"/>
            </w:pPr>
            <w:r w:rsidRPr="003E6512">
              <w:t>1.030±0.01</w:t>
            </w:r>
          </w:p>
        </w:tc>
        <w:tc>
          <w:tcPr>
            <w:tcW w:w="1382" w:type="dxa"/>
            <w:tcBorders>
              <w:top w:val="single" w:sz="4" w:space="0" w:color="auto"/>
              <w:left w:val="single" w:sz="4" w:space="0" w:color="auto"/>
              <w:bottom w:val="single" w:sz="4" w:space="0" w:color="auto"/>
              <w:right w:val="single" w:sz="4" w:space="0" w:color="auto"/>
            </w:tcBorders>
            <w:vAlign w:val="bottom"/>
            <w:hideMark/>
          </w:tcPr>
          <w:p w14:paraId="6F240FFE" w14:textId="77777777" w:rsidR="00291D94" w:rsidRPr="003E6512" w:rsidRDefault="00291D94" w:rsidP="003748B3">
            <w:pPr>
              <w:pStyle w:val="NoSpacing"/>
            </w:pPr>
            <w:r w:rsidRPr="003E6512">
              <w:t>0.930±0.02</w:t>
            </w:r>
          </w:p>
        </w:tc>
        <w:tc>
          <w:tcPr>
            <w:tcW w:w="1452" w:type="dxa"/>
            <w:tcBorders>
              <w:top w:val="single" w:sz="4" w:space="0" w:color="auto"/>
              <w:left w:val="single" w:sz="4" w:space="0" w:color="auto"/>
              <w:bottom w:val="single" w:sz="4" w:space="0" w:color="auto"/>
              <w:right w:val="single" w:sz="4" w:space="0" w:color="auto"/>
            </w:tcBorders>
            <w:vAlign w:val="bottom"/>
            <w:hideMark/>
          </w:tcPr>
          <w:p w14:paraId="55867251" w14:textId="77777777" w:rsidR="00291D94" w:rsidRPr="003E6512" w:rsidRDefault="00291D94" w:rsidP="003748B3">
            <w:pPr>
              <w:pStyle w:val="NoSpacing"/>
            </w:pPr>
            <w:r w:rsidRPr="003E6512">
              <w:t>12.96±0.00</w:t>
            </w:r>
          </w:p>
        </w:tc>
        <w:tc>
          <w:tcPr>
            <w:tcW w:w="1451" w:type="dxa"/>
            <w:tcBorders>
              <w:top w:val="single" w:sz="4" w:space="0" w:color="auto"/>
              <w:left w:val="single" w:sz="4" w:space="0" w:color="auto"/>
              <w:bottom w:val="single" w:sz="4" w:space="0" w:color="auto"/>
              <w:right w:val="single" w:sz="4" w:space="0" w:color="auto"/>
            </w:tcBorders>
            <w:vAlign w:val="bottom"/>
            <w:hideMark/>
          </w:tcPr>
          <w:p w14:paraId="21DC6EC3" w14:textId="77777777" w:rsidR="00291D94" w:rsidRPr="003E6512" w:rsidRDefault="00291D94" w:rsidP="003748B3">
            <w:pPr>
              <w:pStyle w:val="NoSpacing"/>
            </w:pPr>
            <w:r w:rsidRPr="003E6512">
              <w:t>18.63±0.01</w:t>
            </w:r>
          </w:p>
        </w:tc>
        <w:tc>
          <w:tcPr>
            <w:tcW w:w="1452" w:type="dxa"/>
            <w:tcBorders>
              <w:top w:val="single" w:sz="4" w:space="0" w:color="auto"/>
              <w:left w:val="single" w:sz="4" w:space="0" w:color="auto"/>
              <w:bottom w:val="single" w:sz="4" w:space="0" w:color="auto"/>
              <w:right w:val="single" w:sz="4" w:space="0" w:color="auto"/>
            </w:tcBorders>
            <w:vAlign w:val="bottom"/>
            <w:hideMark/>
          </w:tcPr>
          <w:p w14:paraId="2091E072" w14:textId="77777777" w:rsidR="00291D94" w:rsidRPr="00291D94" w:rsidRDefault="00291D94" w:rsidP="003748B3">
            <w:pPr>
              <w:pStyle w:val="NoSpacing"/>
              <w:rPr>
                <w:b/>
                <w:bCs/>
              </w:rPr>
            </w:pPr>
            <w:r w:rsidRPr="00291D94">
              <w:rPr>
                <w:b/>
                <w:bCs/>
              </w:rPr>
              <w:t>403.8±0.02</w:t>
            </w:r>
          </w:p>
        </w:tc>
        <w:tc>
          <w:tcPr>
            <w:tcW w:w="1451" w:type="dxa"/>
            <w:tcBorders>
              <w:top w:val="single" w:sz="4" w:space="0" w:color="auto"/>
              <w:left w:val="single" w:sz="4" w:space="0" w:color="auto"/>
              <w:bottom w:val="single" w:sz="4" w:space="0" w:color="auto"/>
              <w:right w:val="single" w:sz="4" w:space="0" w:color="auto"/>
            </w:tcBorders>
            <w:vAlign w:val="bottom"/>
            <w:hideMark/>
          </w:tcPr>
          <w:p w14:paraId="175C3255" w14:textId="77777777" w:rsidR="00291D94" w:rsidRPr="003E6512" w:rsidRDefault="00291D94" w:rsidP="003748B3">
            <w:pPr>
              <w:pStyle w:val="NoSpacing"/>
            </w:pPr>
            <w:r w:rsidRPr="003E6512">
              <w:t>2.740±0.01</w:t>
            </w:r>
          </w:p>
        </w:tc>
        <w:tc>
          <w:tcPr>
            <w:tcW w:w="1453" w:type="dxa"/>
            <w:tcBorders>
              <w:top w:val="single" w:sz="4" w:space="0" w:color="auto"/>
              <w:left w:val="single" w:sz="4" w:space="0" w:color="auto"/>
              <w:bottom w:val="single" w:sz="4" w:space="0" w:color="auto"/>
              <w:right w:val="single" w:sz="4" w:space="0" w:color="auto"/>
            </w:tcBorders>
            <w:vAlign w:val="bottom"/>
            <w:hideMark/>
          </w:tcPr>
          <w:p w14:paraId="4703B434" w14:textId="77777777" w:rsidR="00291D94" w:rsidRPr="003E6512" w:rsidRDefault="00291D94" w:rsidP="003748B3">
            <w:pPr>
              <w:pStyle w:val="NoSpacing"/>
            </w:pPr>
            <w:r w:rsidRPr="003E6512">
              <w:t>0.270±0.01</w:t>
            </w:r>
          </w:p>
        </w:tc>
      </w:tr>
      <w:tr w:rsidR="00291D94" w:rsidRPr="003E6512" w14:paraId="1D69A54F" w14:textId="77777777" w:rsidTr="003748B3">
        <w:trPr>
          <w:trHeight w:val="559"/>
          <w:jc w:val="center"/>
        </w:trPr>
        <w:tc>
          <w:tcPr>
            <w:tcW w:w="1452" w:type="dxa"/>
            <w:tcBorders>
              <w:top w:val="single" w:sz="4" w:space="0" w:color="auto"/>
              <w:left w:val="single" w:sz="4" w:space="0" w:color="auto"/>
              <w:bottom w:val="single" w:sz="4" w:space="0" w:color="auto"/>
              <w:right w:val="single" w:sz="4" w:space="0" w:color="auto"/>
            </w:tcBorders>
            <w:vAlign w:val="bottom"/>
            <w:hideMark/>
          </w:tcPr>
          <w:p w14:paraId="4E67A19A" w14:textId="77777777" w:rsidR="00291D94" w:rsidRPr="003E6512" w:rsidRDefault="00291D94" w:rsidP="003748B3">
            <w:pPr>
              <w:pStyle w:val="NoSpacing"/>
            </w:pPr>
            <w:r w:rsidRPr="003E6512">
              <w:t>Ginger powder</w:t>
            </w:r>
          </w:p>
        </w:tc>
        <w:tc>
          <w:tcPr>
            <w:tcW w:w="1520" w:type="dxa"/>
            <w:tcBorders>
              <w:top w:val="single" w:sz="4" w:space="0" w:color="auto"/>
              <w:left w:val="single" w:sz="4" w:space="0" w:color="auto"/>
              <w:bottom w:val="single" w:sz="4" w:space="0" w:color="auto"/>
              <w:right w:val="single" w:sz="4" w:space="0" w:color="auto"/>
            </w:tcBorders>
            <w:vAlign w:val="bottom"/>
            <w:hideMark/>
          </w:tcPr>
          <w:p w14:paraId="78AF6D7B" w14:textId="77777777" w:rsidR="00291D94" w:rsidRPr="003E6512" w:rsidRDefault="00291D94" w:rsidP="003748B3">
            <w:pPr>
              <w:pStyle w:val="NoSpacing"/>
            </w:pPr>
            <w:r w:rsidRPr="003E6512">
              <w:t>1.270±0.00</w:t>
            </w:r>
          </w:p>
        </w:tc>
        <w:tc>
          <w:tcPr>
            <w:tcW w:w="1382" w:type="dxa"/>
            <w:tcBorders>
              <w:top w:val="single" w:sz="4" w:space="0" w:color="auto"/>
              <w:left w:val="single" w:sz="4" w:space="0" w:color="auto"/>
              <w:bottom w:val="single" w:sz="4" w:space="0" w:color="auto"/>
              <w:right w:val="single" w:sz="4" w:space="0" w:color="auto"/>
            </w:tcBorders>
            <w:vAlign w:val="bottom"/>
            <w:hideMark/>
          </w:tcPr>
          <w:p w14:paraId="7D07EE08" w14:textId="77777777" w:rsidR="00291D94" w:rsidRPr="003E6512" w:rsidRDefault="00291D94" w:rsidP="003748B3">
            <w:pPr>
              <w:pStyle w:val="NoSpacing"/>
            </w:pPr>
            <w:r w:rsidRPr="003E6512">
              <w:t>0.000±0.00</w:t>
            </w:r>
          </w:p>
        </w:tc>
        <w:tc>
          <w:tcPr>
            <w:tcW w:w="1452" w:type="dxa"/>
            <w:tcBorders>
              <w:top w:val="single" w:sz="4" w:space="0" w:color="auto"/>
              <w:left w:val="single" w:sz="4" w:space="0" w:color="auto"/>
              <w:bottom w:val="single" w:sz="4" w:space="0" w:color="auto"/>
              <w:right w:val="single" w:sz="4" w:space="0" w:color="auto"/>
            </w:tcBorders>
            <w:vAlign w:val="bottom"/>
            <w:hideMark/>
          </w:tcPr>
          <w:p w14:paraId="3443ADE8" w14:textId="77777777" w:rsidR="00291D94" w:rsidRPr="003E6512" w:rsidRDefault="00291D94" w:rsidP="003748B3">
            <w:pPr>
              <w:pStyle w:val="NoSpacing"/>
            </w:pPr>
            <w:r w:rsidRPr="003E6512">
              <w:t>15.13±0.00</w:t>
            </w:r>
          </w:p>
        </w:tc>
        <w:tc>
          <w:tcPr>
            <w:tcW w:w="1451" w:type="dxa"/>
            <w:tcBorders>
              <w:top w:val="single" w:sz="4" w:space="0" w:color="auto"/>
              <w:left w:val="single" w:sz="4" w:space="0" w:color="auto"/>
              <w:bottom w:val="single" w:sz="4" w:space="0" w:color="auto"/>
              <w:right w:val="single" w:sz="4" w:space="0" w:color="auto"/>
            </w:tcBorders>
            <w:vAlign w:val="bottom"/>
            <w:hideMark/>
          </w:tcPr>
          <w:p w14:paraId="237360A5" w14:textId="77777777" w:rsidR="00291D94" w:rsidRPr="003E6512" w:rsidRDefault="00291D94" w:rsidP="003748B3">
            <w:pPr>
              <w:pStyle w:val="NoSpacing"/>
            </w:pPr>
            <w:r w:rsidRPr="003E6512">
              <w:t>27.53±0.00</w:t>
            </w:r>
          </w:p>
        </w:tc>
        <w:tc>
          <w:tcPr>
            <w:tcW w:w="1452" w:type="dxa"/>
            <w:tcBorders>
              <w:top w:val="single" w:sz="4" w:space="0" w:color="auto"/>
              <w:left w:val="single" w:sz="4" w:space="0" w:color="auto"/>
              <w:bottom w:val="single" w:sz="4" w:space="0" w:color="auto"/>
              <w:right w:val="single" w:sz="4" w:space="0" w:color="auto"/>
            </w:tcBorders>
            <w:vAlign w:val="bottom"/>
            <w:hideMark/>
          </w:tcPr>
          <w:p w14:paraId="1C4F58BC" w14:textId="77777777" w:rsidR="00291D94" w:rsidRPr="003E6512" w:rsidRDefault="00291D94" w:rsidP="003748B3">
            <w:pPr>
              <w:pStyle w:val="NoSpacing"/>
            </w:pPr>
            <w:r w:rsidRPr="003E6512">
              <w:t>598.8±0.03</w:t>
            </w:r>
          </w:p>
        </w:tc>
        <w:tc>
          <w:tcPr>
            <w:tcW w:w="1451" w:type="dxa"/>
            <w:tcBorders>
              <w:top w:val="single" w:sz="4" w:space="0" w:color="auto"/>
              <w:left w:val="single" w:sz="4" w:space="0" w:color="auto"/>
              <w:bottom w:val="single" w:sz="4" w:space="0" w:color="auto"/>
              <w:right w:val="single" w:sz="4" w:space="0" w:color="auto"/>
            </w:tcBorders>
            <w:vAlign w:val="bottom"/>
            <w:hideMark/>
          </w:tcPr>
          <w:p w14:paraId="2B0BE004" w14:textId="77777777" w:rsidR="00291D94" w:rsidRPr="003E6512" w:rsidRDefault="00291D94" w:rsidP="003748B3">
            <w:pPr>
              <w:pStyle w:val="NoSpacing"/>
            </w:pPr>
            <w:r w:rsidRPr="003E6512">
              <w:t>3.710±0.00</w:t>
            </w:r>
          </w:p>
        </w:tc>
        <w:tc>
          <w:tcPr>
            <w:tcW w:w="1453" w:type="dxa"/>
            <w:tcBorders>
              <w:top w:val="single" w:sz="4" w:space="0" w:color="auto"/>
              <w:left w:val="single" w:sz="4" w:space="0" w:color="auto"/>
              <w:bottom w:val="single" w:sz="4" w:space="0" w:color="auto"/>
              <w:right w:val="single" w:sz="4" w:space="0" w:color="auto"/>
            </w:tcBorders>
            <w:vAlign w:val="bottom"/>
            <w:hideMark/>
          </w:tcPr>
          <w:p w14:paraId="019DCA61" w14:textId="77777777" w:rsidR="00291D94" w:rsidRPr="003E6512" w:rsidRDefault="00291D94" w:rsidP="003748B3">
            <w:pPr>
              <w:pStyle w:val="NoSpacing"/>
            </w:pPr>
            <w:r w:rsidRPr="003E6512">
              <w:t>3.120±0.00</w:t>
            </w:r>
          </w:p>
        </w:tc>
      </w:tr>
      <w:tr w:rsidR="00291D94" w:rsidRPr="003E6512" w14:paraId="291E15CC" w14:textId="77777777" w:rsidTr="003748B3">
        <w:trPr>
          <w:trHeight w:val="559"/>
          <w:jc w:val="center"/>
        </w:trPr>
        <w:tc>
          <w:tcPr>
            <w:tcW w:w="1452" w:type="dxa"/>
            <w:tcBorders>
              <w:top w:val="single" w:sz="4" w:space="0" w:color="auto"/>
              <w:left w:val="single" w:sz="4" w:space="0" w:color="auto"/>
              <w:bottom w:val="single" w:sz="4" w:space="0" w:color="auto"/>
              <w:right w:val="single" w:sz="4" w:space="0" w:color="auto"/>
            </w:tcBorders>
            <w:vAlign w:val="bottom"/>
            <w:hideMark/>
          </w:tcPr>
          <w:p w14:paraId="78F798C5" w14:textId="77777777" w:rsidR="00291D94" w:rsidRPr="003E6512" w:rsidRDefault="00291D94" w:rsidP="003748B3">
            <w:pPr>
              <w:pStyle w:val="NoSpacing"/>
            </w:pPr>
            <w:r w:rsidRPr="003E6512">
              <w:t>Thyme leaves</w:t>
            </w:r>
          </w:p>
        </w:tc>
        <w:tc>
          <w:tcPr>
            <w:tcW w:w="1520" w:type="dxa"/>
            <w:tcBorders>
              <w:top w:val="single" w:sz="4" w:space="0" w:color="auto"/>
              <w:left w:val="single" w:sz="4" w:space="0" w:color="auto"/>
              <w:bottom w:val="single" w:sz="4" w:space="0" w:color="auto"/>
              <w:right w:val="single" w:sz="4" w:space="0" w:color="auto"/>
            </w:tcBorders>
            <w:vAlign w:val="bottom"/>
            <w:hideMark/>
          </w:tcPr>
          <w:p w14:paraId="4DACB770" w14:textId="77777777" w:rsidR="00291D94" w:rsidRPr="003E6512" w:rsidRDefault="00291D94" w:rsidP="003748B3">
            <w:pPr>
              <w:pStyle w:val="NoSpacing"/>
            </w:pPr>
            <w:r w:rsidRPr="003E6512">
              <w:t>1.230±0.011</w:t>
            </w:r>
          </w:p>
        </w:tc>
        <w:tc>
          <w:tcPr>
            <w:tcW w:w="1382" w:type="dxa"/>
            <w:tcBorders>
              <w:top w:val="single" w:sz="4" w:space="0" w:color="auto"/>
              <w:left w:val="single" w:sz="4" w:space="0" w:color="auto"/>
              <w:bottom w:val="single" w:sz="4" w:space="0" w:color="auto"/>
              <w:right w:val="single" w:sz="4" w:space="0" w:color="auto"/>
            </w:tcBorders>
            <w:vAlign w:val="bottom"/>
            <w:hideMark/>
          </w:tcPr>
          <w:p w14:paraId="76061B47" w14:textId="77777777" w:rsidR="00291D94" w:rsidRPr="003E6512" w:rsidRDefault="00291D94" w:rsidP="003748B3">
            <w:pPr>
              <w:pStyle w:val="NoSpacing"/>
            </w:pPr>
            <w:r w:rsidRPr="003E6512">
              <w:t>0.000±0.01</w:t>
            </w:r>
          </w:p>
        </w:tc>
        <w:tc>
          <w:tcPr>
            <w:tcW w:w="1452" w:type="dxa"/>
            <w:tcBorders>
              <w:top w:val="single" w:sz="4" w:space="0" w:color="auto"/>
              <w:left w:val="single" w:sz="4" w:space="0" w:color="auto"/>
              <w:bottom w:val="single" w:sz="4" w:space="0" w:color="auto"/>
              <w:right w:val="single" w:sz="4" w:space="0" w:color="auto"/>
            </w:tcBorders>
            <w:vAlign w:val="bottom"/>
            <w:hideMark/>
          </w:tcPr>
          <w:p w14:paraId="63515998" w14:textId="77777777" w:rsidR="00291D94" w:rsidRPr="003E6512" w:rsidRDefault="00291D94" w:rsidP="003748B3">
            <w:pPr>
              <w:pStyle w:val="NoSpacing"/>
            </w:pPr>
            <w:r w:rsidRPr="003E6512">
              <w:t>18.40±0.00</w:t>
            </w:r>
          </w:p>
        </w:tc>
        <w:tc>
          <w:tcPr>
            <w:tcW w:w="1451" w:type="dxa"/>
            <w:tcBorders>
              <w:top w:val="single" w:sz="4" w:space="0" w:color="auto"/>
              <w:left w:val="single" w:sz="4" w:space="0" w:color="auto"/>
              <w:bottom w:val="single" w:sz="4" w:space="0" w:color="auto"/>
              <w:right w:val="single" w:sz="4" w:space="0" w:color="auto"/>
            </w:tcBorders>
            <w:vAlign w:val="bottom"/>
            <w:hideMark/>
          </w:tcPr>
          <w:p w14:paraId="42E6FE26" w14:textId="77777777" w:rsidR="00291D94" w:rsidRPr="003E6512" w:rsidRDefault="00291D94" w:rsidP="003748B3">
            <w:pPr>
              <w:pStyle w:val="NoSpacing"/>
            </w:pPr>
            <w:r w:rsidRPr="003E6512">
              <w:t>31.84±0.02</w:t>
            </w:r>
          </w:p>
        </w:tc>
        <w:tc>
          <w:tcPr>
            <w:tcW w:w="1452" w:type="dxa"/>
            <w:tcBorders>
              <w:top w:val="single" w:sz="4" w:space="0" w:color="auto"/>
              <w:left w:val="single" w:sz="4" w:space="0" w:color="auto"/>
              <w:bottom w:val="single" w:sz="4" w:space="0" w:color="auto"/>
              <w:right w:val="single" w:sz="4" w:space="0" w:color="auto"/>
            </w:tcBorders>
            <w:vAlign w:val="bottom"/>
            <w:hideMark/>
          </w:tcPr>
          <w:p w14:paraId="32B0E128" w14:textId="77777777" w:rsidR="00291D94" w:rsidRPr="003E6512" w:rsidRDefault="00291D94" w:rsidP="003748B3">
            <w:pPr>
              <w:pStyle w:val="NoSpacing"/>
            </w:pPr>
            <w:r w:rsidRPr="003E6512">
              <w:t>69.89±0.02</w:t>
            </w:r>
          </w:p>
        </w:tc>
        <w:tc>
          <w:tcPr>
            <w:tcW w:w="1451" w:type="dxa"/>
            <w:tcBorders>
              <w:top w:val="single" w:sz="4" w:space="0" w:color="auto"/>
              <w:left w:val="single" w:sz="4" w:space="0" w:color="auto"/>
              <w:bottom w:val="single" w:sz="4" w:space="0" w:color="auto"/>
              <w:right w:val="single" w:sz="4" w:space="0" w:color="auto"/>
            </w:tcBorders>
            <w:vAlign w:val="bottom"/>
            <w:hideMark/>
          </w:tcPr>
          <w:p w14:paraId="46BA7DD8" w14:textId="77777777" w:rsidR="00291D94" w:rsidRPr="003E6512" w:rsidRDefault="00291D94" w:rsidP="003748B3">
            <w:pPr>
              <w:pStyle w:val="NoSpacing"/>
            </w:pPr>
            <w:r w:rsidRPr="003E6512">
              <w:t>4.140±0.00</w:t>
            </w:r>
          </w:p>
        </w:tc>
        <w:tc>
          <w:tcPr>
            <w:tcW w:w="1453" w:type="dxa"/>
            <w:tcBorders>
              <w:top w:val="single" w:sz="4" w:space="0" w:color="auto"/>
              <w:left w:val="single" w:sz="4" w:space="0" w:color="auto"/>
              <w:bottom w:val="single" w:sz="4" w:space="0" w:color="auto"/>
              <w:right w:val="single" w:sz="4" w:space="0" w:color="auto"/>
            </w:tcBorders>
            <w:vAlign w:val="bottom"/>
            <w:hideMark/>
          </w:tcPr>
          <w:p w14:paraId="7B7A97CA" w14:textId="77777777" w:rsidR="00291D94" w:rsidRPr="003E6512" w:rsidRDefault="00291D94" w:rsidP="003748B3">
            <w:pPr>
              <w:pStyle w:val="NoSpacing"/>
            </w:pPr>
            <w:r w:rsidRPr="003E6512">
              <w:t>3.370±0.01</w:t>
            </w:r>
          </w:p>
        </w:tc>
      </w:tr>
      <w:tr w:rsidR="00291D94" w:rsidRPr="003E6512" w14:paraId="217B6B89" w14:textId="77777777" w:rsidTr="003748B3">
        <w:trPr>
          <w:trHeight w:val="559"/>
          <w:jc w:val="center"/>
        </w:trPr>
        <w:tc>
          <w:tcPr>
            <w:tcW w:w="1452" w:type="dxa"/>
            <w:tcBorders>
              <w:top w:val="single" w:sz="4" w:space="0" w:color="auto"/>
              <w:left w:val="single" w:sz="4" w:space="0" w:color="auto"/>
              <w:bottom w:val="single" w:sz="4" w:space="0" w:color="auto"/>
              <w:right w:val="single" w:sz="4" w:space="0" w:color="auto"/>
            </w:tcBorders>
            <w:vAlign w:val="bottom"/>
            <w:hideMark/>
          </w:tcPr>
          <w:p w14:paraId="0236FEDE" w14:textId="4E3D67C2" w:rsidR="00291D94" w:rsidRPr="003E6512" w:rsidRDefault="00291D94" w:rsidP="003748B3">
            <w:pPr>
              <w:pStyle w:val="NoSpacing"/>
            </w:pPr>
            <w:r w:rsidRPr="003E6512">
              <w:t>Limit</w:t>
            </w:r>
            <w:r>
              <w:t xml:space="preserve"> </w:t>
            </w:r>
            <w:r w:rsidRPr="00291D94">
              <w:rPr>
                <w:rFonts w:eastAsiaTheme="majorEastAsia"/>
              </w:rPr>
              <w:t>(mg kg</w:t>
            </w:r>
            <w:r w:rsidRPr="00291D94">
              <w:rPr>
                <w:rFonts w:eastAsiaTheme="majorEastAsia"/>
                <w:vertAlign w:val="superscript"/>
              </w:rPr>
              <w:t>-1</w:t>
            </w:r>
            <w:r w:rsidRPr="00291D94">
              <w:rPr>
                <w:rFonts w:eastAsiaTheme="majorEastAsia"/>
              </w:rPr>
              <w:t>)</w:t>
            </w:r>
          </w:p>
        </w:tc>
        <w:tc>
          <w:tcPr>
            <w:tcW w:w="1520" w:type="dxa"/>
            <w:tcBorders>
              <w:top w:val="single" w:sz="4" w:space="0" w:color="auto"/>
              <w:left w:val="single" w:sz="4" w:space="0" w:color="auto"/>
              <w:bottom w:val="single" w:sz="4" w:space="0" w:color="auto"/>
              <w:right w:val="single" w:sz="4" w:space="0" w:color="auto"/>
            </w:tcBorders>
            <w:vAlign w:val="bottom"/>
            <w:hideMark/>
          </w:tcPr>
          <w:p w14:paraId="12DC3044" w14:textId="77777777" w:rsidR="00291D94" w:rsidRPr="003E6512" w:rsidRDefault="00291D94" w:rsidP="003748B3">
            <w:pPr>
              <w:pStyle w:val="NoSpacing"/>
            </w:pPr>
            <w:r w:rsidRPr="003E6512">
              <w:t>0.100</w:t>
            </w:r>
          </w:p>
        </w:tc>
        <w:tc>
          <w:tcPr>
            <w:tcW w:w="1382" w:type="dxa"/>
            <w:tcBorders>
              <w:top w:val="single" w:sz="4" w:space="0" w:color="auto"/>
              <w:left w:val="single" w:sz="4" w:space="0" w:color="auto"/>
              <w:bottom w:val="single" w:sz="4" w:space="0" w:color="auto"/>
              <w:right w:val="single" w:sz="4" w:space="0" w:color="auto"/>
            </w:tcBorders>
            <w:vAlign w:val="bottom"/>
            <w:hideMark/>
          </w:tcPr>
          <w:p w14:paraId="24345B3A" w14:textId="77777777" w:rsidR="00291D94" w:rsidRPr="003E6512" w:rsidRDefault="00291D94" w:rsidP="003748B3">
            <w:pPr>
              <w:pStyle w:val="NoSpacing"/>
            </w:pPr>
            <w:r w:rsidRPr="003E6512">
              <w:t>0.200</w:t>
            </w:r>
          </w:p>
        </w:tc>
        <w:tc>
          <w:tcPr>
            <w:tcW w:w="1452" w:type="dxa"/>
            <w:tcBorders>
              <w:top w:val="single" w:sz="4" w:space="0" w:color="auto"/>
              <w:left w:val="single" w:sz="4" w:space="0" w:color="auto"/>
              <w:bottom w:val="single" w:sz="4" w:space="0" w:color="auto"/>
              <w:right w:val="single" w:sz="4" w:space="0" w:color="auto"/>
            </w:tcBorders>
            <w:vAlign w:val="bottom"/>
            <w:hideMark/>
          </w:tcPr>
          <w:p w14:paraId="079C853C" w14:textId="77777777" w:rsidR="00291D94" w:rsidRPr="003E6512" w:rsidRDefault="00291D94" w:rsidP="003748B3">
            <w:pPr>
              <w:pStyle w:val="NoSpacing"/>
            </w:pPr>
            <w:r w:rsidRPr="003E6512">
              <w:t>2.000</w:t>
            </w:r>
          </w:p>
        </w:tc>
        <w:tc>
          <w:tcPr>
            <w:tcW w:w="1451" w:type="dxa"/>
            <w:tcBorders>
              <w:top w:val="single" w:sz="4" w:space="0" w:color="auto"/>
              <w:left w:val="single" w:sz="4" w:space="0" w:color="auto"/>
              <w:bottom w:val="single" w:sz="4" w:space="0" w:color="auto"/>
              <w:right w:val="single" w:sz="4" w:space="0" w:color="auto"/>
            </w:tcBorders>
            <w:vAlign w:val="bottom"/>
            <w:hideMark/>
          </w:tcPr>
          <w:p w14:paraId="1AAFF503" w14:textId="77777777" w:rsidR="00291D94" w:rsidRPr="003E6512" w:rsidRDefault="00291D94" w:rsidP="003748B3">
            <w:pPr>
              <w:pStyle w:val="NoSpacing"/>
            </w:pPr>
            <w:r w:rsidRPr="003E6512">
              <w:t>20.00</w:t>
            </w:r>
          </w:p>
        </w:tc>
        <w:tc>
          <w:tcPr>
            <w:tcW w:w="1452" w:type="dxa"/>
            <w:tcBorders>
              <w:top w:val="single" w:sz="4" w:space="0" w:color="auto"/>
              <w:left w:val="single" w:sz="4" w:space="0" w:color="auto"/>
              <w:bottom w:val="single" w:sz="4" w:space="0" w:color="auto"/>
              <w:right w:val="single" w:sz="4" w:space="0" w:color="auto"/>
            </w:tcBorders>
            <w:vAlign w:val="bottom"/>
            <w:hideMark/>
          </w:tcPr>
          <w:p w14:paraId="6B573FFD" w14:textId="77777777" w:rsidR="00291D94" w:rsidRPr="003E6512" w:rsidRDefault="00291D94" w:rsidP="003748B3">
            <w:pPr>
              <w:pStyle w:val="NoSpacing"/>
            </w:pPr>
            <w:r w:rsidRPr="003E6512">
              <w:t>0.120</w:t>
            </w:r>
          </w:p>
        </w:tc>
        <w:tc>
          <w:tcPr>
            <w:tcW w:w="1451" w:type="dxa"/>
            <w:tcBorders>
              <w:top w:val="single" w:sz="4" w:space="0" w:color="auto"/>
              <w:left w:val="single" w:sz="4" w:space="0" w:color="auto"/>
              <w:bottom w:val="single" w:sz="4" w:space="0" w:color="auto"/>
              <w:right w:val="single" w:sz="4" w:space="0" w:color="auto"/>
            </w:tcBorders>
            <w:vAlign w:val="bottom"/>
            <w:hideMark/>
          </w:tcPr>
          <w:p w14:paraId="0D3ECD31" w14:textId="77777777" w:rsidR="00291D94" w:rsidRPr="003E6512" w:rsidRDefault="00291D94" w:rsidP="003748B3">
            <w:pPr>
              <w:pStyle w:val="NoSpacing"/>
            </w:pPr>
            <w:r w:rsidRPr="003E6512">
              <w:t>1.630</w:t>
            </w:r>
          </w:p>
        </w:tc>
        <w:tc>
          <w:tcPr>
            <w:tcW w:w="1453" w:type="dxa"/>
            <w:tcBorders>
              <w:top w:val="single" w:sz="4" w:space="0" w:color="auto"/>
              <w:left w:val="single" w:sz="4" w:space="0" w:color="auto"/>
              <w:bottom w:val="single" w:sz="4" w:space="0" w:color="auto"/>
              <w:right w:val="single" w:sz="4" w:space="0" w:color="auto"/>
            </w:tcBorders>
            <w:vAlign w:val="bottom"/>
            <w:hideMark/>
          </w:tcPr>
          <w:p w14:paraId="3D528314" w14:textId="77777777" w:rsidR="00291D94" w:rsidRPr="003E6512" w:rsidRDefault="00291D94" w:rsidP="003748B3">
            <w:pPr>
              <w:pStyle w:val="NoSpacing"/>
            </w:pPr>
            <w:r w:rsidRPr="003E6512">
              <w:t>10.00</w:t>
            </w:r>
          </w:p>
        </w:tc>
      </w:tr>
    </w:tbl>
    <w:p w14:paraId="4C3AD3CD" w14:textId="77777777" w:rsidR="00A70A03" w:rsidRDefault="00A70A03" w:rsidP="00E45044">
      <w:pPr>
        <w:spacing w:after="0" w:line="480" w:lineRule="auto"/>
        <w:jc w:val="both"/>
        <w:rPr>
          <w:rFonts w:ascii="Times New Roman" w:hAnsi="Times New Roman" w:cs="Times New Roman"/>
          <w:b/>
          <w:bCs/>
        </w:rPr>
      </w:pPr>
    </w:p>
    <w:p w14:paraId="0C32B56F" w14:textId="5BF0C0AE" w:rsidR="00C20512" w:rsidRPr="00125810" w:rsidRDefault="00C20512" w:rsidP="00E45044">
      <w:pPr>
        <w:spacing w:after="0" w:line="480" w:lineRule="auto"/>
        <w:jc w:val="both"/>
        <w:rPr>
          <w:rFonts w:ascii="Times New Roman" w:hAnsi="Times New Roman" w:cs="Times New Roman"/>
        </w:rPr>
      </w:pPr>
      <w:r w:rsidRPr="00125810">
        <w:rPr>
          <w:rFonts w:ascii="Times New Roman" w:hAnsi="Times New Roman" w:cs="Times New Roman"/>
          <w:b/>
          <w:bCs/>
        </w:rPr>
        <w:t xml:space="preserve">Table </w:t>
      </w:r>
      <w:r w:rsidR="003748B3">
        <w:rPr>
          <w:rFonts w:ascii="Times New Roman" w:hAnsi="Times New Roman" w:cs="Times New Roman"/>
          <w:b/>
          <w:bCs/>
        </w:rPr>
        <w:t>4</w:t>
      </w:r>
      <w:r w:rsidRPr="00125810">
        <w:rPr>
          <w:rFonts w:ascii="Times New Roman" w:hAnsi="Times New Roman" w:cs="Times New Roman"/>
          <w:b/>
          <w:bCs/>
        </w:rPr>
        <w:t xml:space="preserve">: Heavy </w:t>
      </w:r>
      <w:r w:rsidR="007B657E" w:rsidRPr="00125810">
        <w:rPr>
          <w:rFonts w:ascii="Times New Roman" w:hAnsi="Times New Roman" w:cs="Times New Roman"/>
          <w:b/>
          <w:bCs/>
        </w:rPr>
        <w:t>M</w:t>
      </w:r>
      <w:r w:rsidRPr="00125810">
        <w:rPr>
          <w:rFonts w:ascii="Times New Roman" w:hAnsi="Times New Roman" w:cs="Times New Roman"/>
          <w:b/>
          <w:bCs/>
        </w:rPr>
        <w:t xml:space="preserve">etal </w:t>
      </w:r>
      <w:r w:rsidR="007B657E" w:rsidRPr="00125810">
        <w:rPr>
          <w:rFonts w:ascii="Times New Roman" w:hAnsi="Times New Roman" w:cs="Times New Roman"/>
          <w:b/>
          <w:bCs/>
        </w:rPr>
        <w:t>C</w:t>
      </w:r>
      <w:r w:rsidRPr="00125810">
        <w:rPr>
          <w:rFonts w:ascii="Times New Roman" w:hAnsi="Times New Roman" w:cs="Times New Roman"/>
          <w:b/>
          <w:bCs/>
        </w:rPr>
        <w:t>oncentrations (mg kg</w:t>
      </w:r>
      <w:r w:rsidRPr="00125810">
        <w:rPr>
          <w:rFonts w:ascii="Times New Roman" w:hAnsi="Times New Roman" w:cs="Times New Roman"/>
          <w:b/>
          <w:bCs/>
          <w:vertAlign w:val="superscript"/>
        </w:rPr>
        <w:t>-1</w:t>
      </w:r>
      <w:r w:rsidRPr="00125810">
        <w:rPr>
          <w:rFonts w:ascii="Times New Roman" w:hAnsi="Times New Roman" w:cs="Times New Roman"/>
          <w:b/>
          <w:bCs/>
        </w:rPr>
        <w:t xml:space="preserve">) in </w:t>
      </w:r>
      <w:r w:rsidR="007B657E" w:rsidRPr="00125810">
        <w:rPr>
          <w:rFonts w:ascii="Times New Roman" w:hAnsi="Times New Roman" w:cs="Times New Roman"/>
          <w:b/>
          <w:bCs/>
        </w:rPr>
        <w:t>P</w:t>
      </w:r>
      <w:r w:rsidRPr="00125810">
        <w:rPr>
          <w:rFonts w:ascii="Times New Roman" w:hAnsi="Times New Roman" w:cs="Times New Roman"/>
          <w:b/>
          <w:bCs/>
        </w:rPr>
        <w:t xml:space="preserve">ackaged Herbal Tea in Abuja </w:t>
      </w:r>
      <w:r w:rsidR="007B657E" w:rsidRPr="00125810">
        <w:rPr>
          <w:rFonts w:ascii="Times New Roman" w:hAnsi="Times New Roman" w:cs="Times New Roman"/>
          <w:b/>
          <w:bCs/>
        </w:rPr>
        <w:t>M</w:t>
      </w:r>
      <w:r w:rsidRPr="00125810">
        <w:rPr>
          <w:rFonts w:ascii="Times New Roman" w:hAnsi="Times New Roman" w:cs="Times New Roman"/>
          <w:b/>
          <w:bCs/>
        </w:rPr>
        <w:t>arkets</w:t>
      </w:r>
    </w:p>
    <w:tbl>
      <w:tblPr>
        <w:tblW w:w="1103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0"/>
        <w:gridCol w:w="1308"/>
        <w:gridCol w:w="1308"/>
        <w:gridCol w:w="1308"/>
        <w:gridCol w:w="1404"/>
        <w:gridCol w:w="1332"/>
        <w:gridCol w:w="1308"/>
        <w:gridCol w:w="1308"/>
      </w:tblGrid>
      <w:tr w:rsidR="00C20512" w:rsidRPr="003E6512" w14:paraId="44F353D4" w14:textId="77777777" w:rsidTr="007B657E">
        <w:trPr>
          <w:trHeight w:val="211"/>
        </w:trPr>
        <w:tc>
          <w:tcPr>
            <w:tcW w:w="1760" w:type="dxa"/>
            <w:vMerge w:val="restart"/>
            <w:tcBorders>
              <w:top w:val="single" w:sz="4" w:space="0" w:color="auto"/>
              <w:left w:val="single" w:sz="4" w:space="0" w:color="auto"/>
              <w:bottom w:val="single" w:sz="4" w:space="0" w:color="auto"/>
              <w:right w:val="single" w:sz="4" w:space="0" w:color="auto"/>
            </w:tcBorders>
            <w:hideMark/>
          </w:tcPr>
          <w:p w14:paraId="10671202" w14:textId="77777777" w:rsidR="00C20512" w:rsidRPr="00291D94" w:rsidRDefault="00C20512" w:rsidP="00291D94">
            <w:pPr>
              <w:pStyle w:val="NoSpacing"/>
              <w:spacing w:after="0" w:afterAutospacing="0"/>
              <w:jc w:val="center"/>
              <w:rPr>
                <w:b/>
                <w:bCs/>
              </w:rPr>
            </w:pPr>
            <w:r w:rsidRPr="00291D94">
              <w:rPr>
                <w:rFonts w:eastAsiaTheme="majorEastAsia"/>
                <w:b/>
                <w:bCs/>
              </w:rPr>
              <w:t>Herbal tea</w:t>
            </w:r>
          </w:p>
        </w:tc>
        <w:tc>
          <w:tcPr>
            <w:tcW w:w="9276" w:type="dxa"/>
            <w:gridSpan w:val="7"/>
            <w:tcBorders>
              <w:top w:val="single" w:sz="4" w:space="0" w:color="auto"/>
              <w:left w:val="single" w:sz="4" w:space="0" w:color="auto"/>
              <w:bottom w:val="single" w:sz="4" w:space="0" w:color="auto"/>
              <w:right w:val="single" w:sz="4" w:space="0" w:color="auto"/>
            </w:tcBorders>
            <w:vAlign w:val="bottom"/>
            <w:hideMark/>
          </w:tcPr>
          <w:p w14:paraId="5D2A906B" w14:textId="0C0511CA" w:rsidR="00C20512" w:rsidRPr="00291D94" w:rsidRDefault="00C20512" w:rsidP="00291D94">
            <w:pPr>
              <w:pStyle w:val="NoSpacing"/>
              <w:spacing w:after="0" w:afterAutospacing="0"/>
              <w:jc w:val="center"/>
              <w:rPr>
                <w:b/>
                <w:bCs/>
              </w:rPr>
            </w:pPr>
            <w:r w:rsidRPr="00291D94">
              <w:rPr>
                <w:rFonts w:eastAsiaTheme="majorEastAsia"/>
                <w:b/>
                <w:bCs/>
              </w:rPr>
              <w:t>Concentration (mg kg-1)</w:t>
            </w:r>
          </w:p>
        </w:tc>
      </w:tr>
      <w:tr w:rsidR="000C6957" w:rsidRPr="003E6512" w14:paraId="53119B90" w14:textId="77777777" w:rsidTr="007B657E">
        <w:trPr>
          <w:trHeight w:val="29"/>
        </w:trPr>
        <w:tc>
          <w:tcPr>
            <w:tcW w:w="1760" w:type="dxa"/>
            <w:vMerge/>
            <w:tcBorders>
              <w:top w:val="single" w:sz="4" w:space="0" w:color="auto"/>
              <w:left w:val="single" w:sz="4" w:space="0" w:color="auto"/>
              <w:bottom w:val="single" w:sz="4" w:space="0" w:color="auto"/>
              <w:right w:val="single" w:sz="4" w:space="0" w:color="auto"/>
            </w:tcBorders>
            <w:vAlign w:val="center"/>
            <w:hideMark/>
          </w:tcPr>
          <w:p w14:paraId="45E3C8A1" w14:textId="77777777" w:rsidR="00C20512" w:rsidRPr="003E6512" w:rsidRDefault="00C20512" w:rsidP="003E6512">
            <w:pPr>
              <w:pStyle w:val="NoSpacing"/>
            </w:pPr>
          </w:p>
        </w:tc>
        <w:tc>
          <w:tcPr>
            <w:tcW w:w="1308" w:type="dxa"/>
            <w:tcBorders>
              <w:top w:val="single" w:sz="4" w:space="0" w:color="auto"/>
              <w:left w:val="single" w:sz="4" w:space="0" w:color="auto"/>
              <w:bottom w:val="single" w:sz="4" w:space="0" w:color="auto"/>
              <w:right w:val="single" w:sz="4" w:space="0" w:color="auto"/>
            </w:tcBorders>
            <w:hideMark/>
          </w:tcPr>
          <w:p w14:paraId="4E948F72" w14:textId="77777777" w:rsidR="00C20512" w:rsidRPr="003E6512" w:rsidRDefault="00C20512" w:rsidP="003E6512">
            <w:pPr>
              <w:pStyle w:val="NoSpacing"/>
            </w:pPr>
            <w:r w:rsidRPr="003E6512">
              <w:rPr>
                <w:rFonts w:eastAsiaTheme="majorEastAsia"/>
              </w:rPr>
              <w:t>Cd</w:t>
            </w:r>
          </w:p>
        </w:tc>
        <w:tc>
          <w:tcPr>
            <w:tcW w:w="1308" w:type="dxa"/>
            <w:tcBorders>
              <w:top w:val="single" w:sz="4" w:space="0" w:color="auto"/>
              <w:left w:val="single" w:sz="4" w:space="0" w:color="auto"/>
              <w:bottom w:val="single" w:sz="4" w:space="0" w:color="auto"/>
              <w:right w:val="single" w:sz="4" w:space="0" w:color="auto"/>
            </w:tcBorders>
            <w:hideMark/>
          </w:tcPr>
          <w:p w14:paraId="344FE2C7" w14:textId="77777777" w:rsidR="00C20512" w:rsidRPr="003E6512" w:rsidRDefault="00C20512" w:rsidP="003E6512">
            <w:pPr>
              <w:pStyle w:val="NoSpacing"/>
            </w:pPr>
            <w:r w:rsidRPr="003E6512">
              <w:rPr>
                <w:rFonts w:eastAsiaTheme="majorEastAsia"/>
              </w:rPr>
              <w:t>Co</w:t>
            </w:r>
          </w:p>
        </w:tc>
        <w:tc>
          <w:tcPr>
            <w:tcW w:w="1308" w:type="dxa"/>
            <w:tcBorders>
              <w:top w:val="single" w:sz="4" w:space="0" w:color="auto"/>
              <w:left w:val="single" w:sz="4" w:space="0" w:color="auto"/>
              <w:bottom w:val="single" w:sz="4" w:space="0" w:color="auto"/>
              <w:right w:val="single" w:sz="4" w:space="0" w:color="auto"/>
            </w:tcBorders>
            <w:hideMark/>
          </w:tcPr>
          <w:p w14:paraId="77BBC860" w14:textId="77777777" w:rsidR="00C20512" w:rsidRPr="003E6512" w:rsidRDefault="00C20512" w:rsidP="003E6512">
            <w:pPr>
              <w:pStyle w:val="NoSpacing"/>
            </w:pPr>
            <w:r w:rsidRPr="003E6512">
              <w:rPr>
                <w:rFonts w:eastAsiaTheme="majorEastAsia"/>
              </w:rPr>
              <w:t>Cr</w:t>
            </w:r>
          </w:p>
        </w:tc>
        <w:tc>
          <w:tcPr>
            <w:tcW w:w="1404" w:type="dxa"/>
            <w:tcBorders>
              <w:top w:val="single" w:sz="4" w:space="0" w:color="auto"/>
              <w:left w:val="single" w:sz="4" w:space="0" w:color="auto"/>
              <w:bottom w:val="single" w:sz="4" w:space="0" w:color="auto"/>
              <w:right w:val="single" w:sz="4" w:space="0" w:color="auto"/>
            </w:tcBorders>
            <w:hideMark/>
          </w:tcPr>
          <w:p w14:paraId="7A031424" w14:textId="77777777" w:rsidR="00C20512" w:rsidRPr="003E6512" w:rsidRDefault="00C20512" w:rsidP="003E6512">
            <w:pPr>
              <w:pStyle w:val="NoSpacing"/>
            </w:pPr>
            <w:r w:rsidRPr="003E6512">
              <w:rPr>
                <w:rFonts w:eastAsiaTheme="majorEastAsia"/>
              </w:rPr>
              <w:t>Cu</w:t>
            </w:r>
          </w:p>
        </w:tc>
        <w:tc>
          <w:tcPr>
            <w:tcW w:w="1332" w:type="dxa"/>
            <w:tcBorders>
              <w:top w:val="single" w:sz="4" w:space="0" w:color="auto"/>
              <w:left w:val="single" w:sz="4" w:space="0" w:color="auto"/>
              <w:bottom w:val="single" w:sz="4" w:space="0" w:color="auto"/>
              <w:right w:val="single" w:sz="4" w:space="0" w:color="auto"/>
            </w:tcBorders>
            <w:hideMark/>
          </w:tcPr>
          <w:p w14:paraId="6328A04A" w14:textId="77777777" w:rsidR="00C20512" w:rsidRPr="003E6512" w:rsidRDefault="00C20512" w:rsidP="003E6512">
            <w:pPr>
              <w:pStyle w:val="NoSpacing"/>
            </w:pPr>
            <w:r w:rsidRPr="003E6512">
              <w:rPr>
                <w:rFonts w:eastAsiaTheme="majorEastAsia"/>
              </w:rPr>
              <w:t>Mn</w:t>
            </w:r>
          </w:p>
        </w:tc>
        <w:tc>
          <w:tcPr>
            <w:tcW w:w="1308" w:type="dxa"/>
            <w:tcBorders>
              <w:top w:val="single" w:sz="4" w:space="0" w:color="auto"/>
              <w:left w:val="single" w:sz="4" w:space="0" w:color="auto"/>
              <w:bottom w:val="single" w:sz="4" w:space="0" w:color="auto"/>
              <w:right w:val="single" w:sz="4" w:space="0" w:color="auto"/>
            </w:tcBorders>
            <w:hideMark/>
          </w:tcPr>
          <w:p w14:paraId="289A106D" w14:textId="77777777" w:rsidR="00C20512" w:rsidRPr="003E6512" w:rsidRDefault="00C20512" w:rsidP="003E6512">
            <w:pPr>
              <w:pStyle w:val="NoSpacing"/>
            </w:pPr>
            <w:r w:rsidRPr="003E6512">
              <w:rPr>
                <w:rFonts w:eastAsiaTheme="majorEastAsia"/>
              </w:rPr>
              <w:t>Ni</w:t>
            </w:r>
          </w:p>
        </w:tc>
        <w:tc>
          <w:tcPr>
            <w:tcW w:w="1308" w:type="dxa"/>
            <w:tcBorders>
              <w:top w:val="single" w:sz="4" w:space="0" w:color="auto"/>
              <w:left w:val="single" w:sz="4" w:space="0" w:color="auto"/>
              <w:bottom w:val="single" w:sz="4" w:space="0" w:color="auto"/>
              <w:right w:val="single" w:sz="4" w:space="0" w:color="auto"/>
            </w:tcBorders>
            <w:hideMark/>
          </w:tcPr>
          <w:p w14:paraId="3974DB66" w14:textId="77777777" w:rsidR="00C20512" w:rsidRPr="003E6512" w:rsidRDefault="00C20512" w:rsidP="003E6512">
            <w:pPr>
              <w:pStyle w:val="NoSpacing"/>
            </w:pPr>
            <w:r w:rsidRPr="003E6512">
              <w:rPr>
                <w:rFonts w:eastAsiaTheme="majorEastAsia"/>
              </w:rPr>
              <w:t>Pb</w:t>
            </w:r>
          </w:p>
        </w:tc>
      </w:tr>
      <w:tr w:rsidR="000C6957" w:rsidRPr="003E6512" w14:paraId="46F0A35A" w14:textId="77777777" w:rsidTr="007B657E">
        <w:trPr>
          <w:trHeight w:val="406"/>
        </w:trPr>
        <w:tc>
          <w:tcPr>
            <w:tcW w:w="1760" w:type="dxa"/>
            <w:tcBorders>
              <w:top w:val="single" w:sz="4" w:space="0" w:color="auto"/>
              <w:left w:val="single" w:sz="4" w:space="0" w:color="auto"/>
              <w:bottom w:val="single" w:sz="4" w:space="0" w:color="auto"/>
              <w:right w:val="single" w:sz="4" w:space="0" w:color="auto"/>
            </w:tcBorders>
            <w:hideMark/>
          </w:tcPr>
          <w:p w14:paraId="6589D666" w14:textId="77777777" w:rsidR="00C20512" w:rsidRPr="003E6512" w:rsidRDefault="00C20512" w:rsidP="003E6512">
            <w:pPr>
              <w:pStyle w:val="NoSpacing"/>
            </w:pPr>
            <w:r w:rsidRPr="003E6512">
              <w:t>Green tea</w:t>
            </w:r>
          </w:p>
        </w:tc>
        <w:tc>
          <w:tcPr>
            <w:tcW w:w="1308" w:type="dxa"/>
            <w:tcBorders>
              <w:top w:val="single" w:sz="4" w:space="0" w:color="auto"/>
              <w:left w:val="single" w:sz="4" w:space="0" w:color="auto"/>
              <w:bottom w:val="single" w:sz="4" w:space="0" w:color="auto"/>
              <w:right w:val="single" w:sz="4" w:space="0" w:color="auto"/>
            </w:tcBorders>
            <w:hideMark/>
          </w:tcPr>
          <w:p w14:paraId="73F30741" w14:textId="0FEC912C" w:rsidR="00C20512" w:rsidRPr="003E6512" w:rsidRDefault="00C20512" w:rsidP="003E6512">
            <w:pPr>
              <w:pStyle w:val="NoSpacing"/>
            </w:pPr>
            <w:r w:rsidRPr="003E6512">
              <w:t>0.790</w:t>
            </w:r>
            <w:r w:rsidR="004838EA" w:rsidRPr="003E6512">
              <w:t>±0.0</w:t>
            </w:r>
            <w:r w:rsidR="007B657E" w:rsidRPr="003E6512">
              <w:t>3</w:t>
            </w:r>
          </w:p>
        </w:tc>
        <w:tc>
          <w:tcPr>
            <w:tcW w:w="1308" w:type="dxa"/>
            <w:tcBorders>
              <w:top w:val="single" w:sz="4" w:space="0" w:color="auto"/>
              <w:left w:val="single" w:sz="4" w:space="0" w:color="auto"/>
              <w:bottom w:val="single" w:sz="4" w:space="0" w:color="auto"/>
              <w:right w:val="single" w:sz="4" w:space="0" w:color="auto"/>
            </w:tcBorders>
            <w:hideMark/>
          </w:tcPr>
          <w:p w14:paraId="4D6A40A6" w14:textId="1E93CA51" w:rsidR="00C20512" w:rsidRPr="003E6512" w:rsidRDefault="000C6957" w:rsidP="003E6512">
            <w:pPr>
              <w:pStyle w:val="NoSpacing"/>
            </w:pPr>
            <w:r w:rsidRPr="003E6512">
              <w:t>BDL</w:t>
            </w:r>
          </w:p>
        </w:tc>
        <w:tc>
          <w:tcPr>
            <w:tcW w:w="1308" w:type="dxa"/>
            <w:tcBorders>
              <w:top w:val="single" w:sz="4" w:space="0" w:color="auto"/>
              <w:left w:val="single" w:sz="4" w:space="0" w:color="auto"/>
              <w:bottom w:val="single" w:sz="4" w:space="0" w:color="auto"/>
              <w:right w:val="single" w:sz="4" w:space="0" w:color="auto"/>
            </w:tcBorders>
            <w:hideMark/>
          </w:tcPr>
          <w:p w14:paraId="003EF9D9" w14:textId="4BC995AB" w:rsidR="00C20512" w:rsidRPr="003E6512" w:rsidRDefault="00C20512" w:rsidP="003E6512">
            <w:pPr>
              <w:pStyle w:val="NoSpacing"/>
            </w:pPr>
            <w:r w:rsidRPr="003E6512">
              <w:t>21.52</w:t>
            </w:r>
            <w:r w:rsidR="000C6957" w:rsidRPr="003E6512">
              <w:t>±0.0</w:t>
            </w:r>
            <w:r w:rsidR="007B657E" w:rsidRPr="003E6512">
              <w:t>0</w:t>
            </w:r>
          </w:p>
        </w:tc>
        <w:tc>
          <w:tcPr>
            <w:tcW w:w="1404" w:type="dxa"/>
            <w:tcBorders>
              <w:top w:val="single" w:sz="4" w:space="0" w:color="auto"/>
              <w:left w:val="single" w:sz="4" w:space="0" w:color="auto"/>
              <w:bottom w:val="single" w:sz="4" w:space="0" w:color="auto"/>
              <w:right w:val="single" w:sz="4" w:space="0" w:color="auto"/>
            </w:tcBorders>
            <w:hideMark/>
          </w:tcPr>
          <w:p w14:paraId="0B03AFA2" w14:textId="595E91D5" w:rsidR="00C20512" w:rsidRPr="003E6512" w:rsidRDefault="00C20512" w:rsidP="003E6512">
            <w:pPr>
              <w:pStyle w:val="NoSpacing"/>
            </w:pPr>
            <w:r w:rsidRPr="003E6512">
              <w:t>55.94</w:t>
            </w:r>
            <w:r w:rsidR="000C6957" w:rsidRPr="003E6512">
              <w:t xml:space="preserve"> ±0.0</w:t>
            </w:r>
            <w:r w:rsidR="007B657E" w:rsidRPr="003E6512">
              <w:t>0</w:t>
            </w:r>
          </w:p>
        </w:tc>
        <w:tc>
          <w:tcPr>
            <w:tcW w:w="1332" w:type="dxa"/>
            <w:tcBorders>
              <w:top w:val="single" w:sz="4" w:space="0" w:color="auto"/>
              <w:left w:val="single" w:sz="4" w:space="0" w:color="auto"/>
              <w:bottom w:val="single" w:sz="4" w:space="0" w:color="auto"/>
              <w:right w:val="single" w:sz="4" w:space="0" w:color="auto"/>
            </w:tcBorders>
            <w:hideMark/>
          </w:tcPr>
          <w:p w14:paraId="27759D5E" w14:textId="4240102B" w:rsidR="00C20512" w:rsidRPr="003E6512" w:rsidRDefault="00C20512" w:rsidP="003E6512">
            <w:pPr>
              <w:pStyle w:val="NoSpacing"/>
            </w:pPr>
            <w:r w:rsidRPr="003E6512">
              <w:t>505.2</w:t>
            </w:r>
            <w:r w:rsidR="000C6957" w:rsidRPr="003E6512">
              <w:t>±0.</w:t>
            </w:r>
            <w:r w:rsidR="007B657E" w:rsidRPr="003E6512">
              <w:t>11</w:t>
            </w:r>
          </w:p>
        </w:tc>
        <w:tc>
          <w:tcPr>
            <w:tcW w:w="1308" w:type="dxa"/>
            <w:tcBorders>
              <w:top w:val="single" w:sz="4" w:space="0" w:color="auto"/>
              <w:left w:val="single" w:sz="4" w:space="0" w:color="auto"/>
              <w:bottom w:val="single" w:sz="4" w:space="0" w:color="auto"/>
              <w:right w:val="single" w:sz="4" w:space="0" w:color="auto"/>
            </w:tcBorders>
            <w:hideMark/>
          </w:tcPr>
          <w:p w14:paraId="6622D3E3" w14:textId="0D3D7AFF" w:rsidR="00C20512" w:rsidRPr="003E6512" w:rsidRDefault="00C20512" w:rsidP="003E6512">
            <w:pPr>
              <w:pStyle w:val="NoSpacing"/>
            </w:pPr>
            <w:r w:rsidRPr="003E6512">
              <w:t>6.48</w:t>
            </w:r>
            <w:r w:rsidR="000C6957" w:rsidRPr="003E6512">
              <w:t>±0.0</w:t>
            </w:r>
            <w:r w:rsidR="007B657E" w:rsidRPr="003E6512">
              <w:t>0</w:t>
            </w:r>
          </w:p>
        </w:tc>
        <w:tc>
          <w:tcPr>
            <w:tcW w:w="1308" w:type="dxa"/>
            <w:tcBorders>
              <w:top w:val="single" w:sz="4" w:space="0" w:color="auto"/>
              <w:left w:val="single" w:sz="4" w:space="0" w:color="auto"/>
              <w:bottom w:val="single" w:sz="4" w:space="0" w:color="auto"/>
              <w:right w:val="single" w:sz="4" w:space="0" w:color="auto"/>
            </w:tcBorders>
            <w:hideMark/>
          </w:tcPr>
          <w:p w14:paraId="6127979F" w14:textId="5FE9D52D" w:rsidR="00C20512" w:rsidRPr="003E6512" w:rsidRDefault="00C20512" w:rsidP="003E6512">
            <w:pPr>
              <w:pStyle w:val="NoSpacing"/>
            </w:pPr>
            <w:r w:rsidRPr="003E6512">
              <w:t>5.090</w:t>
            </w:r>
            <w:r w:rsidR="000C6957" w:rsidRPr="003E6512">
              <w:t>±0.01</w:t>
            </w:r>
          </w:p>
        </w:tc>
      </w:tr>
      <w:tr w:rsidR="000C6957" w:rsidRPr="003E6512" w14:paraId="404E9D98" w14:textId="77777777" w:rsidTr="007B657E">
        <w:trPr>
          <w:trHeight w:val="406"/>
        </w:trPr>
        <w:tc>
          <w:tcPr>
            <w:tcW w:w="1760" w:type="dxa"/>
            <w:tcBorders>
              <w:top w:val="single" w:sz="4" w:space="0" w:color="auto"/>
              <w:left w:val="single" w:sz="4" w:space="0" w:color="auto"/>
              <w:bottom w:val="single" w:sz="4" w:space="0" w:color="auto"/>
              <w:right w:val="single" w:sz="4" w:space="0" w:color="auto"/>
            </w:tcBorders>
            <w:hideMark/>
          </w:tcPr>
          <w:p w14:paraId="18B77F73" w14:textId="77777777" w:rsidR="00C20512" w:rsidRPr="003E6512" w:rsidRDefault="00C20512" w:rsidP="003E6512">
            <w:pPr>
              <w:pStyle w:val="NoSpacing"/>
            </w:pPr>
            <w:r w:rsidRPr="003E6512">
              <w:t>Guava tea</w:t>
            </w:r>
          </w:p>
        </w:tc>
        <w:tc>
          <w:tcPr>
            <w:tcW w:w="1308" w:type="dxa"/>
            <w:tcBorders>
              <w:top w:val="single" w:sz="4" w:space="0" w:color="auto"/>
              <w:left w:val="single" w:sz="4" w:space="0" w:color="auto"/>
              <w:bottom w:val="single" w:sz="4" w:space="0" w:color="auto"/>
              <w:right w:val="single" w:sz="4" w:space="0" w:color="auto"/>
            </w:tcBorders>
            <w:hideMark/>
          </w:tcPr>
          <w:p w14:paraId="52A12AC1" w14:textId="68427C38" w:rsidR="00C20512" w:rsidRPr="003E6512" w:rsidRDefault="00C20512" w:rsidP="003E6512">
            <w:pPr>
              <w:pStyle w:val="NoSpacing"/>
            </w:pPr>
            <w:r w:rsidRPr="003E6512">
              <w:t>0.390</w:t>
            </w:r>
            <w:r w:rsidR="004838EA" w:rsidRPr="003E6512">
              <w:t>±0.0</w:t>
            </w:r>
            <w:r w:rsidR="007B657E" w:rsidRPr="003E6512">
              <w:t>2</w:t>
            </w:r>
          </w:p>
        </w:tc>
        <w:tc>
          <w:tcPr>
            <w:tcW w:w="1308" w:type="dxa"/>
            <w:tcBorders>
              <w:top w:val="single" w:sz="4" w:space="0" w:color="auto"/>
              <w:left w:val="single" w:sz="4" w:space="0" w:color="auto"/>
              <w:bottom w:val="single" w:sz="4" w:space="0" w:color="auto"/>
              <w:right w:val="single" w:sz="4" w:space="0" w:color="auto"/>
            </w:tcBorders>
            <w:hideMark/>
          </w:tcPr>
          <w:p w14:paraId="0BF20F00" w14:textId="26C53D79" w:rsidR="00C20512" w:rsidRPr="003E6512" w:rsidRDefault="00C20512" w:rsidP="003E6512">
            <w:pPr>
              <w:pStyle w:val="NoSpacing"/>
            </w:pPr>
            <w:r w:rsidRPr="003E6512">
              <w:t>0.850</w:t>
            </w:r>
            <w:r w:rsidR="000C6957" w:rsidRPr="003E6512">
              <w:t>±0.01</w:t>
            </w:r>
          </w:p>
        </w:tc>
        <w:tc>
          <w:tcPr>
            <w:tcW w:w="1308" w:type="dxa"/>
            <w:tcBorders>
              <w:top w:val="single" w:sz="4" w:space="0" w:color="auto"/>
              <w:left w:val="single" w:sz="4" w:space="0" w:color="auto"/>
              <w:bottom w:val="single" w:sz="4" w:space="0" w:color="auto"/>
              <w:right w:val="single" w:sz="4" w:space="0" w:color="auto"/>
            </w:tcBorders>
            <w:hideMark/>
          </w:tcPr>
          <w:p w14:paraId="60362127" w14:textId="2FAD46EB" w:rsidR="00C20512" w:rsidRPr="003E6512" w:rsidRDefault="00C20512" w:rsidP="003E6512">
            <w:pPr>
              <w:pStyle w:val="NoSpacing"/>
            </w:pPr>
            <w:r w:rsidRPr="003E6512">
              <w:t>22.76</w:t>
            </w:r>
            <w:r w:rsidR="000C6957" w:rsidRPr="003E6512">
              <w:t>±0.0</w:t>
            </w:r>
            <w:r w:rsidR="007B657E" w:rsidRPr="003E6512">
              <w:t>1</w:t>
            </w:r>
          </w:p>
        </w:tc>
        <w:tc>
          <w:tcPr>
            <w:tcW w:w="1404" w:type="dxa"/>
            <w:tcBorders>
              <w:top w:val="single" w:sz="4" w:space="0" w:color="auto"/>
              <w:left w:val="single" w:sz="4" w:space="0" w:color="auto"/>
              <w:bottom w:val="single" w:sz="4" w:space="0" w:color="auto"/>
              <w:right w:val="single" w:sz="4" w:space="0" w:color="auto"/>
            </w:tcBorders>
            <w:hideMark/>
          </w:tcPr>
          <w:p w14:paraId="17A2D12D" w14:textId="0BE6F4C7" w:rsidR="00C20512" w:rsidRPr="003E6512" w:rsidRDefault="00C20512" w:rsidP="003E6512">
            <w:pPr>
              <w:pStyle w:val="NoSpacing"/>
            </w:pPr>
            <w:r w:rsidRPr="003E6512">
              <w:t>23.06</w:t>
            </w:r>
            <w:r w:rsidR="000C6957" w:rsidRPr="003E6512">
              <w:t>±0.0</w:t>
            </w:r>
            <w:r w:rsidR="007B657E" w:rsidRPr="003E6512">
              <w:t>1</w:t>
            </w:r>
          </w:p>
        </w:tc>
        <w:tc>
          <w:tcPr>
            <w:tcW w:w="1332" w:type="dxa"/>
            <w:tcBorders>
              <w:top w:val="single" w:sz="4" w:space="0" w:color="auto"/>
              <w:left w:val="single" w:sz="4" w:space="0" w:color="auto"/>
              <w:bottom w:val="single" w:sz="4" w:space="0" w:color="auto"/>
              <w:right w:val="single" w:sz="4" w:space="0" w:color="auto"/>
            </w:tcBorders>
            <w:hideMark/>
          </w:tcPr>
          <w:p w14:paraId="5C3F766D" w14:textId="1B760ECA" w:rsidR="00C20512" w:rsidRPr="003E6512" w:rsidRDefault="00C20512" w:rsidP="003E6512">
            <w:pPr>
              <w:pStyle w:val="NoSpacing"/>
            </w:pPr>
            <w:r w:rsidRPr="003E6512">
              <w:t>31.19</w:t>
            </w:r>
            <w:r w:rsidR="000C6957" w:rsidRPr="003E6512">
              <w:t>±0.0</w:t>
            </w:r>
            <w:r w:rsidR="007B657E" w:rsidRPr="003E6512">
              <w:t>2</w:t>
            </w:r>
          </w:p>
        </w:tc>
        <w:tc>
          <w:tcPr>
            <w:tcW w:w="1308" w:type="dxa"/>
            <w:tcBorders>
              <w:top w:val="single" w:sz="4" w:space="0" w:color="auto"/>
              <w:left w:val="single" w:sz="4" w:space="0" w:color="auto"/>
              <w:bottom w:val="single" w:sz="4" w:space="0" w:color="auto"/>
              <w:right w:val="single" w:sz="4" w:space="0" w:color="auto"/>
            </w:tcBorders>
            <w:hideMark/>
          </w:tcPr>
          <w:p w14:paraId="09AF0D97" w14:textId="316EDAC5" w:rsidR="00C20512" w:rsidRPr="003E6512" w:rsidRDefault="00C20512" w:rsidP="003E6512">
            <w:pPr>
              <w:pStyle w:val="NoSpacing"/>
            </w:pPr>
            <w:r w:rsidRPr="003E6512">
              <w:t>3.59</w:t>
            </w:r>
            <w:r w:rsidR="000C6957" w:rsidRPr="003E6512">
              <w:t>±0.0</w:t>
            </w:r>
            <w:r w:rsidR="007B657E" w:rsidRPr="003E6512">
              <w:t>2</w:t>
            </w:r>
          </w:p>
        </w:tc>
        <w:tc>
          <w:tcPr>
            <w:tcW w:w="1308" w:type="dxa"/>
            <w:tcBorders>
              <w:top w:val="single" w:sz="4" w:space="0" w:color="auto"/>
              <w:left w:val="single" w:sz="4" w:space="0" w:color="auto"/>
              <w:bottom w:val="single" w:sz="4" w:space="0" w:color="auto"/>
              <w:right w:val="single" w:sz="4" w:space="0" w:color="auto"/>
            </w:tcBorders>
            <w:hideMark/>
          </w:tcPr>
          <w:p w14:paraId="1BA9131A" w14:textId="28A41284" w:rsidR="00C20512" w:rsidRPr="003E6512" w:rsidRDefault="00C20512" w:rsidP="003E6512">
            <w:pPr>
              <w:pStyle w:val="NoSpacing"/>
            </w:pPr>
            <w:r w:rsidRPr="003E6512">
              <w:t>6.16</w:t>
            </w:r>
            <w:r w:rsidR="000C6957" w:rsidRPr="003E6512">
              <w:t>±0.01</w:t>
            </w:r>
          </w:p>
        </w:tc>
      </w:tr>
      <w:tr w:rsidR="000C6957" w:rsidRPr="003E6512" w14:paraId="248B372D" w14:textId="77777777" w:rsidTr="007B657E">
        <w:trPr>
          <w:trHeight w:val="406"/>
        </w:trPr>
        <w:tc>
          <w:tcPr>
            <w:tcW w:w="1760" w:type="dxa"/>
            <w:tcBorders>
              <w:top w:val="single" w:sz="4" w:space="0" w:color="auto"/>
              <w:left w:val="single" w:sz="4" w:space="0" w:color="auto"/>
              <w:bottom w:val="single" w:sz="4" w:space="0" w:color="auto"/>
              <w:right w:val="single" w:sz="4" w:space="0" w:color="auto"/>
            </w:tcBorders>
            <w:hideMark/>
          </w:tcPr>
          <w:p w14:paraId="23009F32" w14:textId="77777777" w:rsidR="00C20512" w:rsidRPr="003E6512" w:rsidRDefault="00C20512" w:rsidP="003E6512">
            <w:pPr>
              <w:pStyle w:val="NoSpacing"/>
            </w:pPr>
            <w:r w:rsidRPr="003E6512">
              <w:t>Eyes bright</w:t>
            </w:r>
          </w:p>
        </w:tc>
        <w:tc>
          <w:tcPr>
            <w:tcW w:w="1308" w:type="dxa"/>
            <w:tcBorders>
              <w:top w:val="single" w:sz="4" w:space="0" w:color="auto"/>
              <w:left w:val="single" w:sz="4" w:space="0" w:color="auto"/>
              <w:bottom w:val="single" w:sz="4" w:space="0" w:color="auto"/>
              <w:right w:val="single" w:sz="4" w:space="0" w:color="auto"/>
            </w:tcBorders>
            <w:hideMark/>
          </w:tcPr>
          <w:p w14:paraId="69E805DF" w14:textId="0AA6ECAE" w:rsidR="00C20512" w:rsidRPr="003E6512" w:rsidRDefault="00C20512" w:rsidP="003E6512">
            <w:pPr>
              <w:pStyle w:val="NoSpacing"/>
            </w:pPr>
            <w:r w:rsidRPr="003E6512">
              <w:t>0.320</w:t>
            </w:r>
            <w:r w:rsidR="004838EA" w:rsidRPr="003E6512">
              <w:t>±0.0</w:t>
            </w:r>
            <w:r w:rsidR="007B657E" w:rsidRPr="003E6512">
              <w:t>2</w:t>
            </w:r>
          </w:p>
        </w:tc>
        <w:tc>
          <w:tcPr>
            <w:tcW w:w="1308" w:type="dxa"/>
            <w:tcBorders>
              <w:top w:val="single" w:sz="4" w:space="0" w:color="auto"/>
              <w:left w:val="single" w:sz="4" w:space="0" w:color="auto"/>
              <w:bottom w:val="single" w:sz="4" w:space="0" w:color="auto"/>
              <w:right w:val="single" w:sz="4" w:space="0" w:color="auto"/>
            </w:tcBorders>
            <w:hideMark/>
          </w:tcPr>
          <w:p w14:paraId="05362B82" w14:textId="77D41FB3" w:rsidR="00C20512" w:rsidRPr="003E6512" w:rsidRDefault="00C20512" w:rsidP="003E6512">
            <w:pPr>
              <w:pStyle w:val="NoSpacing"/>
            </w:pPr>
            <w:r w:rsidRPr="003E6512">
              <w:t>0.000</w:t>
            </w:r>
            <w:r w:rsidR="000C6957" w:rsidRPr="003E6512">
              <w:t>±0.01</w:t>
            </w:r>
          </w:p>
        </w:tc>
        <w:tc>
          <w:tcPr>
            <w:tcW w:w="1308" w:type="dxa"/>
            <w:tcBorders>
              <w:top w:val="single" w:sz="4" w:space="0" w:color="auto"/>
              <w:left w:val="single" w:sz="4" w:space="0" w:color="auto"/>
              <w:bottom w:val="single" w:sz="4" w:space="0" w:color="auto"/>
              <w:right w:val="single" w:sz="4" w:space="0" w:color="auto"/>
            </w:tcBorders>
            <w:hideMark/>
          </w:tcPr>
          <w:p w14:paraId="0A2FD87F" w14:textId="055EA979" w:rsidR="00C20512" w:rsidRPr="003E6512" w:rsidRDefault="00C20512" w:rsidP="003E6512">
            <w:pPr>
              <w:pStyle w:val="NoSpacing"/>
            </w:pPr>
            <w:r w:rsidRPr="003E6512">
              <w:t>25.94</w:t>
            </w:r>
            <w:r w:rsidR="000C6957" w:rsidRPr="003E6512">
              <w:t>±0.0</w:t>
            </w:r>
            <w:r w:rsidR="007B657E" w:rsidRPr="003E6512">
              <w:t>2</w:t>
            </w:r>
          </w:p>
        </w:tc>
        <w:tc>
          <w:tcPr>
            <w:tcW w:w="1404" w:type="dxa"/>
            <w:tcBorders>
              <w:top w:val="single" w:sz="4" w:space="0" w:color="auto"/>
              <w:left w:val="single" w:sz="4" w:space="0" w:color="auto"/>
              <w:bottom w:val="single" w:sz="4" w:space="0" w:color="auto"/>
              <w:right w:val="single" w:sz="4" w:space="0" w:color="auto"/>
            </w:tcBorders>
            <w:hideMark/>
          </w:tcPr>
          <w:p w14:paraId="68913170" w14:textId="3901E778" w:rsidR="00C20512" w:rsidRPr="003E6512" w:rsidRDefault="00C20512" w:rsidP="003E6512">
            <w:pPr>
              <w:pStyle w:val="NoSpacing"/>
            </w:pPr>
            <w:r w:rsidRPr="003E6512">
              <w:t>29.38</w:t>
            </w:r>
            <w:r w:rsidR="000C6957" w:rsidRPr="003E6512">
              <w:t>±0.0</w:t>
            </w:r>
            <w:r w:rsidR="007B657E" w:rsidRPr="003E6512">
              <w:t>1</w:t>
            </w:r>
          </w:p>
        </w:tc>
        <w:tc>
          <w:tcPr>
            <w:tcW w:w="1332" w:type="dxa"/>
            <w:tcBorders>
              <w:top w:val="single" w:sz="4" w:space="0" w:color="auto"/>
              <w:left w:val="single" w:sz="4" w:space="0" w:color="auto"/>
              <w:bottom w:val="single" w:sz="4" w:space="0" w:color="auto"/>
              <w:right w:val="single" w:sz="4" w:space="0" w:color="auto"/>
            </w:tcBorders>
            <w:hideMark/>
          </w:tcPr>
          <w:p w14:paraId="25228376" w14:textId="13302193" w:rsidR="00C20512" w:rsidRPr="003E6512" w:rsidRDefault="00C20512" w:rsidP="003E6512">
            <w:pPr>
              <w:pStyle w:val="NoSpacing"/>
            </w:pPr>
            <w:r w:rsidRPr="003E6512">
              <w:t>527.5</w:t>
            </w:r>
            <w:r w:rsidR="000C6957" w:rsidRPr="003E6512">
              <w:t>±0.03</w:t>
            </w:r>
          </w:p>
        </w:tc>
        <w:tc>
          <w:tcPr>
            <w:tcW w:w="1308" w:type="dxa"/>
            <w:tcBorders>
              <w:top w:val="single" w:sz="4" w:space="0" w:color="auto"/>
              <w:left w:val="single" w:sz="4" w:space="0" w:color="auto"/>
              <w:bottom w:val="single" w:sz="4" w:space="0" w:color="auto"/>
              <w:right w:val="single" w:sz="4" w:space="0" w:color="auto"/>
            </w:tcBorders>
            <w:hideMark/>
          </w:tcPr>
          <w:p w14:paraId="3819FD51" w14:textId="0D3F9518" w:rsidR="00C20512" w:rsidRPr="003E6512" w:rsidRDefault="00C20512" w:rsidP="003E6512">
            <w:pPr>
              <w:pStyle w:val="NoSpacing"/>
            </w:pPr>
            <w:r w:rsidRPr="003E6512">
              <w:t>5.530</w:t>
            </w:r>
            <w:r w:rsidR="000C6957" w:rsidRPr="003E6512">
              <w:t>±0.01</w:t>
            </w:r>
          </w:p>
        </w:tc>
        <w:tc>
          <w:tcPr>
            <w:tcW w:w="1308" w:type="dxa"/>
            <w:tcBorders>
              <w:top w:val="single" w:sz="4" w:space="0" w:color="auto"/>
              <w:left w:val="single" w:sz="4" w:space="0" w:color="auto"/>
              <w:bottom w:val="single" w:sz="4" w:space="0" w:color="auto"/>
              <w:right w:val="single" w:sz="4" w:space="0" w:color="auto"/>
            </w:tcBorders>
            <w:hideMark/>
          </w:tcPr>
          <w:p w14:paraId="5817CFC9" w14:textId="39670C66" w:rsidR="00C20512" w:rsidRPr="003E6512" w:rsidRDefault="00C20512" w:rsidP="003E6512">
            <w:pPr>
              <w:pStyle w:val="NoSpacing"/>
            </w:pPr>
            <w:r w:rsidRPr="003E6512">
              <w:t>6.240</w:t>
            </w:r>
            <w:r w:rsidR="000C6957" w:rsidRPr="003E6512">
              <w:t>±0.01</w:t>
            </w:r>
          </w:p>
        </w:tc>
      </w:tr>
      <w:tr w:rsidR="000C6957" w:rsidRPr="003E6512" w14:paraId="1236FAE3" w14:textId="77777777" w:rsidTr="007B657E">
        <w:trPr>
          <w:trHeight w:val="406"/>
        </w:trPr>
        <w:tc>
          <w:tcPr>
            <w:tcW w:w="1760" w:type="dxa"/>
            <w:tcBorders>
              <w:top w:val="single" w:sz="4" w:space="0" w:color="auto"/>
              <w:left w:val="single" w:sz="4" w:space="0" w:color="auto"/>
              <w:bottom w:val="single" w:sz="4" w:space="0" w:color="auto"/>
              <w:right w:val="single" w:sz="4" w:space="0" w:color="auto"/>
            </w:tcBorders>
            <w:hideMark/>
          </w:tcPr>
          <w:p w14:paraId="0BD07512" w14:textId="77777777" w:rsidR="00C20512" w:rsidRPr="003E6512" w:rsidRDefault="00C20512" w:rsidP="003E6512">
            <w:pPr>
              <w:pStyle w:val="NoSpacing"/>
            </w:pPr>
            <w:r w:rsidRPr="003E6512">
              <w:t>Moringa tea</w:t>
            </w:r>
          </w:p>
        </w:tc>
        <w:tc>
          <w:tcPr>
            <w:tcW w:w="1308" w:type="dxa"/>
            <w:tcBorders>
              <w:top w:val="single" w:sz="4" w:space="0" w:color="auto"/>
              <w:left w:val="single" w:sz="4" w:space="0" w:color="auto"/>
              <w:bottom w:val="single" w:sz="4" w:space="0" w:color="auto"/>
              <w:right w:val="single" w:sz="4" w:space="0" w:color="auto"/>
            </w:tcBorders>
            <w:hideMark/>
          </w:tcPr>
          <w:p w14:paraId="5727DE19" w14:textId="74F5BB82" w:rsidR="00C20512" w:rsidRPr="003E6512" w:rsidRDefault="00C20512" w:rsidP="003E6512">
            <w:pPr>
              <w:pStyle w:val="NoSpacing"/>
            </w:pPr>
            <w:r w:rsidRPr="003E6512">
              <w:t>0.600</w:t>
            </w:r>
            <w:r w:rsidR="000C6957" w:rsidRPr="003E6512">
              <w:t>±0.0</w:t>
            </w:r>
            <w:r w:rsidR="007B657E" w:rsidRPr="003E6512">
              <w:t>1</w:t>
            </w:r>
          </w:p>
        </w:tc>
        <w:tc>
          <w:tcPr>
            <w:tcW w:w="1308" w:type="dxa"/>
            <w:tcBorders>
              <w:top w:val="single" w:sz="4" w:space="0" w:color="auto"/>
              <w:left w:val="single" w:sz="4" w:space="0" w:color="auto"/>
              <w:bottom w:val="single" w:sz="4" w:space="0" w:color="auto"/>
              <w:right w:val="single" w:sz="4" w:space="0" w:color="auto"/>
            </w:tcBorders>
          </w:tcPr>
          <w:p w14:paraId="2F804584" w14:textId="08A80BF0" w:rsidR="00C20512" w:rsidRPr="003E6512" w:rsidRDefault="000C6957" w:rsidP="003E6512">
            <w:pPr>
              <w:pStyle w:val="NoSpacing"/>
            </w:pPr>
            <w:r w:rsidRPr="003E6512">
              <w:t>BDL</w:t>
            </w:r>
          </w:p>
        </w:tc>
        <w:tc>
          <w:tcPr>
            <w:tcW w:w="1308" w:type="dxa"/>
            <w:tcBorders>
              <w:top w:val="single" w:sz="4" w:space="0" w:color="auto"/>
              <w:left w:val="single" w:sz="4" w:space="0" w:color="auto"/>
              <w:bottom w:val="single" w:sz="4" w:space="0" w:color="auto"/>
              <w:right w:val="single" w:sz="4" w:space="0" w:color="auto"/>
            </w:tcBorders>
            <w:hideMark/>
          </w:tcPr>
          <w:p w14:paraId="66F7AA06" w14:textId="1B98400E" w:rsidR="00C20512" w:rsidRPr="003E6512" w:rsidRDefault="00C20512" w:rsidP="003E6512">
            <w:pPr>
              <w:pStyle w:val="NoSpacing"/>
            </w:pPr>
            <w:r w:rsidRPr="003E6512">
              <w:t>5.930</w:t>
            </w:r>
            <w:r w:rsidR="000C6957" w:rsidRPr="003E6512">
              <w:t>±0.0</w:t>
            </w:r>
            <w:r w:rsidR="007B657E" w:rsidRPr="003E6512">
              <w:t>1</w:t>
            </w:r>
          </w:p>
        </w:tc>
        <w:tc>
          <w:tcPr>
            <w:tcW w:w="1404" w:type="dxa"/>
            <w:tcBorders>
              <w:top w:val="single" w:sz="4" w:space="0" w:color="auto"/>
              <w:left w:val="single" w:sz="4" w:space="0" w:color="auto"/>
              <w:bottom w:val="single" w:sz="4" w:space="0" w:color="auto"/>
              <w:right w:val="single" w:sz="4" w:space="0" w:color="auto"/>
            </w:tcBorders>
            <w:hideMark/>
          </w:tcPr>
          <w:p w14:paraId="4642968D" w14:textId="3D5547A9" w:rsidR="00C20512" w:rsidRPr="003E6512" w:rsidRDefault="00C20512" w:rsidP="003E6512">
            <w:pPr>
              <w:pStyle w:val="NoSpacing"/>
            </w:pPr>
            <w:r w:rsidRPr="003E6512">
              <w:t>15.63</w:t>
            </w:r>
            <w:r w:rsidR="000C6957" w:rsidRPr="003E6512">
              <w:t>±0.0</w:t>
            </w:r>
            <w:r w:rsidR="007B657E" w:rsidRPr="003E6512">
              <w:t>0</w:t>
            </w:r>
          </w:p>
        </w:tc>
        <w:tc>
          <w:tcPr>
            <w:tcW w:w="1332" w:type="dxa"/>
            <w:tcBorders>
              <w:top w:val="single" w:sz="4" w:space="0" w:color="auto"/>
              <w:left w:val="single" w:sz="4" w:space="0" w:color="auto"/>
              <w:bottom w:val="single" w:sz="4" w:space="0" w:color="auto"/>
              <w:right w:val="single" w:sz="4" w:space="0" w:color="auto"/>
            </w:tcBorders>
            <w:hideMark/>
          </w:tcPr>
          <w:p w14:paraId="0396680F" w14:textId="3EE19D60" w:rsidR="00C20512" w:rsidRPr="003E6512" w:rsidRDefault="00C20512" w:rsidP="003E6512">
            <w:pPr>
              <w:pStyle w:val="NoSpacing"/>
            </w:pPr>
            <w:r w:rsidRPr="003E6512">
              <w:t>50.05</w:t>
            </w:r>
            <w:r w:rsidR="000C6957" w:rsidRPr="003E6512">
              <w:t>±0.02</w:t>
            </w:r>
          </w:p>
        </w:tc>
        <w:tc>
          <w:tcPr>
            <w:tcW w:w="1308" w:type="dxa"/>
            <w:tcBorders>
              <w:top w:val="single" w:sz="4" w:space="0" w:color="auto"/>
              <w:left w:val="single" w:sz="4" w:space="0" w:color="auto"/>
              <w:bottom w:val="single" w:sz="4" w:space="0" w:color="auto"/>
              <w:right w:val="single" w:sz="4" w:space="0" w:color="auto"/>
            </w:tcBorders>
            <w:hideMark/>
          </w:tcPr>
          <w:p w14:paraId="3C22A9D8" w14:textId="5B477895" w:rsidR="00C20512" w:rsidRPr="003E6512" w:rsidRDefault="00C20512" w:rsidP="003E6512">
            <w:pPr>
              <w:pStyle w:val="NoSpacing"/>
            </w:pPr>
            <w:r w:rsidRPr="003E6512">
              <w:t>2.940</w:t>
            </w:r>
            <w:r w:rsidR="000C6957" w:rsidRPr="003E6512">
              <w:t>±0.01</w:t>
            </w:r>
          </w:p>
        </w:tc>
        <w:tc>
          <w:tcPr>
            <w:tcW w:w="1308" w:type="dxa"/>
            <w:tcBorders>
              <w:top w:val="single" w:sz="4" w:space="0" w:color="auto"/>
              <w:left w:val="single" w:sz="4" w:space="0" w:color="auto"/>
              <w:bottom w:val="single" w:sz="4" w:space="0" w:color="auto"/>
              <w:right w:val="single" w:sz="4" w:space="0" w:color="auto"/>
            </w:tcBorders>
            <w:hideMark/>
          </w:tcPr>
          <w:p w14:paraId="18DA8542" w14:textId="4153729B" w:rsidR="00C20512" w:rsidRPr="003E6512" w:rsidRDefault="00C20512" w:rsidP="003E6512">
            <w:pPr>
              <w:pStyle w:val="NoSpacing"/>
            </w:pPr>
            <w:r w:rsidRPr="003E6512">
              <w:t>77.00</w:t>
            </w:r>
            <w:r w:rsidR="000C6957" w:rsidRPr="003E6512">
              <w:t>±0.01</w:t>
            </w:r>
          </w:p>
        </w:tc>
      </w:tr>
      <w:tr w:rsidR="000C6957" w:rsidRPr="003E6512" w14:paraId="4A253244" w14:textId="77777777" w:rsidTr="007B657E">
        <w:trPr>
          <w:trHeight w:val="433"/>
        </w:trPr>
        <w:tc>
          <w:tcPr>
            <w:tcW w:w="1760" w:type="dxa"/>
            <w:tcBorders>
              <w:top w:val="single" w:sz="4" w:space="0" w:color="auto"/>
              <w:left w:val="single" w:sz="4" w:space="0" w:color="auto"/>
              <w:bottom w:val="single" w:sz="4" w:space="0" w:color="auto"/>
              <w:right w:val="single" w:sz="4" w:space="0" w:color="auto"/>
            </w:tcBorders>
            <w:hideMark/>
          </w:tcPr>
          <w:p w14:paraId="62439BFF" w14:textId="77777777" w:rsidR="00C20512" w:rsidRPr="003E6512" w:rsidRDefault="00C20512" w:rsidP="003E6512">
            <w:pPr>
              <w:pStyle w:val="NoSpacing"/>
            </w:pPr>
            <w:r w:rsidRPr="003E6512">
              <w:t>Tummy and body fat-reducing tea</w:t>
            </w:r>
          </w:p>
        </w:tc>
        <w:tc>
          <w:tcPr>
            <w:tcW w:w="1308" w:type="dxa"/>
            <w:tcBorders>
              <w:top w:val="single" w:sz="4" w:space="0" w:color="auto"/>
              <w:left w:val="single" w:sz="4" w:space="0" w:color="auto"/>
              <w:bottom w:val="single" w:sz="4" w:space="0" w:color="auto"/>
              <w:right w:val="single" w:sz="4" w:space="0" w:color="auto"/>
            </w:tcBorders>
            <w:hideMark/>
          </w:tcPr>
          <w:p w14:paraId="56C4750E" w14:textId="2C662E2D" w:rsidR="00C20512" w:rsidRPr="003E6512" w:rsidRDefault="00C20512" w:rsidP="003E6512">
            <w:pPr>
              <w:pStyle w:val="NoSpacing"/>
            </w:pPr>
            <w:r w:rsidRPr="003E6512">
              <w:t>1.450</w:t>
            </w:r>
            <w:r w:rsidR="000C6957" w:rsidRPr="003E6512">
              <w:t>±0.0</w:t>
            </w:r>
            <w:r w:rsidR="007B657E" w:rsidRPr="003E6512">
              <w:t>0</w:t>
            </w:r>
          </w:p>
        </w:tc>
        <w:tc>
          <w:tcPr>
            <w:tcW w:w="1308" w:type="dxa"/>
            <w:tcBorders>
              <w:top w:val="single" w:sz="4" w:space="0" w:color="auto"/>
              <w:left w:val="single" w:sz="4" w:space="0" w:color="auto"/>
              <w:bottom w:val="single" w:sz="4" w:space="0" w:color="auto"/>
              <w:right w:val="single" w:sz="4" w:space="0" w:color="auto"/>
            </w:tcBorders>
            <w:hideMark/>
          </w:tcPr>
          <w:p w14:paraId="49CB77BF" w14:textId="4936CEFB" w:rsidR="00C20512" w:rsidRPr="003E6512" w:rsidRDefault="000C6957" w:rsidP="003E6512">
            <w:pPr>
              <w:pStyle w:val="NoSpacing"/>
            </w:pPr>
            <w:r w:rsidRPr="003E6512">
              <w:t>BDL</w:t>
            </w:r>
          </w:p>
        </w:tc>
        <w:tc>
          <w:tcPr>
            <w:tcW w:w="1308" w:type="dxa"/>
            <w:tcBorders>
              <w:top w:val="single" w:sz="4" w:space="0" w:color="auto"/>
              <w:left w:val="single" w:sz="4" w:space="0" w:color="auto"/>
              <w:bottom w:val="single" w:sz="4" w:space="0" w:color="auto"/>
              <w:right w:val="single" w:sz="4" w:space="0" w:color="auto"/>
            </w:tcBorders>
          </w:tcPr>
          <w:p w14:paraId="1DBDB62D" w14:textId="1E35B2BF" w:rsidR="00C20512" w:rsidRPr="003E6512" w:rsidRDefault="000C6957" w:rsidP="003E6512">
            <w:pPr>
              <w:pStyle w:val="NoSpacing"/>
            </w:pPr>
            <w:r w:rsidRPr="003E6512">
              <w:t>BDL</w:t>
            </w:r>
          </w:p>
        </w:tc>
        <w:tc>
          <w:tcPr>
            <w:tcW w:w="1404" w:type="dxa"/>
            <w:tcBorders>
              <w:top w:val="single" w:sz="4" w:space="0" w:color="auto"/>
              <w:left w:val="single" w:sz="4" w:space="0" w:color="auto"/>
              <w:bottom w:val="single" w:sz="4" w:space="0" w:color="auto"/>
              <w:right w:val="single" w:sz="4" w:space="0" w:color="auto"/>
            </w:tcBorders>
            <w:hideMark/>
          </w:tcPr>
          <w:p w14:paraId="1202A362" w14:textId="13BA3B98" w:rsidR="00C20512" w:rsidRPr="003E6512" w:rsidRDefault="00C20512" w:rsidP="003E6512">
            <w:pPr>
              <w:pStyle w:val="NoSpacing"/>
            </w:pPr>
            <w:r w:rsidRPr="003E6512">
              <w:t>12.65</w:t>
            </w:r>
            <w:r w:rsidR="000C6957" w:rsidRPr="003E6512">
              <w:t>±0.0</w:t>
            </w:r>
            <w:r w:rsidR="007B657E" w:rsidRPr="003E6512">
              <w:t>1</w:t>
            </w:r>
          </w:p>
        </w:tc>
        <w:tc>
          <w:tcPr>
            <w:tcW w:w="1332" w:type="dxa"/>
            <w:tcBorders>
              <w:top w:val="single" w:sz="4" w:space="0" w:color="auto"/>
              <w:left w:val="single" w:sz="4" w:space="0" w:color="auto"/>
              <w:bottom w:val="single" w:sz="4" w:space="0" w:color="auto"/>
              <w:right w:val="single" w:sz="4" w:space="0" w:color="auto"/>
            </w:tcBorders>
            <w:hideMark/>
          </w:tcPr>
          <w:p w14:paraId="0A42A193" w14:textId="247E7896" w:rsidR="00C20512" w:rsidRPr="003E6512" w:rsidRDefault="00C20512" w:rsidP="003E6512">
            <w:pPr>
              <w:pStyle w:val="NoSpacing"/>
            </w:pPr>
            <w:r w:rsidRPr="003E6512">
              <w:t>58.64</w:t>
            </w:r>
            <w:r w:rsidR="000C6957" w:rsidRPr="003E6512">
              <w:t>±0.00</w:t>
            </w:r>
          </w:p>
        </w:tc>
        <w:tc>
          <w:tcPr>
            <w:tcW w:w="1308" w:type="dxa"/>
            <w:tcBorders>
              <w:top w:val="single" w:sz="4" w:space="0" w:color="auto"/>
              <w:left w:val="single" w:sz="4" w:space="0" w:color="auto"/>
              <w:bottom w:val="single" w:sz="4" w:space="0" w:color="auto"/>
              <w:right w:val="single" w:sz="4" w:space="0" w:color="auto"/>
            </w:tcBorders>
            <w:hideMark/>
          </w:tcPr>
          <w:p w14:paraId="393D3601" w14:textId="15A31224" w:rsidR="00C20512" w:rsidRPr="003E6512" w:rsidRDefault="00C20512" w:rsidP="003E6512">
            <w:pPr>
              <w:pStyle w:val="NoSpacing"/>
            </w:pPr>
            <w:r w:rsidRPr="003E6512">
              <w:t>4.220</w:t>
            </w:r>
            <w:r w:rsidR="000C6957" w:rsidRPr="003E6512">
              <w:t>±0.01</w:t>
            </w:r>
          </w:p>
        </w:tc>
        <w:tc>
          <w:tcPr>
            <w:tcW w:w="1308" w:type="dxa"/>
            <w:tcBorders>
              <w:top w:val="single" w:sz="4" w:space="0" w:color="auto"/>
              <w:left w:val="single" w:sz="4" w:space="0" w:color="auto"/>
              <w:bottom w:val="single" w:sz="4" w:space="0" w:color="auto"/>
              <w:right w:val="single" w:sz="4" w:space="0" w:color="auto"/>
            </w:tcBorders>
            <w:hideMark/>
          </w:tcPr>
          <w:p w14:paraId="7C4DA7A4" w14:textId="153495BF" w:rsidR="00C20512" w:rsidRPr="003E6512" w:rsidRDefault="00C20512" w:rsidP="003E6512">
            <w:pPr>
              <w:pStyle w:val="NoSpacing"/>
            </w:pPr>
            <w:r w:rsidRPr="003E6512">
              <w:t>5.340</w:t>
            </w:r>
            <w:r w:rsidR="000C6957" w:rsidRPr="003E6512">
              <w:t>±0.01</w:t>
            </w:r>
          </w:p>
        </w:tc>
      </w:tr>
      <w:tr w:rsidR="000C6957" w:rsidRPr="003E6512" w14:paraId="6BCA58F0" w14:textId="77777777" w:rsidTr="007B657E">
        <w:trPr>
          <w:trHeight w:val="414"/>
        </w:trPr>
        <w:tc>
          <w:tcPr>
            <w:tcW w:w="1760" w:type="dxa"/>
            <w:tcBorders>
              <w:top w:val="single" w:sz="4" w:space="0" w:color="auto"/>
              <w:left w:val="single" w:sz="4" w:space="0" w:color="auto"/>
              <w:bottom w:val="single" w:sz="4" w:space="0" w:color="auto"/>
              <w:right w:val="single" w:sz="4" w:space="0" w:color="auto"/>
            </w:tcBorders>
            <w:hideMark/>
          </w:tcPr>
          <w:p w14:paraId="100645EE" w14:textId="77777777" w:rsidR="00C20512" w:rsidRPr="003E6512" w:rsidRDefault="00C20512" w:rsidP="003E6512">
            <w:pPr>
              <w:pStyle w:val="NoSpacing"/>
            </w:pPr>
            <w:r w:rsidRPr="003E6512">
              <w:t>Lipton tea</w:t>
            </w:r>
          </w:p>
        </w:tc>
        <w:tc>
          <w:tcPr>
            <w:tcW w:w="1308" w:type="dxa"/>
            <w:tcBorders>
              <w:top w:val="single" w:sz="4" w:space="0" w:color="auto"/>
              <w:left w:val="single" w:sz="4" w:space="0" w:color="auto"/>
              <w:bottom w:val="single" w:sz="4" w:space="0" w:color="auto"/>
              <w:right w:val="single" w:sz="4" w:space="0" w:color="auto"/>
            </w:tcBorders>
            <w:hideMark/>
          </w:tcPr>
          <w:p w14:paraId="5BB56C2A" w14:textId="552FE320" w:rsidR="00C20512" w:rsidRPr="003E6512" w:rsidRDefault="00C20512" w:rsidP="003E6512">
            <w:pPr>
              <w:pStyle w:val="NoSpacing"/>
            </w:pPr>
            <w:r w:rsidRPr="003E6512">
              <w:t>0.270</w:t>
            </w:r>
            <w:r w:rsidR="000C6957" w:rsidRPr="003E6512">
              <w:t>±0.0</w:t>
            </w:r>
            <w:r w:rsidR="007B657E" w:rsidRPr="003E6512">
              <w:t>0</w:t>
            </w:r>
          </w:p>
        </w:tc>
        <w:tc>
          <w:tcPr>
            <w:tcW w:w="1308" w:type="dxa"/>
            <w:tcBorders>
              <w:top w:val="single" w:sz="4" w:space="0" w:color="auto"/>
              <w:left w:val="single" w:sz="4" w:space="0" w:color="auto"/>
              <w:bottom w:val="single" w:sz="4" w:space="0" w:color="auto"/>
              <w:right w:val="single" w:sz="4" w:space="0" w:color="auto"/>
            </w:tcBorders>
            <w:hideMark/>
          </w:tcPr>
          <w:p w14:paraId="5A0363A5" w14:textId="33B8939A" w:rsidR="00C20512" w:rsidRPr="003E6512" w:rsidRDefault="00C20512" w:rsidP="003E6512">
            <w:pPr>
              <w:pStyle w:val="NoSpacing"/>
            </w:pPr>
            <w:r w:rsidRPr="003E6512">
              <w:t>1.310</w:t>
            </w:r>
            <w:r w:rsidR="000C6957" w:rsidRPr="003E6512">
              <w:t>±0.01</w:t>
            </w:r>
          </w:p>
        </w:tc>
        <w:tc>
          <w:tcPr>
            <w:tcW w:w="1308" w:type="dxa"/>
            <w:tcBorders>
              <w:top w:val="single" w:sz="4" w:space="0" w:color="auto"/>
              <w:left w:val="single" w:sz="4" w:space="0" w:color="auto"/>
              <w:bottom w:val="single" w:sz="4" w:space="0" w:color="auto"/>
              <w:right w:val="single" w:sz="4" w:space="0" w:color="auto"/>
            </w:tcBorders>
          </w:tcPr>
          <w:p w14:paraId="4F12895B" w14:textId="6975EF86" w:rsidR="00C20512" w:rsidRPr="003E6512" w:rsidRDefault="000C6957" w:rsidP="003E6512">
            <w:pPr>
              <w:pStyle w:val="NoSpacing"/>
            </w:pPr>
            <w:r w:rsidRPr="003E6512">
              <w:t>BDL</w:t>
            </w:r>
          </w:p>
        </w:tc>
        <w:tc>
          <w:tcPr>
            <w:tcW w:w="1404" w:type="dxa"/>
            <w:tcBorders>
              <w:top w:val="single" w:sz="4" w:space="0" w:color="auto"/>
              <w:left w:val="single" w:sz="4" w:space="0" w:color="auto"/>
              <w:bottom w:val="single" w:sz="4" w:space="0" w:color="auto"/>
              <w:right w:val="single" w:sz="4" w:space="0" w:color="auto"/>
            </w:tcBorders>
            <w:hideMark/>
          </w:tcPr>
          <w:p w14:paraId="152C4ECA" w14:textId="6C72D6B9" w:rsidR="00C20512" w:rsidRPr="003E6512" w:rsidRDefault="00C20512" w:rsidP="003E6512">
            <w:pPr>
              <w:pStyle w:val="NoSpacing"/>
            </w:pPr>
            <w:r w:rsidRPr="003E6512">
              <w:t>31.65</w:t>
            </w:r>
            <w:r w:rsidR="000C6957" w:rsidRPr="003E6512">
              <w:t>±0.01</w:t>
            </w:r>
          </w:p>
        </w:tc>
        <w:tc>
          <w:tcPr>
            <w:tcW w:w="1332" w:type="dxa"/>
            <w:tcBorders>
              <w:top w:val="single" w:sz="4" w:space="0" w:color="auto"/>
              <w:left w:val="single" w:sz="4" w:space="0" w:color="auto"/>
              <w:bottom w:val="single" w:sz="4" w:space="0" w:color="auto"/>
              <w:right w:val="single" w:sz="4" w:space="0" w:color="auto"/>
            </w:tcBorders>
            <w:hideMark/>
          </w:tcPr>
          <w:p w14:paraId="5FD74FFB" w14:textId="03FFE6D7" w:rsidR="00C20512" w:rsidRPr="003E6512" w:rsidRDefault="00C20512" w:rsidP="003E6512">
            <w:pPr>
              <w:pStyle w:val="NoSpacing"/>
            </w:pPr>
            <w:r w:rsidRPr="003E6512">
              <w:t>1369.</w:t>
            </w:r>
            <w:r w:rsidR="000C6957" w:rsidRPr="003E6512">
              <w:t>±0.0</w:t>
            </w:r>
            <w:r w:rsidR="007B657E" w:rsidRPr="003E6512">
              <w:t>1</w:t>
            </w:r>
          </w:p>
        </w:tc>
        <w:tc>
          <w:tcPr>
            <w:tcW w:w="1308" w:type="dxa"/>
            <w:tcBorders>
              <w:top w:val="single" w:sz="4" w:space="0" w:color="auto"/>
              <w:left w:val="single" w:sz="4" w:space="0" w:color="auto"/>
              <w:bottom w:val="single" w:sz="4" w:space="0" w:color="auto"/>
              <w:right w:val="single" w:sz="4" w:space="0" w:color="auto"/>
            </w:tcBorders>
            <w:hideMark/>
          </w:tcPr>
          <w:p w14:paraId="62243DA7" w14:textId="401F4604" w:rsidR="00C20512" w:rsidRPr="003E6512" w:rsidRDefault="00C20512" w:rsidP="003E6512">
            <w:pPr>
              <w:pStyle w:val="NoSpacing"/>
            </w:pPr>
            <w:r w:rsidRPr="003E6512">
              <w:t>8.340</w:t>
            </w:r>
            <w:r w:rsidR="000C6957" w:rsidRPr="003E6512">
              <w:t>±0.00</w:t>
            </w:r>
          </w:p>
        </w:tc>
        <w:tc>
          <w:tcPr>
            <w:tcW w:w="1308" w:type="dxa"/>
            <w:tcBorders>
              <w:top w:val="single" w:sz="4" w:space="0" w:color="auto"/>
              <w:left w:val="single" w:sz="4" w:space="0" w:color="auto"/>
              <w:bottom w:val="single" w:sz="4" w:space="0" w:color="auto"/>
              <w:right w:val="single" w:sz="4" w:space="0" w:color="auto"/>
            </w:tcBorders>
            <w:hideMark/>
          </w:tcPr>
          <w:p w14:paraId="235E17F8" w14:textId="6E010127" w:rsidR="00C20512" w:rsidRPr="003E6512" w:rsidRDefault="00C20512" w:rsidP="003E6512">
            <w:pPr>
              <w:pStyle w:val="NoSpacing"/>
            </w:pPr>
            <w:r w:rsidRPr="003E6512">
              <w:t>1.370</w:t>
            </w:r>
            <w:r w:rsidR="000C6957" w:rsidRPr="003E6512">
              <w:t>±0.00</w:t>
            </w:r>
          </w:p>
        </w:tc>
      </w:tr>
      <w:tr w:rsidR="000C6957" w:rsidRPr="003E6512" w14:paraId="5EE4C280" w14:textId="77777777" w:rsidTr="007B657E">
        <w:trPr>
          <w:trHeight w:val="475"/>
        </w:trPr>
        <w:tc>
          <w:tcPr>
            <w:tcW w:w="1760" w:type="dxa"/>
            <w:tcBorders>
              <w:top w:val="single" w:sz="4" w:space="0" w:color="auto"/>
              <w:left w:val="single" w:sz="4" w:space="0" w:color="auto"/>
              <w:bottom w:val="single" w:sz="4" w:space="0" w:color="auto"/>
              <w:right w:val="single" w:sz="4" w:space="0" w:color="auto"/>
            </w:tcBorders>
            <w:hideMark/>
          </w:tcPr>
          <w:p w14:paraId="4CC2D2D7" w14:textId="77777777" w:rsidR="00C20512" w:rsidRPr="003E6512" w:rsidRDefault="00C20512" w:rsidP="003E6512">
            <w:pPr>
              <w:pStyle w:val="NoSpacing"/>
            </w:pPr>
            <w:r w:rsidRPr="003E6512">
              <w:t>Nals pure natural mint leaves</w:t>
            </w:r>
          </w:p>
        </w:tc>
        <w:tc>
          <w:tcPr>
            <w:tcW w:w="1308" w:type="dxa"/>
            <w:tcBorders>
              <w:top w:val="single" w:sz="4" w:space="0" w:color="auto"/>
              <w:left w:val="single" w:sz="4" w:space="0" w:color="auto"/>
              <w:bottom w:val="single" w:sz="4" w:space="0" w:color="auto"/>
              <w:right w:val="single" w:sz="4" w:space="0" w:color="auto"/>
            </w:tcBorders>
            <w:hideMark/>
          </w:tcPr>
          <w:p w14:paraId="691F726C" w14:textId="0A1F3F16" w:rsidR="00C20512" w:rsidRPr="003E6512" w:rsidRDefault="00C20512" w:rsidP="003E6512">
            <w:pPr>
              <w:pStyle w:val="NoSpacing"/>
            </w:pPr>
            <w:r w:rsidRPr="003E6512">
              <w:t>0.620</w:t>
            </w:r>
            <w:r w:rsidR="000C6957" w:rsidRPr="003E6512">
              <w:t>±0.0</w:t>
            </w:r>
            <w:r w:rsidR="007B657E" w:rsidRPr="003E6512">
              <w:t>1</w:t>
            </w:r>
          </w:p>
        </w:tc>
        <w:tc>
          <w:tcPr>
            <w:tcW w:w="1308" w:type="dxa"/>
            <w:tcBorders>
              <w:top w:val="single" w:sz="4" w:space="0" w:color="auto"/>
              <w:left w:val="single" w:sz="4" w:space="0" w:color="auto"/>
              <w:bottom w:val="single" w:sz="4" w:space="0" w:color="auto"/>
              <w:right w:val="single" w:sz="4" w:space="0" w:color="auto"/>
            </w:tcBorders>
            <w:hideMark/>
          </w:tcPr>
          <w:p w14:paraId="76757DC9" w14:textId="0AA155E3" w:rsidR="00C20512" w:rsidRPr="003E6512" w:rsidRDefault="000C6957" w:rsidP="003E6512">
            <w:pPr>
              <w:pStyle w:val="NoSpacing"/>
            </w:pPr>
            <w:r w:rsidRPr="003E6512">
              <w:t>BDL</w:t>
            </w:r>
          </w:p>
        </w:tc>
        <w:tc>
          <w:tcPr>
            <w:tcW w:w="1308" w:type="dxa"/>
            <w:tcBorders>
              <w:top w:val="single" w:sz="4" w:space="0" w:color="auto"/>
              <w:left w:val="single" w:sz="4" w:space="0" w:color="auto"/>
              <w:bottom w:val="single" w:sz="4" w:space="0" w:color="auto"/>
              <w:right w:val="single" w:sz="4" w:space="0" w:color="auto"/>
            </w:tcBorders>
            <w:hideMark/>
          </w:tcPr>
          <w:p w14:paraId="14677F15" w14:textId="6A68A514" w:rsidR="00C20512" w:rsidRPr="003E6512" w:rsidRDefault="00C20512" w:rsidP="003E6512">
            <w:pPr>
              <w:pStyle w:val="NoSpacing"/>
            </w:pPr>
            <w:r w:rsidRPr="003E6512">
              <w:t>10.41</w:t>
            </w:r>
            <w:r w:rsidR="000C6957" w:rsidRPr="003E6512">
              <w:t>±0.01</w:t>
            </w:r>
          </w:p>
        </w:tc>
        <w:tc>
          <w:tcPr>
            <w:tcW w:w="1404" w:type="dxa"/>
            <w:tcBorders>
              <w:top w:val="single" w:sz="4" w:space="0" w:color="auto"/>
              <w:left w:val="single" w:sz="4" w:space="0" w:color="auto"/>
              <w:bottom w:val="single" w:sz="4" w:space="0" w:color="auto"/>
              <w:right w:val="single" w:sz="4" w:space="0" w:color="auto"/>
            </w:tcBorders>
            <w:hideMark/>
          </w:tcPr>
          <w:p w14:paraId="6183143B" w14:textId="25B52FEC" w:rsidR="00C20512" w:rsidRPr="003E6512" w:rsidRDefault="00C20512" w:rsidP="003E6512">
            <w:pPr>
              <w:pStyle w:val="NoSpacing"/>
            </w:pPr>
            <w:r w:rsidRPr="003E6512">
              <w:t>33.74</w:t>
            </w:r>
            <w:r w:rsidR="000C6957" w:rsidRPr="003E6512">
              <w:t>±0.0</w:t>
            </w:r>
            <w:r w:rsidR="007B657E" w:rsidRPr="003E6512">
              <w:t>2</w:t>
            </w:r>
          </w:p>
        </w:tc>
        <w:tc>
          <w:tcPr>
            <w:tcW w:w="1332" w:type="dxa"/>
            <w:tcBorders>
              <w:top w:val="single" w:sz="4" w:space="0" w:color="auto"/>
              <w:left w:val="single" w:sz="4" w:space="0" w:color="auto"/>
              <w:bottom w:val="single" w:sz="4" w:space="0" w:color="auto"/>
              <w:right w:val="single" w:sz="4" w:space="0" w:color="auto"/>
            </w:tcBorders>
            <w:hideMark/>
          </w:tcPr>
          <w:p w14:paraId="7CABFFD6" w14:textId="5015DA8B" w:rsidR="00C20512" w:rsidRPr="003E6512" w:rsidRDefault="00C20512" w:rsidP="003E6512">
            <w:pPr>
              <w:pStyle w:val="NoSpacing"/>
            </w:pPr>
            <w:r w:rsidRPr="003E6512">
              <w:t>110.9</w:t>
            </w:r>
            <w:r w:rsidR="000C6957" w:rsidRPr="003E6512">
              <w:t>±0.0</w:t>
            </w:r>
            <w:r w:rsidR="007B657E" w:rsidRPr="003E6512">
              <w:t>2</w:t>
            </w:r>
          </w:p>
        </w:tc>
        <w:tc>
          <w:tcPr>
            <w:tcW w:w="1308" w:type="dxa"/>
            <w:tcBorders>
              <w:top w:val="single" w:sz="4" w:space="0" w:color="auto"/>
              <w:left w:val="single" w:sz="4" w:space="0" w:color="auto"/>
              <w:bottom w:val="single" w:sz="4" w:space="0" w:color="auto"/>
              <w:right w:val="single" w:sz="4" w:space="0" w:color="auto"/>
            </w:tcBorders>
            <w:hideMark/>
          </w:tcPr>
          <w:p w14:paraId="6D829DDD" w14:textId="16CD317B" w:rsidR="00C20512" w:rsidRPr="003E6512" w:rsidRDefault="00C20512" w:rsidP="003E6512">
            <w:pPr>
              <w:pStyle w:val="NoSpacing"/>
            </w:pPr>
            <w:r w:rsidRPr="003E6512">
              <w:t>5.940</w:t>
            </w:r>
            <w:r w:rsidR="000C6957" w:rsidRPr="003E6512">
              <w:t>±0.00</w:t>
            </w:r>
          </w:p>
        </w:tc>
        <w:tc>
          <w:tcPr>
            <w:tcW w:w="1308" w:type="dxa"/>
            <w:tcBorders>
              <w:top w:val="single" w:sz="4" w:space="0" w:color="auto"/>
              <w:left w:val="single" w:sz="4" w:space="0" w:color="auto"/>
              <w:bottom w:val="single" w:sz="4" w:space="0" w:color="auto"/>
              <w:right w:val="single" w:sz="4" w:space="0" w:color="auto"/>
            </w:tcBorders>
            <w:hideMark/>
          </w:tcPr>
          <w:p w14:paraId="46EF217E" w14:textId="284CDE73" w:rsidR="00C20512" w:rsidRPr="003E6512" w:rsidRDefault="00C20512" w:rsidP="003E6512">
            <w:pPr>
              <w:pStyle w:val="NoSpacing"/>
            </w:pPr>
            <w:r w:rsidRPr="003E6512">
              <w:t>1.680</w:t>
            </w:r>
            <w:r w:rsidR="000C6957" w:rsidRPr="003E6512">
              <w:t>±0.00</w:t>
            </w:r>
          </w:p>
        </w:tc>
      </w:tr>
      <w:tr w:rsidR="000C6957" w:rsidRPr="003E6512" w14:paraId="283E2018" w14:textId="77777777" w:rsidTr="007B657E">
        <w:trPr>
          <w:trHeight w:val="351"/>
        </w:trPr>
        <w:tc>
          <w:tcPr>
            <w:tcW w:w="1760" w:type="dxa"/>
            <w:tcBorders>
              <w:top w:val="single" w:sz="4" w:space="0" w:color="auto"/>
              <w:left w:val="single" w:sz="4" w:space="0" w:color="auto"/>
              <w:bottom w:val="single" w:sz="4" w:space="0" w:color="auto"/>
              <w:right w:val="single" w:sz="4" w:space="0" w:color="auto"/>
            </w:tcBorders>
            <w:hideMark/>
          </w:tcPr>
          <w:p w14:paraId="09069FA4" w14:textId="77777777" w:rsidR="00C20512" w:rsidRPr="003E6512" w:rsidRDefault="00C20512" w:rsidP="003E6512">
            <w:pPr>
              <w:pStyle w:val="NoSpacing"/>
            </w:pPr>
            <w:r w:rsidRPr="003E6512">
              <w:t xml:space="preserve"> Lemon-ginger tea</w:t>
            </w:r>
          </w:p>
        </w:tc>
        <w:tc>
          <w:tcPr>
            <w:tcW w:w="1308" w:type="dxa"/>
            <w:tcBorders>
              <w:top w:val="single" w:sz="4" w:space="0" w:color="auto"/>
              <w:left w:val="single" w:sz="4" w:space="0" w:color="auto"/>
              <w:bottom w:val="single" w:sz="4" w:space="0" w:color="auto"/>
              <w:right w:val="single" w:sz="4" w:space="0" w:color="auto"/>
            </w:tcBorders>
            <w:hideMark/>
          </w:tcPr>
          <w:p w14:paraId="5E2702B6" w14:textId="184DDEF5" w:rsidR="00C20512" w:rsidRPr="003E6512" w:rsidRDefault="00C20512" w:rsidP="003E6512">
            <w:pPr>
              <w:pStyle w:val="NoSpacing"/>
            </w:pPr>
            <w:r w:rsidRPr="003E6512">
              <w:t>0.940</w:t>
            </w:r>
            <w:r w:rsidR="000C6957" w:rsidRPr="003E6512">
              <w:t>±0.0</w:t>
            </w:r>
            <w:r w:rsidR="007B657E" w:rsidRPr="003E6512">
              <w:t>0</w:t>
            </w:r>
          </w:p>
        </w:tc>
        <w:tc>
          <w:tcPr>
            <w:tcW w:w="1308" w:type="dxa"/>
            <w:tcBorders>
              <w:top w:val="single" w:sz="4" w:space="0" w:color="auto"/>
              <w:left w:val="single" w:sz="4" w:space="0" w:color="auto"/>
              <w:bottom w:val="single" w:sz="4" w:space="0" w:color="auto"/>
              <w:right w:val="single" w:sz="4" w:space="0" w:color="auto"/>
            </w:tcBorders>
            <w:hideMark/>
          </w:tcPr>
          <w:p w14:paraId="199FD96F" w14:textId="5F383F2F" w:rsidR="00C20512" w:rsidRPr="003E6512" w:rsidRDefault="000C6957" w:rsidP="003E6512">
            <w:pPr>
              <w:pStyle w:val="NoSpacing"/>
            </w:pPr>
            <w:r w:rsidRPr="003E6512">
              <w:t>BDL</w:t>
            </w:r>
          </w:p>
        </w:tc>
        <w:tc>
          <w:tcPr>
            <w:tcW w:w="1308" w:type="dxa"/>
            <w:tcBorders>
              <w:top w:val="single" w:sz="4" w:space="0" w:color="auto"/>
              <w:left w:val="single" w:sz="4" w:space="0" w:color="auto"/>
              <w:bottom w:val="single" w:sz="4" w:space="0" w:color="auto"/>
              <w:right w:val="single" w:sz="4" w:space="0" w:color="auto"/>
            </w:tcBorders>
            <w:hideMark/>
          </w:tcPr>
          <w:p w14:paraId="24653E95" w14:textId="459DC512" w:rsidR="00C20512" w:rsidRPr="003E6512" w:rsidRDefault="00C20512" w:rsidP="003E6512">
            <w:pPr>
              <w:pStyle w:val="NoSpacing"/>
            </w:pPr>
            <w:r w:rsidRPr="003E6512">
              <w:t>9.480</w:t>
            </w:r>
            <w:r w:rsidR="000C6957" w:rsidRPr="003E6512">
              <w:t>±0.0</w:t>
            </w:r>
            <w:r w:rsidR="007B657E" w:rsidRPr="003E6512">
              <w:t>0</w:t>
            </w:r>
          </w:p>
        </w:tc>
        <w:tc>
          <w:tcPr>
            <w:tcW w:w="1404" w:type="dxa"/>
            <w:tcBorders>
              <w:top w:val="single" w:sz="4" w:space="0" w:color="auto"/>
              <w:left w:val="single" w:sz="4" w:space="0" w:color="auto"/>
              <w:bottom w:val="single" w:sz="4" w:space="0" w:color="auto"/>
              <w:right w:val="single" w:sz="4" w:space="0" w:color="auto"/>
            </w:tcBorders>
            <w:hideMark/>
          </w:tcPr>
          <w:p w14:paraId="5B1EAA00" w14:textId="3DF7DE2E" w:rsidR="00C20512" w:rsidRPr="003E6512" w:rsidRDefault="00C20512" w:rsidP="003E6512">
            <w:pPr>
              <w:pStyle w:val="NoSpacing"/>
            </w:pPr>
            <w:r w:rsidRPr="003E6512">
              <w:t>11.73</w:t>
            </w:r>
            <w:r w:rsidR="000C6957" w:rsidRPr="003E6512">
              <w:t>±0.</w:t>
            </w:r>
            <w:r w:rsidR="007B657E" w:rsidRPr="003E6512">
              <w:t>11</w:t>
            </w:r>
          </w:p>
        </w:tc>
        <w:tc>
          <w:tcPr>
            <w:tcW w:w="1332" w:type="dxa"/>
            <w:tcBorders>
              <w:top w:val="single" w:sz="4" w:space="0" w:color="auto"/>
              <w:left w:val="single" w:sz="4" w:space="0" w:color="auto"/>
              <w:bottom w:val="single" w:sz="4" w:space="0" w:color="auto"/>
              <w:right w:val="single" w:sz="4" w:space="0" w:color="auto"/>
            </w:tcBorders>
            <w:hideMark/>
          </w:tcPr>
          <w:p w14:paraId="426CB3F7" w14:textId="1DF6A3EB" w:rsidR="00C20512" w:rsidRPr="003E6512" w:rsidRDefault="00C20512" w:rsidP="003E6512">
            <w:pPr>
              <w:pStyle w:val="NoSpacing"/>
            </w:pPr>
            <w:r w:rsidRPr="003E6512">
              <w:t>198.6</w:t>
            </w:r>
            <w:r w:rsidR="000C6957" w:rsidRPr="003E6512">
              <w:t>±0.0</w:t>
            </w:r>
            <w:r w:rsidR="007B657E" w:rsidRPr="003E6512">
              <w:t>1</w:t>
            </w:r>
          </w:p>
        </w:tc>
        <w:tc>
          <w:tcPr>
            <w:tcW w:w="1308" w:type="dxa"/>
            <w:tcBorders>
              <w:top w:val="single" w:sz="4" w:space="0" w:color="auto"/>
              <w:left w:val="single" w:sz="4" w:space="0" w:color="auto"/>
              <w:bottom w:val="single" w:sz="4" w:space="0" w:color="auto"/>
              <w:right w:val="single" w:sz="4" w:space="0" w:color="auto"/>
            </w:tcBorders>
            <w:hideMark/>
          </w:tcPr>
          <w:p w14:paraId="5F40EF22" w14:textId="12355E77" w:rsidR="00C20512" w:rsidRPr="003E6512" w:rsidRDefault="00C20512" w:rsidP="003E6512">
            <w:pPr>
              <w:pStyle w:val="NoSpacing"/>
            </w:pPr>
            <w:r w:rsidRPr="003E6512">
              <w:t>3.060</w:t>
            </w:r>
            <w:r w:rsidR="000C6957" w:rsidRPr="003E6512">
              <w:t>±0.00</w:t>
            </w:r>
          </w:p>
        </w:tc>
        <w:tc>
          <w:tcPr>
            <w:tcW w:w="1308" w:type="dxa"/>
            <w:tcBorders>
              <w:top w:val="single" w:sz="4" w:space="0" w:color="auto"/>
              <w:left w:val="single" w:sz="4" w:space="0" w:color="auto"/>
              <w:bottom w:val="single" w:sz="4" w:space="0" w:color="auto"/>
              <w:right w:val="single" w:sz="4" w:space="0" w:color="auto"/>
            </w:tcBorders>
            <w:hideMark/>
          </w:tcPr>
          <w:p w14:paraId="5922D47A" w14:textId="738182B2" w:rsidR="00C20512" w:rsidRPr="003E6512" w:rsidRDefault="00C20512" w:rsidP="003E6512">
            <w:pPr>
              <w:pStyle w:val="NoSpacing"/>
            </w:pPr>
            <w:r w:rsidRPr="003E6512">
              <w:t>1.620</w:t>
            </w:r>
            <w:r w:rsidR="000C6957" w:rsidRPr="003E6512">
              <w:t>±0.00</w:t>
            </w:r>
          </w:p>
        </w:tc>
      </w:tr>
      <w:tr w:rsidR="000C6957" w:rsidRPr="003E6512" w14:paraId="3A9ACA70" w14:textId="77777777" w:rsidTr="007B657E">
        <w:trPr>
          <w:trHeight w:val="218"/>
        </w:trPr>
        <w:tc>
          <w:tcPr>
            <w:tcW w:w="1760" w:type="dxa"/>
            <w:tcBorders>
              <w:top w:val="single" w:sz="4" w:space="0" w:color="auto"/>
              <w:left w:val="single" w:sz="4" w:space="0" w:color="auto"/>
              <w:bottom w:val="single" w:sz="4" w:space="0" w:color="auto"/>
              <w:right w:val="single" w:sz="4" w:space="0" w:color="auto"/>
            </w:tcBorders>
            <w:hideMark/>
          </w:tcPr>
          <w:p w14:paraId="7261EF0A" w14:textId="77777777" w:rsidR="00C20512" w:rsidRPr="003E6512" w:rsidRDefault="00C20512" w:rsidP="003E6512">
            <w:pPr>
              <w:pStyle w:val="NoSpacing"/>
            </w:pPr>
            <w:r w:rsidRPr="003E6512">
              <w:t>Top tea</w:t>
            </w:r>
          </w:p>
        </w:tc>
        <w:tc>
          <w:tcPr>
            <w:tcW w:w="1308" w:type="dxa"/>
            <w:tcBorders>
              <w:top w:val="single" w:sz="4" w:space="0" w:color="auto"/>
              <w:left w:val="single" w:sz="4" w:space="0" w:color="auto"/>
              <w:bottom w:val="single" w:sz="4" w:space="0" w:color="auto"/>
              <w:right w:val="single" w:sz="4" w:space="0" w:color="auto"/>
            </w:tcBorders>
            <w:hideMark/>
          </w:tcPr>
          <w:p w14:paraId="321C46EC" w14:textId="7CF6F653" w:rsidR="00C20512" w:rsidRPr="003E6512" w:rsidRDefault="00C20512" w:rsidP="003E6512">
            <w:pPr>
              <w:pStyle w:val="NoSpacing"/>
            </w:pPr>
            <w:r w:rsidRPr="003E6512">
              <w:t>0.690</w:t>
            </w:r>
            <w:r w:rsidR="000C6957" w:rsidRPr="003E6512">
              <w:t>±0.0</w:t>
            </w:r>
            <w:r w:rsidR="007B657E" w:rsidRPr="003E6512">
              <w:t>0</w:t>
            </w:r>
          </w:p>
        </w:tc>
        <w:tc>
          <w:tcPr>
            <w:tcW w:w="1308" w:type="dxa"/>
            <w:tcBorders>
              <w:top w:val="single" w:sz="4" w:space="0" w:color="auto"/>
              <w:left w:val="single" w:sz="4" w:space="0" w:color="auto"/>
              <w:bottom w:val="single" w:sz="4" w:space="0" w:color="auto"/>
              <w:right w:val="single" w:sz="4" w:space="0" w:color="auto"/>
            </w:tcBorders>
            <w:hideMark/>
          </w:tcPr>
          <w:p w14:paraId="01D9A1FB" w14:textId="0E2CF527" w:rsidR="00C20512" w:rsidRPr="003E6512" w:rsidRDefault="000C6957" w:rsidP="003E6512">
            <w:pPr>
              <w:pStyle w:val="NoSpacing"/>
            </w:pPr>
            <w:r w:rsidRPr="003E6512">
              <w:t>BDL</w:t>
            </w:r>
          </w:p>
        </w:tc>
        <w:tc>
          <w:tcPr>
            <w:tcW w:w="1308" w:type="dxa"/>
            <w:tcBorders>
              <w:top w:val="single" w:sz="4" w:space="0" w:color="auto"/>
              <w:left w:val="single" w:sz="4" w:space="0" w:color="auto"/>
              <w:bottom w:val="single" w:sz="4" w:space="0" w:color="auto"/>
              <w:right w:val="single" w:sz="4" w:space="0" w:color="auto"/>
            </w:tcBorders>
            <w:hideMark/>
          </w:tcPr>
          <w:p w14:paraId="1527D049" w14:textId="5A30A28F" w:rsidR="00C20512" w:rsidRPr="003E6512" w:rsidRDefault="00C20512" w:rsidP="003E6512">
            <w:pPr>
              <w:pStyle w:val="NoSpacing"/>
            </w:pPr>
            <w:r w:rsidRPr="003E6512">
              <w:t>11.23</w:t>
            </w:r>
            <w:r w:rsidR="000C6957" w:rsidRPr="003E6512">
              <w:t>±0.0</w:t>
            </w:r>
            <w:r w:rsidR="007B657E" w:rsidRPr="003E6512">
              <w:t>1</w:t>
            </w:r>
          </w:p>
        </w:tc>
        <w:tc>
          <w:tcPr>
            <w:tcW w:w="1404" w:type="dxa"/>
            <w:tcBorders>
              <w:top w:val="single" w:sz="4" w:space="0" w:color="auto"/>
              <w:left w:val="single" w:sz="4" w:space="0" w:color="auto"/>
              <w:bottom w:val="single" w:sz="4" w:space="0" w:color="auto"/>
              <w:right w:val="single" w:sz="4" w:space="0" w:color="auto"/>
            </w:tcBorders>
            <w:hideMark/>
          </w:tcPr>
          <w:p w14:paraId="336E398B" w14:textId="2F9ABEB7" w:rsidR="00C20512" w:rsidRPr="003E6512" w:rsidRDefault="00C20512" w:rsidP="003E6512">
            <w:pPr>
              <w:pStyle w:val="NoSpacing"/>
            </w:pPr>
            <w:r w:rsidRPr="003E6512">
              <w:t>42.87</w:t>
            </w:r>
            <w:r w:rsidR="000C6957" w:rsidRPr="003E6512">
              <w:t>±0.0</w:t>
            </w:r>
            <w:r w:rsidR="007B657E" w:rsidRPr="003E6512">
              <w:t>1</w:t>
            </w:r>
          </w:p>
        </w:tc>
        <w:tc>
          <w:tcPr>
            <w:tcW w:w="1332" w:type="dxa"/>
            <w:tcBorders>
              <w:top w:val="single" w:sz="4" w:space="0" w:color="auto"/>
              <w:left w:val="single" w:sz="4" w:space="0" w:color="auto"/>
              <w:bottom w:val="single" w:sz="4" w:space="0" w:color="auto"/>
              <w:right w:val="single" w:sz="4" w:space="0" w:color="auto"/>
            </w:tcBorders>
            <w:hideMark/>
          </w:tcPr>
          <w:p w14:paraId="26A25CBE" w14:textId="54E93580" w:rsidR="00C20512" w:rsidRPr="003E6512" w:rsidRDefault="00C20512" w:rsidP="003E6512">
            <w:pPr>
              <w:pStyle w:val="NoSpacing"/>
            </w:pPr>
            <w:r w:rsidRPr="003E6512">
              <w:t>1661</w:t>
            </w:r>
            <w:r w:rsidR="000C6957" w:rsidRPr="003E6512">
              <w:t>±0.0</w:t>
            </w:r>
            <w:r w:rsidR="007B657E" w:rsidRPr="003E6512">
              <w:t>3</w:t>
            </w:r>
          </w:p>
        </w:tc>
        <w:tc>
          <w:tcPr>
            <w:tcW w:w="1308" w:type="dxa"/>
            <w:tcBorders>
              <w:top w:val="single" w:sz="4" w:space="0" w:color="auto"/>
              <w:left w:val="single" w:sz="4" w:space="0" w:color="auto"/>
              <w:bottom w:val="single" w:sz="4" w:space="0" w:color="auto"/>
              <w:right w:val="single" w:sz="4" w:space="0" w:color="auto"/>
            </w:tcBorders>
            <w:hideMark/>
          </w:tcPr>
          <w:p w14:paraId="3DCCB74C" w14:textId="4468824A" w:rsidR="00C20512" w:rsidRPr="003E6512" w:rsidRDefault="00C20512" w:rsidP="003E6512">
            <w:pPr>
              <w:pStyle w:val="NoSpacing"/>
            </w:pPr>
            <w:r w:rsidRPr="003E6512">
              <w:t>10.22</w:t>
            </w:r>
            <w:r w:rsidR="000C6957" w:rsidRPr="003E6512">
              <w:t>±0.02</w:t>
            </w:r>
          </w:p>
        </w:tc>
        <w:tc>
          <w:tcPr>
            <w:tcW w:w="1308" w:type="dxa"/>
            <w:tcBorders>
              <w:top w:val="single" w:sz="4" w:space="0" w:color="auto"/>
              <w:left w:val="single" w:sz="4" w:space="0" w:color="auto"/>
              <w:bottom w:val="single" w:sz="4" w:space="0" w:color="auto"/>
              <w:right w:val="single" w:sz="4" w:space="0" w:color="auto"/>
            </w:tcBorders>
            <w:hideMark/>
          </w:tcPr>
          <w:p w14:paraId="71A0A304" w14:textId="3D2960CF" w:rsidR="00C20512" w:rsidRPr="003E6512" w:rsidRDefault="00C20512" w:rsidP="003E6512">
            <w:pPr>
              <w:pStyle w:val="NoSpacing"/>
            </w:pPr>
            <w:r w:rsidRPr="003E6512">
              <w:t>35.12</w:t>
            </w:r>
            <w:r w:rsidR="000C6957" w:rsidRPr="003E6512">
              <w:t>±0.01</w:t>
            </w:r>
          </w:p>
        </w:tc>
      </w:tr>
      <w:tr w:rsidR="000C6957" w:rsidRPr="003E6512" w14:paraId="748EAB3F" w14:textId="77777777" w:rsidTr="007B657E">
        <w:trPr>
          <w:trHeight w:val="414"/>
        </w:trPr>
        <w:tc>
          <w:tcPr>
            <w:tcW w:w="1760" w:type="dxa"/>
            <w:tcBorders>
              <w:top w:val="single" w:sz="4" w:space="0" w:color="auto"/>
              <w:left w:val="single" w:sz="4" w:space="0" w:color="auto"/>
              <w:bottom w:val="single" w:sz="4" w:space="0" w:color="auto"/>
              <w:right w:val="single" w:sz="4" w:space="0" w:color="auto"/>
            </w:tcBorders>
            <w:hideMark/>
          </w:tcPr>
          <w:p w14:paraId="5F54F970" w14:textId="77777777" w:rsidR="00C20512" w:rsidRPr="003E6512" w:rsidRDefault="00C20512" w:rsidP="003E6512">
            <w:pPr>
              <w:pStyle w:val="NoSpacing"/>
            </w:pPr>
            <w:r w:rsidRPr="003E6512">
              <w:t>Mango tea</w:t>
            </w:r>
          </w:p>
        </w:tc>
        <w:tc>
          <w:tcPr>
            <w:tcW w:w="1308" w:type="dxa"/>
            <w:tcBorders>
              <w:top w:val="single" w:sz="4" w:space="0" w:color="auto"/>
              <w:left w:val="single" w:sz="4" w:space="0" w:color="auto"/>
              <w:bottom w:val="single" w:sz="4" w:space="0" w:color="auto"/>
              <w:right w:val="single" w:sz="4" w:space="0" w:color="auto"/>
            </w:tcBorders>
            <w:hideMark/>
          </w:tcPr>
          <w:p w14:paraId="59F213DB" w14:textId="4A8FF63A" w:rsidR="00C20512" w:rsidRPr="003E6512" w:rsidRDefault="00C20512" w:rsidP="003E6512">
            <w:pPr>
              <w:pStyle w:val="NoSpacing"/>
            </w:pPr>
            <w:r w:rsidRPr="003E6512">
              <w:t>0.600</w:t>
            </w:r>
            <w:r w:rsidR="000C6957" w:rsidRPr="003E6512">
              <w:t>±0.</w:t>
            </w:r>
            <w:r w:rsidR="007B657E" w:rsidRPr="003E6512">
              <w:t>11</w:t>
            </w:r>
          </w:p>
        </w:tc>
        <w:tc>
          <w:tcPr>
            <w:tcW w:w="1308" w:type="dxa"/>
            <w:tcBorders>
              <w:top w:val="single" w:sz="4" w:space="0" w:color="auto"/>
              <w:left w:val="single" w:sz="4" w:space="0" w:color="auto"/>
              <w:bottom w:val="single" w:sz="4" w:space="0" w:color="auto"/>
              <w:right w:val="single" w:sz="4" w:space="0" w:color="auto"/>
            </w:tcBorders>
            <w:hideMark/>
          </w:tcPr>
          <w:p w14:paraId="36F08E0D" w14:textId="6D3BC502" w:rsidR="00C20512" w:rsidRPr="003E6512" w:rsidRDefault="000C6957" w:rsidP="003E6512">
            <w:pPr>
              <w:pStyle w:val="NoSpacing"/>
            </w:pPr>
            <w:r w:rsidRPr="003E6512">
              <w:t>BDL</w:t>
            </w:r>
          </w:p>
        </w:tc>
        <w:tc>
          <w:tcPr>
            <w:tcW w:w="1308" w:type="dxa"/>
            <w:tcBorders>
              <w:top w:val="single" w:sz="4" w:space="0" w:color="auto"/>
              <w:left w:val="single" w:sz="4" w:space="0" w:color="auto"/>
              <w:bottom w:val="single" w:sz="4" w:space="0" w:color="auto"/>
              <w:right w:val="single" w:sz="4" w:space="0" w:color="auto"/>
            </w:tcBorders>
            <w:hideMark/>
          </w:tcPr>
          <w:p w14:paraId="45866C3A" w14:textId="25845671" w:rsidR="00C20512" w:rsidRPr="003E6512" w:rsidRDefault="00C20512" w:rsidP="003E6512">
            <w:pPr>
              <w:pStyle w:val="NoSpacing"/>
            </w:pPr>
            <w:r w:rsidRPr="003E6512">
              <w:t>9.130</w:t>
            </w:r>
            <w:r w:rsidR="000C6957" w:rsidRPr="003E6512">
              <w:t>±0.0</w:t>
            </w:r>
            <w:r w:rsidR="007B657E" w:rsidRPr="003E6512">
              <w:t>3</w:t>
            </w:r>
          </w:p>
        </w:tc>
        <w:tc>
          <w:tcPr>
            <w:tcW w:w="1404" w:type="dxa"/>
            <w:tcBorders>
              <w:top w:val="single" w:sz="4" w:space="0" w:color="auto"/>
              <w:left w:val="single" w:sz="4" w:space="0" w:color="auto"/>
              <w:bottom w:val="single" w:sz="4" w:space="0" w:color="auto"/>
              <w:right w:val="single" w:sz="4" w:space="0" w:color="auto"/>
            </w:tcBorders>
            <w:hideMark/>
          </w:tcPr>
          <w:p w14:paraId="50F2CF4D" w14:textId="59D9F452" w:rsidR="00C20512" w:rsidRPr="003E6512" w:rsidRDefault="00C20512" w:rsidP="003E6512">
            <w:pPr>
              <w:pStyle w:val="NoSpacing"/>
            </w:pPr>
            <w:r w:rsidRPr="003E6512">
              <w:t>66.97</w:t>
            </w:r>
            <w:r w:rsidR="000C6957" w:rsidRPr="003E6512">
              <w:t>±0.0</w:t>
            </w:r>
            <w:r w:rsidR="007B657E" w:rsidRPr="003E6512">
              <w:t>0</w:t>
            </w:r>
          </w:p>
        </w:tc>
        <w:tc>
          <w:tcPr>
            <w:tcW w:w="1332" w:type="dxa"/>
            <w:tcBorders>
              <w:top w:val="single" w:sz="4" w:space="0" w:color="auto"/>
              <w:left w:val="single" w:sz="4" w:space="0" w:color="auto"/>
              <w:bottom w:val="single" w:sz="4" w:space="0" w:color="auto"/>
              <w:right w:val="single" w:sz="4" w:space="0" w:color="auto"/>
            </w:tcBorders>
            <w:hideMark/>
          </w:tcPr>
          <w:p w14:paraId="0E079BD6" w14:textId="198A1BE2" w:rsidR="00C20512" w:rsidRPr="003E6512" w:rsidRDefault="00C20512" w:rsidP="003E6512">
            <w:pPr>
              <w:pStyle w:val="NoSpacing"/>
            </w:pPr>
            <w:r w:rsidRPr="003E6512">
              <w:t>355.44</w:t>
            </w:r>
            <w:r w:rsidR="000C6957" w:rsidRPr="003E6512">
              <w:t>±0.0</w:t>
            </w:r>
            <w:r w:rsidR="007B657E" w:rsidRPr="003E6512">
              <w:t>1</w:t>
            </w:r>
          </w:p>
        </w:tc>
        <w:tc>
          <w:tcPr>
            <w:tcW w:w="1308" w:type="dxa"/>
            <w:tcBorders>
              <w:top w:val="single" w:sz="4" w:space="0" w:color="auto"/>
              <w:left w:val="single" w:sz="4" w:space="0" w:color="auto"/>
              <w:bottom w:val="single" w:sz="4" w:space="0" w:color="auto"/>
              <w:right w:val="single" w:sz="4" w:space="0" w:color="auto"/>
            </w:tcBorders>
            <w:hideMark/>
          </w:tcPr>
          <w:p w14:paraId="54F21292" w14:textId="5AB121D4" w:rsidR="00C20512" w:rsidRPr="003E6512" w:rsidRDefault="00C20512" w:rsidP="003E6512">
            <w:pPr>
              <w:pStyle w:val="NoSpacing"/>
            </w:pPr>
            <w:r w:rsidRPr="003E6512">
              <w:t>5.710</w:t>
            </w:r>
            <w:r w:rsidR="000C6957" w:rsidRPr="003E6512">
              <w:t>±0.01</w:t>
            </w:r>
          </w:p>
        </w:tc>
        <w:tc>
          <w:tcPr>
            <w:tcW w:w="1308" w:type="dxa"/>
            <w:tcBorders>
              <w:top w:val="single" w:sz="4" w:space="0" w:color="auto"/>
              <w:left w:val="single" w:sz="4" w:space="0" w:color="auto"/>
              <w:bottom w:val="single" w:sz="4" w:space="0" w:color="auto"/>
              <w:right w:val="single" w:sz="4" w:space="0" w:color="auto"/>
            </w:tcBorders>
            <w:hideMark/>
          </w:tcPr>
          <w:p w14:paraId="65BF3CDC" w14:textId="1BF6C691" w:rsidR="00C20512" w:rsidRPr="003E6512" w:rsidRDefault="00C20512" w:rsidP="003E6512">
            <w:pPr>
              <w:pStyle w:val="NoSpacing"/>
            </w:pPr>
            <w:r w:rsidRPr="003E6512">
              <w:t>2.560</w:t>
            </w:r>
            <w:r w:rsidR="000C6957" w:rsidRPr="003E6512">
              <w:t>±0.00</w:t>
            </w:r>
          </w:p>
        </w:tc>
      </w:tr>
      <w:tr w:rsidR="000C6957" w:rsidRPr="003E6512" w14:paraId="16B94450" w14:textId="77777777" w:rsidTr="007B657E">
        <w:trPr>
          <w:trHeight w:val="414"/>
        </w:trPr>
        <w:tc>
          <w:tcPr>
            <w:tcW w:w="1760" w:type="dxa"/>
            <w:tcBorders>
              <w:top w:val="single" w:sz="4" w:space="0" w:color="auto"/>
              <w:left w:val="single" w:sz="4" w:space="0" w:color="auto"/>
              <w:bottom w:val="single" w:sz="4" w:space="0" w:color="auto"/>
              <w:right w:val="single" w:sz="4" w:space="0" w:color="auto"/>
            </w:tcBorders>
            <w:hideMark/>
          </w:tcPr>
          <w:p w14:paraId="204C7C3C" w14:textId="77777777" w:rsidR="00C20512" w:rsidRPr="003E6512" w:rsidRDefault="00C20512" w:rsidP="003E6512">
            <w:pPr>
              <w:pStyle w:val="NoSpacing"/>
            </w:pPr>
            <w:r w:rsidRPr="003E6512">
              <w:t>Highland tea</w:t>
            </w:r>
          </w:p>
        </w:tc>
        <w:tc>
          <w:tcPr>
            <w:tcW w:w="1308" w:type="dxa"/>
            <w:tcBorders>
              <w:top w:val="single" w:sz="4" w:space="0" w:color="auto"/>
              <w:left w:val="single" w:sz="4" w:space="0" w:color="auto"/>
              <w:bottom w:val="single" w:sz="4" w:space="0" w:color="auto"/>
              <w:right w:val="single" w:sz="4" w:space="0" w:color="auto"/>
            </w:tcBorders>
            <w:hideMark/>
          </w:tcPr>
          <w:p w14:paraId="3146D673" w14:textId="7CCCB26A" w:rsidR="00C20512" w:rsidRPr="003E6512" w:rsidRDefault="00C20512" w:rsidP="003E6512">
            <w:pPr>
              <w:pStyle w:val="NoSpacing"/>
            </w:pPr>
            <w:r w:rsidRPr="003E6512">
              <w:t>0.750</w:t>
            </w:r>
            <w:r w:rsidR="000C6957" w:rsidRPr="003E6512">
              <w:t>±0.0</w:t>
            </w:r>
            <w:r w:rsidR="007B657E" w:rsidRPr="003E6512">
              <w:t>1</w:t>
            </w:r>
          </w:p>
        </w:tc>
        <w:tc>
          <w:tcPr>
            <w:tcW w:w="1308" w:type="dxa"/>
            <w:tcBorders>
              <w:top w:val="single" w:sz="4" w:space="0" w:color="auto"/>
              <w:left w:val="single" w:sz="4" w:space="0" w:color="auto"/>
              <w:bottom w:val="single" w:sz="4" w:space="0" w:color="auto"/>
              <w:right w:val="single" w:sz="4" w:space="0" w:color="auto"/>
            </w:tcBorders>
            <w:hideMark/>
          </w:tcPr>
          <w:p w14:paraId="059DCCA7" w14:textId="385863E9" w:rsidR="00C20512" w:rsidRPr="003E6512" w:rsidRDefault="000C6957" w:rsidP="003E6512">
            <w:pPr>
              <w:pStyle w:val="NoSpacing"/>
            </w:pPr>
            <w:r w:rsidRPr="003E6512">
              <w:t>BDL</w:t>
            </w:r>
          </w:p>
        </w:tc>
        <w:tc>
          <w:tcPr>
            <w:tcW w:w="1308" w:type="dxa"/>
            <w:tcBorders>
              <w:top w:val="single" w:sz="4" w:space="0" w:color="auto"/>
              <w:left w:val="single" w:sz="4" w:space="0" w:color="auto"/>
              <w:bottom w:val="single" w:sz="4" w:space="0" w:color="auto"/>
              <w:right w:val="single" w:sz="4" w:space="0" w:color="auto"/>
            </w:tcBorders>
            <w:hideMark/>
          </w:tcPr>
          <w:p w14:paraId="11C0D21A" w14:textId="2F9272FB" w:rsidR="00C20512" w:rsidRPr="003E6512" w:rsidRDefault="00C20512" w:rsidP="003E6512">
            <w:pPr>
              <w:pStyle w:val="NoSpacing"/>
            </w:pPr>
            <w:r w:rsidRPr="003E6512">
              <w:t>12.41</w:t>
            </w:r>
            <w:r w:rsidR="000C6957" w:rsidRPr="003E6512">
              <w:t>±0.0</w:t>
            </w:r>
            <w:r w:rsidR="007B657E" w:rsidRPr="003E6512">
              <w:t>0</w:t>
            </w:r>
          </w:p>
        </w:tc>
        <w:tc>
          <w:tcPr>
            <w:tcW w:w="1404" w:type="dxa"/>
            <w:tcBorders>
              <w:top w:val="single" w:sz="4" w:space="0" w:color="auto"/>
              <w:left w:val="single" w:sz="4" w:space="0" w:color="auto"/>
              <w:bottom w:val="single" w:sz="4" w:space="0" w:color="auto"/>
              <w:right w:val="single" w:sz="4" w:space="0" w:color="auto"/>
            </w:tcBorders>
            <w:hideMark/>
          </w:tcPr>
          <w:p w14:paraId="2D48E219" w14:textId="211B01EE" w:rsidR="00C20512" w:rsidRPr="003E6512" w:rsidRDefault="00C20512" w:rsidP="003E6512">
            <w:pPr>
              <w:pStyle w:val="NoSpacing"/>
            </w:pPr>
            <w:r w:rsidRPr="003E6512">
              <w:t>28.68</w:t>
            </w:r>
            <w:r w:rsidR="000C6957" w:rsidRPr="003E6512">
              <w:t>±0.</w:t>
            </w:r>
            <w:r w:rsidR="007B657E" w:rsidRPr="003E6512">
              <w:t>01</w:t>
            </w:r>
          </w:p>
        </w:tc>
        <w:tc>
          <w:tcPr>
            <w:tcW w:w="1332" w:type="dxa"/>
            <w:tcBorders>
              <w:top w:val="single" w:sz="4" w:space="0" w:color="auto"/>
              <w:left w:val="single" w:sz="4" w:space="0" w:color="auto"/>
              <w:bottom w:val="single" w:sz="4" w:space="0" w:color="auto"/>
              <w:right w:val="single" w:sz="4" w:space="0" w:color="auto"/>
            </w:tcBorders>
            <w:hideMark/>
          </w:tcPr>
          <w:p w14:paraId="6016AAD4" w14:textId="219D8968" w:rsidR="00C20512" w:rsidRPr="003E6512" w:rsidRDefault="00C20512" w:rsidP="003E6512">
            <w:pPr>
              <w:pStyle w:val="NoSpacing"/>
            </w:pPr>
            <w:r w:rsidRPr="003E6512">
              <w:t>419.14</w:t>
            </w:r>
            <w:r w:rsidR="000C6957" w:rsidRPr="003E6512">
              <w:t>±0.11</w:t>
            </w:r>
          </w:p>
        </w:tc>
        <w:tc>
          <w:tcPr>
            <w:tcW w:w="1308" w:type="dxa"/>
            <w:tcBorders>
              <w:top w:val="single" w:sz="4" w:space="0" w:color="auto"/>
              <w:left w:val="single" w:sz="4" w:space="0" w:color="auto"/>
              <w:bottom w:val="single" w:sz="4" w:space="0" w:color="auto"/>
              <w:right w:val="single" w:sz="4" w:space="0" w:color="auto"/>
            </w:tcBorders>
            <w:hideMark/>
          </w:tcPr>
          <w:p w14:paraId="60A4675F" w14:textId="3585D85E" w:rsidR="00C20512" w:rsidRPr="003E6512" w:rsidRDefault="00C20512" w:rsidP="003E6512">
            <w:pPr>
              <w:pStyle w:val="NoSpacing"/>
            </w:pPr>
            <w:r w:rsidRPr="003E6512">
              <w:t>7.970</w:t>
            </w:r>
            <w:r w:rsidR="000C6957" w:rsidRPr="003E6512">
              <w:t>±0.00</w:t>
            </w:r>
          </w:p>
        </w:tc>
        <w:tc>
          <w:tcPr>
            <w:tcW w:w="1308" w:type="dxa"/>
            <w:tcBorders>
              <w:top w:val="single" w:sz="4" w:space="0" w:color="auto"/>
              <w:left w:val="single" w:sz="4" w:space="0" w:color="auto"/>
              <w:bottom w:val="single" w:sz="4" w:space="0" w:color="auto"/>
              <w:right w:val="single" w:sz="4" w:space="0" w:color="auto"/>
            </w:tcBorders>
            <w:hideMark/>
          </w:tcPr>
          <w:p w14:paraId="1E1E97FB" w14:textId="528A0CE4" w:rsidR="00C20512" w:rsidRPr="003E6512" w:rsidRDefault="000C6957" w:rsidP="003E6512">
            <w:pPr>
              <w:pStyle w:val="NoSpacing"/>
            </w:pPr>
            <w:r w:rsidRPr="003E6512">
              <w:t>BDL</w:t>
            </w:r>
          </w:p>
        </w:tc>
      </w:tr>
      <w:tr w:rsidR="000C6957" w:rsidRPr="003E6512" w14:paraId="56580983" w14:textId="77777777" w:rsidTr="007B657E">
        <w:trPr>
          <w:trHeight w:val="414"/>
        </w:trPr>
        <w:tc>
          <w:tcPr>
            <w:tcW w:w="1760" w:type="dxa"/>
            <w:tcBorders>
              <w:top w:val="single" w:sz="4" w:space="0" w:color="auto"/>
              <w:left w:val="single" w:sz="4" w:space="0" w:color="auto"/>
              <w:bottom w:val="single" w:sz="4" w:space="0" w:color="auto"/>
              <w:right w:val="single" w:sz="4" w:space="0" w:color="auto"/>
            </w:tcBorders>
            <w:hideMark/>
          </w:tcPr>
          <w:p w14:paraId="5C7E7984" w14:textId="77777777" w:rsidR="00C20512" w:rsidRPr="003E6512" w:rsidRDefault="00C20512" w:rsidP="003E6512">
            <w:pPr>
              <w:pStyle w:val="NoSpacing"/>
            </w:pPr>
            <w:r w:rsidRPr="003E6512">
              <w:t>Beetroot tea</w:t>
            </w:r>
          </w:p>
        </w:tc>
        <w:tc>
          <w:tcPr>
            <w:tcW w:w="1308" w:type="dxa"/>
            <w:tcBorders>
              <w:top w:val="single" w:sz="4" w:space="0" w:color="auto"/>
              <w:left w:val="single" w:sz="4" w:space="0" w:color="auto"/>
              <w:bottom w:val="single" w:sz="4" w:space="0" w:color="auto"/>
              <w:right w:val="single" w:sz="4" w:space="0" w:color="auto"/>
            </w:tcBorders>
            <w:hideMark/>
          </w:tcPr>
          <w:p w14:paraId="7B08AF97" w14:textId="75771BC1" w:rsidR="00C20512" w:rsidRPr="003E6512" w:rsidRDefault="00C20512" w:rsidP="003E6512">
            <w:pPr>
              <w:pStyle w:val="NoSpacing"/>
            </w:pPr>
            <w:r w:rsidRPr="003E6512">
              <w:t>0.430</w:t>
            </w:r>
            <w:r w:rsidR="000C6957" w:rsidRPr="003E6512">
              <w:t>±0.0</w:t>
            </w:r>
            <w:r w:rsidR="007B657E" w:rsidRPr="003E6512">
              <w:t>2</w:t>
            </w:r>
          </w:p>
        </w:tc>
        <w:tc>
          <w:tcPr>
            <w:tcW w:w="1308" w:type="dxa"/>
            <w:tcBorders>
              <w:top w:val="single" w:sz="4" w:space="0" w:color="auto"/>
              <w:left w:val="single" w:sz="4" w:space="0" w:color="auto"/>
              <w:bottom w:val="single" w:sz="4" w:space="0" w:color="auto"/>
              <w:right w:val="single" w:sz="4" w:space="0" w:color="auto"/>
            </w:tcBorders>
            <w:hideMark/>
          </w:tcPr>
          <w:p w14:paraId="1745309D" w14:textId="3EC78811" w:rsidR="00C20512" w:rsidRPr="003E6512" w:rsidRDefault="000C6957" w:rsidP="003E6512">
            <w:pPr>
              <w:pStyle w:val="NoSpacing"/>
            </w:pPr>
            <w:r w:rsidRPr="003E6512">
              <w:t>BDL</w:t>
            </w:r>
          </w:p>
        </w:tc>
        <w:tc>
          <w:tcPr>
            <w:tcW w:w="1308" w:type="dxa"/>
            <w:tcBorders>
              <w:top w:val="single" w:sz="4" w:space="0" w:color="auto"/>
              <w:left w:val="single" w:sz="4" w:space="0" w:color="auto"/>
              <w:bottom w:val="single" w:sz="4" w:space="0" w:color="auto"/>
              <w:right w:val="single" w:sz="4" w:space="0" w:color="auto"/>
            </w:tcBorders>
            <w:hideMark/>
          </w:tcPr>
          <w:p w14:paraId="5466BB25" w14:textId="7DF66E95" w:rsidR="00C20512" w:rsidRPr="003E6512" w:rsidRDefault="00C20512" w:rsidP="003E6512">
            <w:pPr>
              <w:pStyle w:val="NoSpacing"/>
            </w:pPr>
            <w:r w:rsidRPr="003E6512">
              <w:t>10.25</w:t>
            </w:r>
            <w:r w:rsidR="000C6957" w:rsidRPr="003E6512">
              <w:t>±0.0</w:t>
            </w:r>
            <w:r w:rsidR="007B657E" w:rsidRPr="003E6512">
              <w:t>0</w:t>
            </w:r>
          </w:p>
        </w:tc>
        <w:tc>
          <w:tcPr>
            <w:tcW w:w="1404" w:type="dxa"/>
            <w:tcBorders>
              <w:top w:val="single" w:sz="4" w:space="0" w:color="auto"/>
              <w:left w:val="single" w:sz="4" w:space="0" w:color="auto"/>
              <w:bottom w:val="single" w:sz="4" w:space="0" w:color="auto"/>
              <w:right w:val="single" w:sz="4" w:space="0" w:color="auto"/>
            </w:tcBorders>
            <w:hideMark/>
          </w:tcPr>
          <w:p w14:paraId="0426588E" w14:textId="0EE04932" w:rsidR="00C20512" w:rsidRPr="003E6512" w:rsidRDefault="00C20512" w:rsidP="003E6512">
            <w:pPr>
              <w:pStyle w:val="NoSpacing"/>
            </w:pPr>
            <w:r w:rsidRPr="003E6512">
              <w:t>17.27</w:t>
            </w:r>
            <w:r w:rsidR="000C6957" w:rsidRPr="003E6512">
              <w:t>±0.0</w:t>
            </w:r>
            <w:r w:rsidR="007B657E" w:rsidRPr="003E6512">
              <w:t>0</w:t>
            </w:r>
          </w:p>
        </w:tc>
        <w:tc>
          <w:tcPr>
            <w:tcW w:w="1332" w:type="dxa"/>
            <w:tcBorders>
              <w:top w:val="single" w:sz="4" w:space="0" w:color="auto"/>
              <w:left w:val="single" w:sz="4" w:space="0" w:color="auto"/>
              <w:bottom w:val="single" w:sz="4" w:space="0" w:color="auto"/>
              <w:right w:val="single" w:sz="4" w:space="0" w:color="auto"/>
            </w:tcBorders>
            <w:hideMark/>
          </w:tcPr>
          <w:p w14:paraId="4E1FF875" w14:textId="3250329D" w:rsidR="00C20512" w:rsidRPr="003E6512" w:rsidRDefault="00C20512" w:rsidP="003E6512">
            <w:pPr>
              <w:pStyle w:val="NoSpacing"/>
            </w:pPr>
            <w:r w:rsidRPr="003E6512">
              <w:t>63.83</w:t>
            </w:r>
            <w:r w:rsidR="000C6957" w:rsidRPr="003E6512">
              <w:t>±0.02</w:t>
            </w:r>
          </w:p>
        </w:tc>
        <w:tc>
          <w:tcPr>
            <w:tcW w:w="1308" w:type="dxa"/>
            <w:tcBorders>
              <w:top w:val="single" w:sz="4" w:space="0" w:color="auto"/>
              <w:left w:val="single" w:sz="4" w:space="0" w:color="auto"/>
              <w:bottom w:val="single" w:sz="4" w:space="0" w:color="auto"/>
              <w:right w:val="single" w:sz="4" w:space="0" w:color="auto"/>
            </w:tcBorders>
            <w:hideMark/>
          </w:tcPr>
          <w:p w14:paraId="3B8B752C" w14:textId="6F2A076E" w:rsidR="00C20512" w:rsidRPr="003E6512" w:rsidRDefault="00C20512" w:rsidP="003E6512">
            <w:pPr>
              <w:pStyle w:val="NoSpacing"/>
            </w:pPr>
            <w:r w:rsidRPr="003E6512">
              <w:t>3.090</w:t>
            </w:r>
            <w:r w:rsidR="000C6957" w:rsidRPr="003E6512">
              <w:t>±0.00</w:t>
            </w:r>
          </w:p>
        </w:tc>
        <w:tc>
          <w:tcPr>
            <w:tcW w:w="1308" w:type="dxa"/>
            <w:tcBorders>
              <w:top w:val="single" w:sz="4" w:space="0" w:color="auto"/>
              <w:left w:val="single" w:sz="4" w:space="0" w:color="auto"/>
              <w:bottom w:val="single" w:sz="4" w:space="0" w:color="auto"/>
              <w:right w:val="single" w:sz="4" w:space="0" w:color="auto"/>
            </w:tcBorders>
            <w:hideMark/>
          </w:tcPr>
          <w:p w14:paraId="701AFC90" w14:textId="68308E23" w:rsidR="00C20512" w:rsidRPr="003E6512" w:rsidRDefault="00C20512" w:rsidP="003E6512">
            <w:pPr>
              <w:pStyle w:val="NoSpacing"/>
            </w:pPr>
            <w:r w:rsidRPr="003E6512">
              <w:t>30.90</w:t>
            </w:r>
            <w:r w:rsidR="000C6957" w:rsidRPr="003E6512">
              <w:t>±0.03</w:t>
            </w:r>
          </w:p>
        </w:tc>
      </w:tr>
      <w:tr w:rsidR="000C6957" w:rsidRPr="003E6512" w14:paraId="568A5F2D" w14:textId="77777777" w:rsidTr="007B657E">
        <w:trPr>
          <w:trHeight w:val="414"/>
        </w:trPr>
        <w:tc>
          <w:tcPr>
            <w:tcW w:w="1760" w:type="dxa"/>
            <w:tcBorders>
              <w:top w:val="single" w:sz="4" w:space="0" w:color="auto"/>
              <w:left w:val="single" w:sz="4" w:space="0" w:color="auto"/>
              <w:bottom w:val="single" w:sz="4" w:space="0" w:color="auto"/>
              <w:right w:val="single" w:sz="4" w:space="0" w:color="auto"/>
            </w:tcBorders>
            <w:vAlign w:val="bottom"/>
            <w:hideMark/>
          </w:tcPr>
          <w:p w14:paraId="0A71C155" w14:textId="5C9CB7E6" w:rsidR="00C20512" w:rsidRPr="00291D94" w:rsidRDefault="00C20512" w:rsidP="003E6512">
            <w:pPr>
              <w:pStyle w:val="NoSpacing"/>
            </w:pPr>
            <w:r w:rsidRPr="00291D94">
              <w:t>Limit</w:t>
            </w:r>
            <w:r w:rsidR="00291D94" w:rsidRPr="00291D94">
              <w:t xml:space="preserve"> </w:t>
            </w:r>
            <w:r w:rsidR="00291D94" w:rsidRPr="00291D94">
              <w:rPr>
                <w:rFonts w:eastAsiaTheme="majorEastAsia"/>
              </w:rPr>
              <w:t>(mg kg</w:t>
            </w:r>
            <w:r w:rsidR="00291D94" w:rsidRPr="00291D94">
              <w:rPr>
                <w:rFonts w:eastAsiaTheme="majorEastAsia"/>
                <w:vertAlign w:val="superscript"/>
              </w:rPr>
              <w:t>-1</w:t>
            </w:r>
            <w:r w:rsidR="00291D94" w:rsidRPr="00291D94">
              <w:rPr>
                <w:rFonts w:eastAsiaTheme="majorEastAsia"/>
              </w:rPr>
              <w:t>)</w:t>
            </w:r>
          </w:p>
        </w:tc>
        <w:tc>
          <w:tcPr>
            <w:tcW w:w="1308" w:type="dxa"/>
            <w:tcBorders>
              <w:top w:val="single" w:sz="4" w:space="0" w:color="auto"/>
              <w:left w:val="single" w:sz="4" w:space="0" w:color="auto"/>
              <w:bottom w:val="single" w:sz="4" w:space="0" w:color="auto"/>
              <w:right w:val="single" w:sz="4" w:space="0" w:color="auto"/>
            </w:tcBorders>
            <w:vAlign w:val="bottom"/>
            <w:hideMark/>
          </w:tcPr>
          <w:p w14:paraId="49128C15" w14:textId="6DAB3EE5" w:rsidR="00C20512" w:rsidRPr="003E6512" w:rsidRDefault="00C20512" w:rsidP="003E6512">
            <w:pPr>
              <w:pStyle w:val="NoSpacing"/>
            </w:pPr>
            <w:r w:rsidRPr="003E6512">
              <w:t>0.100</w:t>
            </w:r>
          </w:p>
        </w:tc>
        <w:tc>
          <w:tcPr>
            <w:tcW w:w="1308" w:type="dxa"/>
            <w:tcBorders>
              <w:top w:val="single" w:sz="4" w:space="0" w:color="auto"/>
              <w:left w:val="single" w:sz="4" w:space="0" w:color="auto"/>
              <w:bottom w:val="single" w:sz="4" w:space="0" w:color="auto"/>
              <w:right w:val="single" w:sz="4" w:space="0" w:color="auto"/>
            </w:tcBorders>
            <w:vAlign w:val="bottom"/>
            <w:hideMark/>
          </w:tcPr>
          <w:p w14:paraId="6794CFED" w14:textId="481D6306" w:rsidR="00C20512" w:rsidRPr="003E6512" w:rsidRDefault="00C20512" w:rsidP="003E6512">
            <w:pPr>
              <w:pStyle w:val="NoSpacing"/>
            </w:pPr>
            <w:r w:rsidRPr="003E6512">
              <w:t>0.200</w:t>
            </w:r>
          </w:p>
        </w:tc>
        <w:tc>
          <w:tcPr>
            <w:tcW w:w="1308" w:type="dxa"/>
            <w:tcBorders>
              <w:top w:val="single" w:sz="4" w:space="0" w:color="auto"/>
              <w:left w:val="single" w:sz="4" w:space="0" w:color="auto"/>
              <w:bottom w:val="single" w:sz="4" w:space="0" w:color="auto"/>
              <w:right w:val="single" w:sz="4" w:space="0" w:color="auto"/>
            </w:tcBorders>
            <w:vAlign w:val="bottom"/>
            <w:hideMark/>
          </w:tcPr>
          <w:p w14:paraId="52F9B02E" w14:textId="07F83495" w:rsidR="00C20512" w:rsidRPr="003E6512" w:rsidRDefault="00C20512" w:rsidP="003E6512">
            <w:pPr>
              <w:pStyle w:val="NoSpacing"/>
            </w:pPr>
            <w:r w:rsidRPr="003E6512">
              <w:t>2.000</w:t>
            </w:r>
          </w:p>
        </w:tc>
        <w:tc>
          <w:tcPr>
            <w:tcW w:w="1404" w:type="dxa"/>
            <w:tcBorders>
              <w:top w:val="single" w:sz="4" w:space="0" w:color="auto"/>
              <w:left w:val="single" w:sz="4" w:space="0" w:color="auto"/>
              <w:bottom w:val="single" w:sz="4" w:space="0" w:color="auto"/>
              <w:right w:val="single" w:sz="4" w:space="0" w:color="auto"/>
            </w:tcBorders>
            <w:vAlign w:val="bottom"/>
            <w:hideMark/>
          </w:tcPr>
          <w:p w14:paraId="4FE8C2EE" w14:textId="768C482C" w:rsidR="00C20512" w:rsidRPr="003E6512" w:rsidRDefault="00C20512" w:rsidP="003E6512">
            <w:pPr>
              <w:pStyle w:val="NoSpacing"/>
            </w:pPr>
            <w:r w:rsidRPr="003E6512">
              <w:t>20.00</w:t>
            </w:r>
          </w:p>
        </w:tc>
        <w:tc>
          <w:tcPr>
            <w:tcW w:w="1332" w:type="dxa"/>
            <w:tcBorders>
              <w:top w:val="single" w:sz="4" w:space="0" w:color="auto"/>
              <w:left w:val="single" w:sz="4" w:space="0" w:color="auto"/>
              <w:bottom w:val="single" w:sz="4" w:space="0" w:color="auto"/>
              <w:right w:val="single" w:sz="4" w:space="0" w:color="auto"/>
            </w:tcBorders>
            <w:vAlign w:val="bottom"/>
            <w:hideMark/>
          </w:tcPr>
          <w:p w14:paraId="2F8B05B8" w14:textId="6FD08F8E" w:rsidR="00C20512" w:rsidRPr="003E6512" w:rsidRDefault="00C20512" w:rsidP="003E6512">
            <w:pPr>
              <w:pStyle w:val="NoSpacing"/>
            </w:pPr>
            <w:r w:rsidRPr="003E6512">
              <w:t>0.120</w:t>
            </w:r>
          </w:p>
        </w:tc>
        <w:tc>
          <w:tcPr>
            <w:tcW w:w="1308" w:type="dxa"/>
            <w:tcBorders>
              <w:top w:val="single" w:sz="4" w:space="0" w:color="auto"/>
              <w:left w:val="single" w:sz="4" w:space="0" w:color="auto"/>
              <w:bottom w:val="single" w:sz="4" w:space="0" w:color="auto"/>
              <w:right w:val="single" w:sz="4" w:space="0" w:color="auto"/>
            </w:tcBorders>
            <w:vAlign w:val="bottom"/>
            <w:hideMark/>
          </w:tcPr>
          <w:p w14:paraId="036734D8" w14:textId="6696EC11" w:rsidR="00C20512" w:rsidRPr="003E6512" w:rsidRDefault="00C20512" w:rsidP="003E6512">
            <w:pPr>
              <w:pStyle w:val="NoSpacing"/>
            </w:pPr>
            <w:r w:rsidRPr="003E6512">
              <w:t>1.630</w:t>
            </w:r>
          </w:p>
        </w:tc>
        <w:tc>
          <w:tcPr>
            <w:tcW w:w="1308" w:type="dxa"/>
            <w:tcBorders>
              <w:top w:val="single" w:sz="4" w:space="0" w:color="auto"/>
              <w:left w:val="single" w:sz="4" w:space="0" w:color="auto"/>
              <w:bottom w:val="single" w:sz="4" w:space="0" w:color="auto"/>
              <w:right w:val="single" w:sz="4" w:space="0" w:color="auto"/>
            </w:tcBorders>
            <w:vAlign w:val="bottom"/>
            <w:hideMark/>
          </w:tcPr>
          <w:p w14:paraId="29630382" w14:textId="5A0FC89B" w:rsidR="00C20512" w:rsidRPr="003E6512" w:rsidRDefault="00C20512" w:rsidP="003E6512">
            <w:pPr>
              <w:pStyle w:val="NoSpacing"/>
            </w:pPr>
            <w:r w:rsidRPr="003E6512">
              <w:t>10</w:t>
            </w:r>
            <w:r w:rsidR="000C6957" w:rsidRPr="003E6512">
              <w:t>.0</w:t>
            </w:r>
            <w:r w:rsidR="00F46EA5" w:rsidRPr="003E6512">
              <w:t>0</w:t>
            </w:r>
          </w:p>
        </w:tc>
      </w:tr>
    </w:tbl>
    <w:p w14:paraId="128CAA28" w14:textId="77777777" w:rsidR="003C5582" w:rsidRDefault="003C5582" w:rsidP="003C5582">
      <w:pPr>
        <w:spacing w:line="480" w:lineRule="auto"/>
        <w:rPr>
          <w:rFonts w:ascii="Times New Roman" w:hAnsi="Times New Roman" w:cs="Times New Roman"/>
        </w:rPr>
      </w:pPr>
      <w:bookmarkStart w:id="3" w:name="_Hlk196926998"/>
    </w:p>
    <w:p w14:paraId="6756EF2C" w14:textId="6B95B54E" w:rsidR="003C5582" w:rsidRPr="004A1EC2" w:rsidRDefault="00291D94" w:rsidP="003C5582">
      <w:pPr>
        <w:spacing w:line="480" w:lineRule="auto"/>
        <w:jc w:val="both"/>
        <w:rPr>
          <w:rFonts w:ascii="Times New Roman" w:hAnsi="Times New Roman" w:cs="Times New Roman"/>
        </w:rPr>
      </w:pPr>
      <w:r w:rsidRPr="003C5582">
        <w:rPr>
          <w:rFonts w:ascii="Times New Roman" w:hAnsi="Times New Roman" w:cs="Times New Roman"/>
        </w:rPr>
        <w:t xml:space="preserve">Tables </w:t>
      </w:r>
      <w:r w:rsidR="003748B3">
        <w:rPr>
          <w:rFonts w:ascii="Times New Roman" w:hAnsi="Times New Roman" w:cs="Times New Roman"/>
        </w:rPr>
        <w:t>3</w:t>
      </w:r>
      <w:r w:rsidRPr="003C5582">
        <w:rPr>
          <w:rFonts w:ascii="Times New Roman" w:hAnsi="Times New Roman" w:cs="Times New Roman"/>
        </w:rPr>
        <w:t xml:space="preserve"> and </w:t>
      </w:r>
      <w:r w:rsidR="003748B3">
        <w:rPr>
          <w:rFonts w:ascii="Times New Roman" w:hAnsi="Times New Roman" w:cs="Times New Roman"/>
        </w:rPr>
        <w:t>4</w:t>
      </w:r>
      <w:r w:rsidRPr="003C5582">
        <w:rPr>
          <w:rFonts w:ascii="Times New Roman" w:hAnsi="Times New Roman" w:cs="Times New Roman"/>
        </w:rPr>
        <w:t xml:space="preserve"> </w:t>
      </w:r>
      <w:r w:rsidR="003C5582">
        <w:rPr>
          <w:rFonts w:ascii="Times New Roman" w:hAnsi="Times New Roman" w:cs="Times New Roman"/>
        </w:rPr>
        <w:t xml:space="preserve">present the levels of seven heavy metals, namely </w:t>
      </w:r>
      <w:r w:rsidRPr="003C5582">
        <w:rPr>
          <w:rFonts w:ascii="Times New Roman" w:hAnsi="Times New Roman" w:cs="Times New Roman"/>
        </w:rPr>
        <w:t>Cd, Co, Cr, Cu, Mn, Ni, and Pb, in spice and herbal tea samples. The residual heavy metal concentrations (mg kg⁻¹) were compared to</w:t>
      </w:r>
      <w:r w:rsidR="003C5582">
        <w:rPr>
          <w:rFonts w:ascii="Times New Roman" w:hAnsi="Times New Roman" w:cs="Times New Roman"/>
        </w:rPr>
        <w:t xml:space="preserve"> </w:t>
      </w:r>
      <w:r w:rsidRPr="003C5582">
        <w:rPr>
          <w:rFonts w:ascii="Times New Roman" w:hAnsi="Times New Roman" w:cs="Times New Roman"/>
        </w:rPr>
        <w:t xml:space="preserve">maximum permissible limits (MPLs) to assess safety. </w:t>
      </w:r>
      <w:r w:rsidR="003C5582" w:rsidRPr="004A1EC2">
        <w:rPr>
          <w:rFonts w:ascii="Times New Roman" w:hAnsi="Times New Roman" w:cs="Times New Roman"/>
        </w:rPr>
        <w:t>Analysis of heavy metal concentrations in spices and herbal teas from Nigeria’s Federal Capital Territory (FCT) revealed significant exceedances of maximum permissible limits (MPLs) for Cd,</w:t>
      </w:r>
      <w:r w:rsidR="00A70A03">
        <w:rPr>
          <w:rFonts w:ascii="Times New Roman" w:hAnsi="Times New Roman" w:cs="Times New Roman"/>
        </w:rPr>
        <w:t xml:space="preserve"> </w:t>
      </w:r>
      <w:r w:rsidR="003C5582" w:rsidRPr="004A1EC2">
        <w:rPr>
          <w:rFonts w:ascii="Times New Roman" w:hAnsi="Times New Roman" w:cs="Times New Roman"/>
        </w:rPr>
        <w:t>Co, Cr, Cu,</w:t>
      </w:r>
      <w:r w:rsidR="00A70A03">
        <w:rPr>
          <w:rFonts w:ascii="Times New Roman" w:hAnsi="Times New Roman" w:cs="Times New Roman"/>
        </w:rPr>
        <w:t xml:space="preserve"> </w:t>
      </w:r>
      <w:r w:rsidR="003C5582" w:rsidRPr="004A1EC2">
        <w:rPr>
          <w:rFonts w:ascii="Times New Roman" w:hAnsi="Times New Roman" w:cs="Times New Roman"/>
        </w:rPr>
        <w:t xml:space="preserve">Mn, Ni, and Pb, posing substantial public health risks. In spices, manganese levels were exceptionally high, with ginger powder reaching 598.75 mg kg⁻¹, a 4,989-fold exceedance of the 0.120 mg kg⁻¹ MPL, and turmeric </w:t>
      </w:r>
      <w:r w:rsidR="003C5582" w:rsidRPr="004A1EC2">
        <w:rPr>
          <w:rFonts w:ascii="Times New Roman" w:hAnsi="Times New Roman" w:cs="Times New Roman"/>
        </w:rPr>
        <w:lastRenderedPageBreak/>
        <w:t>powder at 403.77 mg kg⁻¹.</w:t>
      </w:r>
      <w:r w:rsidR="003C5582">
        <w:rPr>
          <w:rFonts w:ascii="Times New Roman" w:hAnsi="Times New Roman" w:cs="Times New Roman"/>
        </w:rPr>
        <w:t xml:space="preserve"> </w:t>
      </w:r>
      <w:r w:rsidR="003C5582" w:rsidRPr="004A1EC2">
        <w:rPr>
          <w:rFonts w:ascii="Times New Roman" w:hAnsi="Times New Roman" w:cs="Times New Roman"/>
        </w:rPr>
        <w:t xml:space="preserve">These values far surpass those reported elsewhere, such as 45.8 mg kg⁻¹ in turmeric by Karami </w:t>
      </w:r>
      <w:r w:rsidR="003C5582" w:rsidRPr="004A1EC2">
        <w:rPr>
          <w:rFonts w:ascii="Times New Roman" w:hAnsi="Times New Roman" w:cs="Times New Roman"/>
          <w:i/>
          <w:iCs/>
        </w:rPr>
        <w:t>et al</w:t>
      </w:r>
      <w:r w:rsidR="003C5582" w:rsidRPr="004A1EC2">
        <w:rPr>
          <w:rFonts w:ascii="Times New Roman" w:hAnsi="Times New Roman" w:cs="Times New Roman"/>
        </w:rPr>
        <w:t xml:space="preserve">. (2019) and 93.70 mg kg⁻¹ in ginger by Sadeghi </w:t>
      </w:r>
      <w:r w:rsidR="003C5582" w:rsidRPr="004A1EC2">
        <w:rPr>
          <w:rFonts w:ascii="Times New Roman" w:hAnsi="Times New Roman" w:cs="Times New Roman"/>
          <w:i/>
          <w:iCs/>
        </w:rPr>
        <w:t>et al</w:t>
      </w:r>
      <w:r w:rsidR="003C5582" w:rsidRPr="004A1EC2">
        <w:rPr>
          <w:rFonts w:ascii="Times New Roman" w:hAnsi="Times New Roman" w:cs="Times New Roman"/>
        </w:rPr>
        <w:t xml:space="preserve">. (2022). Similarly, herbal teas exhibited extreme manganese </w:t>
      </w:r>
      <w:r w:rsidR="008A4A28">
        <w:rPr>
          <w:rFonts w:ascii="Times New Roman" w:hAnsi="Times New Roman" w:cs="Times New Roman"/>
        </w:rPr>
        <w:t xml:space="preserve">residual </w:t>
      </w:r>
      <w:r w:rsidR="003C5582" w:rsidRPr="004A1EC2">
        <w:rPr>
          <w:rFonts w:ascii="Times New Roman" w:hAnsi="Times New Roman" w:cs="Times New Roman"/>
        </w:rPr>
        <w:t xml:space="preserve">contamination, with Top tea at 1,661 mg kg⁻¹, a 13,842-fold exceedance, Lipton tea at 1,369.04 mg kg⁻¹, and green tea at 505.2 mg kg⁻¹, compared to Wu </w:t>
      </w:r>
      <w:r w:rsidR="003C5582" w:rsidRPr="004A1EC2">
        <w:rPr>
          <w:rFonts w:ascii="Times New Roman" w:hAnsi="Times New Roman" w:cs="Times New Roman"/>
          <w:i/>
          <w:iCs/>
        </w:rPr>
        <w:t>et al</w:t>
      </w:r>
      <w:r w:rsidR="003C5582" w:rsidRPr="004A1EC2">
        <w:rPr>
          <w:rFonts w:ascii="Times New Roman" w:hAnsi="Times New Roman" w:cs="Times New Roman"/>
        </w:rPr>
        <w:t xml:space="preserve">.’s (2019) range of 10–200 mg kg⁻¹ and Ali </w:t>
      </w:r>
      <w:r w:rsidR="003C5582" w:rsidRPr="004A1EC2">
        <w:rPr>
          <w:rFonts w:ascii="Times New Roman" w:hAnsi="Times New Roman" w:cs="Times New Roman"/>
          <w:i/>
          <w:iCs/>
        </w:rPr>
        <w:t>et al</w:t>
      </w:r>
      <w:r w:rsidR="003C5582" w:rsidRPr="004A1EC2">
        <w:rPr>
          <w:rFonts w:ascii="Times New Roman" w:hAnsi="Times New Roman" w:cs="Times New Roman"/>
        </w:rPr>
        <w:t xml:space="preserve">.’s (2020) 62.1 mg kg⁻¹ in green tea. These elevated manganese levels, linked to neurotoxicity and manganism (Peres </w:t>
      </w:r>
      <w:r w:rsidR="003C5582" w:rsidRPr="004A1EC2">
        <w:rPr>
          <w:rFonts w:ascii="Times New Roman" w:hAnsi="Times New Roman" w:cs="Times New Roman"/>
          <w:i/>
          <w:iCs/>
        </w:rPr>
        <w:t>et al</w:t>
      </w:r>
      <w:r w:rsidR="003C5582" w:rsidRPr="004A1EC2">
        <w:rPr>
          <w:rFonts w:ascii="Times New Roman" w:hAnsi="Times New Roman" w:cs="Times New Roman"/>
        </w:rPr>
        <w:t xml:space="preserve">., 2018; Kulshreshtha </w:t>
      </w:r>
      <w:r w:rsidR="003C5582" w:rsidRPr="004A1EC2">
        <w:rPr>
          <w:rFonts w:ascii="Times New Roman" w:hAnsi="Times New Roman" w:cs="Times New Roman"/>
          <w:i/>
          <w:iCs/>
        </w:rPr>
        <w:t>et al</w:t>
      </w:r>
      <w:r w:rsidR="003C5582" w:rsidRPr="004A1EC2">
        <w:rPr>
          <w:rFonts w:ascii="Times New Roman" w:hAnsi="Times New Roman" w:cs="Times New Roman"/>
        </w:rPr>
        <w:t xml:space="preserve">., 2021), suggest </w:t>
      </w:r>
      <w:proofErr w:type="spellStart"/>
      <w:r w:rsidR="00515108" w:rsidRPr="007C4203">
        <w:rPr>
          <w:rFonts w:ascii="Times New Roman" w:hAnsi="Times New Roman" w:cs="Times New Roman"/>
          <w:highlight w:val="yellow"/>
        </w:rPr>
        <w:t>localised</w:t>
      </w:r>
      <w:proofErr w:type="spellEnd"/>
      <w:r w:rsidR="00515108" w:rsidRPr="004A1EC2">
        <w:rPr>
          <w:rFonts w:ascii="Times New Roman" w:hAnsi="Times New Roman" w:cs="Times New Roman"/>
        </w:rPr>
        <w:t xml:space="preserve"> </w:t>
      </w:r>
      <w:r w:rsidR="003C5582" w:rsidRPr="004A1EC2">
        <w:rPr>
          <w:rFonts w:ascii="Times New Roman" w:hAnsi="Times New Roman" w:cs="Times New Roman"/>
        </w:rPr>
        <w:t xml:space="preserve">contamination from soil, water, or industrial emissions in the FCT, as </w:t>
      </w:r>
      <w:r w:rsidR="008A4A28">
        <w:rPr>
          <w:rFonts w:ascii="Times New Roman" w:hAnsi="Times New Roman" w:cs="Times New Roman"/>
        </w:rPr>
        <w:t xml:space="preserve">earlier revealed </w:t>
      </w:r>
      <w:r w:rsidR="003C5582" w:rsidRPr="004A1EC2">
        <w:rPr>
          <w:rFonts w:ascii="Times New Roman" w:hAnsi="Times New Roman" w:cs="Times New Roman"/>
        </w:rPr>
        <w:t xml:space="preserve">by Ade </w:t>
      </w:r>
      <w:r w:rsidR="003C5582" w:rsidRPr="004A1EC2">
        <w:rPr>
          <w:rFonts w:ascii="Times New Roman" w:hAnsi="Times New Roman" w:cs="Times New Roman"/>
          <w:i/>
          <w:iCs/>
        </w:rPr>
        <w:t>et al</w:t>
      </w:r>
      <w:r w:rsidR="003C5582" w:rsidRPr="004A1EC2">
        <w:rPr>
          <w:rFonts w:ascii="Times New Roman" w:hAnsi="Times New Roman" w:cs="Times New Roman"/>
        </w:rPr>
        <w:t xml:space="preserve">. (2020) and Musa </w:t>
      </w:r>
      <w:r w:rsidR="003C5582" w:rsidRPr="004A1EC2">
        <w:rPr>
          <w:rFonts w:ascii="Times New Roman" w:hAnsi="Times New Roman" w:cs="Times New Roman"/>
          <w:i/>
          <w:iCs/>
        </w:rPr>
        <w:t>et al</w:t>
      </w:r>
      <w:r w:rsidR="003C5582" w:rsidRPr="004A1EC2">
        <w:rPr>
          <w:rFonts w:ascii="Times New Roman" w:hAnsi="Times New Roman" w:cs="Times New Roman"/>
        </w:rPr>
        <w:t>. (2022).</w:t>
      </w:r>
    </w:p>
    <w:p w14:paraId="0D226B44" w14:textId="2662D885" w:rsidR="003C5582" w:rsidRPr="004A1EC2" w:rsidRDefault="003C5582" w:rsidP="003C5582">
      <w:pPr>
        <w:spacing w:line="480" w:lineRule="auto"/>
        <w:jc w:val="both"/>
        <w:rPr>
          <w:rFonts w:ascii="Times New Roman" w:hAnsi="Times New Roman" w:cs="Times New Roman"/>
        </w:rPr>
      </w:pPr>
      <w:r w:rsidRPr="004A1EC2">
        <w:rPr>
          <w:rFonts w:ascii="Times New Roman" w:hAnsi="Times New Roman" w:cs="Times New Roman"/>
        </w:rPr>
        <w:t xml:space="preserve">Cadmium concentrations exceeded the 0.100 mg kg⁻¹ MPL in all spice samples, with yellow pepper at 2.28 mg kg⁻¹ and fried seasoning at 0.680 mg kg⁻¹, higher than Marwat </w:t>
      </w:r>
      <w:r w:rsidRPr="008A4A28">
        <w:rPr>
          <w:rFonts w:ascii="Times New Roman" w:hAnsi="Times New Roman" w:cs="Times New Roman"/>
          <w:i/>
          <w:iCs/>
        </w:rPr>
        <w:t>et al</w:t>
      </w:r>
      <w:r w:rsidRPr="004A1EC2">
        <w:rPr>
          <w:rFonts w:ascii="Times New Roman" w:hAnsi="Times New Roman" w:cs="Times New Roman"/>
        </w:rPr>
        <w:t xml:space="preserve">.’s (2020) 1.0 mg kg⁻¹ in </w:t>
      </w:r>
      <w:proofErr w:type="spellStart"/>
      <w:r w:rsidR="00515108" w:rsidRPr="007C4203">
        <w:rPr>
          <w:rFonts w:ascii="Times New Roman" w:hAnsi="Times New Roman" w:cs="Times New Roman"/>
          <w:highlight w:val="yellow"/>
        </w:rPr>
        <w:t>chilli</w:t>
      </w:r>
      <w:proofErr w:type="spellEnd"/>
      <w:r w:rsidR="00515108" w:rsidRPr="007C4203">
        <w:rPr>
          <w:rFonts w:ascii="Times New Roman" w:hAnsi="Times New Roman" w:cs="Times New Roman"/>
          <w:highlight w:val="yellow"/>
        </w:rPr>
        <w:t xml:space="preserve"> </w:t>
      </w:r>
      <w:r w:rsidRPr="004A1EC2">
        <w:rPr>
          <w:rFonts w:ascii="Times New Roman" w:hAnsi="Times New Roman" w:cs="Times New Roman"/>
        </w:rPr>
        <w:t>powder and</w:t>
      </w:r>
      <w:r w:rsidR="006904FA">
        <w:rPr>
          <w:rFonts w:ascii="Times New Roman" w:hAnsi="Times New Roman" w:cs="Times New Roman"/>
        </w:rPr>
        <w:t xml:space="preserve"> those of </w:t>
      </w:r>
      <w:r w:rsidRPr="004A1EC2">
        <w:rPr>
          <w:rFonts w:ascii="Times New Roman" w:hAnsi="Times New Roman" w:cs="Times New Roman"/>
        </w:rPr>
        <w:t xml:space="preserve">She </w:t>
      </w:r>
      <w:r w:rsidRPr="006904FA">
        <w:rPr>
          <w:rFonts w:ascii="Times New Roman" w:hAnsi="Times New Roman" w:cs="Times New Roman"/>
          <w:i/>
          <w:iCs/>
        </w:rPr>
        <w:t>et al</w:t>
      </w:r>
      <w:r w:rsidR="006904FA">
        <w:rPr>
          <w:rFonts w:ascii="Times New Roman" w:hAnsi="Times New Roman" w:cs="Times New Roman"/>
        </w:rPr>
        <w:t xml:space="preserve">. </w:t>
      </w:r>
      <w:r w:rsidRPr="004A1EC2">
        <w:rPr>
          <w:rFonts w:ascii="Times New Roman" w:hAnsi="Times New Roman" w:cs="Times New Roman"/>
        </w:rPr>
        <w:t xml:space="preserve"> (2021)</w:t>
      </w:r>
      <w:r w:rsidR="006904FA">
        <w:rPr>
          <w:rFonts w:ascii="Times New Roman" w:hAnsi="Times New Roman" w:cs="Times New Roman"/>
        </w:rPr>
        <w:t xml:space="preserve">, who recorded </w:t>
      </w:r>
      <w:r w:rsidR="006904FA" w:rsidRPr="004A1EC2">
        <w:rPr>
          <w:rFonts w:ascii="Times New Roman" w:hAnsi="Times New Roman" w:cs="Times New Roman"/>
        </w:rPr>
        <w:t>0.22</w:t>
      </w:r>
      <w:r w:rsidRPr="004A1EC2">
        <w:rPr>
          <w:rFonts w:ascii="Times New Roman" w:hAnsi="Times New Roman" w:cs="Times New Roman"/>
        </w:rPr>
        <w:t xml:space="preserve"> mg kg⁻¹ in black pepper. In herbal teas, cadmium </w:t>
      </w:r>
      <w:r w:rsidR="006904FA">
        <w:rPr>
          <w:rFonts w:ascii="Times New Roman" w:hAnsi="Times New Roman" w:cs="Times New Roman"/>
        </w:rPr>
        <w:t xml:space="preserve">levels reached 1.450 mg kg⁻¹ in Tummy and Body Fat-Reducing teas and 0.79 mg kg⁻¹ in green tea, surpassing the 0.200 mg kg ¹ average reported by Li </w:t>
      </w:r>
      <w:r w:rsidR="006904FA" w:rsidRPr="006904FA">
        <w:rPr>
          <w:rFonts w:ascii="Times New Roman" w:hAnsi="Times New Roman" w:cs="Times New Roman"/>
          <w:i/>
          <w:iCs/>
        </w:rPr>
        <w:t>et al</w:t>
      </w:r>
      <w:r w:rsidR="006904FA">
        <w:rPr>
          <w:rFonts w:ascii="Times New Roman" w:hAnsi="Times New Roman" w:cs="Times New Roman"/>
        </w:rPr>
        <w:t>. (2020)</w:t>
      </w:r>
      <w:r w:rsidRPr="004A1EC2">
        <w:rPr>
          <w:rFonts w:ascii="Times New Roman" w:hAnsi="Times New Roman" w:cs="Times New Roman"/>
        </w:rPr>
        <w:t xml:space="preserve">. These levels, associated with renal dysfunction, bone </w:t>
      </w:r>
      <w:proofErr w:type="spellStart"/>
      <w:r w:rsidR="00515108" w:rsidRPr="007C4203">
        <w:rPr>
          <w:rFonts w:ascii="Times New Roman" w:hAnsi="Times New Roman" w:cs="Times New Roman"/>
          <w:highlight w:val="yellow"/>
        </w:rPr>
        <w:t>demineralisation</w:t>
      </w:r>
      <w:proofErr w:type="spellEnd"/>
      <w:r w:rsidRPr="004A1EC2">
        <w:rPr>
          <w:rFonts w:ascii="Times New Roman" w:hAnsi="Times New Roman" w:cs="Times New Roman"/>
        </w:rPr>
        <w:t xml:space="preserve">, and carcinogenesis (Chen </w:t>
      </w:r>
      <w:r w:rsidRPr="009A07E6">
        <w:rPr>
          <w:rFonts w:ascii="Times New Roman" w:hAnsi="Times New Roman" w:cs="Times New Roman"/>
          <w:i/>
          <w:iCs/>
        </w:rPr>
        <w:t>et al</w:t>
      </w:r>
      <w:r w:rsidRPr="004A1EC2">
        <w:rPr>
          <w:rFonts w:ascii="Times New Roman" w:hAnsi="Times New Roman" w:cs="Times New Roman"/>
        </w:rPr>
        <w:t xml:space="preserve">., 2019; Genchi </w:t>
      </w:r>
      <w:r w:rsidRPr="009A07E6">
        <w:rPr>
          <w:rFonts w:ascii="Times New Roman" w:hAnsi="Times New Roman" w:cs="Times New Roman"/>
          <w:i/>
          <w:iCs/>
        </w:rPr>
        <w:t>et al</w:t>
      </w:r>
      <w:r w:rsidRPr="004A1EC2">
        <w:rPr>
          <w:rFonts w:ascii="Times New Roman" w:hAnsi="Times New Roman" w:cs="Times New Roman"/>
        </w:rPr>
        <w:t xml:space="preserve">., 2020), indicate environmental or industrial contamination sources more severe in the FCT than in regions like Ado Ekiti, where cadmium was undetected (Olumide </w:t>
      </w:r>
      <w:r w:rsidRPr="00A60C09">
        <w:rPr>
          <w:rFonts w:ascii="Times New Roman" w:hAnsi="Times New Roman" w:cs="Times New Roman"/>
          <w:i/>
          <w:iCs/>
        </w:rPr>
        <w:t>et al</w:t>
      </w:r>
      <w:r w:rsidRPr="004A1EC2">
        <w:rPr>
          <w:rFonts w:ascii="Times New Roman" w:hAnsi="Times New Roman" w:cs="Times New Roman"/>
        </w:rPr>
        <w:t xml:space="preserve">., 2021), or Kano, with 0.08–0.60 mg kg⁻¹ (Idris </w:t>
      </w:r>
      <w:r w:rsidRPr="009A07E6">
        <w:rPr>
          <w:rFonts w:ascii="Times New Roman" w:hAnsi="Times New Roman" w:cs="Times New Roman"/>
          <w:i/>
          <w:iCs/>
        </w:rPr>
        <w:t>et al</w:t>
      </w:r>
      <w:r w:rsidRPr="004A1EC2">
        <w:rPr>
          <w:rFonts w:ascii="Times New Roman" w:hAnsi="Times New Roman" w:cs="Times New Roman"/>
        </w:rPr>
        <w:t>., 2021).</w:t>
      </w:r>
    </w:p>
    <w:p w14:paraId="7C79C1FA" w14:textId="391939F0" w:rsidR="003C5582" w:rsidRPr="004A1EC2" w:rsidRDefault="009A07E6" w:rsidP="003C5582">
      <w:pPr>
        <w:spacing w:line="480" w:lineRule="auto"/>
        <w:jc w:val="both"/>
        <w:rPr>
          <w:rFonts w:ascii="Times New Roman" w:hAnsi="Times New Roman" w:cs="Times New Roman"/>
        </w:rPr>
      </w:pPr>
      <w:r>
        <w:rPr>
          <w:rFonts w:ascii="Times New Roman" w:hAnsi="Times New Roman" w:cs="Times New Roman"/>
        </w:rPr>
        <w:t>Copper</w:t>
      </w:r>
      <w:r w:rsidR="003C5582" w:rsidRPr="004A1EC2">
        <w:rPr>
          <w:rFonts w:ascii="Times New Roman" w:hAnsi="Times New Roman" w:cs="Times New Roman"/>
        </w:rPr>
        <w:t xml:space="preserve"> levels exceeded the 20.00 mg kg⁻¹ MPL in spices, with black pepper at 58.30 mg kg⁻¹, nutmeg at 55.36 mg kg⁻¹, and cayenne at 36.36 mg kg⁻¹, compared to Sharma et al.’s (2017) 13.6 mg kg⁻¹ for black pepper and 21.3 mg kg⁻¹ for </w:t>
      </w:r>
      <w:proofErr w:type="spellStart"/>
      <w:r w:rsidR="00515108" w:rsidRPr="007C4203">
        <w:rPr>
          <w:rFonts w:ascii="Times New Roman" w:hAnsi="Times New Roman" w:cs="Times New Roman"/>
          <w:highlight w:val="yellow"/>
        </w:rPr>
        <w:t>chilli</w:t>
      </w:r>
      <w:proofErr w:type="spellEnd"/>
      <w:r w:rsidR="00515108" w:rsidRPr="004A1EC2">
        <w:rPr>
          <w:rFonts w:ascii="Times New Roman" w:hAnsi="Times New Roman" w:cs="Times New Roman"/>
        </w:rPr>
        <w:t xml:space="preserve"> </w:t>
      </w:r>
      <w:r w:rsidR="003C5582" w:rsidRPr="004A1EC2">
        <w:rPr>
          <w:rFonts w:ascii="Times New Roman" w:hAnsi="Times New Roman" w:cs="Times New Roman"/>
        </w:rPr>
        <w:t xml:space="preserve">powder. In teas, copper reached 66.97 mg kg⁻¹ in Mango tea, 55.94 mg kg⁻¹ in green tea, and 42.87 mg kg⁻¹ in Top tea, exceeding levels reported by Onyekwere et al. (2019) at 0.06–15.08 mg kg⁻¹ in southeastern spices and Afolabi et al. (2020) at 11.02–24.12 mg kg⁻¹ in Ibadan teas. These elevated concentrations, linked to oxidative stress, </w:t>
      </w:r>
      <w:r w:rsidR="003C5582" w:rsidRPr="004A1EC2">
        <w:rPr>
          <w:rFonts w:ascii="Times New Roman" w:hAnsi="Times New Roman" w:cs="Times New Roman"/>
        </w:rPr>
        <w:lastRenderedPageBreak/>
        <w:t>hepatotoxicity, and nephrotoxicity (</w:t>
      </w:r>
      <w:proofErr w:type="spellStart"/>
      <w:r w:rsidR="003C5582" w:rsidRPr="009A07E6">
        <w:rPr>
          <w:rFonts w:ascii="Times New Roman" w:hAnsi="Times New Roman" w:cs="Times New Roman"/>
          <w:lang w:val="en-GB"/>
        </w:rPr>
        <w:t>Borobia</w:t>
      </w:r>
      <w:proofErr w:type="spellEnd"/>
      <w:r w:rsidR="003C5582" w:rsidRPr="004A1EC2">
        <w:rPr>
          <w:rFonts w:ascii="Times New Roman" w:hAnsi="Times New Roman" w:cs="Times New Roman"/>
        </w:rPr>
        <w:t xml:space="preserve"> </w:t>
      </w:r>
      <w:r w:rsidR="003C5582" w:rsidRPr="005B0D04">
        <w:rPr>
          <w:rFonts w:ascii="Times New Roman" w:hAnsi="Times New Roman" w:cs="Times New Roman"/>
          <w:i/>
          <w:iCs/>
        </w:rPr>
        <w:t>et al</w:t>
      </w:r>
      <w:r w:rsidR="003C5582" w:rsidRPr="004A1EC2">
        <w:rPr>
          <w:rFonts w:ascii="Times New Roman" w:hAnsi="Times New Roman" w:cs="Times New Roman"/>
        </w:rPr>
        <w:t xml:space="preserve">., 2020; Chukwu </w:t>
      </w:r>
      <w:r w:rsidR="003C5582" w:rsidRPr="005B0D04">
        <w:rPr>
          <w:rFonts w:ascii="Times New Roman" w:hAnsi="Times New Roman" w:cs="Times New Roman"/>
          <w:i/>
          <w:iCs/>
        </w:rPr>
        <w:t>et al</w:t>
      </w:r>
      <w:r w:rsidR="003C5582" w:rsidRPr="004A1EC2">
        <w:rPr>
          <w:rFonts w:ascii="Times New Roman" w:hAnsi="Times New Roman" w:cs="Times New Roman"/>
        </w:rPr>
        <w:t xml:space="preserve">., 2019), suggest contamination during </w:t>
      </w:r>
      <w:r>
        <w:rPr>
          <w:rFonts w:ascii="Times New Roman" w:hAnsi="Times New Roman" w:cs="Times New Roman"/>
        </w:rPr>
        <w:t>processing</w:t>
      </w:r>
      <w:r w:rsidR="003C5582" w:rsidRPr="004A1EC2">
        <w:rPr>
          <w:rFonts w:ascii="Times New Roman" w:hAnsi="Times New Roman" w:cs="Times New Roman"/>
        </w:rPr>
        <w:t xml:space="preserve"> or from environmental sources.</w:t>
      </w:r>
    </w:p>
    <w:p w14:paraId="66138F73" w14:textId="77777777" w:rsidR="003C5582" w:rsidRPr="004A1EC2" w:rsidRDefault="003C5582" w:rsidP="003C5582">
      <w:pPr>
        <w:spacing w:line="480" w:lineRule="auto"/>
        <w:jc w:val="both"/>
        <w:rPr>
          <w:rFonts w:ascii="Times New Roman" w:hAnsi="Times New Roman" w:cs="Times New Roman"/>
        </w:rPr>
      </w:pPr>
      <w:r w:rsidRPr="004A1EC2">
        <w:rPr>
          <w:rFonts w:ascii="Times New Roman" w:hAnsi="Times New Roman" w:cs="Times New Roman"/>
        </w:rPr>
        <w:t xml:space="preserve">Nickel surpassed the 1.63 mg kg⁻¹ MPL in all spices, with black pepper at 6.11 mg kg⁻¹, ginger at 3.71 mg kg⁻¹, and turmeric at 2.74 mg kg⁻¹, higher than Ozdemir </w:t>
      </w:r>
      <w:r w:rsidRPr="005B0D04">
        <w:rPr>
          <w:rFonts w:ascii="Times New Roman" w:hAnsi="Times New Roman" w:cs="Times New Roman"/>
          <w:i/>
          <w:iCs/>
        </w:rPr>
        <w:t>et al</w:t>
      </w:r>
      <w:r w:rsidRPr="004A1EC2">
        <w:rPr>
          <w:rFonts w:ascii="Times New Roman" w:hAnsi="Times New Roman" w:cs="Times New Roman"/>
        </w:rPr>
        <w:t xml:space="preserve">.’s (2018) 1.2 mg kg⁻¹. In teas, nickel reached 10.22 mg kg⁻¹ in Top tea and 8.34 mg kg⁻¹ in Lipton tea, exceeding Zhang </w:t>
      </w:r>
      <w:r w:rsidRPr="005B0D04">
        <w:rPr>
          <w:rFonts w:ascii="Times New Roman" w:hAnsi="Times New Roman" w:cs="Times New Roman"/>
          <w:i/>
          <w:iCs/>
        </w:rPr>
        <w:t>et al</w:t>
      </w:r>
      <w:r w:rsidRPr="004A1EC2">
        <w:rPr>
          <w:rFonts w:ascii="Times New Roman" w:hAnsi="Times New Roman" w:cs="Times New Roman"/>
        </w:rPr>
        <w:t>.’s (2020) 1.2–3.0 mg kg⁻¹ range. These levels, associated with allergic dermatitis, respiratory complications, and kidney damage (</w:t>
      </w:r>
      <w:proofErr w:type="spellStart"/>
      <w:r w:rsidRPr="004A1EC2">
        <w:rPr>
          <w:rFonts w:ascii="Times New Roman" w:hAnsi="Times New Roman" w:cs="Times New Roman"/>
        </w:rPr>
        <w:t>Filalova</w:t>
      </w:r>
      <w:proofErr w:type="spellEnd"/>
      <w:r w:rsidRPr="004A1EC2">
        <w:rPr>
          <w:rFonts w:ascii="Times New Roman" w:hAnsi="Times New Roman" w:cs="Times New Roman"/>
        </w:rPr>
        <w:t xml:space="preserve"> &amp; </w:t>
      </w:r>
      <w:proofErr w:type="spellStart"/>
      <w:r w:rsidRPr="004A1EC2">
        <w:rPr>
          <w:rFonts w:ascii="Times New Roman" w:hAnsi="Times New Roman" w:cs="Times New Roman"/>
        </w:rPr>
        <w:t>Chepak</w:t>
      </w:r>
      <w:proofErr w:type="spellEnd"/>
      <w:r w:rsidRPr="004A1EC2">
        <w:rPr>
          <w:rFonts w:ascii="Times New Roman" w:hAnsi="Times New Roman" w:cs="Times New Roman"/>
        </w:rPr>
        <w:t xml:space="preserve">, 2020; Martins </w:t>
      </w:r>
      <w:r w:rsidRPr="005B0D04">
        <w:rPr>
          <w:rFonts w:ascii="Times New Roman" w:hAnsi="Times New Roman" w:cs="Times New Roman"/>
          <w:i/>
          <w:iCs/>
        </w:rPr>
        <w:t>et al</w:t>
      </w:r>
      <w:r w:rsidRPr="004A1EC2">
        <w:rPr>
          <w:rFonts w:ascii="Times New Roman" w:hAnsi="Times New Roman" w:cs="Times New Roman"/>
        </w:rPr>
        <w:t xml:space="preserve">., 2020), align with Nigerian studies reporting elevated nickel in Awka spices (0.34–2.89 mg kg⁻¹, Eze </w:t>
      </w:r>
      <w:r w:rsidRPr="009A07E6">
        <w:rPr>
          <w:rFonts w:ascii="Times New Roman" w:hAnsi="Times New Roman" w:cs="Times New Roman"/>
          <w:i/>
          <w:iCs/>
        </w:rPr>
        <w:t>et al</w:t>
      </w:r>
      <w:r w:rsidRPr="004A1EC2">
        <w:rPr>
          <w:rFonts w:ascii="Times New Roman" w:hAnsi="Times New Roman" w:cs="Times New Roman"/>
        </w:rPr>
        <w:t xml:space="preserve">., 2023) and Ibadan teas (3.50–8.00 mg kg⁻¹, Afolabi </w:t>
      </w:r>
      <w:r w:rsidRPr="009A07E6">
        <w:rPr>
          <w:rFonts w:ascii="Times New Roman" w:hAnsi="Times New Roman" w:cs="Times New Roman"/>
          <w:i/>
          <w:iCs/>
        </w:rPr>
        <w:t>et al</w:t>
      </w:r>
      <w:r w:rsidRPr="004A1EC2">
        <w:rPr>
          <w:rFonts w:ascii="Times New Roman" w:hAnsi="Times New Roman" w:cs="Times New Roman"/>
        </w:rPr>
        <w:t>., 2020).</w:t>
      </w:r>
    </w:p>
    <w:p w14:paraId="177323E5" w14:textId="77777777" w:rsidR="003C5582" w:rsidRPr="004A1EC2" w:rsidRDefault="003C5582" w:rsidP="003C5582">
      <w:pPr>
        <w:spacing w:line="480" w:lineRule="auto"/>
        <w:jc w:val="both"/>
        <w:rPr>
          <w:rFonts w:ascii="Times New Roman" w:hAnsi="Times New Roman" w:cs="Times New Roman"/>
        </w:rPr>
      </w:pPr>
      <w:r w:rsidRPr="004A1EC2">
        <w:rPr>
          <w:rFonts w:ascii="Times New Roman" w:hAnsi="Times New Roman" w:cs="Times New Roman"/>
        </w:rPr>
        <w:t xml:space="preserve">Lead contamination was particularly severe in teas, with Moringa tea at 77.00 mg kg⁻¹, Top tea at 35.12 mg kg⁻¹, and Beetroot tea at 30.90 mg kg⁻¹, exceeding the 10.00 mg kg⁻¹ MPL, compared to Ahmad et al.’s (2019) 5.0–10.0 mg kg⁻¹ in teas. In spices, yellow pepper (7.89 mg kg⁻¹) and black pepper (6.83 mg kg⁻¹) approached the limit, surpassing Beatriz </w:t>
      </w:r>
      <w:r w:rsidRPr="004A1EC2">
        <w:rPr>
          <w:rFonts w:ascii="Times New Roman" w:hAnsi="Times New Roman" w:cs="Times New Roman"/>
          <w:i/>
          <w:iCs/>
        </w:rPr>
        <w:t>et al</w:t>
      </w:r>
      <w:r w:rsidRPr="004A1EC2">
        <w:rPr>
          <w:rFonts w:ascii="Times New Roman" w:hAnsi="Times New Roman" w:cs="Times New Roman"/>
        </w:rPr>
        <w:t xml:space="preserve">.’s (2021) 5.0 mg kg⁻¹ for black pepper. These levels, linked to neurotoxicity and developmental issues (Mohammed </w:t>
      </w:r>
      <w:r w:rsidRPr="009A07E6">
        <w:rPr>
          <w:rFonts w:ascii="Times New Roman" w:hAnsi="Times New Roman" w:cs="Times New Roman"/>
          <w:i/>
          <w:iCs/>
        </w:rPr>
        <w:t>et al</w:t>
      </w:r>
      <w:r w:rsidRPr="004A1EC2">
        <w:rPr>
          <w:rFonts w:ascii="Times New Roman" w:hAnsi="Times New Roman" w:cs="Times New Roman"/>
        </w:rPr>
        <w:t xml:space="preserve">., 2019; Okeke </w:t>
      </w:r>
      <w:r w:rsidRPr="004A1EC2">
        <w:rPr>
          <w:rFonts w:ascii="Times New Roman" w:hAnsi="Times New Roman" w:cs="Times New Roman"/>
          <w:i/>
          <w:iCs/>
        </w:rPr>
        <w:t>et al</w:t>
      </w:r>
      <w:r w:rsidRPr="004A1EC2">
        <w:rPr>
          <w:rFonts w:ascii="Times New Roman" w:hAnsi="Times New Roman" w:cs="Times New Roman"/>
        </w:rPr>
        <w:t xml:space="preserve">., 2020), are higher than in other Nigerian regions, such as Awka (2.61–8.97 mg kg⁻¹, Eze </w:t>
      </w:r>
      <w:r w:rsidRPr="004A1EC2">
        <w:rPr>
          <w:rFonts w:ascii="Times New Roman" w:hAnsi="Times New Roman" w:cs="Times New Roman"/>
          <w:i/>
          <w:iCs/>
        </w:rPr>
        <w:t>et al</w:t>
      </w:r>
      <w:r w:rsidRPr="004A1EC2">
        <w:rPr>
          <w:rFonts w:ascii="Times New Roman" w:hAnsi="Times New Roman" w:cs="Times New Roman"/>
        </w:rPr>
        <w:t xml:space="preserve">., 2023) and Port Harcourt (0.76–3.56 mg kg⁻¹, </w:t>
      </w:r>
      <w:proofErr w:type="spellStart"/>
      <w:r w:rsidRPr="004A1EC2">
        <w:rPr>
          <w:rFonts w:ascii="Times New Roman" w:hAnsi="Times New Roman" w:cs="Times New Roman"/>
        </w:rPr>
        <w:t>Ukom</w:t>
      </w:r>
      <w:proofErr w:type="spellEnd"/>
      <w:r w:rsidRPr="004A1EC2">
        <w:rPr>
          <w:rFonts w:ascii="Times New Roman" w:hAnsi="Times New Roman" w:cs="Times New Roman"/>
        </w:rPr>
        <w:t xml:space="preserve"> </w:t>
      </w:r>
      <w:r w:rsidRPr="004A1EC2">
        <w:rPr>
          <w:rFonts w:ascii="Times New Roman" w:hAnsi="Times New Roman" w:cs="Times New Roman"/>
          <w:i/>
          <w:iCs/>
        </w:rPr>
        <w:t>et al</w:t>
      </w:r>
      <w:r w:rsidRPr="004A1EC2">
        <w:rPr>
          <w:rFonts w:ascii="Times New Roman" w:hAnsi="Times New Roman" w:cs="Times New Roman"/>
        </w:rPr>
        <w:t>., 2022).</w:t>
      </w:r>
    </w:p>
    <w:p w14:paraId="01D4A08C" w14:textId="30B90487" w:rsidR="003748B3" w:rsidRDefault="003C5582" w:rsidP="00B8704C">
      <w:pPr>
        <w:spacing w:line="480" w:lineRule="auto"/>
        <w:jc w:val="both"/>
        <w:rPr>
          <w:rFonts w:ascii="Times New Roman" w:hAnsi="Times New Roman" w:cs="Times New Roman"/>
        </w:rPr>
      </w:pPr>
      <w:r w:rsidRPr="004A1EC2">
        <w:rPr>
          <w:rFonts w:ascii="Times New Roman" w:hAnsi="Times New Roman" w:cs="Times New Roman"/>
        </w:rPr>
        <w:t xml:space="preserve">Chromium exceeded the 2.00 mg kg⁻¹ MPL in most spices, with thyme leaves at 18.40 mg kg⁻¹ and ginger at 15.13 mg kg⁻¹, and in teas, with Eyes Bright tea at 25.94 mg kg⁻¹ and Guava tea at 22.76 mg kg⁻¹, far above Hossain </w:t>
      </w:r>
      <w:r w:rsidRPr="009A07E6">
        <w:rPr>
          <w:rFonts w:ascii="Times New Roman" w:hAnsi="Times New Roman" w:cs="Times New Roman"/>
          <w:i/>
          <w:iCs/>
        </w:rPr>
        <w:t>et al</w:t>
      </w:r>
      <w:r w:rsidRPr="004A1EC2">
        <w:rPr>
          <w:rFonts w:ascii="Times New Roman" w:hAnsi="Times New Roman" w:cs="Times New Roman"/>
        </w:rPr>
        <w:t xml:space="preserve">.’s (2018) 0.2 mg kg⁻¹ in tea leaves. These levels, potentially including carcinogenic hexavalent chromium (Adeyemi </w:t>
      </w:r>
      <w:r w:rsidRPr="00A70A03">
        <w:rPr>
          <w:rFonts w:ascii="Times New Roman" w:hAnsi="Times New Roman" w:cs="Times New Roman"/>
          <w:i/>
          <w:iCs/>
        </w:rPr>
        <w:t>et al</w:t>
      </w:r>
      <w:r w:rsidRPr="004A1EC2">
        <w:rPr>
          <w:rFonts w:ascii="Times New Roman" w:hAnsi="Times New Roman" w:cs="Times New Roman"/>
        </w:rPr>
        <w:t xml:space="preserve">., 2020), exceed values from Awka (0.001–3.81 mg kg⁻¹, Eze </w:t>
      </w:r>
      <w:r w:rsidRPr="00A70A03">
        <w:rPr>
          <w:rFonts w:ascii="Times New Roman" w:hAnsi="Times New Roman" w:cs="Times New Roman"/>
          <w:i/>
          <w:iCs/>
        </w:rPr>
        <w:t>et al</w:t>
      </w:r>
      <w:r w:rsidRPr="004A1EC2">
        <w:rPr>
          <w:rFonts w:ascii="Times New Roman" w:hAnsi="Times New Roman" w:cs="Times New Roman"/>
        </w:rPr>
        <w:t xml:space="preserve">., 2023) and Kano (0.6–6.5 mg kg⁻¹, Idris </w:t>
      </w:r>
      <w:r w:rsidRPr="00A70A03">
        <w:rPr>
          <w:rFonts w:ascii="Times New Roman" w:hAnsi="Times New Roman" w:cs="Times New Roman"/>
          <w:i/>
          <w:iCs/>
        </w:rPr>
        <w:t>et al</w:t>
      </w:r>
      <w:r w:rsidRPr="004A1EC2">
        <w:rPr>
          <w:rFonts w:ascii="Times New Roman" w:hAnsi="Times New Roman" w:cs="Times New Roman"/>
        </w:rPr>
        <w:t xml:space="preserve">., 2021). Cobalt, exceeding the 0.200 mg kg⁻¹ MPL, was detected in cayenne pepper (3.50 mg kg⁻¹), Guava tea (0.850 mg kg⁻¹), and Lipton tea (1.310 mg kg⁻¹), higher than typical Nigerian levels (0.28–3.07 </w:t>
      </w:r>
      <w:r w:rsidRPr="004A1EC2">
        <w:rPr>
          <w:rFonts w:ascii="Times New Roman" w:hAnsi="Times New Roman" w:cs="Times New Roman"/>
        </w:rPr>
        <w:lastRenderedPageBreak/>
        <w:t xml:space="preserve">mg kg⁻¹, Eze </w:t>
      </w:r>
      <w:r w:rsidRPr="004A1EC2">
        <w:rPr>
          <w:rFonts w:ascii="Times New Roman" w:hAnsi="Times New Roman" w:cs="Times New Roman"/>
          <w:i/>
          <w:iCs/>
        </w:rPr>
        <w:t>et al</w:t>
      </w:r>
      <w:r w:rsidRPr="004A1EC2">
        <w:rPr>
          <w:rFonts w:ascii="Times New Roman" w:hAnsi="Times New Roman" w:cs="Times New Roman"/>
        </w:rPr>
        <w:t xml:space="preserve">., 2023), raising concerns about cardiotoxicity and thyroid dysfunction (Genchi </w:t>
      </w:r>
      <w:r w:rsidRPr="00A70A03">
        <w:rPr>
          <w:rFonts w:ascii="Times New Roman" w:hAnsi="Times New Roman" w:cs="Times New Roman"/>
          <w:i/>
          <w:iCs/>
        </w:rPr>
        <w:t>et al</w:t>
      </w:r>
      <w:r w:rsidRPr="004A1EC2">
        <w:rPr>
          <w:rFonts w:ascii="Times New Roman" w:hAnsi="Times New Roman" w:cs="Times New Roman"/>
        </w:rPr>
        <w:t>., 2023).</w:t>
      </w:r>
      <w:r w:rsidR="00515108">
        <w:rPr>
          <w:rFonts w:ascii="Times New Roman" w:hAnsi="Times New Roman" w:cs="Times New Roman"/>
        </w:rPr>
        <w:t xml:space="preserve"> </w:t>
      </w:r>
      <w:r w:rsidRPr="004A1EC2">
        <w:rPr>
          <w:rFonts w:ascii="Times New Roman" w:hAnsi="Times New Roman" w:cs="Times New Roman"/>
        </w:rPr>
        <w:t xml:space="preserve">Comparatively, herbal teas exhibited more extreme exceedances for manganese, lead, and chromium, while spices showed higher nickel, copper, and cadmium contamination. These findings align with prior Nigerian studies, such as </w:t>
      </w:r>
      <w:proofErr w:type="spellStart"/>
      <w:r w:rsidRPr="004A1EC2">
        <w:rPr>
          <w:rFonts w:ascii="Times New Roman" w:hAnsi="Times New Roman" w:cs="Times New Roman"/>
        </w:rPr>
        <w:t>Okwelle</w:t>
      </w:r>
      <w:proofErr w:type="spellEnd"/>
      <w:r w:rsidRPr="004A1EC2">
        <w:rPr>
          <w:rFonts w:ascii="Times New Roman" w:hAnsi="Times New Roman" w:cs="Times New Roman"/>
        </w:rPr>
        <w:t xml:space="preserve"> and </w:t>
      </w:r>
      <w:proofErr w:type="spellStart"/>
      <w:r w:rsidRPr="004A1EC2">
        <w:rPr>
          <w:rFonts w:ascii="Times New Roman" w:hAnsi="Times New Roman" w:cs="Times New Roman"/>
        </w:rPr>
        <w:t>Pepple</w:t>
      </w:r>
      <w:proofErr w:type="spellEnd"/>
      <w:r w:rsidRPr="004A1EC2">
        <w:rPr>
          <w:rFonts w:ascii="Times New Roman" w:hAnsi="Times New Roman" w:cs="Times New Roman"/>
        </w:rPr>
        <w:t xml:space="preserve"> (2020), reporting lower chromium in Port Harcourt spices (0.05–2.75 mg kg⁻¹), and Onyekwere </w:t>
      </w:r>
      <w:r w:rsidRPr="004A1EC2">
        <w:rPr>
          <w:rFonts w:ascii="Times New Roman" w:hAnsi="Times New Roman" w:cs="Times New Roman"/>
          <w:i/>
          <w:iCs/>
        </w:rPr>
        <w:t>et al</w:t>
      </w:r>
      <w:r w:rsidRPr="004A1EC2">
        <w:rPr>
          <w:rFonts w:ascii="Times New Roman" w:hAnsi="Times New Roman" w:cs="Times New Roman"/>
        </w:rPr>
        <w:t xml:space="preserve">. (2019), noting manganese up to 182 mg kg⁻¹ in southeastern spices. The FCT’s elevated levels, particularly in teas, suggest unique contamination pathways, possibly from soil, water, or industrial emissions, as noted by Ade </w:t>
      </w:r>
      <w:r w:rsidRPr="00A70A03">
        <w:rPr>
          <w:rFonts w:ascii="Times New Roman" w:hAnsi="Times New Roman" w:cs="Times New Roman"/>
          <w:i/>
          <w:iCs/>
        </w:rPr>
        <w:t>et al</w:t>
      </w:r>
      <w:r w:rsidRPr="004A1EC2">
        <w:rPr>
          <w:rFonts w:ascii="Times New Roman" w:hAnsi="Times New Roman" w:cs="Times New Roman"/>
        </w:rPr>
        <w:t xml:space="preserve">. (2020) and Musa </w:t>
      </w:r>
      <w:r w:rsidRPr="00A70A03">
        <w:rPr>
          <w:rFonts w:ascii="Times New Roman" w:hAnsi="Times New Roman" w:cs="Times New Roman"/>
          <w:i/>
          <w:iCs/>
        </w:rPr>
        <w:t>et al</w:t>
      </w:r>
      <w:r w:rsidRPr="004A1EC2">
        <w:rPr>
          <w:rFonts w:ascii="Times New Roman" w:hAnsi="Times New Roman" w:cs="Times New Roman"/>
        </w:rPr>
        <w:t xml:space="preserve">. (2022). The severe contamination in Abuja, exceeding levels in Ado Ekiti, Kano, Awka, Enugu, and Port Harcourt, underscores the urgent need for environmental investigations, source-control measures, and robust consumer safety regulations to mitigate public health risks in Nigeria’s herbal tea and spice markets (Afolabi </w:t>
      </w:r>
      <w:r w:rsidRPr="008A2875">
        <w:rPr>
          <w:rFonts w:ascii="Times New Roman" w:hAnsi="Times New Roman" w:cs="Times New Roman"/>
          <w:i/>
          <w:iCs/>
        </w:rPr>
        <w:t>et al</w:t>
      </w:r>
      <w:r w:rsidRPr="004A1EC2">
        <w:rPr>
          <w:rFonts w:ascii="Times New Roman" w:hAnsi="Times New Roman" w:cs="Times New Roman"/>
        </w:rPr>
        <w:t xml:space="preserve">., 2020; Onyekwere </w:t>
      </w:r>
      <w:r w:rsidRPr="00843996">
        <w:rPr>
          <w:rFonts w:ascii="Times New Roman" w:hAnsi="Times New Roman" w:cs="Times New Roman"/>
          <w:i/>
          <w:iCs/>
        </w:rPr>
        <w:t>et al</w:t>
      </w:r>
      <w:r w:rsidRPr="004A1EC2">
        <w:rPr>
          <w:rFonts w:ascii="Times New Roman" w:hAnsi="Times New Roman" w:cs="Times New Roman"/>
        </w:rPr>
        <w:t>., 2019).</w:t>
      </w:r>
    </w:p>
    <w:p w14:paraId="021D4E0A" w14:textId="04CEB515" w:rsidR="00C20512" w:rsidRPr="00D837E6" w:rsidRDefault="0049454E" w:rsidP="00B8704C">
      <w:pPr>
        <w:spacing w:line="480" w:lineRule="auto"/>
        <w:jc w:val="both"/>
        <w:rPr>
          <w:rFonts w:ascii="Times New Roman" w:hAnsi="Times New Roman" w:cs="Times New Roman"/>
        </w:rPr>
      </w:pPr>
      <w:r w:rsidRPr="0049454E">
        <w:rPr>
          <w:rFonts w:ascii="Times New Roman" w:hAnsi="Times New Roman" w:cs="Times New Roman"/>
        </w:rPr>
        <w:br/>
      </w:r>
      <w:bookmarkStart w:id="4" w:name="_Hlk205362796"/>
      <w:r w:rsidR="00C96DB6" w:rsidRPr="00C96DB6">
        <w:rPr>
          <w:b/>
          <w:bCs/>
        </w:rPr>
        <w:t xml:space="preserve">TABLE </w:t>
      </w:r>
      <w:r w:rsidR="00D60F6C">
        <w:rPr>
          <w:b/>
          <w:bCs/>
        </w:rPr>
        <w:t>5</w:t>
      </w:r>
      <w:r w:rsidR="00C96DB6" w:rsidRPr="00C96DB6">
        <w:rPr>
          <w:b/>
          <w:bCs/>
        </w:rPr>
        <w:t xml:space="preserve">: </w:t>
      </w:r>
      <w:r w:rsidR="0048068D" w:rsidRPr="00C96DB6">
        <w:rPr>
          <w:b/>
          <w:bCs/>
        </w:rPr>
        <w:t xml:space="preserve">Detected Heavy Metal </w:t>
      </w:r>
      <w:r w:rsidR="003A0A8E" w:rsidRPr="00C96DB6">
        <w:rPr>
          <w:b/>
          <w:bCs/>
        </w:rPr>
        <w:t xml:space="preserve">Levels </w:t>
      </w:r>
      <w:r w:rsidR="003A0A8E">
        <w:rPr>
          <w:b/>
          <w:bCs/>
        </w:rPr>
        <w:t>in</w:t>
      </w:r>
      <w:r w:rsidR="00D60F6C">
        <w:rPr>
          <w:b/>
          <w:bCs/>
        </w:rPr>
        <w:t xml:space="preserve"> Herbal </w:t>
      </w:r>
      <w:r w:rsidR="00D837E6">
        <w:rPr>
          <w:b/>
          <w:bCs/>
        </w:rPr>
        <w:t>Teas</w:t>
      </w:r>
      <w:r w:rsidR="00D60F6C">
        <w:rPr>
          <w:b/>
          <w:bCs/>
        </w:rPr>
        <w:t xml:space="preserve"> </w:t>
      </w:r>
      <w:r w:rsidR="00D60F6C" w:rsidRPr="00C96DB6">
        <w:rPr>
          <w:b/>
          <w:bCs/>
        </w:rPr>
        <w:t>with</w:t>
      </w:r>
      <w:r w:rsidR="0048068D" w:rsidRPr="00C96DB6">
        <w:rPr>
          <w:b/>
          <w:bCs/>
        </w:rPr>
        <w:t xml:space="preserve"> Permissible Limits</w:t>
      </w:r>
      <w:bookmarkEnd w:id="4"/>
    </w:p>
    <w:tbl>
      <w:tblPr>
        <w:tblW w:w="1020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70"/>
        <w:gridCol w:w="1870"/>
        <w:gridCol w:w="1870"/>
        <w:gridCol w:w="4590"/>
      </w:tblGrid>
      <w:tr w:rsidR="00C20512" w:rsidRPr="00125810" w14:paraId="22F25A1B" w14:textId="77777777" w:rsidTr="00D837E6">
        <w:tc>
          <w:tcPr>
            <w:tcW w:w="1870" w:type="dxa"/>
            <w:tcBorders>
              <w:top w:val="single" w:sz="4" w:space="0" w:color="auto"/>
              <w:left w:val="single" w:sz="4" w:space="0" w:color="auto"/>
              <w:bottom w:val="single" w:sz="4" w:space="0" w:color="auto"/>
              <w:right w:val="single" w:sz="4" w:space="0" w:color="auto"/>
            </w:tcBorders>
            <w:vAlign w:val="center"/>
            <w:hideMark/>
          </w:tcPr>
          <w:p w14:paraId="3947830A" w14:textId="77777777" w:rsidR="00C20512" w:rsidRPr="0048068D" w:rsidRDefault="00C20512" w:rsidP="0048068D">
            <w:pPr>
              <w:pStyle w:val="NoSpacing"/>
              <w:rPr>
                <w:b/>
                <w:bCs/>
              </w:rPr>
            </w:pPr>
            <w:r w:rsidRPr="0048068D">
              <w:rPr>
                <w:b/>
                <w:bCs/>
              </w:rPr>
              <w:t>Element</w:t>
            </w:r>
          </w:p>
        </w:tc>
        <w:tc>
          <w:tcPr>
            <w:tcW w:w="1870" w:type="dxa"/>
            <w:tcBorders>
              <w:top w:val="single" w:sz="4" w:space="0" w:color="auto"/>
              <w:left w:val="single" w:sz="4" w:space="0" w:color="auto"/>
              <w:bottom w:val="single" w:sz="4" w:space="0" w:color="auto"/>
              <w:right w:val="single" w:sz="4" w:space="0" w:color="auto"/>
            </w:tcBorders>
            <w:vAlign w:val="center"/>
            <w:hideMark/>
          </w:tcPr>
          <w:p w14:paraId="077AF353" w14:textId="77777777" w:rsidR="00C20512" w:rsidRPr="0048068D" w:rsidRDefault="00C20512" w:rsidP="0048068D">
            <w:pPr>
              <w:pStyle w:val="NoSpacing"/>
              <w:rPr>
                <w:b/>
                <w:bCs/>
              </w:rPr>
            </w:pPr>
            <w:r w:rsidRPr="0048068D">
              <w:rPr>
                <w:b/>
                <w:bCs/>
              </w:rPr>
              <w:t>Limit (mg kg</w:t>
            </w:r>
            <w:r w:rsidRPr="0048068D">
              <w:rPr>
                <w:b/>
                <w:bCs/>
                <w:vertAlign w:val="superscript"/>
              </w:rPr>
              <w:t>-1</w:t>
            </w:r>
            <w:r w:rsidRPr="0048068D">
              <w:rPr>
                <w:b/>
                <w:bCs/>
              </w:rPr>
              <w:t>)</w:t>
            </w:r>
          </w:p>
        </w:tc>
        <w:tc>
          <w:tcPr>
            <w:tcW w:w="1870" w:type="dxa"/>
            <w:tcBorders>
              <w:top w:val="single" w:sz="4" w:space="0" w:color="auto"/>
              <w:left w:val="single" w:sz="4" w:space="0" w:color="auto"/>
              <w:bottom w:val="single" w:sz="4" w:space="0" w:color="auto"/>
              <w:right w:val="single" w:sz="4" w:space="0" w:color="auto"/>
            </w:tcBorders>
            <w:vAlign w:val="center"/>
            <w:hideMark/>
          </w:tcPr>
          <w:p w14:paraId="12D575B8" w14:textId="77777777" w:rsidR="00C20512" w:rsidRPr="0048068D" w:rsidRDefault="00C20512" w:rsidP="0048068D">
            <w:pPr>
              <w:pStyle w:val="NoSpacing"/>
              <w:rPr>
                <w:b/>
                <w:bCs/>
              </w:rPr>
            </w:pPr>
            <w:r w:rsidRPr="0048068D">
              <w:rPr>
                <w:b/>
                <w:bCs/>
              </w:rPr>
              <w:t>Number of samples above the limit</w:t>
            </w:r>
          </w:p>
        </w:tc>
        <w:tc>
          <w:tcPr>
            <w:tcW w:w="4590" w:type="dxa"/>
            <w:tcBorders>
              <w:top w:val="single" w:sz="4" w:space="0" w:color="auto"/>
              <w:left w:val="single" w:sz="4" w:space="0" w:color="auto"/>
              <w:bottom w:val="single" w:sz="4" w:space="0" w:color="auto"/>
              <w:right w:val="single" w:sz="4" w:space="0" w:color="auto"/>
            </w:tcBorders>
            <w:vAlign w:val="center"/>
            <w:hideMark/>
          </w:tcPr>
          <w:p w14:paraId="2211E106" w14:textId="77777777" w:rsidR="00C20512" w:rsidRPr="0048068D" w:rsidRDefault="00C20512" w:rsidP="0048068D">
            <w:pPr>
              <w:pStyle w:val="NoSpacing"/>
              <w:rPr>
                <w:b/>
                <w:bCs/>
              </w:rPr>
            </w:pPr>
            <w:r w:rsidRPr="0048068D">
              <w:rPr>
                <w:b/>
                <w:bCs/>
              </w:rPr>
              <w:t>Samples above the limit (mg kg</w:t>
            </w:r>
            <w:r w:rsidRPr="0048068D">
              <w:rPr>
                <w:b/>
                <w:bCs/>
                <w:vertAlign w:val="superscript"/>
              </w:rPr>
              <w:t>-1</w:t>
            </w:r>
            <w:r w:rsidRPr="0048068D">
              <w:rPr>
                <w:b/>
                <w:bCs/>
              </w:rPr>
              <w:t>)</w:t>
            </w:r>
          </w:p>
        </w:tc>
      </w:tr>
      <w:tr w:rsidR="00C20512" w:rsidRPr="00125810" w14:paraId="3FEF53F9" w14:textId="77777777" w:rsidTr="00D837E6">
        <w:tc>
          <w:tcPr>
            <w:tcW w:w="1870" w:type="dxa"/>
            <w:tcBorders>
              <w:top w:val="single" w:sz="4" w:space="0" w:color="auto"/>
              <w:left w:val="single" w:sz="4" w:space="0" w:color="auto"/>
              <w:bottom w:val="single" w:sz="4" w:space="0" w:color="auto"/>
              <w:right w:val="single" w:sz="4" w:space="0" w:color="auto"/>
            </w:tcBorders>
            <w:vAlign w:val="center"/>
            <w:hideMark/>
          </w:tcPr>
          <w:p w14:paraId="467776C1" w14:textId="77777777" w:rsidR="00C20512" w:rsidRPr="00125810" w:rsidRDefault="00C20512" w:rsidP="0048068D">
            <w:pPr>
              <w:pStyle w:val="NoSpacing"/>
            </w:pPr>
            <w:r w:rsidRPr="00125810">
              <w:t>Cadmium (Cd)</w:t>
            </w:r>
          </w:p>
        </w:tc>
        <w:tc>
          <w:tcPr>
            <w:tcW w:w="1870" w:type="dxa"/>
            <w:tcBorders>
              <w:top w:val="single" w:sz="4" w:space="0" w:color="auto"/>
              <w:left w:val="single" w:sz="4" w:space="0" w:color="auto"/>
              <w:bottom w:val="single" w:sz="4" w:space="0" w:color="auto"/>
              <w:right w:val="single" w:sz="4" w:space="0" w:color="auto"/>
            </w:tcBorders>
            <w:vAlign w:val="center"/>
            <w:hideMark/>
          </w:tcPr>
          <w:p w14:paraId="7013A5BF" w14:textId="77777777" w:rsidR="00C20512" w:rsidRPr="00125810" w:rsidRDefault="00C20512" w:rsidP="0048068D">
            <w:pPr>
              <w:pStyle w:val="NoSpacing"/>
            </w:pPr>
            <w:r w:rsidRPr="00125810">
              <w:t>0.100</w:t>
            </w:r>
          </w:p>
        </w:tc>
        <w:tc>
          <w:tcPr>
            <w:tcW w:w="1870" w:type="dxa"/>
            <w:tcBorders>
              <w:top w:val="single" w:sz="4" w:space="0" w:color="auto"/>
              <w:left w:val="single" w:sz="4" w:space="0" w:color="auto"/>
              <w:bottom w:val="single" w:sz="4" w:space="0" w:color="auto"/>
              <w:right w:val="single" w:sz="4" w:space="0" w:color="auto"/>
            </w:tcBorders>
            <w:vAlign w:val="center"/>
            <w:hideMark/>
          </w:tcPr>
          <w:p w14:paraId="3CCA9636" w14:textId="77777777" w:rsidR="00C20512" w:rsidRPr="00125810" w:rsidRDefault="00C20512" w:rsidP="0048068D">
            <w:pPr>
              <w:pStyle w:val="NoSpacing"/>
            </w:pPr>
            <w:r w:rsidRPr="00125810">
              <w:t>12 out of 12</w:t>
            </w:r>
          </w:p>
        </w:tc>
        <w:tc>
          <w:tcPr>
            <w:tcW w:w="4590" w:type="dxa"/>
            <w:tcBorders>
              <w:top w:val="single" w:sz="4" w:space="0" w:color="auto"/>
              <w:left w:val="single" w:sz="4" w:space="0" w:color="auto"/>
              <w:bottom w:val="single" w:sz="4" w:space="0" w:color="auto"/>
              <w:right w:val="single" w:sz="4" w:space="0" w:color="auto"/>
            </w:tcBorders>
            <w:vAlign w:val="center"/>
            <w:hideMark/>
          </w:tcPr>
          <w:p w14:paraId="42F158FA" w14:textId="77777777" w:rsidR="00C20512" w:rsidRPr="00125810" w:rsidRDefault="00C20512" w:rsidP="0048068D">
            <w:pPr>
              <w:pStyle w:val="NoSpacing"/>
            </w:pPr>
            <w:r w:rsidRPr="00125810">
              <w:t>All samples</w:t>
            </w:r>
          </w:p>
        </w:tc>
      </w:tr>
      <w:tr w:rsidR="00C20512" w:rsidRPr="00125810" w14:paraId="476DCC56" w14:textId="77777777" w:rsidTr="00D837E6">
        <w:tc>
          <w:tcPr>
            <w:tcW w:w="1870" w:type="dxa"/>
            <w:tcBorders>
              <w:top w:val="single" w:sz="4" w:space="0" w:color="auto"/>
              <w:left w:val="single" w:sz="4" w:space="0" w:color="auto"/>
              <w:bottom w:val="single" w:sz="4" w:space="0" w:color="auto"/>
              <w:right w:val="single" w:sz="4" w:space="0" w:color="auto"/>
            </w:tcBorders>
            <w:vAlign w:val="center"/>
            <w:hideMark/>
          </w:tcPr>
          <w:p w14:paraId="5B755989" w14:textId="77777777" w:rsidR="00C20512" w:rsidRPr="00125810" w:rsidRDefault="00C20512" w:rsidP="0048068D">
            <w:pPr>
              <w:pStyle w:val="NoSpacing"/>
            </w:pPr>
            <w:r w:rsidRPr="00125810">
              <w:t>Cobalt (Co)</w:t>
            </w:r>
          </w:p>
        </w:tc>
        <w:tc>
          <w:tcPr>
            <w:tcW w:w="1870" w:type="dxa"/>
            <w:tcBorders>
              <w:top w:val="single" w:sz="4" w:space="0" w:color="auto"/>
              <w:left w:val="single" w:sz="4" w:space="0" w:color="auto"/>
              <w:bottom w:val="single" w:sz="4" w:space="0" w:color="auto"/>
              <w:right w:val="single" w:sz="4" w:space="0" w:color="auto"/>
            </w:tcBorders>
            <w:vAlign w:val="center"/>
            <w:hideMark/>
          </w:tcPr>
          <w:p w14:paraId="3FF8D40E" w14:textId="77777777" w:rsidR="00C20512" w:rsidRPr="00125810" w:rsidRDefault="00C20512" w:rsidP="0048068D">
            <w:pPr>
              <w:pStyle w:val="NoSpacing"/>
            </w:pPr>
            <w:r w:rsidRPr="00125810">
              <w:t>0.200</w:t>
            </w:r>
          </w:p>
        </w:tc>
        <w:tc>
          <w:tcPr>
            <w:tcW w:w="1870" w:type="dxa"/>
            <w:tcBorders>
              <w:top w:val="single" w:sz="4" w:space="0" w:color="auto"/>
              <w:left w:val="single" w:sz="4" w:space="0" w:color="auto"/>
              <w:bottom w:val="single" w:sz="4" w:space="0" w:color="auto"/>
              <w:right w:val="single" w:sz="4" w:space="0" w:color="auto"/>
            </w:tcBorders>
            <w:vAlign w:val="center"/>
            <w:hideMark/>
          </w:tcPr>
          <w:p w14:paraId="47EBFD85" w14:textId="77777777" w:rsidR="00C20512" w:rsidRPr="00125810" w:rsidRDefault="00C20512" w:rsidP="0048068D">
            <w:pPr>
              <w:pStyle w:val="NoSpacing"/>
            </w:pPr>
            <w:r w:rsidRPr="00125810">
              <w:t>2</w:t>
            </w:r>
          </w:p>
        </w:tc>
        <w:tc>
          <w:tcPr>
            <w:tcW w:w="4590" w:type="dxa"/>
            <w:tcBorders>
              <w:top w:val="single" w:sz="4" w:space="0" w:color="auto"/>
              <w:left w:val="single" w:sz="4" w:space="0" w:color="auto"/>
              <w:bottom w:val="single" w:sz="4" w:space="0" w:color="auto"/>
              <w:right w:val="single" w:sz="4" w:space="0" w:color="auto"/>
            </w:tcBorders>
            <w:vAlign w:val="center"/>
            <w:hideMark/>
          </w:tcPr>
          <w:p w14:paraId="4369A864" w14:textId="77777777" w:rsidR="00C20512" w:rsidRPr="00125810" w:rsidRDefault="00C20512" w:rsidP="0048068D">
            <w:pPr>
              <w:pStyle w:val="NoSpacing"/>
            </w:pPr>
            <w:r w:rsidRPr="00125810">
              <w:t>Guava tea (0.85) and Lipton (1.31)</w:t>
            </w:r>
          </w:p>
        </w:tc>
      </w:tr>
      <w:tr w:rsidR="00C20512" w:rsidRPr="00125810" w14:paraId="4A620314" w14:textId="77777777" w:rsidTr="00D837E6">
        <w:tc>
          <w:tcPr>
            <w:tcW w:w="1870" w:type="dxa"/>
            <w:tcBorders>
              <w:top w:val="single" w:sz="4" w:space="0" w:color="auto"/>
              <w:left w:val="single" w:sz="4" w:space="0" w:color="auto"/>
              <w:bottom w:val="single" w:sz="4" w:space="0" w:color="auto"/>
              <w:right w:val="single" w:sz="4" w:space="0" w:color="auto"/>
            </w:tcBorders>
            <w:vAlign w:val="center"/>
            <w:hideMark/>
          </w:tcPr>
          <w:p w14:paraId="5A44C812" w14:textId="77777777" w:rsidR="00C20512" w:rsidRPr="00125810" w:rsidRDefault="00C20512" w:rsidP="0048068D">
            <w:pPr>
              <w:pStyle w:val="NoSpacing"/>
            </w:pPr>
            <w:r w:rsidRPr="00125810">
              <w:t>Chromium (Cr)</w:t>
            </w:r>
          </w:p>
        </w:tc>
        <w:tc>
          <w:tcPr>
            <w:tcW w:w="1870" w:type="dxa"/>
            <w:tcBorders>
              <w:top w:val="single" w:sz="4" w:space="0" w:color="auto"/>
              <w:left w:val="single" w:sz="4" w:space="0" w:color="auto"/>
              <w:bottom w:val="single" w:sz="4" w:space="0" w:color="auto"/>
              <w:right w:val="single" w:sz="4" w:space="0" w:color="auto"/>
            </w:tcBorders>
            <w:vAlign w:val="center"/>
            <w:hideMark/>
          </w:tcPr>
          <w:p w14:paraId="1BBC49A9" w14:textId="77777777" w:rsidR="00C20512" w:rsidRPr="00125810" w:rsidRDefault="00C20512" w:rsidP="0048068D">
            <w:pPr>
              <w:pStyle w:val="NoSpacing"/>
            </w:pPr>
            <w:r w:rsidRPr="00125810">
              <w:t>2.000</w:t>
            </w:r>
          </w:p>
        </w:tc>
        <w:tc>
          <w:tcPr>
            <w:tcW w:w="1870" w:type="dxa"/>
            <w:tcBorders>
              <w:top w:val="single" w:sz="4" w:space="0" w:color="auto"/>
              <w:left w:val="single" w:sz="4" w:space="0" w:color="auto"/>
              <w:bottom w:val="single" w:sz="4" w:space="0" w:color="auto"/>
              <w:right w:val="single" w:sz="4" w:space="0" w:color="auto"/>
            </w:tcBorders>
            <w:vAlign w:val="center"/>
            <w:hideMark/>
          </w:tcPr>
          <w:p w14:paraId="21629A2F" w14:textId="77777777" w:rsidR="00C20512" w:rsidRPr="00125810" w:rsidRDefault="00C20512" w:rsidP="0048068D">
            <w:pPr>
              <w:pStyle w:val="NoSpacing"/>
            </w:pPr>
            <w:r w:rsidRPr="00125810">
              <w:t>11</w:t>
            </w:r>
          </w:p>
        </w:tc>
        <w:tc>
          <w:tcPr>
            <w:tcW w:w="4590" w:type="dxa"/>
            <w:tcBorders>
              <w:top w:val="single" w:sz="4" w:space="0" w:color="auto"/>
              <w:left w:val="single" w:sz="4" w:space="0" w:color="auto"/>
              <w:bottom w:val="single" w:sz="4" w:space="0" w:color="auto"/>
              <w:right w:val="single" w:sz="4" w:space="0" w:color="auto"/>
            </w:tcBorders>
            <w:vAlign w:val="center"/>
            <w:hideMark/>
          </w:tcPr>
          <w:p w14:paraId="5EC1C2FB" w14:textId="77777777" w:rsidR="00C20512" w:rsidRPr="00125810" w:rsidRDefault="00C20512" w:rsidP="0048068D">
            <w:pPr>
              <w:pStyle w:val="NoSpacing"/>
            </w:pPr>
            <w:r w:rsidRPr="00125810">
              <w:t>All except tummy tea (0.000)</w:t>
            </w:r>
          </w:p>
        </w:tc>
      </w:tr>
      <w:tr w:rsidR="00C20512" w:rsidRPr="00125810" w14:paraId="27617C03" w14:textId="77777777" w:rsidTr="00D837E6">
        <w:tc>
          <w:tcPr>
            <w:tcW w:w="1870" w:type="dxa"/>
            <w:tcBorders>
              <w:top w:val="single" w:sz="4" w:space="0" w:color="auto"/>
              <w:left w:val="single" w:sz="4" w:space="0" w:color="auto"/>
              <w:bottom w:val="single" w:sz="4" w:space="0" w:color="auto"/>
              <w:right w:val="single" w:sz="4" w:space="0" w:color="auto"/>
            </w:tcBorders>
            <w:vAlign w:val="center"/>
            <w:hideMark/>
          </w:tcPr>
          <w:p w14:paraId="2D1D05AF" w14:textId="77777777" w:rsidR="00C20512" w:rsidRPr="00125810" w:rsidRDefault="00C20512" w:rsidP="0048068D">
            <w:pPr>
              <w:pStyle w:val="NoSpacing"/>
            </w:pPr>
            <w:r w:rsidRPr="00125810">
              <w:t>Copper (Cu)</w:t>
            </w:r>
          </w:p>
        </w:tc>
        <w:tc>
          <w:tcPr>
            <w:tcW w:w="1870" w:type="dxa"/>
            <w:tcBorders>
              <w:top w:val="single" w:sz="4" w:space="0" w:color="auto"/>
              <w:left w:val="single" w:sz="4" w:space="0" w:color="auto"/>
              <w:bottom w:val="single" w:sz="4" w:space="0" w:color="auto"/>
              <w:right w:val="single" w:sz="4" w:space="0" w:color="auto"/>
            </w:tcBorders>
            <w:vAlign w:val="center"/>
            <w:hideMark/>
          </w:tcPr>
          <w:p w14:paraId="4D6FE83C" w14:textId="77777777" w:rsidR="00C20512" w:rsidRPr="00125810" w:rsidRDefault="00C20512" w:rsidP="0048068D">
            <w:pPr>
              <w:pStyle w:val="NoSpacing"/>
            </w:pPr>
            <w:r w:rsidRPr="00125810">
              <w:t>20.00</w:t>
            </w:r>
          </w:p>
        </w:tc>
        <w:tc>
          <w:tcPr>
            <w:tcW w:w="1870" w:type="dxa"/>
            <w:tcBorders>
              <w:top w:val="single" w:sz="4" w:space="0" w:color="auto"/>
              <w:left w:val="single" w:sz="4" w:space="0" w:color="auto"/>
              <w:bottom w:val="single" w:sz="4" w:space="0" w:color="auto"/>
              <w:right w:val="single" w:sz="4" w:space="0" w:color="auto"/>
            </w:tcBorders>
            <w:vAlign w:val="center"/>
            <w:hideMark/>
          </w:tcPr>
          <w:p w14:paraId="592D2195" w14:textId="77777777" w:rsidR="00C20512" w:rsidRPr="00125810" w:rsidRDefault="00C20512" w:rsidP="0048068D">
            <w:pPr>
              <w:pStyle w:val="NoSpacing"/>
            </w:pPr>
            <w:r w:rsidRPr="00125810">
              <w:t>8</w:t>
            </w:r>
          </w:p>
        </w:tc>
        <w:tc>
          <w:tcPr>
            <w:tcW w:w="4590" w:type="dxa"/>
            <w:tcBorders>
              <w:top w:val="single" w:sz="4" w:space="0" w:color="auto"/>
              <w:left w:val="single" w:sz="4" w:space="0" w:color="auto"/>
              <w:bottom w:val="single" w:sz="4" w:space="0" w:color="auto"/>
              <w:right w:val="single" w:sz="4" w:space="0" w:color="auto"/>
            </w:tcBorders>
            <w:vAlign w:val="center"/>
            <w:hideMark/>
          </w:tcPr>
          <w:p w14:paraId="336E3E86" w14:textId="77777777" w:rsidR="00C20512" w:rsidRPr="00125810" w:rsidRDefault="00C20512" w:rsidP="0048068D">
            <w:pPr>
              <w:pStyle w:val="NoSpacing"/>
            </w:pPr>
            <w:r w:rsidRPr="00125810">
              <w:t>Green tea, Guava, Eyes bright, Lipton, Nals mint, Top tea, Mango, Highland</w:t>
            </w:r>
          </w:p>
        </w:tc>
      </w:tr>
      <w:tr w:rsidR="00C20512" w:rsidRPr="00125810" w14:paraId="237EA2C8" w14:textId="77777777" w:rsidTr="00D837E6">
        <w:tc>
          <w:tcPr>
            <w:tcW w:w="1870" w:type="dxa"/>
            <w:tcBorders>
              <w:top w:val="single" w:sz="4" w:space="0" w:color="auto"/>
              <w:left w:val="single" w:sz="4" w:space="0" w:color="auto"/>
              <w:bottom w:val="single" w:sz="4" w:space="0" w:color="auto"/>
              <w:right w:val="single" w:sz="4" w:space="0" w:color="auto"/>
            </w:tcBorders>
            <w:vAlign w:val="center"/>
            <w:hideMark/>
          </w:tcPr>
          <w:p w14:paraId="61DF570E" w14:textId="77777777" w:rsidR="00C20512" w:rsidRPr="00125810" w:rsidRDefault="00C20512" w:rsidP="0048068D">
            <w:pPr>
              <w:pStyle w:val="NoSpacing"/>
            </w:pPr>
            <w:r w:rsidRPr="00125810">
              <w:t>Manganese (Mn)</w:t>
            </w:r>
          </w:p>
        </w:tc>
        <w:tc>
          <w:tcPr>
            <w:tcW w:w="1870" w:type="dxa"/>
            <w:tcBorders>
              <w:top w:val="single" w:sz="4" w:space="0" w:color="auto"/>
              <w:left w:val="single" w:sz="4" w:space="0" w:color="auto"/>
              <w:bottom w:val="single" w:sz="4" w:space="0" w:color="auto"/>
              <w:right w:val="single" w:sz="4" w:space="0" w:color="auto"/>
            </w:tcBorders>
            <w:vAlign w:val="center"/>
            <w:hideMark/>
          </w:tcPr>
          <w:p w14:paraId="501B975E" w14:textId="77777777" w:rsidR="00C20512" w:rsidRPr="00125810" w:rsidRDefault="00C20512" w:rsidP="0048068D">
            <w:pPr>
              <w:pStyle w:val="NoSpacing"/>
            </w:pPr>
            <w:r w:rsidRPr="00125810">
              <w:t>0.120</w:t>
            </w:r>
          </w:p>
        </w:tc>
        <w:tc>
          <w:tcPr>
            <w:tcW w:w="1870" w:type="dxa"/>
            <w:tcBorders>
              <w:top w:val="single" w:sz="4" w:space="0" w:color="auto"/>
              <w:left w:val="single" w:sz="4" w:space="0" w:color="auto"/>
              <w:bottom w:val="single" w:sz="4" w:space="0" w:color="auto"/>
              <w:right w:val="single" w:sz="4" w:space="0" w:color="auto"/>
            </w:tcBorders>
            <w:vAlign w:val="center"/>
            <w:hideMark/>
          </w:tcPr>
          <w:p w14:paraId="4D8ABE79" w14:textId="77777777" w:rsidR="00C20512" w:rsidRPr="00125810" w:rsidRDefault="00C20512" w:rsidP="0048068D">
            <w:pPr>
              <w:pStyle w:val="NoSpacing"/>
            </w:pPr>
            <w:r w:rsidRPr="00125810">
              <w:t>12</w:t>
            </w:r>
          </w:p>
        </w:tc>
        <w:tc>
          <w:tcPr>
            <w:tcW w:w="4590" w:type="dxa"/>
            <w:tcBorders>
              <w:top w:val="single" w:sz="4" w:space="0" w:color="auto"/>
              <w:left w:val="single" w:sz="4" w:space="0" w:color="auto"/>
              <w:bottom w:val="single" w:sz="4" w:space="0" w:color="auto"/>
              <w:right w:val="single" w:sz="4" w:space="0" w:color="auto"/>
            </w:tcBorders>
            <w:vAlign w:val="center"/>
            <w:hideMark/>
          </w:tcPr>
          <w:p w14:paraId="5EBA132E" w14:textId="77777777" w:rsidR="00C20512" w:rsidRPr="00125810" w:rsidRDefault="00C20512" w:rsidP="0048068D">
            <w:pPr>
              <w:pStyle w:val="NoSpacing"/>
            </w:pPr>
            <w:r w:rsidRPr="00125810">
              <w:t>All samples</w:t>
            </w:r>
          </w:p>
        </w:tc>
      </w:tr>
      <w:tr w:rsidR="00C20512" w:rsidRPr="00125810" w14:paraId="173D1901" w14:textId="77777777" w:rsidTr="00D837E6">
        <w:tc>
          <w:tcPr>
            <w:tcW w:w="1870" w:type="dxa"/>
            <w:tcBorders>
              <w:top w:val="single" w:sz="4" w:space="0" w:color="auto"/>
              <w:left w:val="single" w:sz="4" w:space="0" w:color="auto"/>
              <w:bottom w:val="single" w:sz="4" w:space="0" w:color="auto"/>
              <w:right w:val="single" w:sz="4" w:space="0" w:color="auto"/>
            </w:tcBorders>
            <w:vAlign w:val="center"/>
            <w:hideMark/>
          </w:tcPr>
          <w:p w14:paraId="4C3788AE" w14:textId="77777777" w:rsidR="00C20512" w:rsidRPr="00125810" w:rsidRDefault="00C20512" w:rsidP="0048068D">
            <w:pPr>
              <w:pStyle w:val="NoSpacing"/>
            </w:pPr>
            <w:r w:rsidRPr="00125810">
              <w:t>Nickel (Ni)</w:t>
            </w:r>
          </w:p>
        </w:tc>
        <w:tc>
          <w:tcPr>
            <w:tcW w:w="1870" w:type="dxa"/>
            <w:tcBorders>
              <w:top w:val="single" w:sz="4" w:space="0" w:color="auto"/>
              <w:left w:val="single" w:sz="4" w:space="0" w:color="auto"/>
              <w:bottom w:val="single" w:sz="4" w:space="0" w:color="auto"/>
              <w:right w:val="single" w:sz="4" w:space="0" w:color="auto"/>
            </w:tcBorders>
            <w:vAlign w:val="center"/>
            <w:hideMark/>
          </w:tcPr>
          <w:p w14:paraId="098353A1" w14:textId="77777777" w:rsidR="00C20512" w:rsidRPr="00125810" w:rsidRDefault="00C20512" w:rsidP="0048068D">
            <w:pPr>
              <w:pStyle w:val="NoSpacing"/>
            </w:pPr>
            <w:r w:rsidRPr="00125810">
              <w:t>1.630</w:t>
            </w:r>
          </w:p>
        </w:tc>
        <w:tc>
          <w:tcPr>
            <w:tcW w:w="1870" w:type="dxa"/>
            <w:tcBorders>
              <w:top w:val="single" w:sz="4" w:space="0" w:color="auto"/>
              <w:left w:val="single" w:sz="4" w:space="0" w:color="auto"/>
              <w:bottom w:val="single" w:sz="4" w:space="0" w:color="auto"/>
              <w:right w:val="single" w:sz="4" w:space="0" w:color="auto"/>
            </w:tcBorders>
            <w:vAlign w:val="center"/>
            <w:hideMark/>
          </w:tcPr>
          <w:p w14:paraId="0E2C07DB" w14:textId="77777777" w:rsidR="00C20512" w:rsidRPr="00125810" w:rsidRDefault="00C20512" w:rsidP="0048068D">
            <w:pPr>
              <w:pStyle w:val="NoSpacing"/>
            </w:pPr>
            <w:r w:rsidRPr="00125810">
              <w:t>12</w:t>
            </w:r>
          </w:p>
        </w:tc>
        <w:tc>
          <w:tcPr>
            <w:tcW w:w="4590" w:type="dxa"/>
            <w:tcBorders>
              <w:top w:val="single" w:sz="4" w:space="0" w:color="auto"/>
              <w:left w:val="single" w:sz="4" w:space="0" w:color="auto"/>
              <w:bottom w:val="single" w:sz="4" w:space="0" w:color="auto"/>
              <w:right w:val="single" w:sz="4" w:space="0" w:color="auto"/>
            </w:tcBorders>
            <w:vAlign w:val="center"/>
            <w:hideMark/>
          </w:tcPr>
          <w:p w14:paraId="4A361128" w14:textId="77777777" w:rsidR="00C20512" w:rsidRPr="00125810" w:rsidRDefault="00C20512" w:rsidP="0048068D">
            <w:pPr>
              <w:pStyle w:val="NoSpacing"/>
            </w:pPr>
            <w:r w:rsidRPr="00125810">
              <w:t>All samples</w:t>
            </w:r>
          </w:p>
        </w:tc>
      </w:tr>
      <w:tr w:rsidR="00C20512" w:rsidRPr="00125810" w14:paraId="0F062B72" w14:textId="77777777" w:rsidTr="00D837E6">
        <w:tc>
          <w:tcPr>
            <w:tcW w:w="1870" w:type="dxa"/>
            <w:tcBorders>
              <w:top w:val="single" w:sz="4" w:space="0" w:color="auto"/>
              <w:left w:val="single" w:sz="4" w:space="0" w:color="auto"/>
              <w:bottom w:val="single" w:sz="4" w:space="0" w:color="auto"/>
              <w:right w:val="single" w:sz="4" w:space="0" w:color="auto"/>
            </w:tcBorders>
            <w:vAlign w:val="center"/>
            <w:hideMark/>
          </w:tcPr>
          <w:p w14:paraId="1DF4FD4D" w14:textId="77777777" w:rsidR="00C20512" w:rsidRPr="00125810" w:rsidRDefault="00C20512" w:rsidP="0048068D">
            <w:pPr>
              <w:pStyle w:val="NoSpacing"/>
            </w:pPr>
            <w:r w:rsidRPr="00125810">
              <w:t>Lead (Pb)</w:t>
            </w:r>
          </w:p>
        </w:tc>
        <w:tc>
          <w:tcPr>
            <w:tcW w:w="1870" w:type="dxa"/>
            <w:tcBorders>
              <w:top w:val="single" w:sz="4" w:space="0" w:color="auto"/>
              <w:left w:val="single" w:sz="4" w:space="0" w:color="auto"/>
              <w:bottom w:val="single" w:sz="4" w:space="0" w:color="auto"/>
              <w:right w:val="single" w:sz="4" w:space="0" w:color="auto"/>
            </w:tcBorders>
            <w:vAlign w:val="center"/>
            <w:hideMark/>
          </w:tcPr>
          <w:p w14:paraId="5AA646D1" w14:textId="77777777" w:rsidR="00C20512" w:rsidRPr="00125810" w:rsidRDefault="00C20512" w:rsidP="0048068D">
            <w:pPr>
              <w:pStyle w:val="NoSpacing"/>
            </w:pPr>
            <w:r w:rsidRPr="00125810">
              <w:t>10.00</w:t>
            </w:r>
          </w:p>
        </w:tc>
        <w:tc>
          <w:tcPr>
            <w:tcW w:w="1870" w:type="dxa"/>
            <w:tcBorders>
              <w:top w:val="single" w:sz="4" w:space="0" w:color="auto"/>
              <w:left w:val="single" w:sz="4" w:space="0" w:color="auto"/>
              <w:bottom w:val="single" w:sz="4" w:space="0" w:color="auto"/>
              <w:right w:val="single" w:sz="4" w:space="0" w:color="auto"/>
            </w:tcBorders>
            <w:vAlign w:val="center"/>
            <w:hideMark/>
          </w:tcPr>
          <w:p w14:paraId="37F7A395" w14:textId="77777777" w:rsidR="00C20512" w:rsidRPr="00125810" w:rsidRDefault="00C20512" w:rsidP="0048068D">
            <w:pPr>
              <w:pStyle w:val="NoSpacing"/>
            </w:pPr>
            <w:r w:rsidRPr="00125810">
              <w:t>3</w:t>
            </w:r>
          </w:p>
        </w:tc>
        <w:tc>
          <w:tcPr>
            <w:tcW w:w="4590" w:type="dxa"/>
            <w:tcBorders>
              <w:top w:val="single" w:sz="4" w:space="0" w:color="auto"/>
              <w:left w:val="single" w:sz="4" w:space="0" w:color="auto"/>
              <w:bottom w:val="single" w:sz="4" w:space="0" w:color="auto"/>
              <w:right w:val="single" w:sz="4" w:space="0" w:color="auto"/>
            </w:tcBorders>
            <w:vAlign w:val="center"/>
            <w:hideMark/>
          </w:tcPr>
          <w:p w14:paraId="324B54EF" w14:textId="77777777" w:rsidR="00C20512" w:rsidRPr="00125810" w:rsidRDefault="00C20512" w:rsidP="0048068D">
            <w:pPr>
              <w:pStyle w:val="NoSpacing"/>
            </w:pPr>
            <w:r w:rsidRPr="00125810">
              <w:t>Moringa (77.00), Top tea (35.12), and beetroot (30.90)</w:t>
            </w:r>
          </w:p>
        </w:tc>
      </w:tr>
    </w:tbl>
    <w:p w14:paraId="1EF57063" w14:textId="77777777" w:rsidR="00D837E6" w:rsidRDefault="00D837E6" w:rsidP="00D837E6">
      <w:pPr>
        <w:spacing w:after="0" w:line="480" w:lineRule="auto"/>
        <w:jc w:val="both"/>
        <w:rPr>
          <w:b/>
          <w:bCs/>
        </w:rPr>
      </w:pPr>
    </w:p>
    <w:p w14:paraId="00F93BBB" w14:textId="3BA56470" w:rsidR="00D837E6" w:rsidRPr="00D837E6" w:rsidRDefault="00D837E6" w:rsidP="00D837E6">
      <w:pPr>
        <w:spacing w:after="0" w:line="480" w:lineRule="auto"/>
        <w:jc w:val="both"/>
        <w:rPr>
          <w:rFonts w:ascii="Times New Roman" w:hAnsi="Times New Roman" w:cs="Times New Roman"/>
        </w:rPr>
      </w:pPr>
      <w:r w:rsidRPr="00125810">
        <w:rPr>
          <w:rFonts w:ascii="Times New Roman" w:hAnsi="Times New Roman" w:cs="Times New Roman"/>
          <w:b/>
          <w:bCs/>
        </w:rPr>
        <w:t xml:space="preserve">Table </w:t>
      </w:r>
      <w:r>
        <w:rPr>
          <w:rFonts w:ascii="Times New Roman" w:hAnsi="Times New Roman" w:cs="Times New Roman"/>
          <w:b/>
          <w:bCs/>
        </w:rPr>
        <w:t>6</w:t>
      </w:r>
      <w:r w:rsidRPr="00125810">
        <w:rPr>
          <w:rFonts w:ascii="Times New Roman" w:hAnsi="Times New Roman" w:cs="Times New Roman"/>
          <w:b/>
          <w:bCs/>
        </w:rPr>
        <w:t>: Detected Heavy Metal Levels</w:t>
      </w:r>
      <w:r>
        <w:rPr>
          <w:rFonts w:ascii="Times New Roman" w:hAnsi="Times New Roman" w:cs="Times New Roman"/>
          <w:b/>
          <w:bCs/>
        </w:rPr>
        <w:t xml:space="preserve"> in </w:t>
      </w:r>
      <w:r w:rsidR="009A07E6">
        <w:rPr>
          <w:rFonts w:ascii="Times New Roman" w:hAnsi="Times New Roman" w:cs="Times New Roman"/>
          <w:b/>
          <w:bCs/>
        </w:rPr>
        <w:t xml:space="preserve">Spices </w:t>
      </w:r>
      <w:r w:rsidR="009A07E6" w:rsidRPr="00125810">
        <w:rPr>
          <w:rFonts w:ascii="Times New Roman" w:hAnsi="Times New Roman" w:cs="Times New Roman"/>
          <w:b/>
          <w:bCs/>
        </w:rPr>
        <w:t>with</w:t>
      </w:r>
      <w:r w:rsidRPr="00125810">
        <w:rPr>
          <w:rFonts w:ascii="Times New Roman" w:hAnsi="Times New Roman" w:cs="Times New Roman"/>
          <w:b/>
          <w:bCs/>
        </w:rPr>
        <w:t xml:space="preserve"> Permissible Limits</w:t>
      </w:r>
    </w:p>
    <w:tbl>
      <w:tblPr>
        <w:tblW w:w="991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38"/>
        <w:gridCol w:w="1701"/>
        <w:gridCol w:w="2267"/>
        <w:gridCol w:w="4109"/>
      </w:tblGrid>
      <w:tr w:rsidR="00D837E6" w:rsidRPr="00125810" w14:paraId="72AD275B" w14:textId="77777777" w:rsidTr="00D837E6">
        <w:tc>
          <w:tcPr>
            <w:tcW w:w="1838" w:type="dxa"/>
            <w:tcBorders>
              <w:top w:val="single" w:sz="4" w:space="0" w:color="auto"/>
              <w:left w:val="single" w:sz="4" w:space="0" w:color="auto"/>
              <w:bottom w:val="single" w:sz="4" w:space="0" w:color="auto"/>
              <w:right w:val="single" w:sz="4" w:space="0" w:color="auto"/>
            </w:tcBorders>
            <w:vAlign w:val="center"/>
            <w:hideMark/>
          </w:tcPr>
          <w:p w14:paraId="541A8476" w14:textId="77777777" w:rsidR="00D837E6" w:rsidRPr="00D60F6C" w:rsidRDefault="00D837E6" w:rsidP="00D837E6">
            <w:pPr>
              <w:pStyle w:val="NoSpacing"/>
              <w:spacing w:after="0" w:afterAutospacing="0"/>
              <w:rPr>
                <w:b/>
                <w:bCs/>
              </w:rPr>
            </w:pPr>
            <w:r w:rsidRPr="00D60F6C">
              <w:rPr>
                <w:b/>
                <w:bCs/>
              </w:rPr>
              <w:lastRenderedPageBreak/>
              <w:t>Heavy Metal</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8587272" w14:textId="77777777" w:rsidR="00D837E6" w:rsidRPr="00D60F6C" w:rsidRDefault="00D837E6" w:rsidP="00D837E6">
            <w:pPr>
              <w:pStyle w:val="NoSpacing"/>
              <w:spacing w:after="0" w:afterAutospacing="0"/>
              <w:rPr>
                <w:b/>
                <w:bCs/>
              </w:rPr>
            </w:pPr>
            <w:r w:rsidRPr="00D60F6C">
              <w:rPr>
                <w:b/>
                <w:bCs/>
              </w:rPr>
              <w:t>Permissible Limit (mg kg</w:t>
            </w:r>
            <w:r w:rsidRPr="00D60F6C">
              <w:rPr>
                <w:b/>
                <w:bCs/>
                <w:vertAlign w:val="superscript"/>
              </w:rPr>
              <w:t>-1</w:t>
            </w:r>
            <w:r w:rsidRPr="00D60F6C">
              <w:rPr>
                <w:b/>
                <w:bCs/>
              </w:rPr>
              <w:t>)</w:t>
            </w:r>
          </w:p>
        </w:tc>
        <w:tc>
          <w:tcPr>
            <w:tcW w:w="2267" w:type="dxa"/>
            <w:tcBorders>
              <w:top w:val="single" w:sz="4" w:space="0" w:color="auto"/>
              <w:left w:val="single" w:sz="4" w:space="0" w:color="auto"/>
              <w:bottom w:val="single" w:sz="4" w:space="0" w:color="auto"/>
              <w:right w:val="single" w:sz="4" w:space="0" w:color="auto"/>
            </w:tcBorders>
            <w:vAlign w:val="center"/>
            <w:hideMark/>
          </w:tcPr>
          <w:p w14:paraId="142B2F25" w14:textId="77777777" w:rsidR="00D837E6" w:rsidRPr="00D60F6C" w:rsidRDefault="00D837E6" w:rsidP="00D837E6">
            <w:pPr>
              <w:pStyle w:val="NoSpacing"/>
              <w:spacing w:after="0" w:afterAutospacing="0"/>
              <w:rPr>
                <w:b/>
                <w:bCs/>
              </w:rPr>
            </w:pPr>
            <w:r w:rsidRPr="00D60F6C">
              <w:rPr>
                <w:b/>
                <w:bCs/>
              </w:rPr>
              <w:t>No. of samples above the limit</w:t>
            </w:r>
          </w:p>
        </w:tc>
        <w:tc>
          <w:tcPr>
            <w:tcW w:w="4109" w:type="dxa"/>
            <w:tcBorders>
              <w:top w:val="single" w:sz="4" w:space="0" w:color="auto"/>
              <w:left w:val="single" w:sz="4" w:space="0" w:color="auto"/>
              <w:bottom w:val="single" w:sz="4" w:space="0" w:color="auto"/>
              <w:right w:val="single" w:sz="4" w:space="0" w:color="auto"/>
            </w:tcBorders>
            <w:vAlign w:val="center"/>
            <w:hideMark/>
          </w:tcPr>
          <w:p w14:paraId="57BC6CF7" w14:textId="77777777" w:rsidR="00D837E6" w:rsidRPr="00D60F6C" w:rsidRDefault="00D837E6" w:rsidP="00D837E6">
            <w:pPr>
              <w:pStyle w:val="NoSpacing"/>
              <w:spacing w:after="0" w:afterAutospacing="0"/>
              <w:rPr>
                <w:b/>
                <w:bCs/>
              </w:rPr>
            </w:pPr>
            <w:r w:rsidRPr="00D60F6C">
              <w:rPr>
                <w:b/>
                <w:bCs/>
              </w:rPr>
              <w:t>Samples above the limit</w:t>
            </w:r>
          </w:p>
        </w:tc>
      </w:tr>
      <w:tr w:rsidR="00D837E6" w:rsidRPr="00125810" w14:paraId="17FEFA41" w14:textId="77777777" w:rsidTr="00D837E6">
        <w:tc>
          <w:tcPr>
            <w:tcW w:w="1838" w:type="dxa"/>
            <w:tcBorders>
              <w:top w:val="single" w:sz="4" w:space="0" w:color="auto"/>
              <w:left w:val="single" w:sz="4" w:space="0" w:color="auto"/>
              <w:bottom w:val="single" w:sz="4" w:space="0" w:color="auto"/>
              <w:right w:val="single" w:sz="4" w:space="0" w:color="auto"/>
            </w:tcBorders>
            <w:vAlign w:val="center"/>
            <w:hideMark/>
          </w:tcPr>
          <w:p w14:paraId="77CBAFE9" w14:textId="77777777" w:rsidR="00D837E6" w:rsidRPr="00125810" w:rsidRDefault="00D837E6" w:rsidP="00D837E6">
            <w:pPr>
              <w:pStyle w:val="NoSpacing"/>
            </w:pPr>
            <w:r w:rsidRPr="00125810">
              <w:t>Cadmium (Cd)</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C28868A" w14:textId="77777777" w:rsidR="00D837E6" w:rsidRPr="00125810" w:rsidRDefault="00D837E6" w:rsidP="00D837E6">
            <w:pPr>
              <w:pStyle w:val="NoSpacing"/>
            </w:pPr>
            <w:r w:rsidRPr="00125810">
              <w:t>0.100</w:t>
            </w:r>
          </w:p>
        </w:tc>
        <w:tc>
          <w:tcPr>
            <w:tcW w:w="2267" w:type="dxa"/>
            <w:tcBorders>
              <w:top w:val="single" w:sz="4" w:space="0" w:color="auto"/>
              <w:left w:val="single" w:sz="4" w:space="0" w:color="auto"/>
              <w:bottom w:val="single" w:sz="4" w:space="0" w:color="auto"/>
              <w:right w:val="single" w:sz="4" w:space="0" w:color="auto"/>
            </w:tcBorders>
            <w:vAlign w:val="center"/>
            <w:hideMark/>
          </w:tcPr>
          <w:p w14:paraId="19BE3094" w14:textId="77777777" w:rsidR="00D837E6" w:rsidRPr="00125810" w:rsidRDefault="00D837E6" w:rsidP="00D837E6">
            <w:pPr>
              <w:pStyle w:val="NoSpacing"/>
            </w:pPr>
            <w:r w:rsidRPr="00125810">
              <w:t>11 / 11</w:t>
            </w:r>
          </w:p>
        </w:tc>
        <w:tc>
          <w:tcPr>
            <w:tcW w:w="4109" w:type="dxa"/>
            <w:tcBorders>
              <w:top w:val="single" w:sz="4" w:space="0" w:color="auto"/>
              <w:left w:val="single" w:sz="4" w:space="0" w:color="auto"/>
              <w:bottom w:val="single" w:sz="4" w:space="0" w:color="auto"/>
              <w:right w:val="single" w:sz="4" w:space="0" w:color="auto"/>
            </w:tcBorders>
            <w:vAlign w:val="center"/>
            <w:hideMark/>
          </w:tcPr>
          <w:p w14:paraId="305A6C71" w14:textId="77777777" w:rsidR="00D837E6" w:rsidRPr="00125810" w:rsidRDefault="00D837E6" w:rsidP="00D837E6">
            <w:pPr>
              <w:pStyle w:val="NoSpacing"/>
            </w:pPr>
            <w:r w:rsidRPr="00125810">
              <w:t>All samples</w:t>
            </w:r>
          </w:p>
        </w:tc>
      </w:tr>
      <w:tr w:rsidR="00D837E6" w:rsidRPr="00125810" w14:paraId="6A49CF71" w14:textId="77777777" w:rsidTr="00D837E6">
        <w:tc>
          <w:tcPr>
            <w:tcW w:w="1838" w:type="dxa"/>
            <w:tcBorders>
              <w:top w:val="single" w:sz="4" w:space="0" w:color="auto"/>
              <w:left w:val="single" w:sz="4" w:space="0" w:color="auto"/>
              <w:bottom w:val="single" w:sz="4" w:space="0" w:color="auto"/>
              <w:right w:val="single" w:sz="4" w:space="0" w:color="auto"/>
            </w:tcBorders>
            <w:vAlign w:val="center"/>
            <w:hideMark/>
          </w:tcPr>
          <w:p w14:paraId="2BD342DE" w14:textId="77777777" w:rsidR="00D837E6" w:rsidRPr="00125810" w:rsidRDefault="00D837E6" w:rsidP="00D837E6">
            <w:pPr>
              <w:pStyle w:val="NoSpacing"/>
            </w:pPr>
            <w:r w:rsidRPr="00125810">
              <w:t>Cobalt (Co)</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2B8FB6A" w14:textId="77777777" w:rsidR="00D837E6" w:rsidRPr="00125810" w:rsidRDefault="00D837E6" w:rsidP="00D837E6">
            <w:pPr>
              <w:pStyle w:val="NoSpacing"/>
            </w:pPr>
            <w:r w:rsidRPr="00125810">
              <w:t>0.200</w:t>
            </w:r>
          </w:p>
        </w:tc>
        <w:tc>
          <w:tcPr>
            <w:tcW w:w="2267" w:type="dxa"/>
            <w:tcBorders>
              <w:top w:val="single" w:sz="4" w:space="0" w:color="auto"/>
              <w:left w:val="single" w:sz="4" w:space="0" w:color="auto"/>
              <w:bottom w:val="single" w:sz="4" w:space="0" w:color="auto"/>
              <w:right w:val="single" w:sz="4" w:space="0" w:color="auto"/>
            </w:tcBorders>
            <w:vAlign w:val="center"/>
            <w:hideMark/>
          </w:tcPr>
          <w:p w14:paraId="6D91F742" w14:textId="77777777" w:rsidR="00D837E6" w:rsidRPr="00125810" w:rsidRDefault="00D837E6" w:rsidP="00D837E6">
            <w:pPr>
              <w:pStyle w:val="NoSpacing"/>
            </w:pPr>
            <w:r w:rsidRPr="00125810">
              <w:t>8/11</w:t>
            </w:r>
          </w:p>
        </w:tc>
        <w:tc>
          <w:tcPr>
            <w:tcW w:w="4109" w:type="dxa"/>
            <w:tcBorders>
              <w:top w:val="single" w:sz="4" w:space="0" w:color="auto"/>
              <w:left w:val="single" w:sz="4" w:space="0" w:color="auto"/>
              <w:bottom w:val="single" w:sz="4" w:space="0" w:color="auto"/>
              <w:right w:val="single" w:sz="4" w:space="0" w:color="auto"/>
            </w:tcBorders>
            <w:vAlign w:val="center"/>
            <w:hideMark/>
          </w:tcPr>
          <w:p w14:paraId="13C79272" w14:textId="25EC36D1" w:rsidR="00D837E6" w:rsidRPr="00125810" w:rsidRDefault="00D837E6" w:rsidP="00D837E6">
            <w:pPr>
              <w:pStyle w:val="NoSpacing"/>
            </w:pPr>
            <w:r w:rsidRPr="00125810">
              <w:t xml:space="preserve">Black pepper, Cayenne pepper, Curry powder, chicken seasoning, yellow </w:t>
            </w:r>
            <w:r w:rsidR="008A4A28">
              <w:t>pepper,</w:t>
            </w:r>
            <w:r>
              <w:t xml:space="preserve"> </w:t>
            </w:r>
            <w:r w:rsidRPr="00125810">
              <w:t>turmeric powder, and garlic powder</w:t>
            </w:r>
          </w:p>
        </w:tc>
      </w:tr>
      <w:tr w:rsidR="00D837E6" w:rsidRPr="00125810" w14:paraId="332B9C64" w14:textId="77777777" w:rsidTr="00D837E6">
        <w:tc>
          <w:tcPr>
            <w:tcW w:w="1838" w:type="dxa"/>
            <w:tcBorders>
              <w:top w:val="single" w:sz="4" w:space="0" w:color="auto"/>
              <w:left w:val="single" w:sz="4" w:space="0" w:color="auto"/>
              <w:bottom w:val="single" w:sz="4" w:space="0" w:color="auto"/>
              <w:right w:val="single" w:sz="4" w:space="0" w:color="auto"/>
            </w:tcBorders>
            <w:vAlign w:val="center"/>
            <w:hideMark/>
          </w:tcPr>
          <w:p w14:paraId="2CA80C73" w14:textId="77777777" w:rsidR="00D837E6" w:rsidRPr="00125810" w:rsidRDefault="00D837E6" w:rsidP="00D837E6">
            <w:pPr>
              <w:pStyle w:val="NoSpacing"/>
            </w:pPr>
            <w:r w:rsidRPr="00125810">
              <w:t>Chromium (Cr)</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5F26EEB" w14:textId="77777777" w:rsidR="00D837E6" w:rsidRPr="00125810" w:rsidRDefault="00D837E6" w:rsidP="00D837E6">
            <w:pPr>
              <w:pStyle w:val="NoSpacing"/>
            </w:pPr>
            <w:r w:rsidRPr="00125810">
              <w:t>2.000</w:t>
            </w:r>
          </w:p>
        </w:tc>
        <w:tc>
          <w:tcPr>
            <w:tcW w:w="2267" w:type="dxa"/>
            <w:tcBorders>
              <w:top w:val="single" w:sz="4" w:space="0" w:color="auto"/>
              <w:left w:val="single" w:sz="4" w:space="0" w:color="auto"/>
              <w:bottom w:val="single" w:sz="4" w:space="0" w:color="auto"/>
              <w:right w:val="single" w:sz="4" w:space="0" w:color="auto"/>
            </w:tcBorders>
            <w:vAlign w:val="center"/>
            <w:hideMark/>
          </w:tcPr>
          <w:p w14:paraId="009610BB" w14:textId="77777777" w:rsidR="00D837E6" w:rsidRPr="00125810" w:rsidRDefault="00D837E6" w:rsidP="00D837E6">
            <w:pPr>
              <w:pStyle w:val="NoSpacing"/>
            </w:pPr>
            <w:r w:rsidRPr="00125810">
              <w:t>10/11</w:t>
            </w:r>
          </w:p>
        </w:tc>
        <w:tc>
          <w:tcPr>
            <w:tcW w:w="4109" w:type="dxa"/>
            <w:tcBorders>
              <w:top w:val="single" w:sz="4" w:space="0" w:color="auto"/>
              <w:left w:val="single" w:sz="4" w:space="0" w:color="auto"/>
              <w:bottom w:val="single" w:sz="4" w:space="0" w:color="auto"/>
              <w:right w:val="single" w:sz="4" w:space="0" w:color="auto"/>
            </w:tcBorders>
            <w:vAlign w:val="center"/>
            <w:hideMark/>
          </w:tcPr>
          <w:p w14:paraId="180C83DE" w14:textId="7BA5FE65" w:rsidR="00D837E6" w:rsidRPr="00125810" w:rsidRDefault="00D837E6" w:rsidP="00D837E6">
            <w:pPr>
              <w:pStyle w:val="NoSpacing"/>
            </w:pPr>
            <w:r w:rsidRPr="00125810">
              <w:t xml:space="preserve">Cayenne, Nutmeg, Curry, Chicken seasoning, Fried seasoning, </w:t>
            </w:r>
            <w:r w:rsidR="008D6ADE" w:rsidRPr="00125810">
              <w:t>yellow</w:t>
            </w:r>
            <w:r w:rsidRPr="00125810">
              <w:t xml:space="preserve"> pepper, Garlic powder, Turmeric, Ginger, Thyme</w:t>
            </w:r>
          </w:p>
        </w:tc>
      </w:tr>
      <w:tr w:rsidR="00D837E6" w:rsidRPr="00125810" w14:paraId="29B1CB26" w14:textId="77777777" w:rsidTr="00D837E6">
        <w:tc>
          <w:tcPr>
            <w:tcW w:w="1838" w:type="dxa"/>
            <w:tcBorders>
              <w:top w:val="single" w:sz="4" w:space="0" w:color="auto"/>
              <w:left w:val="single" w:sz="4" w:space="0" w:color="auto"/>
              <w:bottom w:val="single" w:sz="4" w:space="0" w:color="auto"/>
              <w:right w:val="single" w:sz="4" w:space="0" w:color="auto"/>
            </w:tcBorders>
            <w:vAlign w:val="center"/>
            <w:hideMark/>
          </w:tcPr>
          <w:p w14:paraId="2B1B64E9" w14:textId="77777777" w:rsidR="00D837E6" w:rsidRPr="00125810" w:rsidRDefault="00D837E6" w:rsidP="00D837E6">
            <w:pPr>
              <w:pStyle w:val="NoSpacing"/>
            </w:pPr>
            <w:r w:rsidRPr="00125810">
              <w:t>Copper (., Cu)</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4FAFFCB" w14:textId="77777777" w:rsidR="00D837E6" w:rsidRPr="00125810" w:rsidRDefault="00D837E6" w:rsidP="00D837E6">
            <w:pPr>
              <w:pStyle w:val="NoSpacing"/>
            </w:pPr>
            <w:r w:rsidRPr="00125810">
              <w:t>20.00</w:t>
            </w:r>
          </w:p>
        </w:tc>
        <w:tc>
          <w:tcPr>
            <w:tcW w:w="2267" w:type="dxa"/>
            <w:tcBorders>
              <w:top w:val="single" w:sz="4" w:space="0" w:color="auto"/>
              <w:left w:val="single" w:sz="4" w:space="0" w:color="auto"/>
              <w:bottom w:val="single" w:sz="4" w:space="0" w:color="auto"/>
              <w:right w:val="single" w:sz="4" w:space="0" w:color="auto"/>
            </w:tcBorders>
            <w:vAlign w:val="center"/>
            <w:hideMark/>
          </w:tcPr>
          <w:p w14:paraId="3C33F955" w14:textId="77777777" w:rsidR="00D837E6" w:rsidRPr="00125810" w:rsidRDefault="00D837E6" w:rsidP="00D837E6">
            <w:pPr>
              <w:pStyle w:val="NoSpacing"/>
            </w:pPr>
            <w:r w:rsidRPr="00125810">
              <w:t>6/11</w:t>
            </w:r>
          </w:p>
        </w:tc>
        <w:tc>
          <w:tcPr>
            <w:tcW w:w="4109" w:type="dxa"/>
            <w:tcBorders>
              <w:top w:val="single" w:sz="4" w:space="0" w:color="auto"/>
              <w:left w:val="single" w:sz="4" w:space="0" w:color="auto"/>
              <w:bottom w:val="single" w:sz="4" w:space="0" w:color="auto"/>
              <w:right w:val="single" w:sz="4" w:space="0" w:color="auto"/>
            </w:tcBorders>
            <w:vAlign w:val="center"/>
            <w:hideMark/>
          </w:tcPr>
          <w:p w14:paraId="30F1074C" w14:textId="77777777" w:rsidR="00D837E6" w:rsidRPr="00125810" w:rsidRDefault="00D837E6" w:rsidP="00D837E6">
            <w:pPr>
              <w:pStyle w:val="NoSpacing"/>
            </w:pPr>
            <w:r w:rsidRPr="00125810">
              <w:t>Black pepper, cayenne, nutmeg, ginger, thyme, curry powder</w:t>
            </w:r>
          </w:p>
        </w:tc>
      </w:tr>
      <w:tr w:rsidR="00D837E6" w:rsidRPr="00125810" w14:paraId="25B2641A" w14:textId="77777777" w:rsidTr="00D837E6">
        <w:tc>
          <w:tcPr>
            <w:tcW w:w="1838" w:type="dxa"/>
            <w:tcBorders>
              <w:top w:val="single" w:sz="4" w:space="0" w:color="auto"/>
              <w:left w:val="single" w:sz="4" w:space="0" w:color="auto"/>
              <w:bottom w:val="single" w:sz="4" w:space="0" w:color="auto"/>
              <w:right w:val="single" w:sz="4" w:space="0" w:color="auto"/>
            </w:tcBorders>
            <w:vAlign w:val="center"/>
            <w:hideMark/>
          </w:tcPr>
          <w:p w14:paraId="24CB30CC" w14:textId="77777777" w:rsidR="00D837E6" w:rsidRPr="00125810" w:rsidRDefault="00D837E6" w:rsidP="00D837E6">
            <w:pPr>
              <w:pStyle w:val="NoSpacing"/>
            </w:pPr>
            <w:r w:rsidRPr="00125810">
              <w:t>Manganese (Mn)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21BBA3C" w14:textId="77777777" w:rsidR="00D837E6" w:rsidRPr="00125810" w:rsidRDefault="00D837E6" w:rsidP="00D837E6">
            <w:pPr>
              <w:pStyle w:val="NoSpacing"/>
            </w:pPr>
            <w:r w:rsidRPr="00125810">
              <w:t>0.120</w:t>
            </w:r>
          </w:p>
        </w:tc>
        <w:tc>
          <w:tcPr>
            <w:tcW w:w="2267" w:type="dxa"/>
            <w:tcBorders>
              <w:top w:val="single" w:sz="4" w:space="0" w:color="auto"/>
              <w:left w:val="single" w:sz="4" w:space="0" w:color="auto"/>
              <w:bottom w:val="single" w:sz="4" w:space="0" w:color="auto"/>
              <w:right w:val="single" w:sz="4" w:space="0" w:color="auto"/>
            </w:tcBorders>
            <w:vAlign w:val="center"/>
            <w:hideMark/>
          </w:tcPr>
          <w:p w14:paraId="1CC44526" w14:textId="77777777" w:rsidR="00D837E6" w:rsidRPr="00125810" w:rsidRDefault="00D837E6" w:rsidP="00D837E6">
            <w:pPr>
              <w:pStyle w:val="NoSpacing"/>
            </w:pPr>
            <w:r w:rsidRPr="00125810">
              <w:t>11 / 11</w:t>
            </w:r>
          </w:p>
        </w:tc>
        <w:tc>
          <w:tcPr>
            <w:tcW w:w="4109" w:type="dxa"/>
            <w:tcBorders>
              <w:top w:val="single" w:sz="4" w:space="0" w:color="auto"/>
              <w:left w:val="single" w:sz="4" w:space="0" w:color="auto"/>
              <w:bottom w:val="single" w:sz="4" w:space="0" w:color="auto"/>
              <w:right w:val="single" w:sz="4" w:space="0" w:color="auto"/>
            </w:tcBorders>
            <w:vAlign w:val="center"/>
            <w:hideMark/>
          </w:tcPr>
          <w:p w14:paraId="309D82DF" w14:textId="77777777" w:rsidR="00D837E6" w:rsidRPr="00125810" w:rsidRDefault="00D837E6" w:rsidP="00D837E6">
            <w:pPr>
              <w:pStyle w:val="NoSpacing"/>
            </w:pPr>
            <w:r w:rsidRPr="00125810">
              <w:t>All samples</w:t>
            </w:r>
          </w:p>
        </w:tc>
      </w:tr>
      <w:tr w:rsidR="00D837E6" w:rsidRPr="00125810" w14:paraId="74542F39" w14:textId="77777777" w:rsidTr="00D837E6">
        <w:tc>
          <w:tcPr>
            <w:tcW w:w="1838" w:type="dxa"/>
            <w:tcBorders>
              <w:top w:val="single" w:sz="4" w:space="0" w:color="auto"/>
              <w:left w:val="single" w:sz="4" w:space="0" w:color="auto"/>
              <w:bottom w:val="single" w:sz="4" w:space="0" w:color="auto"/>
              <w:right w:val="single" w:sz="4" w:space="0" w:color="auto"/>
            </w:tcBorders>
            <w:vAlign w:val="center"/>
            <w:hideMark/>
          </w:tcPr>
          <w:p w14:paraId="47B71109" w14:textId="77777777" w:rsidR="00D837E6" w:rsidRPr="00125810" w:rsidRDefault="00D837E6" w:rsidP="00D837E6">
            <w:pPr>
              <w:pStyle w:val="NoSpacing"/>
            </w:pPr>
            <w:r w:rsidRPr="00125810">
              <w:t>Nickel (Ni)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5156D12" w14:textId="77777777" w:rsidR="00D837E6" w:rsidRPr="00125810" w:rsidRDefault="00D837E6" w:rsidP="00D837E6">
            <w:pPr>
              <w:pStyle w:val="NoSpacing"/>
            </w:pPr>
            <w:r w:rsidRPr="00125810">
              <w:t>1.630</w:t>
            </w:r>
          </w:p>
        </w:tc>
        <w:tc>
          <w:tcPr>
            <w:tcW w:w="2267" w:type="dxa"/>
            <w:tcBorders>
              <w:top w:val="single" w:sz="4" w:space="0" w:color="auto"/>
              <w:left w:val="single" w:sz="4" w:space="0" w:color="auto"/>
              <w:bottom w:val="single" w:sz="4" w:space="0" w:color="auto"/>
              <w:right w:val="single" w:sz="4" w:space="0" w:color="auto"/>
            </w:tcBorders>
            <w:vAlign w:val="center"/>
            <w:hideMark/>
          </w:tcPr>
          <w:p w14:paraId="32062D79" w14:textId="77777777" w:rsidR="00D837E6" w:rsidRPr="00125810" w:rsidRDefault="00D837E6" w:rsidP="00D837E6">
            <w:pPr>
              <w:pStyle w:val="NoSpacing"/>
            </w:pPr>
            <w:r w:rsidRPr="00125810">
              <w:t>11/11</w:t>
            </w:r>
          </w:p>
        </w:tc>
        <w:tc>
          <w:tcPr>
            <w:tcW w:w="4109" w:type="dxa"/>
            <w:tcBorders>
              <w:top w:val="single" w:sz="4" w:space="0" w:color="auto"/>
              <w:left w:val="single" w:sz="4" w:space="0" w:color="auto"/>
              <w:bottom w:val="single" w:sz="4" w:space="0" w:color="auto"/>
              <w:right w:val="single" w:sz="4" w:space="0" w:color="auto"/>
            </w:tcBorders>
            <w:vAlign w:val="center"/>
            <w:hideMark/>
          </w:tcPr>
          <w:p w14:paraId="320B3DF2" w14:textId="77777777" w:rsidR="00D837E6" w:rsidRPr="00125810" w:rsidRDefault="00D837E6" w:rsidP="00D837E6">
            <w:pPr>
              <w:pStyle w:val="NoSpacing"/>
            </w:pPr>
            <w:r w:rsidRPr="00125810">
              <w:t>All samples</w:t>
            </w:r>
          </w:p>
        </w:tc>
      </w:tr>
      <w:tr w:rsidR="00D837E6" w:rsidRPr="00125810" w14:paraId="3E17210F" w14:textId="77777777" w:rsidTr="00D837E6">
        <w:tc>
          <w:tcPr>
            <w:tcW w:w="1838" w:type="dxa"/>
            <w:tcBorders>
              <w:top w:val="single" w:sz="4" w:space="0" w:color="auto"/>
              <w:left w:val="single" w:sz="4" w:space="0" w:color="auto"/>
              <w:bottom w:val="single" w:sz="4" w:space="0" w:color="auto"/>
              <w:right w:val="single" w:sz="4" w:space="0" w:color="auto"/>
            </w:tcBorders>
            <w:vAlign w:val="center"/>
            <w:hideMark/>
          </w:tcPr>
          <w:p w14:paraId="5CA49464" w14:textId="77777777" w:rsidR="00D837E6" w:rsidRPr="00125810" w:rsidRDefault="00D837E6" w:rsidP="00D837E6">
            <w:pPr>
              <w:pStyle w:val="NoSpacing"/>
            </w:pPr>
            <w:r w:rsidRPr="00125810">
              <w:t>Lead (Pb)</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0DDB5BE" w14:textId="77777777" w:rsidR="00D837E6" w:rsidRPr="00125810" w:rsidRDefault="00D837E6" w:rsidP="00D837E6">
            <w:pPr>
              <w:pStyle w:val="NoSpacing"/>
            </w:pPr>
            <w:r w:rsidRPr="00125810">
              <w:t>10.00</w:t>
            </w:r>
          </w:p>
        </w:tc>
        <w:tc>
          <w:tcPr>
            <w:tcW w:w="2267" w:type="dxa"/>
            <w:tcBorders>
              <w:top w:val="single" w:sz="4" w:space="0" w:color="auto"/>
              <w:left w:val="single" w:sz="4" w:space="0" w:color="auto"/>
              <w:bottom w:val="single" w:sz="4" w:space="0" w:color="auto"/>
              <w:right w:val="single" w:sz="4" w:space="0" w:color="auto"/>
            </w:tcBorders>
            <w:vAlign w:val="center"/>
            <w:hideMark/>
          </w:tcPr>
          <w:p w14:paraId="449205B3" w14:textId="77777777" w:rsidR="00D837E6" w:rsidRPr="00125810" w:rsidRDefault="00D837E6" w:rsidP="00D837E6">
            <w:pPr>
              <w:pStyle w:val="NoSpacing"/>
            </w:pPr>
            <w:r w:rsidRPr="00125810">
              <w:t>0/11</w:t>
            </w:r>
          </w:p>
        </w:tc>
        <w:tc>
          <w:tcPr>
            <w:tcW w:w="4109" w:type="dxa"/>
            <w:tcBorders>
              <w:top w:val="single" w:sz="4" w:space="0" w:color="auto"/>
              <w:left w:val="single" w:sz="4" w:space="0" w:color="auto"/>
              <w:bottom w:val="single" w:sz="4" w:space="0" w:color="auto"/>
              <w:right w:val="single" w:sz="4" w:space="0" w:color="auto"/>
            </w:tcBorders>
            <w:vAlign w:val="center"/>
            <w:hideMark/>
          </w:tcPr>
          <w:p w14:paraId="30F18F67" w14:textId="77777777" w:rsidR="00D837E6" w:rsidRPr="00125810" w:rsidRDefault="00D837E6" w:rsidP="00D837E6">
            <w:pPr>
              <w:pStyle w:val="NoSpacing"/>
            </w:pPr>
            <w:r w:rsidRPr="00125810">
              <w:t>None</w:t>
            </w:r>
          </w:p>
        </w:tc>
      </w:tr>
    </w:tbl>
    <w:p w14:paraId="4FA5C352" w14:textId="0D549588" w:rsidR="00D837E6" w:rsidRPr="00125810" w:rsidRDefault="00D837E6" w:rsidP="00125810">
      <w:pPr>
        <w:spacing w:line="480" w:lineRule="auto"/>
        <w:jc w:val="both"/>
        <w:rPr>
          <w:rFonts w:ascii="Times New Roman" w:hAnsi="Times New Roman" w:cs="Times New Roman"/>
        </w:rPr>
      </w:pPr>
    </w:p>
    <w:p w14:paraId="01049D71" w14:textId="17D07AF1" w:rsidR="00D60F6C" w:rsidRPr="00D60F6C" w:rsidRDefault="00C20512" w:rsidP="00D60F6C">
      <w:pPr>
        <w:spacing w:line="480" w:lineRule="auto"/>
        <w:jc w:val="both"/>
        <w:rPr>
          <w:rFonts w:ascii="Times New Roman" w:hAnsi="Times New Roman" w:cs="Times New Roman"/>
        </w:rPr>
      </w:pPr>
      <w:r w:rsidRPr="00125810">
        <w:rPr>
          <w:rFonts w:ascii="Times New Roman" w:hAnsi="Times New Roman" w:cs="Times New Roman"/>
        </w:rPr>
        <w:t xml:space="preserve">  </w:t>
      </w:r>
      <w:r w:rsidR="00D60F6C" w:rsidRPr="00D60F6C">
        <w:rPr>
          <w:rFonts w:ascii="Times New Roman" w:hAnsi="Times New Roman" w:cs="Times New Roman"/>
        </w:rPr>
        <w:t xml:space="preserve">Tables 5 and 6 present the prevalence of heavy metals in spices and herbal teas. The assessment of heavy metal concentrations in eleven commonly consumed spices revealed widespread contamination above internationally accepted safety limits (WHO/FAO standards). Cadmium (Cd), manganese (Mn), and nickel (Ni) consistently exceeded their permissible limits in all samples, suggesting pervasive contamination likely originating from soil, irrigation water, or post-harvest processing. Chromium (Cr) levels were also elevated in ten of the eleven spices </w:t>
      </w:r>
      <w:proofErr w:type="spellStart"/>
      <w:r w:rsidR="00515108" w:rsidRPr="007C4203">
        <w:rPr>
          <w:rFonts w:ascii="Times New Roman" w:hAnsi="Times New Roman" w:cs="Times New Roman"/>
          <w:highlight w:val="yellow"/>
        </w:rPr>
        <w:t>analysed</w:t>
      </w:r>
      <w:proofErr w:type="spellEnd"/>
      <w:r w:rsidR="00D60F6C" w:rsidRPr="00D60F6C">
        <w:rPr>
          <w:rFonts w:ascii="Times New Roman" w:hAnsi="Times New Roman" w:cs="Times New Roman"/>
        </w:rPr>
        <w:t xml:space="preserve">, with thyme and ginger powders recording the highest concentrations. Cobalt (Co) surpassed the safety threshold in eight samples, particularly in cayenne pepper and turmeric powder. Copper (Cu) exceeded the permissible limit in six spices, including black pepper, nutmeg, and ginger. Although none of the samples exceeded the maximum limit for lead (Pb) of 10 </w:t>
      </w:r>
      <w:r w:rsidR="008A2875" w:rsidRPr="004A1EC2">
        <w:rPr>
          <w:rFonts w:ascii="Times New Roman" w:hAnsi="Times New Roman" w:cs="Times New Roman"/>
        </w:rPr>
        <w:t>75 mg kg⁻¹</w:t>
      </w:r>
      <w:r w:rsidR="00D60F6C" w:rsidRPr="00D60F6C">
        <w:rPr>
          <w:rFonts w:ascii="Times New Roman" w:hAnsi="Times New Roman" w:cs="Times New Roman"/>
        </w:rPr>
        <w:t xml:space="preserve">, yellow pepper (7.89 </w:t>
      </w:r>
      <w:r w:rsidR="008A2875" w:rsidRPr="004A1EC2">
        <w:rPr>
          <w:rFonts w:ascii="Times New Roman" w:hAnsi="Times New Roman" w:cs="Times New Roman"/>
        </w:rPr>
        <w:t>75 mg kg⁻¹</w:t>
      </w:r>
      <w:r w:rsidR="00D60F6C" w:rsidRPr="00D60F6C">
        <w:rPr>
          <w:rFonts w:ascii="Times New Roman" w:hAnsi="Times New Roman" w:cs="Times New Roman"/>
        </w:rPr>
        <w:t xml:space="preserve">) and black pepper (6.83 </w:t>
      </w:r>
      <w:r w:rsidR="008A2875" w:rsidRPr="004A1EC2">
        <w:rPr>
          <w:rFonts w:ascii="Times New Roman" w:hAnsi="Times New Roman" w:cs="Times New Roman"/>
        </w:rPr>
        <w:t>75 mg kg⁻¹</w:t>
      </w:r>
      <w:r w:rsidR="00D60F6C" w:rsidRPr="00D60F6C">
        <w:rPr>
          <w:rFonts w:ascii="Times New Roman" w:hAnsi="Times New Roman" w:cs="Times New Roman"/>
        </w:rPr>
        <w:t>) contained relatively high Pb levels, which may pose long-term health risks with prolonged consumption.</w:t>
      </w:r>
    </w:p>
    <w:p w14:paraId="1621871C" w14:textId="5D04BB8D" w:rsidR="00D60F6C" w:rsidRPr="00125810" w:rsidRDefault="00D60F6C" w:rsidP="00125810">
      <w:pPr>
        <w:spacing w:line="480" w:lineRule="auto"/>
        <w:jc w:val="both"/>
        <w:rPr>
          <w:rFonts w:ascii="Times New Roman" w:hAnsi="Times New Roman" w:cs="Times New Roman"/>
        </w:rPr>
      </w:pPr>
      <w:r w:rsidRPr="00D60F6C">
        <w:rPr>
          <w:rFonts w:ascii="Times New Roman" w:hAnsi="Times New Roman" w:cs="Times New Roman"/>
        </w:rPr>
        <w:lastRenderedPageBreak/>
        <w:t xml:space="preserve">Overall, the findings in </w:t>
      </w:r>
      <w:r>
        <w:rPr>
          <w:rFonts w:ascii="Times New Roman" w:hAnsi="Times New Roman" w:cs="Times New Roman"/>
        </w:rPr>
        <w:t>Tables</w:t>
      </w:r>
      <w:r w:rsidRPr="00D60F6C">
        <w:rPr>
          <w:rFonts w:ascii="Times New Roman" w:hAnsi="Times New Roman" w:cs="Times New Roman"/>
        </w:rPr>
        <w:t xml:space="preserve"> 5</w:t>
      </w:r>
      <w:r>
        <w:rPr>
          <w:rFonts w:ascii="Times New Roman" w:hAnsi="Times New Roman" w:cs="Times New Roman"/>
        </w:rPr>
        <w:t xml:space="preserve"> and </w:t>
      </w:r>
      <w:r w:rsidR="00827653">
        <w:rPr>
          <w:rFonts w:ascii="Times New Roman" w:hAnsi="Times New Roman" w:cs="Times New Roman"/>
        </w:rPr>
        <w:t xml:space="preserve">6 </w:t>
      </w:r>
      <w:r w:rsidR="00827653" w:rsidRPr="00D60F6C">
        <w:rPr>
          <w:rFonts w:ascii="Times New Roman" w:hAnsi="Times New Roman" w:cs="Times New Roman"/>
        </w:rPr>
        <w:t>highlight</w:t>
      </w:r>
      <w:r w:rsidRPr="00D60F6C">
        <w:rPr>
          <w:rFonts w:ascii="Times New Roman" w:hAnsi="Times New Roman" w:cs="Times New Roman"/>
        </w:rPr>
        <w:t xml:space="preserve"> a serious contamination burden in spices sold within the FCT, Nigeria, especially with toxic elements such as cadmium, nickel, and manganese. These results raise significant public health concerns and </w:t>
      </w:r>
      <w:proofErr w:type="spellStart"/>
      <w:r w:rsidR="00515108" w:rsidRPr="007C4203">
        <w:rPr>
          <w:rFonts w:ascii="Times New Roman" w:hAnsi="Times New Roman" w:cs="Times New Roman"/>
          <w:highlight w:val="yellow"/>
        </w:rPr>
        <w:t>emphasise</w:t>
      </w:r>
      <w:proofErr w:type="spellEnd"/>
      <w:r w:rsidR="00515108" w:rsidRPr="007C4203">
        <w:rPr>
          <w:rFonts w:ascii="Times New Roman" w:hAnsi="Times New Roman" w:cs="Times New Roman"/>
          <w:highlight w:val="yellow"/>
        </w:rPr>
        <w:t xml:space="preserve"> </w:t>
      </w:r>
      <w:r w:rsidRPr="00D60F6C">
        <w:rPr>
          <w:rFonts w:ascii="Times New Roman" w:hAnsi="Times New Roman" w:cs="Times New Roman"/>
        </w:rPr>
        <w:t xml:space="preserve">the urgent need for routine monitoring, stricter regulatory enforcement, and the adoption of safer agricultural and processing practices to </w:t>
      </w:r>
      <w:proofErr w:type="spellStart"/>
      <w:r w:rsidR="00515108" w:rsidRPr="007C4203">
        <w:rPr>
          <w:rFonts w:ascii="Times New Roman" w:hAnsi="Times New Roman" w:cs="Times New Roman"/>
          <w:highlight w:val="yellow"/>
        </w:rPr>
        <w:t>minimise</w:t>
      </w:r>
      <w:proofErr w:type="spellEnd"/>
      <w:r w:rsidR="00515108" w:rsidRPr="007C4203">
        <w:rPr>
          <w:rFonts w:ascii="Times New Roman" w:hAnsi="Times New Roman" w:cs="Times New Roman"/>
          <w:highlight w:val="yellow"/>
        </w:rPr>
        <w:t xml:space="preserve"> </w:t>
      </w:r>
      <w:r w:rsidRPr="00D60F6C">
        <w:rPr>
          <w:rFonts w:ascii="Times New Roman" w:hAnsi="Times New Roman" w:cs="Times New Roman"/>
        </w:rPr>
        <w:t>heavy metal exposure through dietary intake.</w:t>
      </w:r>
    </w:p>
    <w:p w14:paraId="214F8B56" w14:textId="31AB6B91" w:rsidR="00C20512" w:rsidRDefault="00C20512" w:rsidP="00125810">
      <w:pPr>
        <w:spacing w:line="480" w:lineRule="auto"/>
        <w:jc w:val="both"/>
        <w:rPr>
          <w:rFonts w:ascii="Times New Roman" w:hAnsi="Times New Roman" w:cs="Times New Roman"/>
        </w:rPr>
      </w:pPr>
      <w:r w:rsidRPr="00125810">
        <w:rPr>
          <w:rFonts w:ascii="Times New Roman" w:hAnsi="Times New Roman" w:cs="Times New Roman"/>
          <w:noProof/>
        </w:rPr>
        <w:drawing>
          <wp:inline distT="0" distB="0" distL="0" distR="0" wp14:anchorId="00E801FC" wp14:editId="5DD78F90">
            <wp:extent cx="5943600" cy="3232785"/>
            <wp:effectExtent l="0" t="0" r="0" b="5715"/>
            <wp:docPr id="5999559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232785"/>
                    </a:xfrm>
                    <a:prstGeom prst="rect">
                      <a:avLst/>
                    </a:prstGeom>
                    <a:noFill/>
                    <a:ln>
                      <a:noFill/>
                    </a:ln>
                  </pic:spPr>
                </pic:pic>
              </a:graphicData>
            </a:graphic>
          </wp:inline>
        </w:drawing>
      </w:r>
    </w:p>
    <w:p w14:paraId="6FEBE286" w14:textId="199BF3BB" w:rsidR="00C20512" w:rsidRPr="00B504D6" w:rsidRDefault="00B504D6" w:rsidP="00125810">
      <w:pPr>
        <w:spacing w:line="480" w:lineRule="auto"/>
        <w:jc w:val="both"/>
        <w:rPr>
          <w:rFonts w:ascii="Times New Roman" w:hAnsi="Times New Roman" w:cs="Times New Roman"/>
          <w:b/>
          <w:bCs/>
        </w:rPr>
      </w:pPr>
      <w:r w:rsidRPr="00B504D6">
        <w:rPr>
          <w:rFonts w:ascii="Times New Roman" w:hAnsi="Times New Roman" w:cs="Times New Roman"/>
          <w:b/>
          <w:bCs/>
        </w:rPr>
        <w:t>Figure 1: Heavy Metal Residues In 12 Spices</w:t>
      </w:r>
      <w:r w:rsidR="008A2875">
        <w:rPr>
          <w:rFonts w:ascii="Times New Roman" w:hAnsi="Times New Roman" w:cs="Times New Roman"/>
          <w:b/>
          <w:bCs/>
        </w:rPr>
        <w:t xml:space="preserve"> </w:t>
      </w:r>
      <w:r>
        <w:rPr>
          <w:rFonts w:ascii="Times New Roman" w:hAnsi="Times New Roman" w:cs="Times New Roman"/>
          <w:b/>
          <w:bCs/>
        </w:rPr>
        <w:t xml:space="preserve">and Herbal Tea </w:t>
      </w:r>
      <w:r w:rsidRPr="00B504D6">
        <w:rPr>
          <w:rFonts w:ascii="Times New Roman" w:hAnsi="Times New Roman" w:cs="Times New Roman"/>
          <w:b/>
          <w:bCs/>
        </w:rPr>
        <w:t>from Abuja, Nigeria</w:t>
      </w:r>
      <w:r w:rsidR="00C20512" w:rsidRPr="00125810">
        <w:rPr>
          <w:rFonts w:ascii="Times New Roman" w:hAnsi="Times New Roman" w:cs="Times New Roman"/>
        </w:rPr>
        <w:br/>
        <w:t> </w:t>
      </w:r>
      <w:r w:rsidR="000A24A9" w:rsidRPr="00B504D6">
        <w:rPr>
          <w:rFonts w:ascii="Times New Roman" w:hAnsi="Times New Roman" w:cs="Times New Roman"/>
        </w:rPr>
        <w:t>Prevalence</w:t>
      </w:r>
      <w:r w:rsidR="00C20512" w:rsidRPr="00B504D6">
        <w:rPr>
          <w:rFonts w:ascii="Times New Roman" w:hAnsi="Times New Roman" w:cs="Times New Roman"/>
        </w:rPr>
        <w:t xml:space="preserve"> data indicate that </w:t>
      </w:r>
      <w:r w:rsidR="000A24A9" w:rsidRPr="00B504D6">
        <w:rPr>
          <w:rFonts w:ascii="Times New Roman" w:hAnsi="Times New Roman" w:cs="Times New Roman"/>
        </w:rPr>
        <w:t>Cd</w:t>
      </w:r>
      <w:r w:rsidR="00C20512" w:rsidRPr="00B504D6">
        <w:rPr>
          <w:rFonts w:ascii="Times New Roman" w:hAnsi="Times New Roman" w:cs="Times New Roman"/>
        </w:rPr>
        <w:t xml:space="preserve">, Mn, and Ni contamination is 100% in both spices and herbal teas, reflecting systemic environmental or processing-related sources. Cr exceedance was also widespread, affecting over 90% of samples, highlighting persistent contamination likely from soil or agrochemical inputs. In contrast, Cu and Co showed moderate exceedance rates, while Pb contamination was sporadic—absent in spices but critical in certain teas such as Moringa (77.0 </w:t>
      </w:r>
      <w:r w:rsidR="008A2875" w:rsidRPr="004A1EC2">
        <w:rPr>
          <w:rFonts w:ascii="Times New Roman" w:hAnsi="Times New Roman" w:cs="Times New Roman"/>
        </w:rPr>
        <w:t>75 mg kg⁻¹</w:t>
      </w:r>
      <w:r w:rsidR="00C20512" w:rsidRPr="00B504D6">
        <w:rPr>
          <w:rFonts w:ascii="Times New Roman" w:hAnsi="Times New Roman" w:cs="Times New Roman"/>
        </w:rPr>
        <w:t xml:space="preserve">) and Top tea (35.12 </w:t>
      </w:r>
      <w:r w:rsidR="008A2875" w:rsidRPr="004A1EC2">
        <w:rPr>
          <w:rFonts w:ascii="Times New Roman" w:hAnsi="Times New Roman" w:cs="Times New Roman"/>
        </w:rPr>
        <w:t>75 mg kg⁻¹</w:t>
      </w:r>
      <w:r w:rsidR="00C20512" w:rsidRPr="00B504D6">
        <w:rPr>
          <w:rFonts w:ascii="Times New Roman" w:hAnsi="Times New Roman" w:cs="Times New Roman"/>
        </w:rPr>
        <w:t xml:space="preserve">). These findings suggest that while some metals represent background contamination, others (notably Pb in teas) may stem from </w:t>
      </w:r>
      <w:proofErr w:type="spellStart"/>
      <w:r w:rsidR="00515108" w:rsidRPr="007C4203">
        <w:rPr>
          <w:rFonts w:ascii="Times New Roman" w:hAnsi="Times New Roman" w:cs="Times New Roman"/>
          <w:highlight w:val="yellow"/>
        </w:rPr>
        <w:t>localised</w:t>
      </w:r>
      <w:proofErr w:type="spellEnd"/>
      <w:r w:rsidR="00515108" w:rsidRPr="00B504D6">
        <w:rPr>
          <w:rFonts w:ascii="Times New Roman" w:hAnsi="Times New Roman" w:cs="Times New Roman"/>
        </w:rPr>
        <w:t xml:space="preserve"> </w:t>
      </w:r>
      <w:r w:rsidR="00C20512" w:rsidRPr="00B504D6">
        <w:rPr>
          <w:rFonts w:ascii="Times New Roman" w:hAnsi="Times New Roman" w:cs="Times New Roman"/>
        </w:rPr>
        <w:t xml:space="preserve">or product-specific </w:t>
      </w:r>
      <w:r w:rsidR="00C20512" w:rsidRPr="00B504D6">
        <w:rPr>
          <w:rFonts w:ascii="Times New Roman" w:hAnsi="Times New Roman" w:cs="Times New Roman"/>
        </w:rPr>
        <w:lastRenderedPageBreak/>
        <w:t>contamination events. The high prevalence across multiple metals underscores the potential for chronic exposure through daily consumption.</w:t>
      </w:r>
    </w:p>
    <w:p w14:paraId="00FD5F83" w14:textId="1AFE59A9" w:rsidR="00C20512" w:rsidRPr="00B504D6" w:rsidRDefault="00C20512" w:rsidP="00125810">
      <w:pPr>
        <w:spacing w:line="480" w:lineRule="auto"/>
        <w:jc w:val="both"/>
        <w:rPr>
          <w:rFonts w:ascii="Times New Roman" w:hAnsi="Times New Roman" w:cs="Times New Roman"/>
        </w:rPr>
      </w:pPr>
      <w:r w:rsidRPr="00B504D6">
        <w:rPr>
          <w:rFonts w:ascii="Times New Roman" w:hAnsi="Times New Roman" w:cs="Times New Roman"/>
        </w:rPr>
        <w:t xml:space="preserve">The 3D column chart displays the concentrations of heavy metals in spices </w:t>
      </w:r>
      <w:r w:rsidR="000A24A9" w:rsidRPr="00B504D6">
        <w:rPr>
          <w:rFonts w:ascii="Times New Roman" w:hAnsi="Times New Roman" w:cs="Times New Roman"/>
        </w:rPr>
        <w:t>relative</w:t>
      </w:r>
      <w:r w:rsidRPr="00B504D6">
        <w:rPr>
          <w:rFonts w:ascii="Times New Roman" w:hAnsi="Times New Roman" w:cs="Times New Roman"/>
        </w:rPr>
        <w:t xml:space="preserve"> </w:t>
      </w:r>
      <w:r w:rsidR="000A24A9" w:rsidRPr="00B504D6">
        <w:rPr>
          <w:rFonts w:ascii="Times New Roman" w:hAnsi="Times New Roman" w:cs="Times New Roman"/>
        </w:rPr>
        <w:t>to regulatory</w:t>
      </w:r>
      <w:r w:rsidRPr="00B504D6">
        <w:rPr>
          <w:rFonts w:ascii="Times New Roman" w:hAnsi="Times New Roman" w:cs="Times New Roman"/>
        </w:rPr>
        <w:t xml:space="preserve"> limits. According to Figure 1, the </w:t>
      </w:r>
      <w:r w:rsidR="000A24A9" w:rsidRPr="00B504D6">
        <w:rPr>
          <w:rFonts w:ascii="Times New Roman" w:hAnsi="Times New Roman" w:cs="Times New Roman"/>
        </w:rPr>
        <w:t>values</w:t>
      </w:r>
      <w:r w:rsidRPr="00B504D6">
        <w:rPr>
          <w:rFonts w:ascii="Times New Roman" w:hAnsi="Times New Roman" w:cs="Times New Roman"/>
        </w:rPr>
        <w:t xml:space="preserve"> recorded for manganese in turmeric, ginger, and black pepper powder were conspicuously higher than other heavy metals. Manganese shows the highest levels, particularly in ginger (598.75 </w:t>
      </w:r>
      <w:r w:rsidR="008A2875" w:rsidRPr="004A1EC2">
        <w:rPr>
          <w:rFonts w:ascii="Times New Roman" w:hAnsi="Times New Roman" w:cs="Times New Roman"/>
        </w:rPr>
        <w:t>75 mg kg⁻¹</w:t>
      </w:r>
      <w:r w:rsidRPr="00B504D6">
        <w:rPr>
          <w:rFonts w:ascii="Times New Roman" w:hAnsi="Times New Roman" w:cs="Times New Roman"/>
        </w:rPr>
        <w:t xml:space="preserve">) and turmeric (403.77 </w:t>
      </w:r>
      <w:r w:rsidR="008A2875" w:rsidRPr="004A1EC2">
        <w:rPr>
          <w:rFonts w:ascii="Times New Roman" w:hAnsi="Times New Roman" w:cs="Times New Roman"/>
        </w:rPr>
        <w:t>75 mg kg⁻¹</w:t>
      </w:r>
      <w:r w:rsidRPr="00B504D6">
        <w:rPr>
          <w:rFonts w:ascii="Times New Roman" w:hAnsi="Times New Roman" w:cs="Times New Roman"/>
        </w:rPr>
        <w:t xml:space="preserve">), far exceeding the 0.120 mg/kg limit and indicating potential neurotoxicity. Copper is also elevated in black pepper and nutmeg, surpassing the 20.00 </w:t>
      </w:r>
      <w:r w:rsidR="008A2875" w:rsidRPr="004A1EC2">
        <w:rPr>
          <w:rFonts w:ascii="Times New Roman" w:hAnsi="Times New Roman" w:cs="Times New Roman"/>
        </w:rPr>
        <w:t>75 mg kg⁻¹</w:t>
      </w:r>
      <w:r w:rsidRPr="00B504D6">
        <w:rPr>
          <w:rFonts w:ascii="Times New Roman" w:hAnsi="Times New Roman" w:cs="Times New Roman"/>
        </w:rPr>
        <w:t xml:space="preserve"> threshold. Chromium is highest in thyme and ginger, exceeding safe levels, while it is absent in black pepper. Cadmium and nickel levels exceed limits in nearly all spices, highlighting contamination concerns. Although lead remains within limits, its levels in yellow and black pepper approach the maximum allowable value.</w:t>
      </w:r>
    </w:p>
    <w:p w14:paraId="652F42DB" w14:textId="3C2839BC" w:rsidR="00C20512" w:rsidRPr="00B504D6" w:rsidRDefault="000A24A9" w:rsidP="00125810">
      <w:pPr>
        <w:spacing w:line="480" w:lineRule="auto"/>
        <w:jc w:val="both"/>
        <w:rPr>
          <w:rFonts w:ascii="Times New Roman" w:hAnsi="Times New Roman" w:cs="Times New Roman"/>
        </w:rPr>
      </w:pPr>
      <w:r w:rsidRPr="00B504D6">
        <w:rPr>
          <w:rFonts w:ascii="Times New Roman" w:hAnsi="Times New Roman" w:cs="Times New Roman"/>
        </w:rPr>
        <w:t>The</w:t>
      </w:r>
      <w:r w:rsidR="00C20512" w:rsidRPr="00B504D6">
        <w:rPr>
          <w:rFonts w:ascii="Times New Roman" w:hAnsi="Times New Roman" w:cs="Times New Roman"/>
        </w:rPr>
        <w:t xml:space="preserve"> </w:t>
      </w:r>
      <w:r w:rsidRPr="00B504D6">
        <w:rPr>
          <w:rFonts w:ascii="Times New Roman" w:hAnsi="Times New Roman" w:cs="Times New Roman"/>
        </w:rPr>
        <w:t>above</w:t>
      </w:r>
      <w:r w:rsidR="00C20512" w:rsidRPr="00B504D6">
        <w:rPr>
          <w:rFonts w:ascii="Times New Roman" w:hAnsi="Times New Roman" w:cs="Times New Roman"/>
        </w:rPr>
        <w:t xml:space="preserve"> </w:t>
      </w:r>
      <w:r w:rsidRPr="00B504D6">
        <w:rPr>
          <w:rFonts w:ascii="Times New Roman" w:hAnsi="Times New Roman" w:cs="Times New Roman"/>
        </w:rPr>
        <w:t>limit effectively</w:t>
      </w:r>
      <w:r w:rsidR="00C20512" w:rsidRPr="00B504D6">
        <w:rPr>
          <w:rFonts w:ascii="Times New Roman" w:hAnsi="Times New Roman" w:cs="Times New Roman"/>
        </w:rPr>
        <w:t xml:space="preserve"> </w:t>
      </w:r>
      <w:r w:rsidRPr="00B504D6">
        <w:rPr>
          <w:rFonts w:ascii="Times New Roman" w:hAnsi="Times New Roman" w:cs="Times New Roman"/>
        </w:rPr>
        <w:t>highlights</w:t>
      </w:r>
      <w:r w:rsidR="00C20512" w:rsidRPr="00B504D6">
        <w:rPr>
          <w:rFonts w:ascii="Times New Roman" w:hAnsi="Times New Roman" w:cs="Times New Roman"/>
        </w:rPr>
        <w:t xml:space="preserve"> extensive contamination in spices and herbal teas sold in Nigerian markets. The results call for urgent attention to food safety enforcement, improved agricultural practices, stringent regulatory monitoring, and robust quality control protocols during production and post-harvest handling. Failure to address these issues may result in chronic exposure to toxic metals, with significant implications for public health.</w:t>
      </w:r>
    </w:p>
    <w:bookmarkEnd w:id="3"/>
    <w:p w14:paraId="760AE5EE" w14:textId="3442E2FE" w:rsidR="00C20512" w:rsidRDefault="00C20512" w:rsidP="00125810">
      <w:pPr>
        <w:spacing w:line="480" w:lineRule="auto"/>
        <w:jc w:val="both"/>
        <w:rPr>
          <w:rFonts w:ascii="Times New Roman" w:hAnsi="Times New Roman" w:cs="Times New Roman"/>
        </w:rPr>
      </w:pPr>
      <w:r w:rsidRPr="00B504D6">
        <w:rPr>
          <w:rFonts w:ascii="Times New Roman" w:hAnsi="Times New Roman" w:cs="Times New Roman"/>
        </w:rPr>
        <w:t>Contamination of spices and herbal teas with heavy metals reveals concentrations that exceed safe limits by substantial margins. This highlights the potential risks associated with the consumption of products and underscores the need for stricter monitoring and control measures in the agricultural and food processing sectors. The findings from this study contrast with other global studies, suggesting that local contamination levels may be higher due to factors such as soil quality, pesticide use, and environmental pollution.</w:t>
      </w:r>
    </w:p>
    <w:p w14:paraId="1B23D1DA" w14:textId="6A3F5E1D" w:rsidR="00C20512" w:rsidRPr="00125810" w:rsidRDefault="00C20512" w:rsidP="00125810">
      <w:pPr>
        <w:spacing w:line="480" w:lineRule="auto"/>
        <w:jc w:val="both"/>
        <w:rPr>
          <w:rFonts w:ascii="Times New Roman" w:hAnsi="Times New Roman" w:cs="Times New Roman"/>
        </w:rPr>
      </w:pPr>
      <w:r w:rsidRPr="00125810">
        <w:rPr>
          <w:rFonts w:ascii="Times New Roman" w:hAnsi="Times New Roman" w:cs="Times New Roman"/>
          <w:b/>
          <w:bCs/>
        </w:rPr>
        <w:lastRenderedPageBreak/>
        <w:t xml:space="preserve">     Table </w:t>
      </w:r>
      <w:r w:rsidR="000C10E6">
        <w:rPr>
          <w:rFonts w:ascii="Times New Roman" w:hAnsi="Times New Roman" w:cs="Times New Roman"/>
          <w:b/>
          <w:bCs/>
        </w:rPr>
        <w:t>7</w:t>
      </w:r>
      <w:r w:rsidRPr="00125810">
        <w:rPr>
          <w:rFonts w:ascii="Times New Roman" w:hAnsi="Times New Roman" w:cs="Times New Roman"/>
          <w:b/>
          <w:bCs/>
        </w:rPr>
        <w:t>: Estimated Daily Intake, Acceptable Daily Intake, and Health Risk Index of Mean Concentrations of Heavy Metals in Spices sold in Abuja, Nigeria </w:t>
      </w:r>
    </w:p>
    <w:tbl>
      <w:tblPr>
        <w:tblW w:w="91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1356"/>
        <w:gridCol w:w="1116"/>
        <w:gridCol w:w="1116"/>
        <w:gridCol w:w="1116"/>
        <w:gridCol w:w="1116"/>
        <w:gridCol w:w="1116"/>
        <w:gridCol w:w="1116"/>
      </w:tblGrid>
      <w:tr w:rsidR="00C20512" w:rsidRPr="00125810" w14:paraId="6961E467" w14:textId="77777777">
        <w:trPr>
          <w:trHeight w:val="300"/>
        </w:trPr>
        <w:tc>
          <w:tcPr>
            <w:tcW w:w="1584" w:type="dxa"/>
            <w:tcBorders>
              <w:top w:val="single" w:sz="4" w:space="0" w:color="auto"/>
              <w:left w:val="single" w:sz="4" w:space="0" w:color="auto"/>
              <w:bottom w:val="single" w:sz="4" w:space="0" w:color="auto"/>
              <w:right w:val="single" w:sz="4" w:space="0" w:color="auto"/>
            </w:tcBorders>
            <w:vAlign w:val="center"/>
            <w:hideMark/>
          </w:tcPr>
          <w:p w14:paraId="48364B5F" w14:textId="77777777" w:rsidR="00C20512" w:rsidRPr="00125810" w:rsidRDefault="00C20512" w:rsidP="002A3CB3">
            <w:pPr>
              <w:pStyle w:val="NoSpacing"/>
            </w:pPr>
            <w:bookmarkStart w:id="5" w:name="_Hlk212088959"/>
            <w:r w:rsidRPr="00125810">
              <w:t> Heavy Metal </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65F657AC" w14:textId="77777777" w:rsidR="00C20512" w:rsidRPr="00125810" w:rsidRDefault="00C20512" w:rsidP="002A3CB3">
            <w:pPr>
              <w:pStyle w:val="NoSpacing"/>
            </w:pPr>
            <w:r w:rsidRPr="00125810">
              <w:rPr>
                <w:b/>
                <w:bCs/>
              </w:rPr>
              <w:t>Cd</w:t>
            </w:r>
          </w:p>
        </w:tc>
        <w:tc>
          <w:tcPr>
            <w:tcW w:w="1053" w:type="dxa"/>
            <w:tcBorders>
              <w:top w:val="single" w:sz="4" w:space="0" w:color="auto"/>
              <w:left w:val="single" w:sz="4" w:space="0" w:color="auto"/>
              <w:bottom w:val="single" w:sz="4" w:space="0" w:color="auto"/>
              <w:right w:val="single" w:sz="4" w:space="0" w:color="auto"/>
            </w:tcBorders>
            <w:noWrap/>
            <w:vAlign w:val="center"/>
            <w:hideMark/>
          </w:tcPr>
          <w:p w14:paraId="368E4B5C" w14:textId="77777777" w:rsidR="00C20512" w:rsidRPr="00125810" w:rsidRDefault="00C20512" w:rsidP="002A3CB3">
            <w:pPr>
              <w:pStyle w:val="NoSpacing"/>
            </w:pPr>
            <w:r w:rsidRPr="00125810">
              <w:rPr>
                <w:b/>
                <w:bCs/>
              </w:rPr>
              <w:t>Co</w:t>
            </w:r>
          </w:p>
        </w:tc>
        <w:tc>
          <w:tcPr>
            <w:tcW w:w="1053" w:type="dxa"/>
            <w:tcBorders>
              <w:top w:val="single" w:sz="4" w:space="0" w:color="auto"/>
              <w:left w:val="single" w:sz="4" w:space="0" w:color="auto"/>
              <w:bottom w:val="single" w:sz="4" w:space="0" w:color="auto"/>
              <w:right w:val="single" w:sz="4" w:space="0" w:color="auto"/>
            </w:tcBorders>
            <w:noWrap/>
            <w:vAlign w:val="center"/>
            <w:hideMark/>
          </w:tcPr>
          <w:p w14:paraId="0BEDD527" w14:textId="77777777" w:rsidR="00C20512" w:rsidRPr="00125810" w:rsidRDefault="00C20512" w:rsidP="002A3CB3">
            <w:pPr>
              <w:pStyle w:val="NoSpacing"/>
            </w:pPr>
            <w:r w:rsidRPr="00125810">
              <w:rPr>
                <w:b/>
                <w:bCs/>
              </w:rPr>
              <w:t>Cr</w:t>
            </w:r>
          </w:p>
        </w:tc>
        <w:tc>
          <w:tcPr>
            <w:tcW w:w="1053" w:type="dxa"/>
            <w:tcBorders>
              <w:top w:val="single" w:sz="4" w:space="0" w:color="auto"/>
              <w:left w:val="single" w:sz="4" w:space="0" w:color="auto"/>
              <w:bottom w:val="single" w:sz="4" w:space="0" w:color="auto"/>
              <w:right w:val="single" w:sz="4" w:space="0" w:color="auto"/>
            </w:tcBorders>
            <w:noWrap/>
            <w:vAlign w:val="center"/>
            <w:hideMark/>
          </w:tcPr>
          <w:p w14:paraId="3E16ECA5" w14:textId="77777777" w:rsidR="00C20512" w:rsidRPr="00125810" w:rsidRDefault="00C20512" w:rsidP="002A3CB3">
            <w:pPr>
              <w:pStyle w:val="NoSpacing"/>
            </w:pPr>
            <w:r w:rsidRPr="00125810">
              <w:rPr>
                <w:b/>
                <w:bCs/>
              </w:rPr>
              <w:t>Cu</w:t>
            </w:r>
          </w:p>
        </w:tc>
        <w:tc>
          <w:tcPr>
            <w:tcW w:w="1053" w:type="dxa"/>
            <w:tcBorders>
              <w:top w:val="single" w:sz="4" w:space="0" w:color="auto"/>
              <w:left w:val="single" w:sz="4" w:space="0" w:color="auto"/>
              <w:bottom w:val="single" w:sz="4" w:space="0" w:color="auto"/>
              <w:right w:val="single" w:sz="4" w:space="0" w:color="auto"/>
            </w:tcBorders>
            <w:noWrap/>
            <w:vAlign w:val="center"/>
            <w:hideMark/>
          </w:tcPr>
          <w:p w14:paraId="1081479E" w14:textId="77777777" w:rsidR="00C20512" w:rsidRPr="00125810" w:rsidRDefault="00C20512" w:rsidP="002A3CB3">
            <w:pPr>
              <w:pStyle w:val="NoSpacing"/>
            </w:pPr>
            <w:r w:rsidRPr="00125810">
              <w:rPr>
                <w:b/>
                <w:bCs/>
              </w:rPr>
              <w:t>Mn</w:t>
            </w:r>
          </w:p>
        </w:tc>
        <w:tc>
          <w:tcPr>
            <w:tcW w:w="1053" w:type="dxa"/>
            <w:tcBorders>
              <w:top w:val="single" w:sz="4" w:space="0" w:color="auto"/>
              <w:left w:val="single" w:sz="4" w:space="0" w:color="auto"/>
              <w:bottom w:val="single" w:sz="4" w:space="0" w:color="auto"/>
              <w:right w:val="single" w:sz="4" w:space="0" w:color="auto"/>
            </w:tcBorders>
            <w:noWrap/>
            <w:vAlign w:val="center"/>
            <w:hideMark/>
          </w:tcPr>
          <w:p w14:paraId="4AA52B6D" w14:textId="77777777" w:rsidR="00C20512" w:rsidRPr="00125810" w:rsidRDefault="00C20512" w:rsidP="002A3CB3">
            <w:pPr>
              <w:pStyle w:val="NoSpacing"/>
            </w:pPr>
            <w:r w:rsidRPr="00125810">
              <w:rPr>
                <w:b/>
                <w:bCs/>
              </w:rPr>
              <w:t>Ni</w:t>
            </w:r>
          </w:p>
        </w:tc>
        <w:tc>
          <w:tcPr>
            <w:tcW w:w="1053" w:type="dxa"/>
            <w:tcBorders>
              <w:top w:val="single" w:sz="4" w:space="0" w:color="auto"/>
              <w:left w:val="single" w:sz="4" w:space="0" w:color="auto"/>
              <w:bottom w:val="single" w:sz="4" w:space="0" w:color="auto"/>
              <w:right w:val="single" w:sz="4" w:space="0" w:color="auto"/>
            </w:tcBorders>
            <w:noWrap/>
            <w:vAlign w:val="center"/>
            <w:hideMark/>
          </w:tcPr>
          <w:p w14:paraId="3D7FC2D3" w14:textId="77777777" w:rsidR="00C20512" w:rsidRPr="00125810" w:rsidRDefault="00C20512" w:rsidP="002A3CB3">
            <w:pPr>
              <w:pStyle w:val="NoSpacing"/>
            </w:pPr>
            <w:r w:rsidRPr="00125810">
              <w:rPr>
                <w:b/>
                <w:bCs/>
              </w:rPr>
              <w:t>Pb</w:t>
            </w:r>
          </w:p>
        </w:tc>
      </w:tr>
      <w:tr w:rsidR="00C20512" w:rsidRPr="00125810" w14:paraId="250DF6C3" w14:textId="77777777">
        <w:trPr>
          <w:trHeight w:val="300"/>
        </w:trPr>
        <w:tc>
          <w:tcPr>
            <w:tcW w:w="1584" w:type="dxa"/>
            <w:tcBorders>
              <w:top w:val="single" w:sz="4" w:space="0" w:color="auto"/>
              <w:left w:val="single" w:sz="4" w:space="0" w:color="auto"/>
              <w:bottom w:val="single" w:sz="4" w:space="0" w:color="auto"/>
              <w:right w:val="single" w:sz="4" w:space="0" w:color="auto"/>
            </w:tcBorders>
            <w:vAlign w:val="center"/>
            <w:hideMark/>
          </w:tcPr>
          <w:p w14:paraId="6B8435C2" w14:textId="77777777" w:rsidR="00C20512" w:rsidRPr="00125810" w:rsidRDefault="00C20512" w:rsidP="002A3CB3">
            <w:pPr>
              <w:pStyle w:val="NoSpacing"/>
            </w:pPr>
            <w:bookmarkStart w:id="6" w:name="_Hlk212090654"/>
            <w:bookmarkEnd w:id="5"/>
            <w:r w:rsidRPr="00125810">
              <w:t>Avg</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A0F345C" w14:textId="77777777" w:rsidR="00C20512" w:rsidRPr="00125810" w:rsidRDefault="00C20512" w:rsidP="002A3CB3">
            <w:pPr>
              <w:pStyle w:val="NoSpacing"/>
            </w:pPr>
            <w:r w:rsidRPr="00125810">
              <w:t>0.654167</w:t>
            </w:r>
          </w:p>
        </w:tc>
        <w:tc>
          <w:tcPr>
            <w:tcW w:w="1053" w:type="dxa"/>
            <w:tcBorders>
              <w:top w:val="single" w:sz="4" w:space="0" w:color="auto"/>
              <w:left w:val="single" w:sz="4" w:space="0" w:color="auto"/>
              <w:bottom w:val="single" w:sz="4" w:space="0" w:color="auto"/>
              <w:right w:val="single" w:sz="4" w:space="0" w:color="auto"/>
            </w:tcBorders>
            <w:noWrap/>
            <w:vAlign w:val="center"/>
            <w:hideMark/>
          </w:tcPr>
          <w:p w14:paraId="44588204" w14:textId="77777777" w:rsidR="00C20512" w:rsidRPr="00125810" w:rsidRDefault="00C20512" w:rsidP="002A3CB3">
            <w:pPr>
              <w:pStyle w:val="NoSpacing"/>
            </w:pPr>
            <w:r w:rsidRPr="00125810">
              <w:t>0.18</w:t>
            </w:r>
          </w:p>
        </w:tc>
        <w:tc>
          <w:tcPr>
            <w:tcW w:w="1053" w:type="dxa"/>
            <w:tcBorders>
              <w:top w:val="single" w:sz="4" w:space="0" w:color="auto"/>
              <w:left w:val="single" w:sz="4" w:space="0" w:color="auto"/>
              <w:bottom w:val="single" w:sz="4" w:space="0" w:color="auto"/>
              <w:right w:val="single" w:sz="4" w:space="0" w:color="auto"/>
            </w:tcBorders>
            <w:noWrap/>
            <w:vAlign w:val="center"/>
            <w:hideMark/>
          </w:tcPr>
          <w:p w14:paraId="1280B011" w14:textId="77777777" w:rsidR="00C20512" w:rsidRPr="00125810" w:rsidRDefault="00C20512" w:rsidP="002A3CB3">
            <w:pPr>
              <w:pStyle w:val="NoSpacing"/>
            </w:pPr>
            <w:r w:rsidRPr="00125810">
              <w:t>7.86375</w:t>
            </w:r>
          </w:p>
        </w:tc>
        <w:tc>
          <w:tcPr>
            <w:tcW w:w="1053" w:type="dxa"/>
            <w:tcBorders>
              <w:top w:val="single" w:sz="4" w:space="0" w:color="auto"/>
              <w:left w:val="single" w:sz="4" w:space="0" w:color="auto"/>
              <w:bottom w:val="single" w:sz="4" w:space="0" w:color="auto"/>
              <w:right w:val="single" w:sz="4" w:space="0" w:color="auto"/>
            </w:tcBorders>
            <w:noWrap/>
            <w:vAlign w:val="center"/>
            <w:hideMark/>
          </w:tcPr>
          <w:p w14:paraId="6DEF4321" w14:textId="77777777" w:rsidR="00C20512" w:rsidRPr="00125810" w:rsidRDefault="00C20512" w:rsidP="002A3CB3">
            <w:pPr>
              <w:pStyle w:val="NoSpacing"/>
            </w:pPr>
            <w:r w:rsidRPr="00125810">
              <w:t>30.7975</w:t>
            </w:r>
          </w:p>
        </w:tc>
        <w:tc>
          <w:tcPr>
            <w:tcW w:w="1053" w:type="dxa"/>
            <w:tcBorders>
              <w:top w:val="single" w:sz="4" w:space="0" w:color="auto"/>
              <w:left w:val="single" w:sz="4" w:space="0" w:color="auto"/>
              <w:bottom w:val="single" w:sz="4" w:space="0" w:color="auto"/>
              <w:right w:val="single" w:sz="4" w:space="0" w:color="auto"/>
            </w:tcBorders>
            <w:noWrap/>
            <w:vAlign w:val="center"/>
            <w:hideMark/>
          </w:tcPr>
          <w:p w14:paraId="0EEF49B8" w14:textId="77777777" w:rsidR="00C20512" w:rsidRPr="00125810" w:rsidRDefault="00C20512" w:rsidP="002A3CB3">
            <w:pPr>
              <w:pStyle w:val="NoSpacing"/>
            </w:pPr>
            <w:r w:rsidRPr="00125810">
              <w:t>445.8583</w:t>
            </w:r>
          </w:p>
        </w:tc>
        <w:tc>
          <w:tcPr>
            <w:tcW w:w="1053" w:type="dxa"/>
            <w:tcBorders>
              <w:top w:val="single" w:sz="4" w:space="0" w:color="auto"/>
              <w:left w:val="single" w:sz="4" w:space="0" w:color="auto"/>
              <w:bottom w:val="single" w:sz="4" w:space="0" w:color="auto"/>
              <w:right w:val="single" w:sz="4" w:space="0" w:color="auto"/>
            </w:tcBorders>
            <w:noWrap/>
            <w:vAlign w:val="center"/>
            <w:hideMark/>
          </w:tcPr>
          <w:p w14:paraId="0CEBCDB8" w14:textId="77777777" w:rsidR="00C20512" w:rsidRPr="00125810" w:rsidRDefault="00C20512" w:rsidP="002A3CB3">
            <w:pPr>
              <w:pStyle w:val="NoSpacing"/>
            </w:pPr>
            <w:r w:rsidRPr="00125810">
              <w:t>5.590833</w:t>
            </w:r>
          </w:p>
        </w:tc>
        <w:tc>
          <w:tcPr>
            <w:tcW w:w="1053" w:type="dxa"/>
            <w:tcBorders>
              <w:top w:val="single" w:sz="4" w:space="0" w:color="auto"/>
              <w:left w:val="single" w:sz="4" w:space="0" w:color="auto"/>
              <w:bottom w:val="single" w:sz="4" w:space="0" w:color="auto"/>
              <w:right w:val="single" w:sz="4" w:space="0" w:color="auto"/>
            </w:tcBorders>
            <w:noWrap/>
            <w:vAlign w:val="center"/>
            <w:hideMark/>
          </w:tcPr>
          <w:p w14:paraId="4D3FD652" w14:textId="77777777" w:rsidR="00C20512" w:rsidRPr="00125810" w:rsidRDefault="00C20512" w:rsidP="002A3CB3">
            <w:pPr>
              <w:pStyle w:val="NoSpacing"/>
            </w:pPr>
            <w:r w:rsidRPr="00125810">
              <w:t>14.42333</w:t>
            </w:r>
          </w:p>
        </w:tc>
      </w:tr>
      <w:bookmarkEnd w:id="6"/>
      <w:tr w:rsidR="00C20512" w:rsidRPr="00125810" w14:paraId="47A7566E" w14:textId="77777777">
        <w:trPr>
          <w:trHeight w:val="300"/>
        </w:trPr>
        <w:tc>
          <w:tcPr>
            <w:tcW w:w="1584" w:type="dxa"/>
            <w:tcBorders>
              <w:top w:val="single" w:sz="4" w:space="0" w:color="auto"/>
              <w:left w:val="single" w:sz="4" w:space="0" w:color="auto"/>
              <w:bottom w:val="single" w:sz="4" w:space="0" w:color="auto"/>
              <w:right w:val="single" w:sz="4" w:space="0" w:color="auto"/>
            </w:tcBorders>
            <w:vAlign w:val="center"/>
            <w:hideMark/>
          </w:tcPr>
          <w:p w14:paraId="23C04AB1" w14:textId="77777777" w:rsidR="00C20512" w:rsidRPr="00125810" w:rsidRDefault="00C20512" w:rsidP="002A3CB3">
            <w:pPr>
              <w:pStyle w:val="NoSpacing"/>
            </w:pPr>
            <w:r w:rsidRPr="00125810">
              <w:t>Max</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2FE3674" w14:textId="77777777" w:rsidR="00C20512" w:rsidRPr="00125810" w:rsidRDefault="00C20512" w:rsidP="002A3CB3">
            <w:pPr>
              <w:pStyle w:val="NoSpacing"/>
            </w:pPr>
            <w:r w:rsidRPr="00125810">
              <w:t>1.45</w:t>
            </w:r>
          </w:p>
        </w:tc>
        <w:tc>
          <w:tcPr>
            <w:tcW w:w="1053" w:type="dxa"/>
            <w:tcBorders>
              <w:top w:val="single" w:sz="4" w:space="0" w:color="auto"/>
              <w:left w:val="single" w:sz="4" w:space="0" w:color="auto"/>
              <w:bottom w:val="single" w:sz="4" w:space="0" w:color="auto"/>
              <w:right w:val="single" w:sz="4" w:space="0" w:color="auto"/>
            </w:tcBorders>
            <w:noWrap/>
            <w:vAlign w:val="center"/>
            <w:hideMark/>
          </w:tcPr>
          <w:p w14:paraId="0D7BC4EE" w14:textId="77777777" w:rsidR="00C20512" w:rsidRPr="00125810" w:rsidRDefault="00C20512" w:rsidP="002A3CB3">
            <w:pPr>
              <w:pStyle w:val="NoSpacing"/>
            </w:pPr>
            <w:r w:rsidRPr="00125810">
              <w:t>1.31</w:t>
            </w:r>
          </w:p>
        </w:tc>
        <w:tc>
          <w:tcPr>
            <w:tcW w:w="1053" w:type="dxa"/>
            <w:tcBorders>
              <w:top w:val="single" w:sz="4" w:space="0" w:color="auto"/>
              <w:left w:val="single" w:sz="4" w:space="0" w:color="auto"/>
              <w:bottom w:val="single" w:sz="4" w:space="0" w:color="auto"/>
              <w:right w:val="single" w:sz="4" w:space="0" w:color="auto"/>
            </w:tcBorders>
            <w:noWrap/>
            <w:vAlign w:val="center"/>
            <w:hideMark/>
          </w:tcPr>
          <w:p w14:paraId="603E8832" w14:textId="77777777" w:rsidR="00C20512" w:rsidRPr="00125810" w:rsidRDefault="00C20512" w:rsidP="002A3CB3">
            <w:pPr>
              <w:pStyle w:val="NoSpacing"/>
            </w:pPr>
            <w:r w:rsidRPr="00125810">
              <w:t>12.41</w:t>
            </w:r>
          </w:p>
        </w:tc>
        <w:tc>
          <w:tcPr>
            <w:tcW w:w="1053" w:type="dxa"/>
            <w:tcBorders>
              <w:top w:val="single" w:sz="4" w:space="0" w:color="auto"/>
              <w:left w:val="single" w:sz="4" w:space="0" w:color="auto"/>
              <w:bottom w:val="single" w:sz="4" w:space="0" w:color="auto"/>
              <w:right w:val="single" w:sz="4" w:space="0" w:color="auto"/>
            </w:tcBorders>
            <w:noWrap/>
            <w:vAlign w:val="center"/>
            <w:hideMark/>
          </w:tcPr>
          <w:p w14:paraId="59FBC6AC" w14:textId="77777777" w:rsidR="00C20512" w:rsidRPr="00125810" w:rsidRDefault="00C20512" w:rsidP="002A3CB3">
            <w:pPr>
              <w:pStyle w:val="NoSpacing"/>
            </w:pPr>
            <w:r w:rsidRPr="00125810">
              <w:t>66.97</w:t>
            </w:r>
          </w:p>
        </w:tc>
        <w:tc>
          <w:tcPr>
            <w:tcW w:w="1053" w:type="dxa"/>
            <w:tcBorders>
              <w:top w:val="single" w:sz="4" w:space="0" w:color="auto"/>
              <w:left w:val="single" w:sz="4" w:space="0" w:color="auto"/>
              <w:bottom w:val="single" w:sz="4" w:space="0" w:color="auto"/>
              <w:right w:val="single" w:sz="4" w:space="0" w:color="auto"/>
            </w:tcBorders>
            <w:noWrap/>
            <w:vAlign w:val="center"/>
            <w:hideMark/>
          </w:tcPr>
          <w:p w14:paraId="2B018C87" w14:textId="77777777" w:rsidR="00C20512" w:rsidRPr="00125810" w:rsidRDefault="00C20512" w:rsidP="002A3CB3">
            <w:pPr>
              <w:pStyle w:val="NoSpacing"/>
            </w:pPr>
            <w:r w:rsidRPr="00125810">
              <w:t>1660.79</w:t>
            </w:r>
          </w:p>
        </w:tc>
        <w:tc>
          <w:tcPr>
            <w:tcW w:w="1053" w:type="dxa"/>
            <w:tcBorders>
              <w:top w:val="single" w:sz="4" w:space="0" w:color="auto"/>
              <w:left w:val="single" w:sz="4" w:space="0" w:color="auto"/>
              <w:bottom w:val="single" w:sz="4" w:space="0" w:color="auto"/>
              <w:right w:val="single" w:sz="4" w:space="0" w:color="auto"/>
            </w:tcBorders>
            <w:noWrap/>
            <w:vAlign w:val="center"/>
            <w:hideMark/>
          </w:tcPr>
          <w:p w14:paraId="7578DAED" w14:textId="77777777" w:rsidR="00C20512" w:rsidRPr="00125810" w:rsidRDefault="00C20512" w:rsidP="002A3CB3">
            <w:pPr>
              <w:pStyle w:val="NoSpacing"/>
            </w:pPr>
            <w:r w:rsidRPr="00125810">
              <w:t>10.22</w:t>
            </w:r>
          </w:p>
        </w:tc>
        <w:tc>
          <w:tcPr>
            <w:tcW w:w="1053" w:type="dxa"/>
            <w:tcBorders>
              <w:top w:val="single" w:sz="4" w:space="0" w:color="auto"/>
              <w:left w:val="single" w:sz="4" w:space="0" w:color="auto"/>
              <w:bottom w:val="single" w:sz="4" w:space="0" w:color="auto"/>
              <w:right w:val="single" w:sz="4" w:space="0" w:color="auto"/>
            </w:tcBorders>
            <w:noWrap/>
            <w:vAlign w:val="center"/>
            <w:hideMark/>
          </w:tcPr>
          <w:p w14:paraId="3873A5AB" w14:textId="77777777" w:rsidR="00C20512" w:rsidRPr="00125810" w:rsidRDefault="00C20512" w:rsidP="002A3CB3">
            <w:pPr>
              <w:pStyle w:val="NoSpacing"/>
            </w:pPr>
            <w:r w:rsidRPr="00125810">
              <w:t>77</w:t>
            </w:r>
          </w:p>
        </w:tc>
      </w:tr>
      <w:tr w:rsidR="00C20512" w:rsidRPr="00125810" w14:paraId="434584D6" w14:textId="77777777">
        <w:trPr>
          <w:trHeight w:val="300"/>
        </w:trPr>
        <w:tc>
          <w:tcPr>
            <w:tcW w:w="1584" w:type="dxa"/>
            <w:tcBorders>
              <w:top w:val="single" w:sz="4" w:space="0" w:color="auto"/>
              <w:left w:val="single" w:sz="4" w:space="0" w:color="auto"/>
              <w:bottom w:val="single" w:sz="4" w:space="0" w:color="auto"/>
              <w:right w:val="single" w:sz="4" w:space="0" w:color="auto"/>
            </w:tcBorders>
            <w:vAlign w:val="center"/>
            <w:hideMark/>
          </w:tcPr>
          <w:p w14:paraId="79AB9479" w14:textId="77777777" w:rsidR="00C20512" w:rsidRPr="00125810" w:rsidRDefault="00C20512" w:rsidP="002A3CB3">
            <w:pPr>
              <w:pStyle w:val="NoSpacing"/>
            </w:pPr>
            <w:r w:rsidRPr="00125810">
              <w:t>Min</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66BCFFB" w14:textId="77777777" w:rsidR="00C20512" w:rsidRPr="00125810" w:rsidRDefault="00C20512" w:rsidP="002A3CB3">
            <w:pPr>
              <w:pStyle w:val="NoSpacing"/>
            </w:pPr>
            <w:r w:rsidRPr="00125810">
              <w:t>0.27</w:t>
            </w:r>
          </w:p>
        </w:tc>
        <w:tc>
          <w:tcPr>
            <w:tcW w:w="1053" w:type="dxa"/>
            <w:tcBorders>
              <w:top w:val="single" w:sz="4" w:space="0" w:color="auto"/>
              <w:left w:val="single" w:sz="4" w:space="0" w:color="auto"/>
              <w:bottom w:val="single" w:sz="4" w:space="0" w:color="auto"/>
              <w:right w:val="single" w:sz="4" w:space="0" w:color="auto"/>
            </w:tcBorders>
            <w:noWrap/>
            <w:vAlign w:val="center"/>
            <w:hideMark/>
          </w:tcPr>
          <w:p w14:paraId="3116AAEC" w14:textId="77777777" w:rsidR="00C20512" w:rsidRPr="00125810" w:rsidRDefault="00C20512" w:rsidP="002A3CB3">
            <w:pPr>
              <w:pStyle w:val="NoSpacing"/>
            </w:pPr>
            <w:r w:rsidRPr="00125810">
              <w:t>0</w:t>
            </w:r>
          </w:p>
        </w:tc>
        <w:tc>
          <w:tcPr>
            <w:tcW w:w="1053" w:type="dxa"/>
            <w:tcBorders>
              <w:top w:val="single" w:sz="4" w:space="0" w:color="auto"/>
              <w:left w:val="single" w:sz="4" w:space="0" w:color="auto"/>
              <w:bottom w:val="single" w:sz="4" w:space="0" w:color="auto"/>
              <w:right w:val="single" w:sz="4" w:space="0" w:color="auto"/>
            </w:tcBorders>
            <w:noWrap/>
            <w:vAlign w:val="center"/>
            <w:hideMark/>
          </w:tcPr>
          <w:p w14:paraId="4DA7F84D" w14:textId="77777777" w:rsidR="00C20512" w:rsidRPr="00125810" w:rsidRDefault="00C20512" w:rsidP="002A3CB3">
            <w:pPr>
              <w:pStyle w:val="NoSpacing"/>
            </w:pPr>
            <w:r w:rsidRPr="00125810">
              <w:t>0</w:t>
            </w:r>
          </w:p>
        </w:tc>
        <w:tc>
          <w:tcPr>
            <w:tcW w:w="1053" w:type="dxa"/>
            <w:tcBorders>
              <w:top w:val="single" w:sz="4" w:space="0" w:color="auto"/>
              <w:left w:val="single" w:sz="4" w:space="0" w:color="auto"/>
              <w:bottom w:val="single" w:sz="4" w:space="0" w:color="auto"/>
              <w:right w:val="single" w:sz="4" w:space="0" w:color="auto"/>
            </w:tcBorders>
            <w:noWrap/>
            <w:vAlign w:val="center"/>
            <w:hideMark/>
          </w:tcPr>
          <w:p w14:paraId="3FED7046" w14:textId="77777777" w:rsidR="00C20512" w:rsidRPr="00125810" w:rsidRDefault="00C20512" w:rsidP="002A3CB3">
            <w:pPr>
              <w:pStyle w:val="NoSpacing"/>
            </w:pPr>
            <w:r w:rsidRPr="00125810">
              <w:t>11.73</w:t>
            </w:r>
          </w:p>
        </w:tc>
        <w:tc>
          <w:tcPr>
            <w:tcW w:w="1053" w:type="dxa"/>
            <w:tcBorders>
              <w:top w:val="single" w:sz="4" w:space="0" w:color="auto"/>
              <w:left w:val="single" w:sz="4" w:space="0" w:color="auto"/>
              <w:bottom w:val="single" w:sz="4" w:space="0" w:color="auto"/>
              <w:right w:val="single" w:sz="4" w:space="0" w:color="auto"/>
            </w:tcBorders>
            <w:noWrap/>
            <w:vAlign w:val="center"/>
            <w:hideMark/>
          </w:tcPr>
          <w:p w14:paraId="12F90027" w14:textId="77777777" w:rsidR="00C20512" w:rsidRPr="00125810" w:rsidRDefault="00C20512" w:rsidP="002A3CB3">
            <w:pPr>
              <w:pStyle w:val="NoSpacing"/>
            </w:pPr>
            <w:r w:rsidRPr="00125810">
              <w:t>31.19</w:t>
            </w:r>
          </w:p>
        </w:tc>
        <w:tc>
          <w:tcPr>
            <w:tcW w:w="1053" w:type="dxa"/>
            <w:tcBorders>
              <w:top w:val="single" w:sz="4" w:space="0" w:color="auto"/>
              <w:left w:val="single" w:sz="4" w:space="0" w:color="auto"/>
              <w:bottom w:val="single" w:sz="4" w:space="0" w:color="auto"/>
              <w:right w:val="single" w:sz="4" w:space="0" w:color="auto"/>
            </w:tcBorders>
            <w:noWrap/>
            <w:vAlign w:val="center"/>
            <w:hideMark/>
          </w:tcPr>
          <w:p w14:paraId="7587A005" w14:textId="77777777" w:rsidR="00C20512" w:rsidRPr="00125810" w:rsidRDefault="00C20512" w:rsidP="002A3CB3">
            <w:pPr>
              <w:pStyle w:val="NoSpacing"/>
            </w:pPr>
            <w:r w:rsidRPr="00125810">
              <w:t>2.94</w:t>
            </w:r>
          </w:p>
        </w:tc>
        <w:tc>
          <w:tcPr>
            <w:tcW w:w="1053" w:type="dxa"/>
            <w:tcBorders>
              <w:top w:val="single" w:sz="4" w:space="0" w:color="auto"/>
              <w:left w:val="single" w:sz="4" w:space="0" w:color="auto"/>
              <w:bottom w:val="single" w:sz="4" w:space="0" w:color="auto"/>
              <w:right w:val="single" w:sz="4" w:space="0" w:color="auto"/>
            </w:tcBorders>
            <w:noWrap/>
            <w:vAlign w:val="center"/>
            <w:hideMark/>
          </w:tcPr>
          <w:p w14:paraId="6F12E76F" w14:textId="77777777" w:rsidR="00C20512" w:rsidRPr="00125810" w:rsidRDefault="00C20512" w:rsidP="002A3CB3">
            <w:pPr>
              <w:pStyle w:val="NoSpacing"/>
            </w:pPr>
            <w:r w:rsidRPr="00125810">
              <w:t>0</w:t>
            </w:r>
          </w:p>
        </w:tc>
      </w:tr>
      <w:tr w:rsidR="00C20512" w:rsidRPr="00125810" w14:paraId="74EDD63E" w14:textId="77777777">
        <w:trPr>
          <w:trHeight w:val="300"/>
        </w:trPr>
        <w:tc>
          <w:tcPr>
            <w:tcW w:w="1584" w:type="dxa"/>
            <w:tcBorders>
              <w:top w:val="single" w:sz="4" w:space="0" w:color="auto"/>
              <w:left w:val="single" w:sz="4" w:space="0" w:color="auto"/>
              <w:bottom w:val="single" w:sz="4" w:space="0" w:color="auto"/>
              <w:right w:val="single" w:sz="4" w:space="0" w:color="auto"/>
            </w:tcBorders>
            <w:vAlign w:val="center"/>
            <w:hideMark/>
          </w:tcPr>
          <w:p w14:paraId="5D05D4CA" w14:textId="77777777" w:rsidR="00C20512" w:rsidRPr="00125810" w:rsidRDefault="00C20512" w:rsidP="002A3CB3">
            <w:pPr>
              <w:pStyle w:val="NoSpacing"/>
            </w:pPr>
            <w:r w:rsidRPr="00125810">
              <w:t>Sum</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3C13B6C" w14:textId="77777777" w:rsidR="00C20512" w:rsidRPr="00125810" w:rsidRDefault="00C20512" w:rsidP="002A3CB3">
            <w:pPr>
              <w:pStyle w:val="NoSpacing"/>
            </w:pPr>
            <w:r w:rsidRPr="00125810">
              <w:t>7.85</w:t>
            </w:r>
          </w:p>
        </w:tc>
        <w:tc>
          <w:tcPr>
            <w:tcW w:w="1053" w:type="dxa"/>
            <w:tcBorders>
              <w:top w:val="single" w:sz="4" w:space="0" w:color="auto"/>
              <w:left w:val="single" w:sz="4" w:space="0" w:color="auto"/>
              <w:bottom w:val="single" w:sz="4" w:space="0" w:color="auto"/>
              <w:right w:val="single" w:sz="4" w:space="0" w:color="auto"/>
            </w:tcBorders>
            <w:noWrap/>
            <w:vAlign w:val="center"/>
            <w:hideMark/>
          </w:tcPr>
          <w:p w14:paraId="6711899B" w14:textId="77777777" w:rsidR="00C20512" w:rsidRPr="00125810" w:rsidRDefault="00C20512" w:rsidP="002A3CB3">
            <w:pPr>
              <w:pStyle w:val="NoSpacing"/>
            </w:pPr>
            <w:r w:rsidRPr="00125810">
              <w:t>3.65</w:t>
            </w:r>
          </w:p>
        </w:tc>
        <w:tc>
          <w:tcPr>
            <w:tcW w:w="1053" w:type="dxa"/>
            <w:tcBorders>
              <w:top w:val="single" w:sz="4" w:space="0" w:color="auto"/>
              <w:left w:val="single" w:sz="4" w:space="0" w:color="auto"/>
              <w:bottom w:val="single" w:sz="4" w:space="0" w:color="auto"/>
              <w:right w:val="single" w:sz="4" w:space="0" w:color="auto"/>
            </w:tcBorders>
            <w:noWrap/>
            <w:vAlign w:val="center"/>
            <w:hideMark/>
          </w:tcPr>
          <w:p w14:paraId="26D8E450" w14:textId="77777777" w:rsidR="00C20512" w:rsidRPr="00125810" w:rsidRDefault="00C20512" w:rsidP="002A3CB3">
            <w:pPr>
              <w:pStyle w:val="NoSpacing"/>
            </w:pPr>
            <w:r w:rsidRPr="00125810">
              <w:t>83.18375</w:t>
            </w:r>
          </w:p>
        </w:tc>
        <w:tc>
          <w:tcPr>
            <w:tcW w:w="1053" w:type="dxa"/>
            <w:tcBorders>
              <w:top w:val="single" w:sz="4" w:space="0" w:color="auto"/>
              <w:left w:val="single" w:sz="4" w:space="0" w:color="auto"/>
              <w:bottom w:val="single" w:sz="4" w:space="0" w:color="auto"/>
              <w:right w:val="single" w:sz="4" w:space="0" w:color="auto"/>
            </w:tcBorders>
            <w:noWrap/>
            <w:vAlign w:val="center"/>
            <w:hideMark/>
          </w:tcPr>
          <w:p w14:paraId="69BBA534" w14:textId="77777777" w:rsidR="00C20512" w:rsidRPr="00125810" w:rsidRDefault="00C20512" w:rsidP="002A3CB3">
            <w:pPr>
              <w:pStyle w:val="NoSpacing"/>
            </w:pPr>
            <w:r w:rsidRPr="00125810">
              <w:t>479.0675</w:t>
            </w:r>
          </w:p>
        </w:tc>
        <w:tc>
          <w:tcPr>
            <w:tcW w:w="1053" w:type="dxa"/>
            <w:tcBorders>
              <w:top w:val="single" w:sz="4" w:space="0" w:color="auto"/>
              <w:left w:val="single" w:sz="4" w:space="0" w:color="auto"/>
              <w:bottom w:val="single" w:sz="4" w:space="0" w:color="auto"/>
              <w:right w:val="single" w:sz="4" w:space="0" w:color="auto"/>
            </w:tcBorders>
            <w:noWrap/>
            <w:vAlign w:val="center"/>
            <w:hideMark/>
          </w:tcPr>
          <w:p w14:paraId="5EBDBB6B" w14:textId="77777777" w:rsidR="00C20512" w:rsidRPr="00125810" w:rsidRDefault="00C20512" w:rsidP="002A3CB3">
            <w:pPr>
              <w:pStyle w:val="NoSpacing"/>
            </w:pPr>
            <w:r w:rsidRPr="00125810">
              <w:t>7488.138</w:t>
            </w:r>
          </w:p>
        </w:tc>
        <w:tc>
          <w:tcPr>
            <w:tcW w:w="1053" w:type="dxa"/>
            <w:tcBorders>
              <w:top w:val="single" w:sz="4" w:space="0" w:color="auto"/>
              <w:left w:val="single" w:sz="4" w:space="0" w:color="auto"/>
              <w:bottom w:val="single" w:sz="4" w:space="0" w:color="auto"/>
              <w:right w:val="single" w:sz="4" w:space="0" w:color="auto"/>
            </w:tcBorders>
            <w:noWrap/>
            <w:vAlign w:val="center"/>
            <w:hideMark/>
          </w:tcPr>
          <w:p w14:paraId="2FCBD78E" w14:textId="77777777" w:rsidR="00C20512" w:rsidRPr="00125810" w:rsidRDefault="00C20512" w:rsidP="002A3CB3">
            <w:pPr>
              <w:pStyle w:val="NoSpacing"/>
            </w:pPr>
            <w:r w:rsidRPr="00125810">
              <w:t>85.84083</w:t>
            </w:r>
          </w:p>
        </w:tc>
        <w:tc>
          <w:tcPr>
            <w:tcW w:w="1053" w:type="dxa"/>
            <w:tcBorders>
              <w:top w:val="single" w:sz="4" w:space="0" w:color="auto"/>
              <w:left w:val="single" w:sz="4" w:space="0" w:color="auto"/>
              <w:bottom w:val="single" w:sz="4" w:space="0" w:color="auto"/>
              <w:right w:val="single" w:sz="4" w:space="0" w:color="auto"/>
            </w:tcBorders>
            <w:noWrap/>
            <w:vAlign w:val="center"/>
            <w:hideMark/>
          </w:tcPr>
          <w:p w14:paraId="3A193AB4" w14:textId="77777777" w:rsidR="00C20512" w:rsidRPr="00125810" w:rsidRDefault="00C20512" w:rsidP="002A3CB3">
            <w:pPr>
              <w:pStyle w:val="NoSpacing"/>
            </w:pPr>
            <w:r w:rsidRPr="00125810">
              <w:t>264.5033</w:t>
            </w:r>
          </w:p>
        </w:tc>
      </w:tr>
      <w:tr w:rsidR="00C20512" w:rsidRPr="00125810" w14:paraId="0192E541" w14:textId="77777777">
        <w:trPr>
          <w:trHeight w:val="880"/>
        </w:trPr>
        <w:tc>
          <w:tcPr>
            <w:tcW w:w="1584" w:type="dxa"/>
            <w:tcBorders>
              <w:top w:val="single" w:sz="4" w:space="0" w:color="auto"/>
              <w:left w:val="single" w:sz="4" w:space="0" w:color="auto"/>
              <w:bottom w:val="single" w:sz="4" w:space="0" w:color="auto"/>
              <w:right w:val="single" w:sz="4" w:space="0" w:color="auto"/>
            </w:tcBorders>
            <w:vAlign w:val="center"/>
            <w:hideMark/>
          </w:tcPr>
          <w:p w14:paraId="6340F3F8" w14:textId="77777777" w:rsidR="00C20512" w:rsidRPr="00125810" w:rsidRDefault="00C20512" w:rsidP="002A3CB3">
            <w:pPr>
              <w:pStyle w:val="NoSpacing"/>
            </w:pPr>
            <w:r w:rsidRPr="00125810">
              <w:t>ADI (mg/60 day)</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DDC5D37" w14:textId="77777777" w:rsidR="00C20512" w:rsidRPr="00125810" w:rsidRDefault="00C20512" w:rsidP="002A3CB3">
            <w:pPr>
              <w:pStyle w:val="NoSpacing"/>
            </w:pPr>
            <w:r w:rsidRPr="00125810">
              <w:t>0.06</w:t>
            </w:r>
          </w:p>
        </w:tc>
        <w:tc>
          <w:tcPr>
            <w:tcW w:w="1053" w:type="dxa"/>
            <w:tcBorders>
              <w:top w:val="single" w:sz="4" w:space="0" w:color="auto"/>
              <w:left w:val="single" w:sz="4" w:space="0" w:color="auto"/>
              <w:bottom w:val="single" w:sz="4" w:space="0" w:color="auto"/>
              <w:right w:val="single" w:sz="4" w:space="0" w:color="auto"/>
            </w:tcBorders>
            <w:vAlign w:val="center"/>
            <w:hideMark/>
          </w:tcPr>
          <w:p w14:paraId="19F0E4F1" w14:textId="77777777" w:rsidR="00C20512" w:rsidRPr="00125810" w:rsidRDefault="00C20512" w:rsidP="002A3CB3">
            <w:pPr>
              <w:pStyle w:val="NoSpacing"/>
            </w:pPr>
            <w:r w:rsidRPr="00125810">
              <w:t>1.8</w:t>
            </w:r>
          </w:p>
        </w:tc>
        <w:tc>
          <w:tcPr>
            <w:tcW w:w="1053" w:type="dxa"/>
            <w:tcBorders>
              <w:top w:val="single" w:sz="4" w:space="0" w:color="auto"/>
              <w:left w:val="single" w:sz="4" w:space="0" w:color="auto"/>
              <w:bottom w:val="single" w:sz="4" w:space="0" w:color="auto"/>
              <w:right w:val="single" w:sz="4" w:space="0" w:color="auto"/>
            </w:tcBorders>
            <w:vAlign w:val="center"/>
            <w:hideMark/>
          </w:tcPr>
          <w:p w14:paraId="498BC2D9" w14:textId="77777777" w:rsidR="00C20512" w:rsidRPr="00125810" w:rsidRDefault="00C20512" w:rsidP="002A3CB3">
            <w:pPr>
              <w:pStyle w:val="NoSpacing"/>
            </w:pPr>
            <w:r w:rsidRPr="00125810">
              <w:t>18</w:t>
            </w:r>
          </w:p>
        </w:tc>
        <w:tc>
          <w:tcPr>
            <w:tcW w:w="1053" w:type="dxa"/>
            <w:tcBorders>
              <w:top w:val="single" w:sz="4" w:space="0" w:color="auto"/>
              <w:left w:val="single" w:sz="4" w:space="0" w:color="auto"/>
              <w:bottom w:val="single" w:sz="4" w:space="0" w:color="auto"/>
              <w:right w:val="single" w:sz="4" w:space="0" w:color="auto"/>
            </w:tcBorders>
            <w:vAlign w:val="center"/>
            <w:hideMark/>
          </w:tcPr>
          <w:p w14:paraId="11BEDBBF" w14:textId="77777777" w:rsidR="00C20512" w:rsidRPr="00125810" w:rsidRDefault="00C20512" w:rsidP="002A3CB3">
            <w:pPr>
              <w:pStyle w:val="NoSpacing"/>
            </w:pPr>
            <w:r w:rsidRPr="00125810">
              <w:t>4.2</w:t>
            </w:r>
          </w:p>
        </w:tc>
        <w:tc>
          <w:tcPr>
            <w:tcW w:w="1053" w:type="dxa"/>
            <w:tcBorders>
              <w:top w:val="single" w:sz="4" w:space="0" w:color="auto"/>
              <w:left w:val="single" w:sz="4" w:space="0" w:color="auto"/>
              <w:bottom w:val="single" w:sz="4" w:space="0" w:color="auto"/>
              <w:right w:val="single" w:sz="4" w:space="0" w:color="auto"/>
            </w:tcBorders>
            <w:vAlign w:val="center"/>
            <w:hideMark/>
          </w:tcPr>
          <w:p w14:paraId="6200EADA" w14:textId="77777777" w:rsidR="00C20512" w:rsidRPr="00125810" w:rsidRDefault="00C20512" w:rsidP="002A3CB3">
            <w:pPr>
              <w:pStyle w:val="NoSpacing"/>
            </w:pPr>
            <w:r w:rsidRPr="00125810">
              <w:t>0.66</w:t>
            </w:r>
          </w:p>
        </w:tc>
        <w:tc>
          <w:tcPr>
            <w:tcW w:w="1053" w:type="dxa"/>
            <w:tcBorders>
              <w:top w:val="single" w:sz="4" w:space="0" w:color="auto"/>
              <w:left w:val="single" w:sz="4" w:space="0" w:color="auto"/>
              <w:bottom w:val="single" w:sz="4" w:space="0" w:color="auto"/>
              <w:right w:val="single" w:sz="4" w:space="0" w:color="auto"/>
            </w:tcBorders>
            <w:vAlign w:val="center"/>
            <w:hideMark/>
          </w:tcPr>
          <w:p w14:paraId="583E9D70" w14:textId="77777777" w:rsidR="00C20512" w:rsidRPr="00125810" w:rsidRDefault="00C20512" w:rsidP="002A3CB3">
            <w:pPr>
              <w:pStyle w:val="NoSpacing"/>
            </w:pPr>
            <w:r w:rsidRPr="00125810">
              <w:t>0.78</w:t>
            </w:r>
          </w:p>
        </w:tc>
        <w:tc>
          <w:tcPr>
            <w:tcW w:w="1053" w:type="dxa"/>
            <w:tcBorders>
              <w:top w:val="single" w:sz="4" w:space="0" w:color="auto"/>
              <w:left w:val="single" w:sz="4" w:space="0" w:color="auto"/>
              <w:bottom w:val="single" w:sz="4" w:space="0" w:color="auto"/>
              <w:right w:val="single" w:sz="4" w:space="0" w:color="auto"/>
            </w:tcBorders>
            <w:vAlign w:val="center"/>
            <w:hideMark/>
          </w:tcPr>
          <w:p w14:paraId="752AAF45" w14:textId="77777777" w:rsidR="00C20512" w:rsidRPr="00125810" w:rsidRDefault="00C20512" w:rsidP="002A3CB3">
            <w:pPr>
              <w:pStyle w:val="NoSpacing"/>
            </w:pPr>
            <w:r w:rsidRPr="00125810">
              <w:t>0.216</w:t>
            </w:r>
          </w:p>
        </w:tc>
      </w:tr>
      <w:tr w:rsidR="00C20512" w:rsidRPr="00125810" w14:paraId="779FC44C" w14:textId="77777777">
        <w:trPr>
          <w:trHeight w:val="300"/>
        </w:trPr>
        <w:tc>
          <w:tcPr>
            <w:tcW w:w="1584" w:type="dxa"/>
            <w:tcBorders>
              <w:top w:val="single" w:sz="4" w:space="0" w:color="auto"/>
              <w:left w:val="single" w:sz="4" w:space="0" w:color="auto"/>
              <w:bottom w:val="single" w:sz="4" w:space="0" w:color="auto"/>
              <w:right w:val="single" w:sz="4" w:space="0" w:color="auto"/>
            </w:tcBorders>
            <w:vAlign w:val="center"/>
            <w:hideMark/>
          </w:tcPr>
          <w:p w14:paraId="7B719366" w14:textId="77777777" w:rsidR="00C20512" w:rsidRPr="00125810" w:rsidRDefault="00C20512" w:rsidP="002A3CB3">
            <w:pPr>
              <w:pStyle w:val="NoSpacing"/>
            </w:pPr>
            <w:r w:rsidRPr="00125810">
              <w:t>EDI</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F30B760" w14:textId="77777777" w:rsidR="00C20512" w:rsidRPr="00125810" w:rsidRDefault="00C20512" w:rsidP="002A3CB3">
            <w:pPr>
              <w:pStyle w:val="NoSpacing"/>
            </w:pPr>
            <w:r w:rsidRPr="00125810">
              <w:t>0.00010903</w:t>
            </w:r>
          </w:p>
        </w:tc>
        <w:tc>
          <w:tcPr>
            <w:tcW w:w="1053" w:type="dxa"/>
            <w:tcBorders>
              <w:top w:val="single" w:sz="4" w:space="0" w:color="auto"/>
              <w:left w:val="single" w:sz="4" w:space="0" w:color="auto"/>
              <w:bottom w:val="single" w:sz="4" w:space="0" w:color="auto"/>
              <w:right w:val="single" w:sz="4" w:space="0" w:color="auto"/>
            </w:tcBorders>
            <w:noWrap/>
            <w:vAlign w:val="center"/>
            <w:hideMark/>
          </w:tcPr>
          <w:p w14:paraId="1AF7C4E7" w14:textId="77777777" w:rsidR="00C20512" w:rsidRPr="00125810" w:rsidRDefault="00C20512" w:rsidP="002A3CB3">
            <w:pPr>
              <w:pStyle w:val="NoSpacing"/>
            </w:pPr>
            <w:r w:rsidRPr="00125810">
              <w:t>0.00003</w:t>
            </w:r>
          </w:p>
        </w:tc>
        <w:tc>
          <w:tcPr>
            <w:tcW w:w="1053" w:type="dxa"/>
            <w:tcBorders>
              <w:top w:val="single" w:sz="4" w:space="0" w:color="auto"/>
              <w:left w:val="single" w:sz="4" w:space="0" w:color="auto"/>
              <w:bottom w:val="single" w:sz="4" w:space="0" w:color="auto"/>
              <w:right w:val="single" w:sz="4" w:space="0" w:color="auto"/>
            </w:tcBorders>
            <w:noWrap/>
            <w:vAlign w:val="center"/>
            <w:hideMark/>
          </w:tcPr>
          <w:p w14:paraId="2E49A264" w14:textId="77777777" w:rsidR="00C20512" w:rsidRPr="00125810" w:rsidRDefault="00C20512" w:rsidP="002A3CB3">
            <w:pPr>
              <w:pStyle w:val="NoSpacing"/>
            </w:pPr>
            <w:r w:rsidRPr="00125810">
              <w:t>0.001311</w:t>
            </w:r>
          </w:p>
        </w:tc>
        <w:tc>
          <w:tcPr>
            <w:tcW w:w="1053" w:type="dxa"/>
            <w:tcBorders>
              <w:top w:val="single" w:sz="4" w:space="0" w:color="auto"/>
              <w:left w:val="single" w:sz="4" w:space="0" w:color="auto"/>
              <w:bottom w:val="single" w:sz="4" w:space="0" w:color="auto"/>
              <w:right w:val="single" w:sz="4" w:space="0" w:color="auto"/>
            </w:tcBorders>
            <w:noWrap/>
            <w:vAlign w:val="center"/>
            <w:hideMark/>
          </w:tcPr>
          <w:p w14:paraId="59E7B350" w14:textId="77777777" w:rsidR="00C20512" w:rsidRPr="00125810" w:rsidRDefault="00C20512" w:rsidP="002A3CB3">
            <w:pPr>
              <w:pStyle w:val="NoSpacing"/>
            </w:pPr>
            <w:r w:rsidRPr="00125810">
              <w:t>0.005133</w:t>
            </w:r>
          </w:p>
        </w:tc>
        <w:tc>
          <w:tcPr>
            <w:tcW w:w="1053" w:type="dxa"/>
            <w:tcBorders>
              <w:top w:val="single" w:sz="4" w:space="0" w:color="auto"/>
              <w:left w:val="single" w:sz="4" w:space="0" w:color="auto"/>
              <w:bottom w:val="single" w:sz="4" w:space="0" w:color="auto"/>
              <w:right w:val="single" w:sz="4" w:space="0" w:color="auto"/>
            </w:tcBorders>
            <w:noWrap/>
            <w:vAlign w:val="center"/>
            <w:hideMark/>
          </w:tcPr>
          <w:p w14:paraId="28D6EDDD" w14:textId="77777777" w:rsidR="00C20512" w:rsidRPr="00125810" w:rsidRDefault="00C20512" w:rsidP="002A3CB3">
            <w:pPr>
              <w:pStyle w:val="NoSpacing"/>
            </w:pPr>
            <w:r w:rsidRPr="00125810">
              <w:t>0.07431</w:t>
            </w:r>
          </w:p>
        </w:tc>
        <w:tc>
          <w:tcPr>
            <w:tcW w:w="1053" w:type="dxa"/>
            <w:tcBorders>
              <w:top w:val="single" w:sz="4" w:space="0" w:color="auto"/>
              <w:left w:val="single" w:sz="4" w:space="0" w:color="auto"/>
              <w:bottom w:val="single" w:sz="4" w:space="0" w:color="auto"/>
              <w:right w:val="single" w:sz="4" w:space="0" w:color="auto"/>
            </w:tcBorders>
            <w:noWrap/>
            <w:vAlign w:val="center"/>
            <w:hideMark/>
          </w:tcPr>
          <w:p w14:paraId="586FFD0B" w14:textId="77777777" w:rsidR="00C20512" w:rsidRPr="00125810" w:rsidRDefault="00C20512" w:rsidP="002A3CB3">
            <w:pPr>
              <w:pStyle w:val="NoSpacing"/>
            </w:pPr>
            <w:r w:rsidRPr="00125810">
              <w:t>0.000932</w:t>
            </w:r>
          </w:p>
        </w:tc>
        <w:tc>
          <w:tcPr>
            <w:tcW w:w="1053" w:type="dxa"/>
            <w:tcBorders>
              <w:top w:val="single" w:sz="4" w:space="0" w:color="auto"/>
              <w:left w:val="single" w:sz="4" w:space="0" w:color="auto"/>
              <w:bottom w:val="single" w:sz="4" w:space="0" w:color="auto"/>
              <w:right w:val="single" w:sz="4" w:space="0" w:color="auto"/>
            </w:tcBorders>
            <w:noWrap/>
            <w:vAlign w:val="center"/>
            <w:hideMark/>
          </w:tcPr>
          <w:p w14:paraId="5B4B6CF4" w14:textId="77777777" w:rsidR="00C20512" w:rsidRPr="00125810" w:rsidRDefault="00C20512" w:rsidP="002A3CB3">
            <w:pPr>
              <w:pStyle w:val="NoSpacing"/>
            </w:pPr>
            <w:r w:rsidRPr="00125810">
              <w:t>0.002404</w:t>
            </w:r>
          </w:p>
        </w:tc>
      </w:tr>
      <w:tr w:rsidR="00C20512" w:rsidRPr="00125810" w14:paraId="7CB39A10" w14:textId="77777777">
        <w:trPr>
          <w:trHeight w:val="300"/>
        </w:trPr>
        <w:tc>
          <w:tcPr>
            <w:tcW w:w="1584" w:type="dxa"/>
            <w:tcBorders>
              <w:top w:val="single" w:sz="4" w:space="0" w:color="auto"/>
              <w:left w:val="single" w:sz="4" w:space="0" w:color="auto"/>
              <w:bottom w:val="single" w:sz="4" w:space="0" w:color="auto"/>
              <w:right w:val="single" w:sz="4" w:space="0" w:color="auto"/>
            </w:tcBorders>
            <w:vAlign w:val="center"/>
            <w:hideMark/>
          </w:tcPr>
          <w:p w14:paraId="473A9AE2" w14:textId="77777777" w:rsidR="00C20512" w:rsidRPr="00125810" w:rsidRDefault="00C20512" w:rsidP="002A3CB3">
            <w:pPr>
              <w:pStyle w:val="NoSpacing"/>
            </w:pPr>
            <w:r w:rsidRPr="00125810">
              <w:t>HQ </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E54B2EF" w14:textId="77777777" w:rsidR="00C20512" w:rsidRPr="00125810" w:rsidRDefault="00C20512" w:rsidP="002A3CB3">
            <w:pPr>
              <w:pStyle w:val="NoSpacing"/>
            </w:pPr>
            <w:r w:rsidRPr="00125810">
              <w:t>0.18171306</w:t>
            </w:r>
          </w:p>
        </w:tc>
        <w:tc>
          <w:tcPr>
            <w:tcW w:w="1053" w:type="dxa"/>
            <w:tcBorders>
              <w:top w:val="single" w:sz="4" w:space="0" w:color="auto"/>
              <w:left w:val="single" w:sz="4" w:space="0" w:color="auto"/>
              <w:bottom w:val="single" w:sz="4" w:space="0" w:color="auto"/>
              <w:right w:val="single" w:sz="4" w:space="0" w:color="auto"/>
            </w:tcBorders>
            <w:noWrap/>
            <w:vAlign w:val="center"/>
            <w:hideMark/>
          </w:tcPr>
          <w:p w14:paraId="026144B5" w14:textId="77777777" w:rsidR="00C20512" w:rsidRPr="00125810" w:rsidRDefault="00C20512" w:rsidP="002A3CB3">
            <w:pPr>
              <w:pStyle w:val="NoSpacing"/>
            </w:pPr>
            <w:r w:rsidRPr="00125810">
              <w:t>0.001667</w:t>
            </w:r>
          </w:p>
        </w:tc>
        <w:tc>
          <w:tcPr>
            <w:tcW w:w="1053" w:type="dxa"/>
            <w:tcBorders>
              <w:top w:val="single" w:sz="4" w:space="0" w:color="auto"/>
              <w:left w:val="single" w:sz="4" w:space="0" w:color="auto"/>
              <w:bottom w:val="single" w:sz="4" w:space="0" w:color="auto"/>
              <w:right w:val="single" w:sz="4" w:space="0" w:color="auto"/>
            </w:tcBorders>
            <w:noWrap/>
            <w:vAlign w:val="center"/>
            <w:hideMark/>
          </w:tcPr>
          <w:p w14:paraId="68958AF9" w14:textId="77777777" w:rsidR="00C20512" w:rsidRPr="00125810" w:rsidRDefault="00C20512" w:rsidP="002A3CB3">
            <w:pPr>
              <w:pStyle w:val="NoSpacing"/>
            </w:pPr>
            <w:r w:rsidRPr="00125810">
              <w:t>0.007281</w:t>
            </w:r>
          </w:p>
        </w:tc>
        <w:tc>
          <w:tcPr>
            <w:tcW w:w="1053" w:type="dxa"/>
            <w:tcBorders>
              <w:top w:val="single" w:sz="4" w:space="0" w:color="auto"/>
              <w:left w:val="single" w:sz="4" w:space="0" w:color="auto"/>
              <w:bottom w:val="single" w:sz="4" w:space="0" w:color="auto"/>
              <w:right w:val="single" w:sz="4" w:space="0" w:color="auto"/>
            </w:tcBorders>
            <w:noWrap/>
            <w:vAlign w:val="center"/>
            <w:hideMark/>
          </w:tcPr>
          <w:p w14:paraId="4C016DA4" w14:textId="77777777" w:rsidR="00C20512" w:rsidRPr="00125810" w:rsidRDefault="00C20512" w:rsidP="002A3CB3">
            <w:pPr>
              <w:pStyle w:val="NoSpacing"/>
            </w:pPr>
            <w:r w:rsidRPr="00125810">
              <w:t>0.122212</w:t>
            </w:r>
          </w:p>
        </w:tc>
        <w:tc>
          <w:tcPr>
            <w:tcW w:w="1053" w:type="dxa"/>
            <w:tcBorders>
              <w:top w:val="single" w:sz="4" w:space="0" w:color="auto"/>
              <w:left w:val="single" w:sz="4" w:space="0" w:color="auto"/>
              <w:bottom w:val="single" w:sz="4" w:space="0" w:color="auto"/>
              <w:right w:val="single" w:sz="4" w:space="0" w:color="auto"/>
            </w:tcBorders>
            <w:noWrap/>
            <w:vAlign w:val="center"/>
            <w:hideMark/>
          </w:tcPr>
          <w:p w14:paraId="6DD80EBB" w14:textId="77777777" w:rsidR="00C20512" w:rsidRPr="00125810" w:rsidRDefault="00C20512" w:rsidP="002A3CB3">
            <w:pPr>
              <w:pStyle w:val="NoSpacing"/>
            </w:pPr>
            <w:r w:rsidRPr="00125810">
              <w:t>11.25905</w:t>
            </w:r>
          </w:p>
        </w:tc>
        <w:tc>
          <w:tcPr>
            <w:tcW w:w="1053" w:type="dxa"/>
            <w:tcBorders>
              <w:top w:val="single" w:sz="4" w:space="0" w:color="auto"/>
              <w:left w:val="single" w:sz="4" w:space="0" w:color="auto"/>
              <w:bottom w:val="single" w:sz="4" w:space="0" w:color="auto"/>
              <w:right w:val="single" w:sz="4" w:space="0" w:color="auto"/>
            </w:tcBorders>
            <w:noWrap/>
            <w:vAlign w:val="center"/>
            <w:hideMark/>
          </w:tcPr>
          <w:p w14:paraId="14BA1A31" w14:textId="77777777" w:rsidR="00C20512" w:rsidRPr="00125810" w:rsidRDefault="00C20512" w:rsidP="002A3CB3">
            <w:pPr>
              <w:pStyle w:val="NoSpacing"/>
            </w:pPr>
            <w:r w:rsidRPr="00125810">
              <w:t>0.119462</w:t>
            </w:r>
          </w:p>
        </w:tc>
        <w:tc>
          <w:tcPr>
            <w:tcW w:w="1053" w:type="dxa"/>
            <w:tcBorders>
              <w:top w:val="single" w:sz="4" w:space="0" w:color="auto"/>
              <w:left w:val="single" w:sz="4" w:space="0" w:color="auto"/>
              <w:bottom w:val="single" w:sz="4" w:space="0" w:color="auto"/>
              <w:right w:val="single" w:sz="4" w:space="0" w:color="auto"/>
            </w:tcBorders>
            <w:noWrap/>
            <w:vAlign w:val="center"/>
            <w:hideMark/>
          </w:tcPr>
          <w:p w14:paraId="428B7FD3" w14:textId="77777777" w:rsidR="00C20512" w:rsidRPr="00125810" w:rsidRDefault="00C20512" w:rsidP="002A3CB3">
            <w:pPr>
              <w:pStyle w:val="NoSpacing"/>
            </w:pPr>
            <w:r w:rsidRPr="00125810">
              <w:t>1.112911</w:t>
            </w:r>
          </w:p>
        </w:tc>
      </w:tr>
    </w:tbl>
    <w:p w14:paraId="112A64E8" w14:textId="77777777" w:rsidR="00C20512" w:rsidRPr="00125810" w:rsidRDefault="00C20512" w:rsidP="00125810">
      <w:pPr>
        <w:spacing w:line="480" w:lineRule="auto"/>
        <w:jc w:val="both"/>
        <w:rPr>
          <w:rFonts w:ascii="Times New Roman" w:hAnsi="Times New Roman" w:cs="Times New Roman"/>
        </w:rPr>
      </w:pPr>
      <w:r w:rsidRPr="00125810">
        <w:rPr>
          <w:rFonts w:ascii="Times New Roman" w:hAnsi="Times New Roman" w:cs="Times New Roman"/>
        </w:rPr>
        <w:t> </w:t>
      </w:r>
    </w:p>
    <w:p w14:paraId="5C402BFC" w14:textId="56B32C9A" w:rsidR="00C20512" w:rsidRPr="00125810" w:rsidRDefault="00C20512" w:rsidP="00125810">
      <w:pPr>
        <w:spacing w:line="480" w:lineRule="auto"/>
        <w:jc w:val="both"/>
        <w:rPr>
          <w:rFonts w:ascii="Times New Roman" w:hAnsi="Times New Roman" w:cs="Times New Roman"/>
        </w:rPr>
      </w:pPr>
      <w:r w:rsidRPr="00125810">
        <w:rPr>
          <w:rFonts w:ascii="Times New Roman" w:hAnsi="Times New Roman" w:cs="Times New Roman"/>
          <w:b/>
          <w:bCs/>
        </w:rPr>
        <w:t xml:space="preserve">   Table </w:t>
      </w:r>
      <w:r w:rsidR="000C10E6">
        <w:rPr>
          <w:rFonts w:ascii="Times New Roman" w:hAnsi="Times New Roman" w:cs="Times New Roman"/>
          <w:b/>
          <w:bCs/>
        </w:rPr>
        <w:t>8</w:t>
      </w:r>
      <w:r w:rsidRPr="00125810">
        <w:rPr>
          <w:rFonts w:ascii="Times New Roman" w:hAnsi="Times New Roman" w:cs="Times New Roman"/>
          <w:b/>
          <w:bCs/>
        </w:rPr>
        <w:t>: Estimated Daily Intake, Acceptable Daily Intake, and Health Risk Index of the mean concentration of heavy metals in herbal tea sold in Abuja, Nigeria </w:t>
      </w:r>
    </w:p>
    <w:tbl>
      <w:tblPr>
        <w:tblW w:w="94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3"/>
        <w:gridCol w:w="1356"/>
        <w:gridCol w:w="1116"/>
        <w:gridCol w:w="1116"/>
        <w:gridCol w:w="1116"/>
        <w:gridCol w:w="1116"/>
        <w:gridCol w:w="1116"/>
        <w:gridCol w:w="1116"/>
      </w:tblGrid>
      <w:tr w:rsidR="00C20512" w:rsidRPr="00125810" w14:paraId="604BEC09" w14:textId="77777777">
        <w:trPr>
          <w:trHeight w:val="300"/>
        </w:trPr>
        <w:tc>
          <w:tcPr>
            <w:tcW w:w="1866" w:type="dxa"/>
            <w:tcBorders>
              <w:top w:val="single" w:sz="4" w:space="0" w:color="auto"/>
              <w:left w:val="single" w:sz="4" w:space="0" w:color="auto"/>
              <w:bottom w:val="single" w:sz="4" w:space="0" w:color="auto"/>
              <w:right w:val="single" w:sz="4" w:space="0" w:color="auto"/>
            </w:tcBorders>
            <w:vAlign w:val="center"/>
            <w:hideMark/>
          </w:tcPr>
          <w:p w14:paraId="24E43E1C" w14:textId="77777777" w:rsidR="00C20512" w:rsidRPr="00125810" w:rsidRDefault="00C20512" w:rsidP="002A3CB3">
            <w:pPr>
              <w:pStyle w:val="NoSpacing"/>
            </w:pPr>
            <w:r w:rsidRPr="00125810">
              <w:t> Heavy metals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32F90A9" w14:textId="77777777" w:rsidR="00C20512" w:rsidRPr="00125810" w:rsidRDefault="00C20512" w:rsidP="002A3CB3">
            <w:pPr>
              <w:pStyle w:val="NoSpacing"/>
            </w:pPr>
            <w:r w:rsidRPr="00125810">
              <w:rPr>
                <w:b/>
                <w:bCs/>
              </w:rPr>
              <w:t>Cd</w:t>
            </w:r>
          </w:p>
        </w:tc>
        <w:tc>
          <w:tcPr>
            <w:tcW w:w="1053" w:type="dxa"/>
            <w:tcBorders>
              <w:top w:val="single" w:sz="4" w:space="0" w:color="auto"/>
              <w:left w:val="single" w:sz="4" w:space="0" w:color="auto"/>
              <w:bottom w:val="single" w:sz="4" w:space="0" w:color="auto"/>
              <w:right w:val="single" w:sz="4" w:space="0" w:color="auto"/>
            </w:tcBorders>
            <w:vAlign w:val="center"/>
            <w:hideMark/>
          </w:tcPr>
          <w:p w14:paraId="32CD9117" w14:textId="77777777" w:rsidR="00C20512" w:rsidRPr="00125810" w:rsidRDefault="00C20512" w:rsidP="002A3CB3">
            <w:pPr>
              <w:pStyle w:val="NoSpacing"/>
            </w:pPr>
            <w:r w:rsidRPr="00125810">
              <w:rPr>
                <w:b/>
                <w:bCs/>
              </w:rPr>
              <w:t>Co</w:t>
            </w:r>
          </w:p>
        </w:tc>
        <w:tc>
          <w:tcPr>
            <w:tcW w:w="1053" w:type="dxa"/>
            <w:tcBorders>
              <w:top w:val="single" w:sz="4" w:space="0" w:color="auto"/>
              <w:left w:val="single" w:sz="4" w:space="0" w:color="auto"/>
              <w:bottom w:val="single" w:sz="4" w:space="0" w:color="auto"/>
              <w:right w:val="single" w:sz="4" w:space="0" w:color="auto"/>
            </w:tcBorders>
            <w:vAlign w:val="center"/>
            <w:hideMark/>
          </w:tcPr>
          <w:p w14:paraId="1343F633" w14:textId="77777777" w:rsidR="00C20512" w:rsidRPr="00125810" w:rsidRDefault="00C20512" w:rsidP="002A3CB3">
            <w:pPr>
              <w:pStyle w:val="NoSpacing"/>
            </w:pPr>
            <w:r w:rsidRPr="00125810">
              <w:rPr>
                <w:b/>
                <w:bCs/>
              </w:rPr>
              <w:t>Cr</w:t>
            </w:r>
          </w:p>
        </w:tc>
        <w:tc>
          <w:tcPr>
            <w:tcW w:w="1079" w:type="dxa"/>
            <w:tcBorders>
              <w:top w:val="single" w:sz="4" w:space="0" w:color="auto"/>
              <w:left w:val="single" w:sz="4" w:space="0" w:color="auto"/>
              <w:bottom w:val="single" w:sz="4" w:space="0" w:color="auto"/>
              <w:right w:val="single" w:sz="4" w:space="0" w:color="auto"/>
            </w:tcBorders>
            <w:vAlign w:val="center"/>
            <w:hideMark/>
          </w:tcPr>
          <w:p w14:paraId="3148CA03" w14:textId="77777777" w:rsidR="00C20512" w:rsidRPr="00125810" w:rsidRDefault="00C20512" w:rsidP="002A3CB3">
            <w:pPr>
              <w:pStyle w:val="NoSpacing"/>
            </w:pPr>
            <w:r w:rsidRPr="00125810">
              <w:rPr>
                <w:b/>
                <w:bCs/>
              </w:rPr>
              <w:t>Cu</w:t>
            </w:r>
          </w:p>
        </w:tc>
        <w:tc>
          <w:tcPr>
            <w:tcW w:w="1053" w:type="dxa"/>
            <w:tcBorders>
              <w:top w:val="single" w:sz="4" w:space="0" w:color="auto"/>
              <w:left w:val="single" w:sz="4" w:space="0" w:color="auto"/>
              <w:bottom w:val="single" w:sz="4" w:space="0" w:color="auto"/>
              <w:right w:val="single" w:sz="4" w:space="0" w:color="auto"/>
            </w:tcBorders>
            <w:vAlign w:val="center"/>
            <w:hideMark/>
          </w:tcPr>
          <w:p w14:paraId="507A9381" w14:textId="77777777" w:rsidR="00C20512" w:rsidRPr="00125810" w:rsidRDefault="00C20512" w:rsidP="002A3CB3">
            <w:pPr>
              <w:pStyle w:val="NoSpacing"/>
            </w:pPr>
            <w:r w:rsidRPr="00125810">
              <w:rPr>
                <w:b/>
                <w:bCs/>
              </w:rPr>
              <w:t>Mn</w:t>
            </w:r>
          </w:p>
        </w:tc>
        <w:tc>
          <w:tcPr>
            <w:tcW w:w="1053" w:type="dxa"/>
            <w:tcBorders>
              <w:top w:val="single" w:sz="4" w:space="0" w:color="auto"/>
              <w:left w:val="single" w:sz="4" w:space="0" w:color="auto"/>
              <w:bottom w:val="single" w:sz="4" w:space="0" w:color="auto"/>
              <w:right w:val="single" w:sz="4" w:space="0" w:color="auto"/>
            </w:tcBorders>
            <w:vAlign w:val="center"/>
            <w:hideMark/>
          </w:tcPr>
          <w:p w14:paraId="0979A178" w14:textId="77777777" w:rsidR="00C20512" w:rsidRPr="00125810" w:rsidRDefault="00C20512" w:rsidP="002A3CB3">
            <w:pPr>
              <w:pStyle w:val="NoSpacing"/>
            </w:pPr>
            <w:r w:rsidRPr="00125810">
              <w:rPr>
                <w:b/>
                <w:bCs/>
              </w:rPr>
              <w:t>Ni</w:t>
            </w:r>
          </w:p>
        </w:tc>
        <w:tc>
          <w:tcPr>
            <w:tcW w:w="1065" w:type="dxa"/>
            <w:tcBorders>
              <w:top w:val="single" w:sz="4" w:space="0" w:color="auto"/>
              <w:left w:val="single" w:sz="4" w:space="0" w:color="auto"/>
              <w:bottom w:val="single" w:sz="4" w:space="0" w:color="auto"/>
              <w:right w:val="single" w:sz="4" w:space="0" w:color="auto"/>
            </w:tcBorders>
            <w:vAlign w:val="center"/>
            <w:hideMark/>
          </w:tcPr>
          <w:p w14:paraId="1A3437C3" w14:textId="77777777" w:rsidR="00C20512" w:rsidRPr="00125810" w:rsidRDefault="00C20512" w:rsidP="002A3CB3">
            <w:pPr>
              <w:pStyle w:val="NoSpacing"/>
            </w:pPr>
            <w:r w:rsidRPr="00125810">
              <w:rPr>
                <w:b/>
                <w:bCs/>
              </w:rPr>
              <w:t>Pb</w:t>
            </w:r>
          </w:p>
        </w:tc>
      </w:tr>
      <w:tr w:rsidR="00C20512" w:rsidRPr="00125810" w14:paraId="0DD8B12E" w14:textId="77777777">
        <w:trPr>
          <w:trHeight w:val="300"/>
        </w:trPr>
        <w:tc>
          <w:tcPr>
            <w:tcW w:w="1866" w:type="dxa"/>
            <w:tcBorders>
              <w:top w:val="single" w:sz="4" w:space="0" w:color="auto"/>
              <w:left w:val="single" w:sz="4" w:space="0" w:color="auto"/>
              <w:bottom w:val="single" w:sz="4" w:space="0" w:color="auto"/>
              <w:right w:val="single" w:sz="4" w:space="0" w:color="auto"/>
            </w:tcBorders>
            <w:vAlign w:val="center"/>
            <w:hideMark/>
          </w:tcPr>
          <w:p w14:paraId="5BAAF7F3" w14:textId="77777777" w:rsidR="00C20512" w:rsidRPr="00125810" w:rsidRDefault="00C20512" w:rsidP="002A3CB3">
            <w:pPr>
              <w:pStyle w:val="NoSpacing"/>
            </w:pPr>
            <w:r w:rsidRPr="00125810">
              <w:t>Max</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8F70795" w14:textId="77777777" w:rsidR="00C20512" w:rsidRPr="00125810" w:rsidRDefault="00C20512" w:rsidP="002A3CB3">
            <w:pPr>
              <w:pStyle w:val="NoSpacing"/>
            </w:pPr>
            <w:r w:rsidRPr="00125810">
              <w:t>2.28</w:t>
            </w:r>
          </w:p>
        </w:tc>
        <w:tc>
          <w:tcPr>
            <w:tcW w:w="1053" w:type="dxa"/>
            <w:tcBorders>
              <w:top w:val="single" w:sz="4" w:space="0" w:color="auto"/>
              <w:left w:val="single" w:sz="4" w:space="0" w:color="auto"/>
              <w:bottom w:val="single" w:sz="4" w:space="0" w:color="auto"/>
              <w:right w:val="single" w:sz="4" w:space="0" w:color="auto"/>
            </w:tcBorders>
            <w:vAlign w:val="center"/>
            <w:hideMark/>
          </w:tcPr>
          <w:p w14:paraId="47EAC4F5" w14:textId="77777777" w:rsidR="00C20512" w:rsidRPr="00125810" w:rsidRDefault="00C20512" w:rsidP="002A3CB3">
            <w:pPr>
              <w:pStyle w:val="NoSpacing"/>
            </w:pPr>
            <w:r w:rsidRPr="00125810">
              <w:t>3.5</w:t>
            </w:r>
          </w:p>
        </w:tc>
        <w:tc>
          <w:tcPr>
            <w:tcW w:w="1053" w:type="dxa"/>
            <w:tcBorders>
              <w:top w:val="single" w:sz="4" w:space="0" w:color="auto"/>
              <w:left w:val="single" w:sz="4" w:space="0" w:color="auto"/>
              <w:bottom w:val="single" w:sz="4" w:space="0" w:color="auto"/>
              <w:right w:val="single" w:sz="4" w:space="0" w:color="auto"/>
            </w:tcBorders>
            <w:vAlign w:val="center"/>
            <w:hideMark/>
          </w:tcPr>
          <w:p w14:paraId="1492BF14" w14:textId="77777777" w:rsidR="00C20512" w:rsidRPr="00125810" w:rsidRDefault="00C20512" w:rsidP="002A3CB3">
            <w:pPr>
              <w:pStyle w:val="NoSpacing"/>
            </w:pPr>
            <w:r w:rsidRPr="00125810">
              <w:t>18.4</w:t>
            </w:r>
          </w:p>
        </w:tc>
        <w:tc>
          <w:tcPr>
            <w:tcW w:w="1079" w:type="dxa"/>
            <w:tcBorders>
              <w:top w:val="single" w:sz="4" w:space="0" w:color="auto"/>
              <w:left w:val="single" w:sz="4" w:space="0" w:color="auto"/>
              <w:bottom w:val="single" w:sz="4" w:space="0" w:color="auto"/>
              <w:right w:val="single" w:sz="4" w:space="0" w:color="auto"/>
            </w:tcBorders>
            <w:vAlign w:val="center"/>
            <w:hideMark/>
          </w:tcPr>
          <w:p w14:paraId="5CB90E19" w14:textId="77777777" w:rsidR="00C20512" w:rsidRPr="00125810" w:rsidRDefault="00C20512" w:rsidP="002A3CB3">
            <w:pPr>
              <w:pStyle w:val="NoSpacing"/>
            </w:pPr>
            <w:r w:rsidRPr="00125810">
              <w:t>58.3</w:t>
            </w:r>
          </w:p>
        </w:tc>
        <w:tc>
          <w:tcPr>
            <w:tcW w:w="1053" w:type="dxa"/>
            <w:tcBorders>
              <w:top w:val="single" w:sz="4" w:space="0" w:color="auto"/>
              <w:left w:val="single" w:sz="4" w:space="0" w:color="auto"/>
              <w:bottom w:val="single" w:sz="4" w:space="0" w:color="auto"/>
              <w:right w:val="single" w:sz="4" w:space="0" w:color="auto"/>
            </w:tcBorders>
            <w:vAlign w:val="center"/>
            <w:hideMark/>
          </w:tcPr>
          <w:p w14:paraId="425EB8E3" w14:textId="77777777" w:rsidR="00C20512" w:rsidRPr="00125810" w:rsidRDefault="00C20512" w:rsidP="002A3CB3">
            <w:pPr>
              <w:pStyle w:val="NoSpacing"/>
            </w:pPr>
            <w:r w:rsidRPr="00125810">
              <w:t>598.75</w:t>
            </w:r>
          </w:p>
        </w:tc>
        <w:tc>
          <w:tcPr>
            <w:tcW w:w="1053" w:type="dxa"/>
            <w:tcBorders>
              <w:top w:val="single" w:sz="4" w:space="0" w:color="auto"/>
              <w:left w:val="single" w:sz="4" w:space="0" w:color="auto"/>
              <w:bottom w:val="single" w:sz="4" w:space="0" w:color="auto"/>
              <w:right w:val="single" w:sz="4" w:space="0" w:color="auto"/>
            </w:tcBorders>
            <w:vAlign w:val="center"/>
            <w:hideMark/>
          </w:tcPr>
          <w:p w14:paraId="46E7B435" w14:textId="77777777" w:rsidR="00C20512" w:rsidRPr="00125810" w:rsidRDefault="00C20512" w:rsidP="002A3CB3">
            <w:pPr>
              <w:pStyle w:val="NoSpacing"/>
            </w:pPr>
            <w:r w:rsidRPr="00125810">
              <w:t>6.11</w:t>
            </w:r>
          </w:p>
        </w:tc>
        <w:tc>
          <w:tcPr>
            <w:tcW w:w="1065" w:type="dxa"/>
            <w:tcBorders>
              <w:top w:val="single" w:sz="4" w:space="0" w:color="auto"/>
              <w:left w:val="single" w:sz="4" w:space="0" w:color="auto"/>
              <w:bottom w:val="single" w:sz="4" w:space="0" w:color="auto"/>
              <w:right w:val="single" w:sz="4" w:space="0" w:color="auto"/>
            </w:tcBorders>
            <w:vAlign w:val="center"/>
            <w:hideMark/>
          </w:tcPr>
          <w:p w14:paraId="41F923A1" w14:textId="77777777" w:rsidR="00C20512" w:rsidRPr="00125810" w:rsidRDefault="00C20512" w:rsidP="002A3CB3">
            <w:pPr>
              <w:pStyle w:val="NoSpacing"/>
            </w:pPr>
            <w:r w:rsidRPr="00125810">
              <w:t>7.89</w:t>
            </w:r>
          </w:p>
        </w:tc>
      </w:tr>
      <w:tr w:rsidR="00C20512" w:rsidRPr="00125810" w14:paraId="2ABC091C" w14:textId="77777777">
        <w:trPr>
          <w:trHeight w:val="300"/>
        </w:trPr>
        <w:tc>
          <w:tcPr>
            <w:tcW w:w="1866" w:type="dxa"/>
            <w:tcBorders>
              <w:top w:val="single" w:sz="4" w:space="0" w:color="auto"/>
              <w:left w:val="single" w:sz="4" w:space="0" w:color="auto"/>
              <w:bottom w:val="single" w:sz="4" w:space="0" w:color="auto"/>
              <w:right w:val="single" w:sz="4" w:space="0" w:color="auto"/>
            </w:tcBorders>
            <w:vAlign w:val="center"/>
            <w:hideMark/>
          </w:tcPr>
          <w:p w14:paraId="4D11F572" w14:textId="77777777" w:rsidR="00C20512" w:rsidRPr="00125810" w:rsidRDefault="00C20512" w:rsidP="002A3CB3">
            <w:pPr>
              <w:pStyle w:val="NoSpacing"/>
            </w:pPr>
            <w:r w:rsidRPr="00125810">
              <w:t>Min</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501F80C" w14:textId="77777777" w:rsidR="00C20512" w:rsidRPr="00125810" w:rsidRDefault="00C20512" w:rsidP="002A3CB3">
            <w:pPr>
              <w:pStyle w:val="NoSpacing"/>
            </w:pPr>
            <w:r w:rsidRPr="00125810">
              <w:t>0.68</w:t>
            </w:r>
          </w:p>
        </w:tc>
        <w:tc>
          <w:tcPr>
            <w:tcW w:w="1053" w:type="dxa"/>
            <w:tcBorders>
              <w:top w:val="single" w:sz="4" w:space="0" w:color="auto"/>
              <w:left w:val="single" w:sz="4" w:space="0" w:color="auto"/>
              <w:bottom w:val="single" w:sz="4" w:space="0" w:color="auto"/>
              <w:right w:val="single" w:sz="4" w:space="0" w:color="auto"/>
            </w:tcBorders>
            <w:vAlign w:val="center"/>
            <w:hideMark/>
          </w:tcPr>
          <w:p w14:paraId="7795B1D5" w14:textId="77777777" w:rsidR="00C20512" w:rsidRPr="00125810" w:rsidRDefault="00C20512" w:rsidP="002A3CB3">
            <w:pPr>
              <w:pStyle w:val="NoSpacing"/>
            </w:pPr>
            <w:r w:rsidRPr="00125810">
              <w:t>0</w:t>
            </w:r>
          </w:p>
        </w:tc>
        <w:tc>
          <w:tcPr>
            <w:tcW w:w="1053" w:type="dxa"/>
            <w:tcBorders>
              <w:top w:val="single" w:sz="4" w:space="0" w:color="auto"/>
              <w:left w:val="single" w:sz="4" w:space="0" w:color="auto"/>
              <w:bottom w:val="single" w:sz="4" w:space="0" w:color="auto"/>
              <w:right w:val="single" w:sz="4" w:space="0" w:color="auto"/>
            </w:tcBorders>
            <w:vAlign w:val="center"/>
            <w:hideMark/>
          </w:tcPr>
          <w:p w14:paraId="44D4318A" w14:textId="77777777" w:rsidR="00C20512" w:rsidRPr="00125810" w:rsidRDefault="00C20512" w:rsidP="002A3CB3">
            <w:pPr>
              <w:pStyle w:val="NoSpacing"/>
            </w:pPr>
            <w:r w:rsidRPr="00125810">
              <w:t>0</w:t>
            </w:r>
          </w:p>
        </w:tc>
        <w:tc>
          <w:tcPr>
            <w:tcW w:w="1079" w:type="dxa"/>
            <w:tcBorders>
              <w:top w:val="single" w:sz="4" w:space="0" w:color="auto"/>
              <w:left w:val="single" w:sz="4" w:space="0" w:color="auto"/>
              <w:bottom w:val="single" w:sz="4" w:space="0" w:color="auto"/>
              <w:right w:val="single" w:sz="4" w:space="0" w:color="auto"/>
            </w:tcBorders>
            <w:vAlign w:val="center"/>
            <w:hideMark/>
          </w:tcPr>
          <w:p w14:paraId="1B7D4A09" w14:textId="77777777" w:rsidR="00C20512" w:rsidRPr="00125810" w:rsidRDefault="00C20512" w:rsidP="002A3CB3">
            <w:pPr>
              <w:pStyle w:val="NoSpacing"/>
            </w:pPr>
            <w:r w:rsidRPr="00125810">
              <w:t>4.38</w:t>
            </w:r>
          </w:p>
        </w:tc>
        <w:tc>
          <w:tcPr>
            <w:tcW w:w="1053" w:type="dxa"/>
            <w:tcBorders>
              <w:top w:val="single" w:sz="4" w:space="0" w:color="auto"/>
              <w:left w:val="single" w:sz="4" w:space="0" w:color="auto"/>
              <w:bottom w:val="single" w:sz="4" w:space="0" w:color="auto"/>
              <w:right w:val="single" w:sz="4" w:space="0" w:color="auto"/>
            </w:tcBorders>
            <w:vAlign w:val="center"/>
            <w:hideMark/>
          </w:tcPr>
          <w:p w14:paraId="308DF903" w14:textId="77777777" w:rsidR="00C20512" w:rsidRPr="00125810" w:rsidRDefault="00C20512" w:rsidP="002A3CB3">
            <w:pPr>
              <w:pStyle w:val="NoSpacing"/>
            </w:pPr>
            <w:r w:rsidRPr="00125810">
              <w:t>13.12</w:t>
            </w:r>
          </w:p>
        </w:tc>
        <w:tc>
          <w:tcPr>
            <w:tcW w:w="1053" w:type="dxa"/>
            <w:tcBorders>
              <w:top w:val="single" w:sz="4" w:space="0" w:color="auto"/>
              <w:left w:val="single" w:sz="4" w:space="0" w:color="auto"/>
              <w:bottom w:val="single" w:sz="4" w:space="0" w:color="auto"/>
              <w:right w:val="single" w:sz="4" w:space="0" w:color="auto"/>
            </w:tcBorders>
            <w:vAlign w:val="center"/>
            <w:hideMark/>
          </w:tcPr>
          <w:p w14:paraId="5196B557" w14:textId="77777777" w:rsidR="00C20512" w:rsidRPr="00125810" w:rsidRDefault="00C20512" w:rsidP="002A3CB3">
            <w:pPr>
              <w:pStyle w:val="NoSpacing"/>
            </w:pPr>
            <w:r w:rsidRPr="00125810">
              <w:t>2.48</w:t>
            </w:r>
          </w:p>
        </w:tc>
        <w:tc>
          <w:tcPr>
            <w:tcW w:w="1065" w:type="dxa"/>
            <w:tcBorders>
              <w:top w:val="single" w:sz="4" w:space="0" w:color="auto"/>
              <w:left w:val="single" w:sz="4" w:space="0" w:color="auto"/>
              <w:bottom w:val="single" w:sz="4" w:space="0" w:color="auto"/>
              <w:right w:val="single" w:sz="4" w:space="0" w:color="auto"/>
            </w:tcBorders>
            <w:vAlign w:val="center"/>
            <w:hideMark/>
          </w:tcPr>
          <w:p w14:paraId="1DB7AEDD" w14:textId="77777777" w:rsidR="00C20512" w:rsidRPr="00125810" w:rsidRDefault="00C20512" w:rsidP="002A3CB3">
            <w:pPr>
              <w:pStyle w:val="NoSpacing"/>
            </w:pPr>
            <w:r w:rsidRPr="00125810">
              <w:t>0.27</w:t>
            </w:r>
          </w:p>
        </w:tc>
      </w:tr>
      <w:tr w:rsidR="00C20512" w:rsidRPr="00125810" w14:paraId="489F4773" w14:textId="77777777">
        <w:trPr>
          <w:trHeight w:val="300"/>
        </w:trPr>
        <w:tc>
          <w:tcPr>
            <w:tcW w:w="1866" w:type="dxa"/>
            <w:tcBorders>
              <w:top w:val="single" w:sz="4" w:space="0" w:color="auto"/>
              <w:left w:val="single" w:sz="4" w:space="0" w:color="auto"/>
              <w:bottom w:val="single" w:sz="4" w:space="0" w:color="auto"/>
              <w:right w:val="single" w:sz="4" w:space="0" w:color="auto"/>
            </w:tcBorders>
            <w:vAlign w:val="center"/>
            <w:hideMark/>
          </w:tcPr>
          <w:p w14:paraId="0AB65330" w14:textId="77777777" w:rsidR="00C20512" w:rsidRPr="00125810" w:rsidRDefault="00C20512" w:rsidP="002A3CB3">
            <w:pPr>
              <w:pStyle w:val="NoSpacing"/>
            </w:pPr>
            <w:r w:rsidRPr="00125810">
              <w:t>Avg.</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FA20E04" w14:textId="77777777" w:rsidR="00C20512" w:rsidRPr="00125810" w:rsidRDefault="00C20512" w:rsidP="002A3CB3">
            <w:pPr>
              <w:pStyle w:val="NoSpacing"/>
            </w:pPr>
            <w:r w:rsidRPr="00125810">
              <w:t>1.1127</w:t>
            </w:r>
          </w:p>
        </w:tc>
        <w:tc>
          <w:tcPr>
            <w:tcW w:w="1053" w:type="dxa"/>
            <w:tcBorders>
              <w:top w:val="single" w:sz="4" w:space="0" w:color="auto"/>
              <w:left w:val="single" w:sz="4" w:space="0" w:color="auto"/>
              <w:bottom w:val="single" w:sz="4" w:space="0" w:color="auto"/>
              <w:right w:val="single" w:sz="4" w:space="0" w:color="auto"/>
            </w:tcBorders>
            <w:vAlign w:val="center"/>
            <w:hideMark/>
          </w:tcPr>
          <w:p w14:paraId="57005E0F" w14:textId="77777777" w:rsidR="00C20512" w:rsidRPr="00125810" w:rsidRDefault="00C20512" w:rsidP="002A3CB3">
            <w:pPr>
              <w:pStyle w:val="NoSpacing"/>
            </w:pPr>
            <w:r w:rsidRPr="00125810">
              <w:t>0.7665</w:t>
            </w:r>
          </w:p>
        </w:tc>
        <w:tc>
          <w:tcPr>
            <w:tcW w:w="1053" w:type="dxa"/>
            <w:tcBorders>
              <w:top w:val="single" w:sz="4" w:space="0" w:color="auto"/>
              <w:left w:val="single" w:sz="4" w:space="0" w:color="auto"/>
              <w:bottom w:val="single" w:sz="4" w:space="0" w:color="auto"/>
              <w:right w:val="single" w:sz="4" w:space="0" w:color="auto"/>
            </w:tcBorders>
            <w:vAlign w:val="center"/>
            <w:hideMark/>
          </w:tcPr>
          <w:p w14:paraId="44253E8A" w14:textId="77777777" w:rsidR="00C20512" w:rsidRPr="00125810" w:rsidRDefault="00C20512" w:rsidP="002A3CB3">
            <w:pPr>
              <w:pStyle w:val="NoSpacing"/>
            </w:pPr>
            <w:r w:rsidRPr="00125810">
              <w:t>8.406</w:t>
            </w:r>
          </w:p>
        </w:tc>
        <w:tc>
          <w:tcPr>
            <w:tcW w:w="1079" w:type="dxa"/>
            <w:tcBorders>
              <w:top w:val="single" w:sz="4" w:space="0" w:color="auto"/>
              <w:left w:val="single" w:sz="4" w:space="0" w:color="auto"/>
              <w:bottom w:val="single" w:sz="4" w:space="0" w:color="auto"/>
              <w:right w:val="single" w:sz="4" w:space="0" w:color="auto"/>
            </w:tcBorders>
            <w:vAlign w:val="center"/>
            <w:hideMark/>
          </w:tcPr>
          <w:p w14:paraId="63DD0CD9" w14:textId="77777777" w:rsidR="00C20512" w:rsidRPr="00125810" w:rsidRDefault="00C20512" w:rsidP="002A3CB3">
            <w:pPr>
              <w:pStyle w:val="NoSpacing"/>
            </w:pPr>
            <w:r w:rsidRPr="00125810">
              <w:t>29.05</w:t>
            </w:r>
          </w:p>
        </w:tc>
        <w:tc>
          <w:tcPr>
            <w:tcW w:w="1053" w:type="dxa"/>
            <w:tcBorders>
              <w:top w:val="single" w:sz="4" w:space="0" w:color="auto"/>
              <w:left w:val="single" w:sz="4" w:space="0" w:color="auto"/>
              <w:bottom w:val="single" w:sz="4" w:space="0" w:color="auto"/>
              <w:right w:val="single" w:sz="4" w:space="0" w:color="auto"/>
            </w:tcBorders>
            <w:vAlign w:val="center"/>
            <w:hideMark/>
          </w:tcPr>
          <w:p w14:paraId="3242BD12" w14:textId="77777777" w:rsidR="00C20512" w:rsidRPr="00125810" w:rsidRDefault="00C20512" w:rsidP="002A3CB3">
            <w:pPr>
              <w:pStyle w:val="NoSpacing"/>
            </w:pPr>
            <w:r w:rsidRPr="00125810">
              <w:t>133.76</w:t>
            </w:r>
          </w:p>
        </w:tc>
        <w:tc>
          <w:tcPr>
            <w:tcW w:w="1053" w:type="dxa"/>
            <w:tcBorders>
              <w:top w:val="single" w:sz="4" w:space="0" w:color="auto"/>
              <w:left w:val="single" w:sz="4" w:space="0" w:color="auto"/>
              <w:bottom w:val="single" w:sz="4" w:space="0" w:color="auto"/>
              <w:right w:val="single" w:sz="4" w:space="0" w:color="auto"/>
            </w:tcBorders>
            <w:vAlign w:val="center"/>
            <w:hideMark/>
          </w:tcPr>
          <w:p w14:paraId="455C2605" w14:textId="77777777" w:rsidR="00C20512" w:rsidRPr="00125810" w:rsidRDefault="00C20512" w:rsidP="002A3CB3">
            <w:pPr>
              <w:pStyle w:val="NoSpacing"/>
            </w:pPr>
            <w:r w:rsidRPr="00125810">
              <w:t>3.661</w:t>
            </w:r>
          </w:p>
        </w:tc>
        <w:tc>
          <w:tcPr>
            <w:tcW w:w="1065" w:type="dxa"/>
            <w:tcBorders>
              <w:top w:val="single" w:sz="4" w:space="0" w:color="auto"/>
              <w:left w:val="single" w:sz="4" w:space="0" w:color="auto"/>
              <w:bottom w:val="single" w:sz="4" w:space="0" w:color="auto"/>
              <w:right w:val="single" w:sz="4" w:space="0" w:color="auto"/>
            </w:tcBorders>
            <w:vAlign w:val="center"/>
            <w:hideMark/>
          </w:tcPr>
          <w:p w14:paraId="7B2B566B" w14:textId="77777777" w:rsidR="00C20512" w:rsidRPr="00125810" w:rsidRDefault="00C20512" w:rsidP="002A3CB3">
            <w:pPr>
              <w:pStyle w:val="NoSpacing"/>
            </w:pPr>
            <w:r w:rsidRPr="00125810">
              <w:t>3.618</w:t>
            </w:r>
          </w:p>
        </w:tc>
      </w:tr>
      <w:tr w:rsidR="00C20512" w:rsidRPr="00125810" w14:paraId="48D9923D" w14:textId="77777777">
        <w:trPr>
          <w:trHeight w:val="880"/>
        </w:trPr>
        <w:tc>
          <w:tcPr>
            <w:tcW w:w="1866" w:type="dxa"/>
            <w:tcBorders>
              <w:top w:val="single" w:sz="4" w:space="0" w:color="auto"/>
              <w:left w:val="single" w:sz="4" w:space="0" w:color="auto"/>
              <w:bottom w:val="single" w:sz="4" w:space="0" w:color="auto"/>
              <w:right w:val="single" w:sz="4" w:space="0" w:color="auto"/>
            </w:tcBorders>
            <w:vAlign w:val="center"/>
            <w:hideMark/>
          </w:tcPr>
          <w:p w14:paraId="2184D4EE" w14:textId="77777777" w:rsidR="00C20512" w:rsidRPr="00125810" w:rsidRDefault="00C20512" w:rsidP="002A3CB3">
            <w:pPr>
              <w:pStyle w:val="NoSpacing"/>
            </w:pPr>
            <w:r w:rsidRPr="00125810">
              <w:t>ADI (mg/60 days)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FE9733E" w14:textId="77777777" w:rsidR="00C20512" w:rsidRPr="00125810" w:rsidRDefault="00C20512" w:rsidP="002A3CB3">
            <w:pPr>
              <w:pStyle w:val="NoSpacing"/>
            </w:pPr>
            <w:r w:rsidRPr="00125810">
              <w:t>0.06</w:t>
            </w:r>
          </w:p>
        </w:tc>
        <w:tc>
          <w:tcPr>
            <w:tcW w:w="1053" w:type="dxa"/>
            <w:tcBorders>
              <w:top w:val="single" w:sz="4" w:space="0" w:color="auto"/>
              <w:left w:val="single" w:sz="4" w:space="0" w:color="auto"/>
              <w:bottom w:val="single" w:sz="4" w:space="0" w:color="auto"/>
              <w:right w:val="single" w:sz="4" w:space="0" w:color="auto"/>
            </w:tcBorders>
            <w:vAlign w:val="center"/>
            <w:hideMark/>
          </w:tcPr>
          <w:p w14:paraId="39F707FC" w14:textId="77777777" w:rsidR="00C20512" w:rsidRPr="00125810" w:rsidRDefault="00C20512" w:rsidP="002A3CB3">
            <w:pPr>
              <w:pStyle w:val="NoSpacing"/>
            </w:pPr>
            <w:r w:rsidRPr="00125810">
              <w:t>1.8</w:t>
            </w:r>
          </w:p>
        </w:tc>
        <w:tc>
          <w:tcPr>
            <w:tcW w:w="1053" w:type="dxa"/>
            <w:tcBorders>
              <w:top w:val="single" w:sz="4" w:space="0" w:color="auto"/>
              <w:left w:val="single" w:sz="4" w:space="0" w:color="auto"/>
              <w:bottom w:val="single" w:sz="4" w:space="0" w:color="auto"/>
              <w:right w:val="single" w:sz="4" w:space="0" w:color="auto"/>
            </w:tcBorders>
            <w:vAlign w:val="center"/>
            <w:hideMark/>
          </w:tcPr>
          <w:p w14:paraId="54FA2F21" w14:textId="77777777" w:rsidR="00C20512" w:rsidRPr="00125810" w:rsidRDefault="00C20512" w:rsidP="002A3CB3">
            <w:pPr>
              <w:pStyle w:val="NoSpacing"/>
            </w:pPr>
            <w:r w:rsidRPr="00125810">
              <w:t>18</w:t>
            </w:r>
          </w:p>
        </w:tc>
        <w:tc>
          <w:tcPr>
            <w:tcW w:w="1079" w:type="dxa"/>
            <w:tcBorders>
              <w:top w:val="single" w:sz="4" w:space="0" w:color="auto"/>
              <w:left w:val="single" w:sz="4" w:space="0" w:color="auto"/>
              <w:bottom w:val="single" w:sz="4" w:space="0" w:color="auto"/>
              <w:right w:val="single" w:sz="4" w:space="0" w:color="auto"/>
            </w:tcBorders>
            <w:vAlign w:val="center"/>
            <w:hideMark/>
          </w:tcPr>
          <w:p w14:paraId="1CEEE400" w14:textId="77777777" w:rsidR="00C20512" w:rsidRPr="00125810" w:rsidRDefault="00C20512" w:rsidP="002A3CB3">
            <w:pPr>
              <w:pStyle w:val="NoSpacing"/>
            </w:pPr>
            <w:r w:rsidRPr="00125810">
              <w:t>4.2</w:t>
            </w:r>
          </w:p>
        </w:tc>
        <w:tc>
          <w:tcPr>
            <w:tcW w:w="1053" w:type="dxa"/>
            <w:tcBorders>
              <w:top w:val="single" w:sz="4" w:space="0" w:color="auto"/>
              <w:left w:val="single" w:sz="4" w:space="0" w:color="auto"/>
              <w:bottom w:val="single" w:sz="4" w:space="0" w:color="auto"/>
              <w:right w:val="single" w:sz="4" w:space="0" w:color="auto"/>
            </w:tcBorders>
            <w:vAlign w:val="center"/>
            <w:hideMark/>
          </w:tcPr>
          <w:p w14:paraId="13AD93C4" w14:textId="77777777" w:rsidR="00C20512" w:rsidRPr="00125810" w:rsidRDefault="00C20512" w:rsidP="002A3CB3">
            <w:pPr>
              <w:pStyle w:val="NoSpacing"/>
            </w:pPr>
            <w:r w:rsidRPr="00125810">
              <w:t>0.66</w:t>
            </w:r>
          </w:p>
        </w:tc>
        <w:tc>
          <w:tcPr>
            <w:tcW w:w="1053" w:type="dxa"/>
            <w:tcBorders>
              <w:top w:val="single" w:sz="4" w:space="0" w:color="auto"/>
              <w:left w:val="single" w:sz="4" w:space="0" w:color="auto"/>
              <w:bottom w:val="single" w:sz="4" w:space="0" w:color="auto"/>
              <w:right w:val="single" w:sz="4" w:space="0" w:color="auto"/>
            </w:tcBorders>
            <w:vAlign w:val="center"/>
            <w:hideMark/>
          </w:tcPr>
          <w:p w14:paraId="050A8FC9" w14:textId="77777777" w:rsidR="00C20512" w:rsidRPr="00125810" w:rsidRDefault="00C20512" w:rsidP="002A3CB3">
            <w:pPr>
              <w:pStyle w:val="NoSpacing"/>
            </w:pPr>
            <w:r w:rsidRPr="00125810">
              <w:t>0.78</w:t>
            </w:r>
          </w:p>
        </w:tc>
        <w:tc>
          <w:tcPr>
            <w:tcW w:w="1065" w:type="dxa"/>
            <w:tcBorders>
              <w:top w:val="single" w:sz="4" w:space="0" w:color="auto"/>
              <w:left w:val="single" w:sz="4" w:space="0" w:color="auto"/>
              <w:bottom w:val="single" w:sz="4" w:space="0" w:color="auto"/>
              <w:right w:val="single" w:sz="4" w:space="0" w:color="auto"/>
            </w:tcBorders>
            <w:vAlign w:val="center"/>
            <w:hideMark/>
          </w:tcPr>
          <w:p w14:paraId="013AD3BC" w14:textId="77777777" w:rsidR="00C20512" w:rsidRPr="00125810" w:rsidRDefault="00C20512" w:rsidP="002A3CB3">
            <w:pPr>
              <w:pStyle w:val="NoSpacing"/>
            </w:pPr>
            <w:r w:rsidRPr="00125810">
              <w:t>0.216</w:t>
            </w:r>
          </w:p>
        </w:tc>
      </w:tr>
      <w:tr w:rsidR="00C20512" w:rsidRPr="00125810" w14:paraId="38E4C724" w14:textId="77777777">
        <w:trPr>
          <w:trHeight w:val="300"/>
        </w:trPr>
        <w:tc>
          <w:tcPr>
            <w:tcW w:w="1866" w:type="dxa"/>
            <w:tcBorders>
              <w:top w:val="single" w:sz="4" w:space="0" w:color="auto"/>
              <w:left w:val="single" w:sz="4" w:space="0" w:color="auto"/>
              <w:bottom w:val="single" w:sz="4" w:space="0" w:color="auto"/>
              <w:right w:val="single" w:sz="4" w:space="0" w:color="auto"/>
            </w:tcBorders>
            <w:vAlign w:val="center"/>
            <w:hideMark/>
          </w:tcPr>
          <w:p w14:paraId="5DCBF7D0" w14:textId="77777777" w:rsidR="00C20512" w:rsidRPr="00125810" w:rsidRDefault="00C20512" w:rsidP="002A3CB3">
            <w:pPr>
              <w:pStyle w:val="NoSpacing"/>
            </w:pPr>
            <w:r w:rsidRPr="00125810">
              <w:t>EDI</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4EEE111" w14:textId="77777777" w:rsidR="00C20512" w:rsidRPr="00125810" w:rsidRDefault="00C20512" w:rsidP="002A3CB3">
            <w:pPr>
              <w:pStyle w:val="NoSpacing"/>
            </w:pPr>
            <w:r w:rsidRPr="00125810">
              <w:t>2.9672E-05</w:t>
            </w:r>
          </w:p>
        </w:tc>
        <w:tc>
          <w:tcPr>
            <w:tcW w:w="1053" w:type="dxa"/>
            <w:tcBorders>
              <w:top w:val="single" w:sz="4" w:space="0" w:color="auto"/>
              <w:left w:val="single" w:sz="4" w:space="0" w:color="auto"/>
              <w:bottom w:val="single" w:sz="4" w:space="0" w:color="auto"/>
              <w:right w:val="single" w:sz="4" w:space="0" w:color="auto"/>
            </w:tcBorders>
            <w:vAlign w:val="center"/>
            <w:hideMark/>
          </w:tcPr>
          <w:p w14:paraId="0B3D48B5" w14:textId="77777777" w:rsidR="00C20512" w:rsidRPr="00125810" w:rsidRDefault="00C20512" w:rsidP="002A3CB3">
            <w:pPr>
              <w:pStyle w:val="NoSpacing"/>
            </w:pPr>
            <w:r w:rsidRPr="00125810">
              <w:t>2.04E-05</w:t>
            </w:r>
          </w:p>
        </w:tc>
        <w:tc>
          <w:tcPr>
            <w:tcW w:w="1053" w:type="dxa"/>
            <w:tcBorders>
              <w:top w:val="single" w:sz="4" w:space="0" w:color="auto"/>
              <w:left w:val="single" w:sz="4" w:space="0" w:color="auto"/>
              <w:bottom w:val="single" w:sz="4" w:space="0" w:color="auto"/>
              <w:right w:val="single" w:sz="4" w:space="0" w:color="auto"/>
            </w:tcBorders>
            <w:vAlign w:val="center"/>
            <w:hideMark/>
          </w:tcPr>
          <w:p w14:paraId="491B0139" w14:textId="77777777" w:rsidR="00C20512" w:rsidRPr="00125810" w:rsidRDefault="00C20512" w:rsidP="002A3CB3">
            <w:pPr>
              <w:pStyle w:val="NoSpacing"/>
            </w:pPr>
            <w:r w:rsidRPr="00125810">
              <w:t>0.000224</w:t>
            </w:r>
          </w:p>
        </w:tc>
        <w:tc>
          <w:tcPr>
            <w:tcW w:w="1079" w:type="dxa"/>
            <w:tcBorders>
              <w:top w:val="single" w:sz="4" w:space="0" w:color="auto"/>
              <w:left w:val="single" w:sz="4" w:space="0" w:color="auto"/>
              <w:bottom w:val="single" w:sz="4" w:space="0" w:color="auto"/>
              <w:right w:val="single" w:sz="4" w:space="0" w:color="auto"/>
            </w:tcBorders>
            <w:vAlign w:val="center"/>
            <w:hideMark/>
          </w:tcPr>
          <w:p w14:paraId="2C0ACDC3" w14:textId="77777777" w:rsidR="00C20512" w:rsidRPr="00125810" w:rsidRDefault="00C20512" w:rsidP="002A3CB3">
            <w:pPr>
              <w:pStyle w:val="NoSpacing"/>
            </w:pPr>
            <w:r w:rsidRPr="00125810">
              <w:t>0.000775</w:t>
            </w:r>
          </w:p>
        </w:tc>
        <w:tc>
          <w:tcPr>
            <w:tcW w:w="1053" w:type="dxa"/>
            <w:tcBorders>
              <w:top w:val="single" w:sz="4" w:space="0" w:color="auto"/>
              <w:left w:val="single" w:sz="4" w:space="0" w:color="auto"/>
              <w:bottom w:val="single" w:sz="4" w:space="0" w:color="auto"/>
              <w:right w:val="single" w:sz="4" w:space="0" w:color="auto"/>
            </w:tcBorders>
            <w:vAlign w:val="center"/>
            <w:hideMark/>
          </w:tcPr>
          <w:p w14:paraId="35847474" w14:textId="77777777" w:rsidR="00C20512" w:rsidRPr="00125810" w:rsidRDefault="00C20512" w:rsidP="002A3CB3">
            <w:pPr>
              <w:pStyle w:val="NoSpacing"/>
            </w:pPr>
            <w:r w:rsidRPr="00125810">
              <w:t>0.003567</w:t>
            </w:r>
          </w:p>
        </w:tc>
        <w:tc>
          <w:tcPr>
            <w:tcW w:w="1053" w:type="dxa"/>
            <w:tcBorders>
              <w:top w:val="single" w:sz="4" w:space="0" w:color="auto"/>
              <w:left w:val="single" w:sz="4" w:space="0" w:color="auto"/>
              <w:bottom w:val="single" w:sz="4" w:space="0" w:color="auto"/>
              <w:right w:val="single" w:sz="4" w:space="0" w:color="auto"/>
            </w:tcBorders>
            <w:vAlign w:val="center"/>
            <w:hideMark/>
          </w:tcPr>
          <w:p w14:paraId="35744BFA" w14:textId="77777777" w:rsidR="00C20512" w:rsidRPr="00125810" w:rsidRDefault="00C20512" w:rsidP="002A3CB3">
            <w:pPr>
              <w:pStyle w:val="NoSpacing"/>
            </w:pPr>
            <w:r w:rsidRPr="00125810">
              <w:t>9.76E-05</w:t>
            </w:r>
          </w:p>
        </w:tc>
        <w:tc>
          <w:tcPr>
            <w:tcW w:w="1065" w:type="dxa"/>
            <w:tcBorders>
              <w:top w:val="single" w:sz="4" w:space="0" w:color="auto"/>
              <w:left w:val="single" w:sz="4" w:space="0" w:color="auto"/>
              <w:bottom w:val="single" w:sz="4" w:space="0" w:color="auto"/>
              <w:right w:val="single" w:sz="4" w:space="0" w:color="auto"/>
            </w:tcBorders>
            <w:vAlign w:val="center"/>
            <w:hideMark/>
          </w:tcPr>
          <w:p w14:paraId="49937463" w14:textId="77777777" w:rsidR="00C20512" w:rsidRPr="00125810" w:rsidRDefault="00C20512" w:rsidP="002A3CB3">
            <w:pPr>
              <w:pStyle w:val="NoSpacing"/>
            </w:pPr>
            <w:r w:rsidRPr="00125810">
              <w:t>9.65E-05</w:t>
            </w:r>
          </w:p>
        </w:tc>
      </w:tr>
      <w:tr w:rsidR="00C20512" w:rsidRPr="00125810" w14:paraId="7D286431" w14:textId="77777777">
        <w:trPr>
          <w:trHeight w:val="300"/>
        </w:trPr>
        <w:tc>
          <w:tcPr>
            <w:tcW w:w="1866" w:type="dxa"/>
            <w:tcBorders>
              <w:top w:val="single" w:sz="4" w:space="0" w:color="auto"/>
              <w:left w:val="single" w:sz="4" w:space="0" w:color="auto"/>
              <w:bottom w:val="single" w:sz="4" w:space="0" w:color="auto"/>
              <w:right w:val="single" w:sz="4" w:space="0" w:color="auto"/>
            </w:tcBorders>
            <w:vAlign w:val="center"/>
            <w:hideMark/>
          </w:tcPr>
          <w:p w14:paraId="3BB88D5D" w14:textId="77777777" w:rsidR="00C20512" w:rsidRPr="00125810" w:rsidRDefault="00C20512" w:rsidP="002A3CB3">
            <w:pPr>
              <w:pStyle w:val="NoSpacing"/>
            </w:pPr>
            <w:r w:rsidRPr="00125810">
              <w:t>HQ</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2140818" w14:textId="77777777" w:rsidR="00C20512" w:rsidRPr="00125810" w:rsidRDefault="00C20512" w:rsidP="002A3CB3">
            <w:pPr>
              <w:pStyle w:val="NoSpacing"/>
            </w:pPr>
            <w:r w:rsidRPr="00125810">
              <w:t>0.04945333</w:t>
            </w:r>
          </w:p>
        </w:tc>
        <w:tc>
          <w:tcPr>
            <w:tcW w:w="1053" w:type="dxa"/>
            <w:tcBorders>
              <w:top w:val="single" w:sz="4" w:space="0" w:color="auto"/>
              <w:left w:val="single" w:sz="4" w:space="0" w:color="auto"/>
              <w:bottom w:val="single" w:sz="4" w:space="0" w:color="auto"/>
              <w:right w:val="single" w:sz="4" w:space="0" w:color="auto"/>
            </w:tcBorders>
            <w:vAlign w:val="center"/>
            <w:hideMark/>
          </w:tcPr>
          <w:p w14:paraId="45875C5B" w14:textId="77777777" w:rsidR="00C20512" w:rsidRPr="00125810" w:rsidRDefault="00C20512" w:rsidP="002A3CB3">
            <w:pPr>
              <w:pStyle w:val="NoSpacing"/>
            </w:pPr>
            <w:r w:rsidRPr="00125810">
              <w:t>0.001136</w:t>
            </w:r>
          </w:p>
        </w:tc>
        <w:tc>
          <w:tcPr>
            <w:tcW w:w="1053" w:type="dxa"/>
            <w:tcBorders>
              <w:top w:val="single" w:sz="4" w:space="0" w:color="auto"/>
              <w:left w:val="single" w:sz="4" w:space="0" w:color="auto"/>
              <w:bottom w:val="single" w:sz="4" w:space="0" w:color="auto"/>
              <w:right w:val="single" w:sz="4" w:space="0" w:color="auto"/>
            </w:tcBorders>
            <w:vAlign w:val="center"/>
            <w:hideMark/>
          </w:tcPr>
          <w:p w14:paraId="74EEEE84" w14:textId="77777777" w:rsidR="00C20512" w:rsidRPr="00125810" w:rsidRDefault="00C20512" w:rsidP="002A3CB3">
            <w:pPr>
              <w:pStyle w:val="NoSpacing"/>
            </w:pPr>
            <w:r w:rsidRPr="00125810">
              <w:t>0.001245</w:t>
            </w:r>
          </w:p>
        </w:tc>
        <w:tc>
          <w:tcPr>
            <w:tcW w:w="1079" w:type="dxa"/>
            <w:tcBorders>
              <w:top w:val="single" w:sz="4" w:space="0" w:color="auto"/>
              <w:left w:val="single" w:sz="4" w:space="0" w:color="auto"/>
              <w:bottom w:val="single" w:sz="4" w:space="0" w:color="auto"/>
              <w:right w:val="single" w:sz="4" w:space="0" w:color="auto"/>
            </w:tcBorders>
            <w:vAlign w:val="center"/>
            <w:hideMark/>
          </w:tcPr>
          <w:p w14:paraId="0D412788" w14:textId="77777777" w:rsidR="00C20512" w:rsidRPr="00125810" w:rsidRDefault="00C20512" w:rsidP="002A3CB3">
            <w:pPr>
              <w:pStyle w:val="NoSpacing"/>
            </w:pPr>
            <w:r w:rsidRPr="00125810">
              <w:t>0.018444</w:t>
            </w:r>
          </w:p>
        </w:tc>
        <w:tc>
          <w:tcPr>
            <w:tcW w:w="1053" w:type="dxa"/>
            <w:tcBorders>
              <w:top w:val="single" w:sz="4" w:space="0" w:color="auto"/>
              <w:left w:val="single" w:sz="4" w:space="0" w:color="auto"/>
              <w:bottom w:val="single" w:sz="4" w:space="0" w:color="auto"/>
              <w:right w:val="single" w:sz="4" w:space="0" w:color="auto"/>
            </w:tcBorders>
            <w:vAlign w:val="center"/>
            <w:hideMark/>
          </w:tcPr>
          <w:p w14:paraId="17963D56" w14:textId="77777777" w:rsidR="00C20512" w:rsidRPr="00125810" w:rsidRDefault="00C20512" w:rsidP="002A3CB3">
            <w:pPr>
              <w:pStyle w:val="NoSpacing"/>
            </w:pPr>
            <w:r w:rsidRPr="00125810">
              <w:t>0.540444</w:t>
            </w:r>
          </w:p>
        </w:tc>
        <w:tc>
          <w:tcPr>
            <w:tcW w:w="1053" w:type="dxa"/>
            <w:tcBorders>
              <w:top w:val="single" w:sz="4" w:space="0" w:color="auto"/>
              <w:left w:val="single" w:sz="4" w:space="0" w:color="auto"/>
              <w:bottom w:val="single" w:sz="4" w:space="0" w:color="auto"/>
              <w:right w:val="single" w:sz="4" w:space="0" w:color="auto"/>
            </w:tcBorders>
            <w:vAlign w:val="center"/>
            <w:hideMark/>
          </w:tcPr>
          <w:p w14:paraId="79BBD72B" w14:textId="77777777" w:rsidR="00C20512" w:rsidRPr="00125810" w:rsidRDefault="00C20512" w:rsidP="002A3CB3">
            <w:pPr>
              <w:pStyle w:val="NoSpacing"/>
            </w:pPr>
            <w:r w:rsidRPr="00125810">
              <w:t>0.012516</w:t>
            </w:r>
          </w:p>
        </w:tc>
        <w:tc>
          <w:tcPr>
            <w:tcW w:w="1065" w:type="dxa"/>
            <w:tcBorders>
              <w:top w:val="single" w:sz="4" w:space="0" w:color="auto"/>
              <w:left w:val="single" w:sz="4" w:space="0" w:color="auto"/>
              <w:bottom w:val="single" w:sz="4" w:space="0" w:color="auto"/>
              <w:right w:val="single" w:sz="4" w:space="0" w:color="auto"/>
            </w:tcBorders>
            <w:vAlign w:val="center"/>
            <w:hideMark/>
          </w:tcPr>
          <w:p w14:paraId="363A7F0A" w14:textId="77777777" w:rsidR="00C20512" w:rsidRPr="00125810" w:rsidRDefault="00C20512" w:rsidP="002A3CB3">
            <w:pPr>
              <w:pStyle w:val="NoSpacing"/>
            </w:pPr>
            <w:r w:rsidRPr="00125810">
              <w:t>0.044667</w:t>
            </w:r>
          </w:p>
        </w:tc>
      </w:tr>
    </w:tbl>
    <w:p w14:paraId="5FD981D7" w14:textId="77777777" w:rsidR="008D6ADE" w:rsidRDefault="008D6ADE" w:rsidP="009122BE">
      <w:pPr>
        <w:spacing w:line="480" w:lineRule="auto"/>
        <w:jc w:val="both"/>
        <w:rPr>
          <w:rFonts w:ascii="Times New Roman" w:hAnsi="Times New Roman" w:cs="Times New Roman"/>
        </w:rPr>
      </w:pPr>
    </w:p>
    <w:p w14:paraId="02D062CE" w14:textId="7D2D578E" w:rsidR="009122BE" w:rsidRPr="009F60B4" w:rsidRDefault="00C20512" w:rsidP="009122BE">
      <w:pPr>
        <w:spacing w:line="480" w:lineRule="auto"/>
        <w:jc w:val="both"/>
        <w:rPr>
          <w:rFonts w:ascii="Times New Roman" w:hAnsi="Times New Roman" w:cs="Times New Roman"/>
        </w:rPr>
      </w:pPr>
      <w:r w:rsidRPr="00125810">
        <w:rPr>
          <w:rFonts w:ascii="Times New Roman" w:hAnsi="Times New Roman" w:cs="Times New Roman"/>
        </w:rPr>
        <w:t> </w:t>
      </w:r>
      <w:r w:rsidR="009122BE" w:rsidRPr="009F60B4">
        <w:t xml:space="preserve">Table </w:t>
      </w:r>
      <w:r w:rsidR="000C10E6">
        <w:t>7</w:t>
      </w:r>
      <w:r w:rsidR="009122BE" w:rsidRPr="009F60B4">
        <w:t xml:space="preserve"> presents the concentrations of cadmium (Cd), cobalt (Co), chromium (Cr), copper (Cu), manganese (Mn), nickel (Ni), and lead (Pb) in spices sold in Abuja. The results reveal wide variations, with manganese showing the highest mean concentration of 445.86 </w:t>
      </w:r>
      <w:r w:rsidR="008A2875" w:rsidRPr="004A1EC2">
        <w:rPr>
          <w:rFonts w:ascii="Times New Roman" w:hAnsi="Times New Roman" w:cs="Times New Roman"/>
        </w:rPr>
        <w:t>75 mg kg⁻¹</w:t>
      </w:r>
      <w:r w:rsidR="009122BE" w:rsidRPr="009F60B4">
        <w:t xml:space="preserve"> and a maximum of 1,660.79 </w:t>
      </w:r>
      <w:r w:rsidR="008A2875" w:rsidRPr="004A1EC2">
        <w:rPr>
          <w:rFonts w:ascii="Times New Roman" w:hAnsi="Times New Roman" w:cs="Times New Roman"/>
        </w:rPr>
        <w:t>75 mg kg⁻¹</w:t>
      </w:r>
      <w:r w:rsidR="009122BE" w:rsidRPr="009F60B4">
        <w:t xml:space="preserve">, followed by copper at an average of 30.80 </w:t>
      </w:r>
      <w:r w:rsidR="008A2875" w:rsidRPr="004A1EC2">
        <w:rPr>
          <w:rFonts w:ascii="Times New Roman" w:hAnsi="Times New Roman" w:cs="Times New Roman"/>
        </w:rPr>
        <w:t>75 mg kg⁻¹</w:t>
      </w:r>
      <w:r w:rsidR="009122BE" w:rsidRPr="009F60B4">
        <w:t xml:space="preserve">and a maximum of 66.97 </w:t>
      </w:r>
      <w:r w:rsidR="008A2875" w:rsidRPr="009F60B4">
        <w:t>mg/</w:t>
      </w:r>
      <w:r w:rsidR="00A70A03">
        <w:t>kg 75</w:t>
      </w:r>
      <w:r w:rsidR="008A2875" w:rsidRPr="004A1EC2">
        <w:rPr>
          <w:rFonts w:ascii="Times New Roman" w:hAnsi="Times New Roman" w:cs="Times New Roman"/>
        </w:rPr>
        <w:t xml:space="preserve"> mg kg⁻¹</w:t>
      </w:r>
      <w:r w:rsidR="009122BE" w:rsidRPr="009F60B4">
        <w:t xml:space="preserve">, and lead at 14.42 </w:t>
      </w:r>
      <w:r w:rsidR="008D6ADE" w:rsidRPr="004A1EC2">
        <w:rPr>
          <w:rFonts w:ascii="Times New Roman" w:hAnsi="Times New Roman" w:cs="Times New Roman"/>
        </w:rPr>
        <w:t>mg kg⁻¹</w:t>
      </w:r>
      <w:r w:rsidR="009122BE" w:rsidRPr="009F60B4">
        <w:t xml:space="preserve">with a maximum of 77 </w:t>
      </w:r>
      <w:r w:rsidR="008D6ADE" w:rsidRPr="004A1EC2">
        <w:rPr>
          <w:rFonts w:ascii="Times New Roman" w:hAnsi="Times New Roman" w:cs="Times New Roman"/>
        </w:rPr>
        <w:t>mg kg⁻¹</w:t>
      </w:r>
      <w:r w:rsidR="009122BE" w:rsidRPr="009F60B4">
        <w:t xml:space="preserve">. </w:t>
      </w:r>
      <w:r w:rsidR="009122BE" w:rsidRPr="009F60B4">
        <w:lastRenderedPageBreak/>
        <w:t xml:space="preserve">Lower averages were recorded for cadmium (0.65 </w:t>
      </w:r>
      <w:r w:rsidR="008A2875" w:rsidRPr="004A1EC2">
        <w:rPr>
          <w:rFonts w:ascii="Times New Roman" w:hAnsi="Times New Roman" w:cs="Times New Roman"/>
        </w:rPr>
        <w:t>75 mg kg⁻¹</w:t>
      </w:r>
      <w:r w:rsidR="009122BE" w:rsidRPr="009F60B4">
        <w:t xml:space="preserve">), nickel (5.59 </w:t>
      </w:r>
      <w:r w:rsidR="008A2875" w:rsidRPr="004A1EC2">
        <w:rPr>
          <w:rFonts w:ascii="Times New Roman" w:hAnsi="Times New Roman" w:cs="Times New Roman"/>
        </w:rPr>
        <w:t>75 mg kg⁻¹</w:t>
      </w:r>
      <w:r w:rsidR="009122BE" w:rsidRPr="009F60B4">
        <w:t xml:space="preserve">), chromium (7.86 </w:t>
      </w:r>
      <w:r w:rsidR="008A2875" w:rsidRPr="004A1EC2">
        <w:rPr>
          <w:rFonts w:ascii="Times New Roman" w:hAnsi="Times New Roman" w:cs="Times New Roman"/>
        </w:rPr>
        <w:t>75 mg kg⁻¹</w:t>
      </w:r>
      <w:r w:rsidR="009122BE" w:rsidRPr="009F60B4">
        <w:t xml:space="preserve">), and cobalt (0.18 </w:t>
      </w:r>
      <w:r w:rsidR="008A2875" w:rsidRPr="004A1EC2">
        <w:rPr>
          <w:rFonts w:ascii="Times New Roman" w:hAnsi="Times New Roman" w:cs="Times New Roman"/>
        </w:rPr>
        <w:t>75 mg kg⁻¹</w:t>
      </w:r>
      <w:r w:rsidR="009122BE" w:rsidRPr="009F60B4">
        <w:t>). The minimum values for cobalt, chromium, and lead were zero, indicating variability across samples.</w:t>
      </w:r>
    </w:p>
    <w:p w14:paraId="0F6B3CA6" w14:textId="7065E69B" w:rsidR="009122BE" w:rsidRPr="009F60B4" w:rsidRDefault="009122BE" w:rsidP="009122BE">
      <w:pPr>
        <w:spacing w:line="480" w:lineRule="auto"/>
        <w:jc w:val="both"/>
      </w:pPr>
      <w:r w:rsidRPr="009F60B4">
        <w:t>The estimated daily intake (EDI) was generally low at less than 0.01 mg/day for most metals, except for manganese</w:t>
      </w:r>
      <w:r w:rsidR="005018BC">
        <w:t>,</w:t>
      </w:r>
      <w:r w:rsidRPr="009F60B4">
        <w:t xml:space="preserve"> which reached 0.074 mg/day. Hazard quotient (HQ) results indicated that manganese</w:t>
      </w:r>
      <w:r w:rsidR="00A70A03">
        <w:t>,</w:t>
      </w:r>
      <w:r w:rsidRPr="009F60B4">
        <w:t xml:space="preserve"> with a value of 11.26</w:t>
      </w:r>
      <w:r w:rsidR="00A70A03">
        <w:t>,</w:t>
      </w:r>
      <w:r w:rsidRPr="009F60B4">
        <w:t xml:space="preserve"> and lead</w:t>
      </w:r>
      <w:r w:rsidR="00A70A03">
        <w:t>,</w:t>
      </w:r>
      <w:r w:rsidRPr="009F60B4">
        <w:t xml:space="preserve"> with a value of 1.11</w:t>
      </w:r>
      <w:r w:rsidR="008A2875">
        <w:t>,</w:t>
      </w:r>
      <w:r w:rsidRPr="009F60B4">
        <w:t xml:space="preserve"> exceeded the safety threshold of 1, suggesting significant non-carcinogenic risks</w:t>
      </w:r>
      <w:r w:rsidR="00A70A03">
        <w:t>,</w:t>
      </w:r>
      <w:r w:rsidRPr="009F60B4">
        <w:t xml:space="preserve"> including neurotoxicity for manganese and developmental toxicity for lead. Other metals</w:t>
      </w:r>
      <w:r w:rsidR="00A70A03">
        <w:t>,</w:t>
      </w:r>
      <w:r w:rsidRPr="009F60B4">
        <w:t xml:space="preserve"> such as cadmium (HQ = 0.18), copper (HQ = 0.12), nickel (HQ = 0.12), cobalt (HQ = 0.002), and chromium (HQ = 0.007)</w:t>
      </w:r>
      <w:r w:rsidR="00A70A03">
        <w:t>,</w:t>
      </w:r>
      <w:r w:rsidRPr="009F60B4">
        <w:t xml:space="preserve"> posed minimal risks from normal consumption.</w:t>
      </w:r>
    </w:p>
    <w:p w14:paraId="20026E8C" w14:textId="104CAFCA" w:rsidR="009122BE" w:rsidRPr="009F60B4" w:rsidRDefault="009122BE" w:rsidP="009122BE">
      <w:pPr>
        <w:spacing w:line="480" w:lineRule="auto"/>
        <w:jc w:val="both"/>
      </w:pPr>
      <w:r w:rsidRPr="009F60B4">
        <w:t xml:space="preserve">These findings are consistent with earlier Nigerian and international studies but suggest that Abuja shows more severe contamination in certain cases. Manganese levels in Abuja spices averaged 446 </w:t>
      </w:r>
      <w:r w:rsidR="008A2875" w:rsidRPr="004A1EC2">
        <w:rPr>
          <w:rFonts w:ascii="Times New Roman" w:hAnsi="Times New Roman" w:cs="Times New Roman"/>
        </w:rPr>
        <w:t>75 mg kg⁻¹</w:t>
      </w:r>
      <w:r w:rsidRPr="009F60B4">
        <w:t xml:space="preserve">, far higher than values reported in southeastern Nigerian spices, which reached up to 182 </w:t>
      </w:r>
      <w:r w:rsidR="008A2875" w:rsidRPr="004A1EC2">
        <w:rPr>
          <w:rFonts w:ascii="Times New Roman" w:hAnsi="Times New Roman" w:cs="Times New Roman"/>
        </w:rPr>
        <w:t>75 mg kg⁻¹</w:t>
      </w:r>
      <w:r w:rsidRPr="009F60B4">
        <w:t xml:space="preserve">, and well above the global herbal tea range of 10–200 </w:t>
      </w:r>
      <w:r w:rsidR="008A2875" w:rsidRPr="004A1EC2">
        <w:rPr>
          <w:rFonts w:ascii="Times New Roman" w:hAnsi="Times New Roman" w:cs="Times New Roman"/>
        </w:rPr>
        <w:t>75 mg kg⁻¹</w:t>
      </w:r>
      <w:r w:rsidRPr="009F60B4">
        <w:t xml:space="preserve">. Similar manganese-driven risks with HQ values above 1 were previously reported in Nigerian herbal concoctions as noted by Orisakwe </w:t>
      </w:r>
      <w:r w:rsidRPr="009F60B4">
        <w:rPr>
          <w:i/>
          <w:iCs/>
        </w:rPr>
        <w:t>et al</w:t>
      </w:r>
      <w:r w:rsidRPr="009F60B4">
        <w:t xml:space="preserve">. (2020) and </w:t>
      </w:r>
      <w:r w:rsidR="005018BC" w:rsidRPr="0002025B">
        <w:t>Babandi</w:t>
      </w:r>
      <w:r w:rsidRPr="009F60B4">
        <w:t xml:space="preserve"> </w:t>
      </w:r>
      <w:r w:rsidRPr="009F60B4">
        <w:rPr>
          <w:i/>
          <w:iCs/>
        </w:rPr>
        <w:t>et al</w:t>
      </w:r>
      <w:r w:rsidRPr="009F60B4">
        <w:t xml:space="preserve">. (2021). Lead levels in Abuja spices, with an average of 14.42 </w:t>
      </w:r>
      <w:r w:rsidR="008A2875" w:rsidRPr="004A1EC2">
        <w:rPr>
          <w:rFonts w:ascii="Times New Roman" w:hAnsi="Times New Roman" w:cs="Times New Roman"/>
        </w:rPr>
        <w:t>75 mg kg⁻¹</w:t>
      </w:r>
      <w:r w:rsidRPr="009F60B4">
        <w:t>, surpassed those reported in Awka spices</w:t>
      </w:r>
      <w:r w:rsidR="008A2875">
        <w:t>,</w:t>
      </w:r>
      <w:r w:rsidRPr="009F60B4">
        <w:t xml:space="preserve"> where Nnorom </w:t>
      </w:r>
      <w:r w:rsidRPr="009F60B4">
        <w:rPr>
          <w:i/>
          <w:iCs/>
        </w:rPr>
        <w:t>et al</w:t>
      </w:r>
      <w:r w:rsidRPr="009F60B4">
        <w:t xml:space="preserve">. (2020) found 2.61–8.97 </w:t>
      </w:r>
      <w:r w:rsidR="008A2875" w:rsidRPr="004A1EC2">
        <w:rPr>
          <w:rFonts w:ascii="Times New Roman" w:hAnsi="Times New Roman" w:cs="Times New Roman"/>
        </w:rPr>
        <w:t>75 mg kg⁻¹</w:t>
      </w:r>
      <w:r w:rsidRPr="009F60B4">
        <w:t>, and also exceeded values in Enugu food seasonings, though they were lower than herbs in Lagos near e-waste sites</w:t>
      </w:r>
      <w:r w:rsidR="00A70A03">
        <w:t>,</w:t>
      </w:r>
      <w:r w:rsidRPr="009F60B4">
        <w:t xml:space="preserve"> which contained about 101 </w:t>
      </w:r>
      <w:r w:rsidR="008A2875" w:rsidRPr="004A1EC2">
        <w:rPr>
          <w:rFonts w:ascii="Times New Roman" w:hAnsi="Times New Roman" w:cs="Times New Roman"/>
        </w:rPr>
        <w:t>75 mg kg⁻¹</w:t>
      </w:r>
      <w:r w:rsidRPr="009F60B4">
        <w:t>of lead. The HQ above 1 for lead reflects concerns reported in Ado Ekiti herbal plants</w:t>
      </w:r>
      <w:r w:rsidR="008A2875">
        <w:t>,</w:t>
      </w:r>
      <w:r w:rsidRPr="009F60B4">
        <w:t xml:space="preserve"> where lead exposure also posed toxicity risks.</w:t>
      </w:r>
    </w:p>
    <w:p w14:paraId="1857AADB" w14:textId="7BDB73CC" w:rsidR="009122BE" w:rsidRDefault="009122BE" w:rsidP="009122BE">
      <w:pPr>
        <w:spacing w:line="480" w:lineRule="auto"/>
        <w:jc w:val="both"/>
      </w:pPr>
      <w:r w:rsidRPr="009F60B4">
        <w:lastRenderedPageBreak/>
        <w:t xml:space="preserve">For cadmium, Abuja recorded an average of 0.65 </w:t>
      </w:r>
      <w:r w:rsidR="008A2875" w:rsidRPr="004A1EC2">
        <w:rPr>
          <w:rFonts w:ascii="Times New Roman" w:hAnsi="Times New Roman" w:cs="Times New Roman"/>
        </w:rPr>
        <w:t>75 mg kg⁻¹</w:t>
      </w:r>
      <w:r w:rsidRPr="009F60B4">
        <w:t xml:space="preserve">with HQ of 0.18, which was higher than undetected values in Ado Ekiti but lower than </w:t>
      </w:r>
      <w:proofErr w:type="spellStart"/>
      <w:r w:rsidR="00515108" w:rsidRPr="007C4203">
        <w:rPr>
          <w:highlight w:val="yellow"/>
        </w:rPr>
        <w:t>chilli</w:t>
      </w:r>
      <w:proofErr w:type="spellEnd"/>
      <w:r w:rsidR="00515108" w:rsidRPr="007C4203">
        <w:rPr>
          <w:highlight w:val="yellow"/>
        </w:rPr>
        <w:t xml:space="preserve"> </w:t>
      </w:r>
      <w:r w:rsidRPr="009F60B4">
        <w:t xml:space="preserve">powder reports of about 1.0 </w:t>
      </w:r>
      <w:r w:rsidR="008A2875" w:rsidRPr="004A1EC2">
        <w:rPr>
          <w:rFonts w:ascii="Times New Roman" w:hAnsi="Times New Roman" w:cs="Times New Roman"/>
        </w:rPr>
        <w:t>75 mg kg⁻¹</w:t>
      </w:r>
      <w:r w:rsidRPr="009F60B4">
        <w:t xml:space="preserve">. Copper and nickel levels were higher than values reported in southeastern Nigeria, where copper ranged from 0.06 to </w:t>
      </w:r>
      <w:r w:rsidR="008A2875">
        <w:t>15.75</w:t>
      </w:r>
      <w:r w:rsidR="008A2875" w:rsidRPr="004A1EC2">
        <w:rPr>
          <w:rFonts w:ascii="Times New Roman" w:hAnsi="Times New Roman" w:cs="Times New Roman"/>
        </w:rPr>
        <w:t xml:space="preserve"> mg kg⁻¹</w:t>
      </w:r>
      <w:r w:rsidRPr="009F60B4">
        <w:t>, but the HQ values below 0.2 suggest negligible health risks. Chromium and cobalt showed moderate levels with negligible HQs, similar to values recorded in Port Harcourt spices</w:t>
      </w:r>
      <w:r w:rsidR="008A2875">
        <w:t>,</w:t>
      </w:r>
      <w:r w:rsidRPr="009F60B4">
        <w:t xml:space="preserve"> where chromium ranged between 0.05 and 2.75 </w:t>
      </w:r>
      <w:r w:rsidR="008A2875" w:rsidRPr="004A1EC2">
        <w:rPr>
          <w:rFonts w:ascii="Times New Roman" w:hAnsi="Times New Roman" w:cs="Times New Roman"/>
        </w:rPr>
        <w:t>75 mg kg⁻¹</w:t>
      </w:r>
      <w:r w:rsidRPr="009F60B4">
        <w:t>. Overall, the evidence indicates that spices in Abuja present heightened risks from manganese and lead compared to other Nigerian regions, which may be attributed to industrial activity and soil contamination in the area.</w:t>
      </w:r>
    </w:p>
    <w:p w14:paraId="76425DA9" w14:textId="2CF64468" w:rsidR="009122BE" w:rsidRPr="009F60B4" w:rsidRDefault="009122BE" w:rsidP="009122BE">
      <w:pPr>
        <w:spacing w:line="480" w:lineRule="auto"/>
        <w:jc w:val="both"/>
      </w:pPr>
      <w:r w:rsidRPr="009F60B4">
        <w:t xml:space="preserve">Table </w:t>
      </w:r>
      <w:r w:rsidR="000C10E6">
        <w:t>8</w:t>
      </w:r>
      <w:r w:rsidRPr="009F60B4">
        <w:t xml:space="preserve"> </w:t>
      </w:r>
      <w:proofErr w:type="spellStart"/>
      <w:r w:rsidR="00515108" w:rsidRPr="007C4203">
        <w:rPr>
          <w:highlight w:val="yellow"/>
        </w:rPr>
        <w:t>summarises</w:t>
      </w:r>
      <w:proofErr w:type="spellEnd"/>
      <w:r w:rsidR="00515108" w:rsidRPr="007C4203">
        <w:rPr>
          <w:highlight w:val="yellow"/>
        </w:rPr>
        <w:t xml:space="preserve"> </w:t>
      </w:r>
      <w:r w:rsidRPr="009F60B4">
        <w:t xml:space="preserve">heavy metal levels in herbal teas sold in Abuja. Manganese again dominated with an average concentration of 133.76 </w:t>
      </w:r>
      <w:r w:rsidR="008A2875" w:rsidRPr="004A1EC2">
        <w:rPr>
          <w:rFonts w:ascii="Times New Roman" w:hAnsi="Times New Roman" w:cs="Times New Roman"/>
        </w:rPr>
        <w:t>75 mg kg⁻¹</w:t>
      </w:r>
      <w:r w:rsidRPr="009F60B4">
        <w:t xml:space="preserve"> and a maximum of 598.75 </w:t>
      </w:r>
      <w:r w:rsidR="002D2262" w:rsidRPr="004A1EC2">
        <w:rPr>
          <w:rFonts w:ascii="Times New Roman" w:hAnsi="Times New Roman" w:cs="Times New Roman"/>
        </w:rPr>
        <w:t>mg kg⁻¹</w:t>
      </w:r>
      <w:r w:rsidRPr="009F60B4">
        <w:t xml:space="preserve">, which exceeded global ranges of 10–200 </w:t>
      </w:r>
      <w:r w:rsidR="002D2262" w:rsidRPr="004A1EC2">
        <w:rPr>
          <w:rFonts w:ascii="Times New Roman" w:hAnsi="Times New Roman" w:cs="Times New Roman"/>
        </w:rPr>
        <w:t>mg kg⁻¹</w:t>
      </w:r>
      <w:r w:rsidRPr="009F60B4">
        <w:t xml:space="preserve">but was lower than the levels observed in Abuja spices. This resulted in an estimated daily intake of 0.003567 mg/day and a hazard quotient of 0.54, indicating a moderate non-carcinogenic risk. Lead averaged 3.62 </w:t>
      </w:r>
      <w:r w:rsidR="00A70A03" w:rsidRPr="004A1EC2">
        <w:rPr>
          <w:rFonts w:ascii="Times New Roman" w:hAnsi="Times New Roman" w:cs="Times New Roman"/>
        </w:rPr>
        <w:t>75 mg kg⁻¹</w:t>
      </w:r>
      <w:r w:rsidRPr="009F60B4">
        <w:t>with an HQ of 0.045, also raising some concern, although risks were lower than those associated with spices. The other metals, including cadmium, cobalt, chromium, copper, and nickel, had HQ values below 0.05, indicating negligible risks to consumers.</w:t>
      </w:r>
    </w:p>
    <w:p w14:paraId="6B100EE2" w14:textId="342C59B4" w:rsidR="009122BE" w:rsidRPr="009F60B4" w:rsidRDefault="009122BE" w:rsidP="009122BE">
      <w:pPr>
        <w:spacing w:line="480" w:lineRule="auto"/>
        <w:jc w:val="both"/>
      </w:pPr>
      <w:r w:rsidRPr="009F60B4">
        <w:t xml:space="preserve">In comparison with previous studies, manganese in Abuja herbal teas was lower than values reported by Orisakwe et al. (2020), who found concentrations ranging from 645 to 2300 </w:t>
      </w:r>
      <w:r w:rsidR="00A70A03" w:rsidRPr="004A1EC2">
        <w:rPr>
          <w:rFonts w:ascii="Times New Roman" w:hAnsi="Times New Roman" w:cs="Times New Roman"/>
        </w:rPr>
        <w:t>75 mg kg⁻¹</w:t>
      </w:r>
      <w:r w:rsidRPr="009F60B4">
        <w:t>in Nigerian teas, where hazard quotients exceeded 1 in children. Izah et al. (2021) also reported manganese estimated daily intakes between 2.666 and 5.98 mg/kg body weight per day</w:t>
      </w:r>
      <w:r w:rsidR="00D17E23">
        <w:t>,</w:t>
      </w:r>
      <w:r w:rsidRPr="009F60B4">
        <w:t xml:space="preserve"> with HQ values above 10. Lead concentrations in Abuja herbal teas were lower than values </w:t>
      </w:r>
      <w:r w:rsidRPr="009F60B4">
        <w:lastRenderedPageBreak/>
        <w:t xml:space="preserve">reported in Awka spices, where Nnorom et al. (2020) recorded 2.61–8.97 </w:t>
      </w:r>
      <w:r w:rsidR="00A70A03" w:rsidRPr="004A1EC2">
        <w:rPr>
          <w:rFonts w:ascii="Times New Roman" w:hAnsi="Times New Roman" w:cs="Times New Roman"/>
        </w:rPr>
        <w:t>75 mg kg⁻¹</w:t>
      </w:r>
      <w:r w:rsidRPr="009F60B4">
        <w:t xml:space="preserve">, and also below levels reported in Lagos herbs near e-waste sites that reached about 101 </w:t>
      </w:r>
      <w:r w:rsidR="00A70A03" w:rsidRPr="004A1EC2">
        <w:rPr>
          <w:rFonts w:ascii="Times New Roman" w:hAnsi="Times New Roman" w:cs="Times New Roman"/>
        </w:rPr>
        <w:t>75 mg kg⁻¹</w:t>
      </w:r>
      <w:r w:rsidRPr="009F60B4">
        <w:t xml:space="preserve">. Other metals showed low risks, consistent with Adepoju-Bello </w:t>
      </w:r>
      <w:r w:rsidRPr="009F60B4">
        <w:rPr>
          <w:i/>
          <w:iCs/>
        </w:rPr>
        <w:t>et al</w:t>
      </w:r>
      <w:r w:rsidRPr="009F60B4">
        <w:t>. (2021), who reported hazard quotients below 1 in some Nigerian herbal drinks.</w:t>
      </w:r>
    </w:p>
    <w:p w14:paraId="6217E2EB" w14:textId="77777777" w:rsidR="009122BE" w:rsidRPr="009F60B4" w:rsidRDefault="009122BE" w:rsidP="009122BE">
      <w:pPr>
        <w:spacing w:line="480" w:lineRule="auto"/>
        <w:jc w:val="both"/>
      </w:pPr>
      <w:r w:rsidRPr="009F60B4">
        <w:t>Thus, while herbal teas in Abuja present moderate risks primarily linked to manganese, the severity of contamination is lower compared to spices, where both manganese and lead exceeded the non-carcinogenic risk threshold.</w:t>
      </w:r>
    </w:p>
    <w:p w14:paraId="49694416" w14:textId="69008603" w:rsidR="009122BE" w:rsidRPr="009F60B4" w:rsidRDefault="009122BE" w:rsidP="009122BE">
      <w:pPr>
        <w:spacing w:line="480" w:lineRule="auto"/>
        <w:jc w:val="both"/>
      </w:pPr>
      <w:r w:rsidRPr="009F60B4">
        <w:t>The analysis of heavy metal contamination in spices and herbal teas sold in Abuja highlights manganese and lead as the primary elements of concern. Spices recorded the most severe contamination with manganese</w:t>
      </w:r>
      <w:r w:rsidR="00A70A03">
        <w:t>,</w:t>
      </w:r>
      <w:r w:rsidRPr="009F60B4">
        <w:t xml:space="preserve"> averaging 445.86 </w:t>
      </w:r>
      <w:r w:rsidR="00A70A03" w:rsidRPr="004A1EC2">
        <w:rPr>
          <w:rFonts w:ascii="Times New Roman" w:hAnsi="Times New Roman" w:cs="Times New Roman"/>
        </w:rPr>
        <w:t>75 mg kg⁻¹</w:t>
      </w:r>
      <w:r w:rsidRPr="009F60B4">
        <w:t xml:space="preserve"> and lead averaging 14.42 </w:t>
      </w:r>
      <w:r w:rsidR="00A70A03" w:rsidRPr="004A1EC2">
        <w:rPr>
          <w:rFonts w:ascii="Times New Roman" w:hAnsi="Times New Roman" w:cs="Times New Roman"/>
        </w:rPr>
        <w:t>75 mg kg⁻¹</w:t>
      </w:r>
      <w:r w:rsidRPr="009F60B4">
        <w:t>, resulting in HQ values of 11.26 and 1.11</w:t>
      </w:r>
      <w:r w:rsidR="00A70A03">
        <w:t>,</w:t>
      </w:r>
      <w:r w:rsidRPr="009F60B4">
        <w:t xml:space="preserve"> respectively. In contrast, herbal teas contained lower levels </w:t>
      </w:r>
      <w:r w:rsidR="00A70A03">
        <w:t>of</w:t>
      </w:r>
      <w:r w:rsidRPr="009F60B4">
        <w:t xml:space="preserve"> manganese</w:t>
      </w:r>
      <w:r w:rsidR="00A70A03">
        <w:t>,</w:t>
      </w:r>
      <w:r w:rsidRPr="009F60B4">
        <w:t xml:space="preserve"> averaging 133.76 </w:t>
      </w:r>
      <w:r w:rsidR="00A70A03" w:rsidRPr="004A1EC2">
        <w:rPr>
          <w:rFonts w:ascii="Times New Roman" w:hAnsi="Times New Roman" w:cs="Times New Roman"/>
        </w:rPr>
        <w:t>75 mg kg⁻¹</w:t>
      </w:r>
      <w:r w:rsidR="00A70A03">
        <w:t>,</w:t>
      </w:r>
      <w:r w:rsidRPr="009F60B4">
        <w:t xml:space="preserve"> and lead</w:t>
      </w:r>
      <w:r w:rsidR="00A70A03">
        <w:t>,</w:t>
      </w:r>
      <w:r w:rsidRPr="009F60B4">
        <w:t xml:space="preserve"> averaging 3.62 </w:t>
      </w:r>
      <w:r w:rsidR="00A70A03" w:rsidRPr="004A1EC2">
        <w:rPr>
          <w:rFonts w:ascii="Times New Roman" w:hAnsi="Times New Roman" w:cs="Times New Roman"/>
        </w:rPr>
        <w:t>75 mg kg⁻¹</w:t>
      </w:r>
      <w:r w:rsidRPr="009F60B4">
        <w:t>, producing HQ values of 0.54 and 0.045. Other metals</w:t>
      </w:r>
      <w:r w:rsidR="00A70A03">
        <w:t>,</w:t>
      </w:r>
      <w:r w:rsidRPr="009F60B4">
        <w:t xml:space="preserve"> including cadmium, copper, nickel, chromium, and cobalt</w:t>
      </w:r>
      <w:r w:rsidR="00A70A03">
        <w:t>,</w:t>
      </w:r>
      <w:r w:rsidRPr="009F60B4">
        <w:t xml:space="preserve"> remained below risk thresholds in both product types.</w:t>
      </w:r>
    </w:p>
    <w:p w14:paraId="5543F9BD" w14:textId="07235532" w:rsidR="002A3CB3" w:rsidRPr="009122BE" w:rsidRDefault="009122BE" w:rsidP="002A3CB3">
      <w:pPr>
        <w:spacing w:line="480" w:lineRule="auto"/>
        <w:jc w:val="both"/>
      </w:pPr>
      <w:r w:rsidRPr="009F60B4">
        <w:t xml:space="preserve">These results reinforce earlier findings from Nigeria and other regions but position Abuja as a potential contamination hotspot, likely due to urban and industrial pollution. The evidence underscores the need for stricter monitoring, regulatory control, and consumer awareness to </w:t>
      </w:r>
      <w:proofErr w:type="spellStart"/>
      <w:r w:rsidR="00515108" w:rsidRPr="007C4203">
        <w:rPr>
          <w:highlight w:val="yellow"/>
        </w:rPr>
        <w:t>minimise</w:t>
      </w:r>
      <w:proofErr w:type="spellEnd"/>
      <w:r w:rsidR="00515108" w:rsidRPr="009F60B4">
        <w:t xml:space="preserve"> </w:t>
      </w:r>
      <w:r w:rsidRPr="009F60B4">
        <w:t xml:space="preserve">health risks, echoing broader calls for food safety enforcement in African markets as </w:t>
      </w:r>
      <w:proofErr w:type="spellStart"/>
      <w:r w:rsidR="00515108" w:rsidRPr="007C4203">
        <w:rPr>
          <w:highlight w:val="yellow"/>
        </w:rPr>
        <w:t>emphasised</w:t>
      </w:r>
      <w:proofErr w:type="spellEnd"/>
      <w:r w:rsidR="00515108" w:rsidRPr="009F60B4">
        <w:t xml:space="preserve"> </w:t>
      </w:r>
      <w:r w:rsidRPr="009F60B4">
        <w:t xml:space="preserve">by Asomugha </w:t>
      </w:r>
      <w:r w:rsidRPr="009F60B4">
        <w:rPr>
          <w:i/>
          <w:iCs/>
        </w:rPr>
        <w:t>et al</w:t>
      </w:r>
      <w:r w:rsidRPr="009F60B4">
        <w:t>. (2023).</w:t>
      </w:r>
      <w:r>
        <w:t xml:space="preserve"> </w:t>
      </w:r>
      <w:r w:rsidR="00B305FB" w:rsidRPr="00125810">
        <w:rPr>
          <w:rFonts w:ascii="Times New Roman" w:hAnsi="Times New Roman" w:cs="Times New Roman"/>
        </w:rPr>
        <w:t>The widespread exceedances underscore a significant public health risk and highlight the urgent need for strict monitoring, regulatory enforcement, and quality control in the production of herbal tea and spices in the Federal Capital Territory, Nigeria.</w:t>
      </w:r>
    </w:p>
    <w:p w14:paraId="2BD0A8B2" w14:textId="77777777" w:rsidR="002A3CB3" w:rsidRPr="002A3CB3" w:rsidRDefault="002A3CB3" w:rsidP="002A3CB3">
      <w:pPr>
        <w:spacing w:line="480" w:lineRule="auto"/>
        <w:jc w:val="both"/>
        <w:rPr>
          <w:rFonts w:ascii="Times New Roman" w:hAnsi="Times New Roman" w:cs="Times New Roman"/>
          <w:b/>
          <w:bCs/>
        </w:rPr>
      </w:pPr>
      <w:r w:rsidRPr="002A3CB3">
        <w:rPr>
          <w:rFonts w:ascii="Times New Roman" w:hAnsi="Times New Roman" w:cs="Times New Roman"/>
          <w:b/>
          <w:bCs/>
        </w:rPr>
        <w:lastRenderedPageBreak/>
        <w:t>Conclusion</w:t>
      </w:r>
    </w:p>
    <w:p w14:paraId="7EE470C1" w14:textId="77777777" w:rsidR="002A3CB3" w:rsidRPr="002A3CB3" w:rsidRDefault="002A3CB3" w:rsidP="002A3CB3">
      <w:pPr>
        <w:spacing w:line="480" w:lineRule="auto"/>
        <w:jc w:val="both"/>
        <w:rPr>
          <w:rFonts w:ascii="Times New Roman" w:hAnsi="Times New Roman" w:cs="Times New Roman"/>
        </w:rPr>
      </w:pPr>
      <w:r w:rsidRPr="002A3CB3">
        <w:rPr>
          <w:rFonts w:ascii="Times New Roman" w:hAnsi="Times New Roman" w:cs="Times New Roman"/>
        </w:rPr>
        <w:t>The present study highlights a serious public health concern arising from heavy metal contamination in spices and herbal teas sold in Abuja, Nigeria. Spices, particularly ginger, turmeric, black pepper, and yellow pepper, exhibited widespread accumulation of toxic metals, with manganese and lead far exceeding safe thresholds. Such contamination poses risks of neurotoxicity, renal damage, and long-term systemic health effects. Although herbal teas generally showed lower contamination levels, the detection of cadmium across all samples and elevated levels of manganese and lead cannot be overlooked.</w:t>
      </w:r>
    </w:p>
    <w:p w14:paraId="6756DE74" w14:textId="718811BD" w:rsidR="00EC0A15" w:rsidRDefault="002A3CB3" w:rsidP="00EC0A15">
      <w:pPr>
        <w:spacing w:line="480" w:lineRule="auto"/>
        <w:jc w:val="both"/>
        <w:rPr>
          <w:rFonts w:ascii="Times New Roman" w:hAnsi="Times New Roman" w:cs="Times New Roman"/>
        </w:rPr>
      </w:pPr>
      <w:r w:rsidRPr="002A3CB3">
        <w:rPr>
          <w:rFonts w:ascii="Times New Roman" w:hAnsi="Times New Roman" w:cs="Times New Roman"/>
        </w:rPr>
        <w:t xml:space="preserve">These findings </w:t>
      </w:r>
      <w:proofErr w:type="spellStart"/>
      <w:r w:rsidR="00515108" w:rsidRPr="007C4203">
        <w:rPr>
          <w:rFonts w:ascii="Times New Roman" w:hAnsi="Times New Roman" w:cs="Times New Roman"/>
          <w:highlight w:val="yellow"/>
        </w:rPr>
        <w:t>emphasise</w:t>
      </w:r>
      <w:proofErr w:type="spellEnd"/>
      <w:r w:rsidR="00515108" w:rsidRPr="002A3CB3">
        <w:rPr>
          <w:rFonts w:ascii="Times New Roman" w:hAnsi="Times New Roman" w:cs="Times New Roman"/>
        </w:rPr>
        <w:t xml:space="preserve"> </w:t>
      </w:r>
      <w:r w:rsidRPr="002A3CB3">
        <w:rPr>
          <w:rFonts w:ascii="Times New Roman" w:hAnsi="Times New Roman" w:cs="Times New Roman"/>
        </w:rPr>
        <w:t xml:space="preserve">the urgent need for continuous monitoring, stricter enforcement of food safety standards, and increased public awareness </w:t>
      </w:r>
      <w:r w:rsidR="0086507B">
        <w:rPr>
          <w:rFonts w:ascii="Times New Roman" w:hAnsi="Times New Roman" w:cs="Times New Roman"/>
        </w:rPr>
        <w:t>of</w:t>
      </w:r>
      <w:r w:rsidRPr="002A3CB3">
        <w:rPr>
          <w:rFonts w:ascii="Times New Roman" w:hAnsi="Times New Roman" w:cs="Times New Roman"/>
        </w:rPr>
        <w:t xml:space="preserve"> the dangers of heavy metal exposure through everyday dietary products. Protecting consumer health demands decisive regulatory action, improved supply chain oversight, and routine surveillance to ensure that widely consumed products like spices and herbal teas remain safe for the population.</w:t>
      </w:r>
    </w:p>
    <w:p w14:paraId="435496A8" w14:textId="1F2484F3" w:rsidR="00ED30E3" w:rsidRDefault="00ED30E3" w:rsidP="00EC0A15">
      <w:pPr>
        <w:spacing w:line="480" w:lineRule="auto"/>
        <w:jc w:val="both"/>
        <w:rPr>
          <w:rFonts w:ascii="Times New Roman" w:hAnsi="Times New Roman" w:cs="Times New Roman"/>
        </w:rPr>
      </w:pPr>
    </w:p>
    <w:p w14:paraId="2B40ECDB" w14:textId="77777777" w:rsidR="00ED30E3" w:rsidRDefault="00ED30E3" w:rsidP="00ED30E3">
      <w:pPr>
        <w:rPr>
          <w:rFonts w:ascii="Calibri" w:eastAsia="Calibri" w:hAnsi="Calibri" w:cs="Times New Roman"/>
          <w:highlight w:val="yellow"/>
        </w:rPr>
      </w:pPr>
      <w:bookmarkStart w:id="7" w:name="_Hlk204003461"/>
      <w:bookmarkStart w:id="8" w:name="_Hlk209007716"/>
      <w:r>
        <w:rPr>
          <w:rFonts w:ascii="Calibri" w:eastAsia="Calibri" w:hAnsi="Calibri" w:cs="Times New Roman"/>
          <w:highlight w:val="yellow"/>
        </w:rPr>
        <w:t>Disclaimer (Artificial intelligence)</w:t>
      </w:r>
    </w:p>
    <w:p w14:paraId="74CB5C28" w14:textId="77777777" w:rsidR="00ED30E3" w:rsidRDefault="00ED30E3" w:rsidP="00ED30E3">
      <w:pPr>
        <w:rPr>
          <w:rFonts w:ascii="Calibri" w:eastAsia="Calibri" w:hAnsi="Calibri" w:cs="Times New Roman"/>
          <w:highlight w:val="yellow"/>
        </w:rPr>
      </w:pPr>
      <w:r>
        <w:rPr>
          <w:rFonts w:ascii="Calibri" w:eastAsia="Calibri" w:hAnsi="Calibri" w:cs="Times New Roman"/>
          <w:highlight w:val="yellow"/>
        </w:rPr>
        <w:t>Option 1:</w:t>
      </w:r>
    </w:p>
    <w:p w14:paraId="389B5920" w14:textId="77777777" w:rsidR="00ED30E3" w:rsidRDefault="00ED30E3" w:rsidP="00ED30E3">
      <w:pPr>
        <w:rPr>
          <w:rFonts w:ascii="Calibri" w:eastAsia="Calibri" w:hAnsi="Calibri" w:cs="Times New Roman"/>
          <w:highlight w:val="yellow"/>
        </w:rPr>
      </w:pPr>
      <w:r>
        <w:rPr>
          <w:rFonts w:ascii="Calibri" w:eastAsia="Calibri" w:hAnsi="Calibri" w:cs="Times New Roman"/>
          <w:highlight w:val="yellow"/>
        </w:rPr>
        <w:t xml:space="preserve">Author(s) hereby declare that NO generative AI technologies such as Large Language Models (ChatGPT, COPILOT, etc.) and text-to-image generators have been used during the writing or editing of this manuscript. </w:t>
      </w:r>
    </w:p>
    <w:p w14:paraId="3AB6FE5C" w14:textId="77777777" w:rsidR="00ED30E3" w:rsidRDefault="00ED30E3" w:rsidP="00ED30E3">
      <w:pPr>
        <w:rPr>
          <w:rFonts w:ascii="Calibri" w:eastAsia="Calibri" w:hAnsi="Calibri" w:cs="Times New Roman"/>
          <w:highlight w:val="yellow"/>
        </w:rPr>
      </w:pPr>
      <w:r>
        <w:rPr>
          <w:rFonts w:ascii="Calibri" w:eastAsia="Calibri" w:hAnsi="Calibri" w:cs="Times New Roman"/>
          <w:highlight w:val="yellow"/>
        </w:rPr>
        <w:t xml:space="preserve">Option 2: </w:t>
      </w:r>
    </w:p>
    <w:p w14:paraId="1948F22E" w14:textId="77777777" w:rsidR="00ED30E3" w:rsidRDefault="00ED30E3" w:rsidP="00ED30E3">
      <w:pPr>
        <w:rPr>
          <w:rFonts w:ascii="Calibri" w:eastAsia="Calibri" w:hAnsi="Calibri" w:cs="Times New Roman"/>
          <w:highlight w:val="yellow"/>
        </w:rPr>
      </w:pPr>
      <w:r>
        <w:rPr>
          <w:rFonts w:ascii="Calibri" w:eastAsia="Calibri" w:hAnsi="Calibri" w:cs="Times New Roman"/>
          <w:highlight w:val="yellow"/>
        </w:rPr>
        <w:t xml:space="preserve">Author(s) hereby declare that </w:t>
      </w:r>
      <w:proofErr w:type="spellStart"/>
      <w:r>
        <w:rPr>
          <w:rFonts w:ascii="Calibri" w:eastAsia="Calibri" w:hAnsi="Calibri" w:cs="Times New Roman"/>
          <w:highlight w:val="yellow"/>
        </w:rPr>
        <w:t>generativ</w:t>
      </w:r>
      <w:proofErr w:type="spellEnd"/>
      <w:r>
        <w:rPr>
          <w:rFonts w:ascii="Calibri" w:eastAsia="Calibri" w:hAnsi="Calibri" w:cs="Times New Roman"/>
          <w:highlight w:val="yellow"/>
        </w:rPr>
        <w:t xml:space="preser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E7F91A0" w14:textId="77777777" w:rsidR="00ED30E3" w:rsidRDefault="00ED30E3" w:rsidP="00ED30E3">
      <w:pPr>
        <w:rPr>
          <w:rFonts w:ascii="Calibri" w:eastAsia="Calibri" w:hAnsi="Calibri" w:cs="Times New Roman"/>
          <w:highlight w:val="yellow"/>
        </w:rPr>
      </w:pPr>
      <w:r>
        <w:rPr>
          <w:rFonts w:ascii="Calibri" w:eastAsia="Calibri" w:hAnsi="Calibri" w:cs="Times New Roman"/>
          <w:highlight w:val="yellow"/>
        </w:rPr>
        <w:t>Details of the AI usage are given below:</w:t>
      </w:r>
    </w:p>
    <w:p w14:paraId="1F026278" w14:textId="77777777" w:rsidR="00ED30E3" w:rsidRDefault="00ED30E3" w:rsidP="00ED30E3">
      <w:pPr>
        <w:rPr>
          <w:rFonts w:ascii="Calibri" w:eastAsia="Calibri" w:hAnsi="Calibri" w:cs="Times New Roman"/>
          <w:highlight w:val="yellow"/>
        </w:rPr>
      </w:pPr>
      <w:r>
        <w:rPr>
          <w:rFonts w:ascii="Calibri" w:eastAsia="Calibri" w:hAnsi="Calibri" w:cs="Times New Roman"/>
          <w:highlight w:val="yellow"/>
        </w:rPr>
        <w:lastRenderedPageBreak/>
        <w:t>1.</w:t>
      </w:r>
    </w:p>
    <w:p w14:paraId="39886A0A" w14:textId="77777777" w:rsidR="00ED30E3" w:rsidRDefault="00ED30E3" w:rsidP="00ED30E3">
      <w:pPr>
        <w:rPr>
          <w:rFonts w:ascii="Calibri" w:eastAsia="Calibri" w:hAnsi="Calibri" w:cs="Times New Roman"/>
          <w:highlight w:val="yellow"/>
        </w:rPr>
      </w:pPr>
      <w:r>
        <w:rPr>
          <w:rFonts w:ascii="Calibri" w:eastAsia="Calibri" w:hAnsi="Calibri" w:cs="Times New Roman"/>
          <w:highlight w:val="yellow"/>
        </w:rPr>
        <w:t>2.</w:t>
      </w:r>
    </w:p>
    <w:p w14:paraId="4158D04F" w14:textId="77777777" w:rsidR="00ED30E3" w:rsidRDefault="00ED30E3" w:rsidP="00ED30E3">
      <w:pPr>
        <w:rPr>
          <w:rFonts w:ascii="Calibri" w:eastAsia="Calibri" w:hAnsi="Calibri" w:cs="Times New Roman"/>
          <w:highlight w:val="yellow"/>
        </w:rPr>
      </w:pPr>
      <w:r>
        <w:rPr>
          <w:rFonts w:ascii="Calibri" w:eastAsia="Calibri" w:hAnsi="Calibri" w:cs="Times New Roman"/>
          <w:highlight w:val="yellow"/>
        </w:rPr>
        <w:t>3.</w:t>
      </w:r>
      <w:bookmarkEnd w:id="7"/>
    </w:p>
    <w:bookmarkEnd w:id="8"/>
    <w:p w14:paraId="570D108E" w14:textId="77777777" w:rsidR="00ED30E3" w:rsidRDefault="00ED30E3" w:rsidP="00EC0A15">
      <w:pPr>
        <w:spacing w:line="480" w:lineRule="auto"/>
        <w:jc w:val="both"/>
        <w:rPr>
          <w:rFonts w:ascii="Times New Roman" w:hAnsi="Times New Roman" w:cs="Times New Roman"/>
        </w:rPr>
      </w:pPr>
    </w:p>
    <w:p w14:paraId="3CCC8CB3" w14:textId="25709A10" w:rsidR="00DD739F" w:rsidRDefault="00DD739F" w:rsidP="002D2262">
      <w:pPr>
        <w:spacing w:line="240" w:lineRule="auto"/>
        <w:rPr>
          <w:rFonts w:ascii="Times New Roman" w:hAnsi="Times New Roman" w:cs="Times New Roman"/>
          <w:b/>
          <w:bCs/>
        </w:rPr>
      </w:pPr>
      <w:r w:rsidRPr="00DD739F">
        <w:rPr>
          <w:rFonts w:ascii="Times New Roman" w:hAnsi="Times New Roman" w:cs="Times New Roman"/>
          <w:b/>
          <w:bCs/>
        </w:rPr>
        <w:t>References</w:t>
      </w:r>
    </w:p>
    <w:p w14:paraId="72822FB8" w14:textId="32162270" w:rsidR="00DD739F" w:rsidRDefault="00DD739F" w:rsidP="002D2262">
      <w:pPr>
        <w:spacing w:line="240" w:lineRule="auto"/>
        <w:ind w:left="426" w:hanging="710"/>
      </w:pPr>
      <w:proofErr w:type="spellStart"/>
      <w:r w:rsidRPr="00C82597">
        <w:t>AigberuaIzah</w:t>
      </w:r>
      <w:proofErr w:type="spellEnd"/>
      <w:r>
        <w:t xml:space="preserve"> </w:t>
      </w:r>
      <w:r w:rsidRPr="00C82597">
        <w:t>A. O., S. C.</w:t>
      </w:r>
      <w:r w:rsidR="008D6ADE" w:rsidRPr="00C82597">
        <w:t xml:space="preserve">, </w:t>
      </w:r>
      <w:proofErr w:type="gramStart"/>
      <w:r w:rsidR="008D6ADE">
        <w:t>and</w:t>
      </w:r>
      <w:r>
        <w:t xml:space="preserve"> </w:t>
      </w:r>
      <w:r w:rsidRPr="00C82597">
        <w:t xml:space="preserve"> Isaac</w:t>
      </w:r>
      <w:proofErr w:type="gramEnd"/>
      <w:r w:rsidRPr="00C82597">
        <w:t xml:space="preserve">, I. U. (2018). </w:t>
      </w:r>
      <w:r w:rsidRPr="00C82597">
        <w:rPr>
          <w:i/>
          <w:iCs/>
        </w:rPr>
        <w:t>Level and Health Risk Assessment of Heavy Metals in Selected Seasonings and Culinary Condiments Used in Nigeria</w:t>
      </w:r>
      <w:r w:rsidRPr="00C82597">
        <w:t xml:space="preserve">. </w:t>
      </w:r>
      <w:r w:rsidRPr="00C82597">
        <w:rPr>
          <w:i/>
          <w:iCs/>
        </w:rPr>
        <w:t>8</w:t>
      </w:r>
      <w:r w:rsidRPr="00C82597">
        <w:t xml:space="preserve">. </w:t>
      </w:r>
      <w:hyperlink w:history="1">
        <w:r w:rsidRPr="00C82597">
          <w:rPr>
            <w:rStyle w:val="Hyperlink"/>
          </w:rPr>
          <w:t>https://doi.org/10.5376/BE.2018.08.0002</w:t>
        </w:r>
      </w:hyperlink>
    </w:p>
    <w:p w14:paraId="076D895A" w14:textId="77777777" w:rsidR="00DD739F" w:rsidRDefault="00DD739F" w:rsidP="00DD739F">
      <w:pPr>
        <w:spacing w:line="240" w:lineRule="auto"/>
        <w:ind w:left="426" w:hanging="710"/>
        <w:jc w:val="both"/>
      </w:pPr>
      <w:r w:rsidRPr="003F198A">
        <w:t>Ade, T., Eze, C.,</w:t>
      </w:r>
      <w:r>
        <w:t xml:space="preserve"> </w:t>
      </w:r>
      <w:r w:rsidRPr="003F198A">
        <w:t xml:space="preserve">and Musa, J. (2020). </w:t>
      </w:r>
      <w:r>
        <w:t>Environmental contamination sources in the Federal Capital Territory: Implications for public health. Journal of Environmental Studies, 12 (3), 45–60.</w:t>
      </w:r>
    </w:p>
    <w:p w14:paraId="103AFD91" w14:textId="77777777" w:rsidR="00DD739F" w:rsidRDefault="00DD739F" w:rsidP="00DD739F">
      <w:pPr>
        <w:spacing w:line="240" w:lineRule="auto"/>
        <w:ind w:left="426" w:hanging="710"/>
        <w:jc w:val="both"/>
      </w:pPr>
      <w:r>
        <w:t xml:space="preserve">Adepoju-Bello, A. A., Issa, O. A., </w:t>
      </w:r>
      <w:proofErr w:type="spellStart"/>
      <w:r>
        <w:t>Oguntibeju</w:t>
      </w:r>
      <w:proofErr w:type="spellEnd"/>
      <w:r>
        <w:t xml:space="preserve">, O. O., Ayoola, G. A., and Adejumo, O. E. (2012). Analysis of some selected toxic metals in registered herbal products manufactured in Nigeria. *African Journal of Biotechnology, 11(28), 6918–6922. https://doi.org/10.5897/AJB11.3922  </w:t>
      </w:r>
    </w:p>
    <w:p w14:paraId="421E5C2C" w14:textId="77777777" w:rsidR="00DD739F" w:rsidRPr="00C82597" w:rsidRDefault="00DD739F" w:rsidP="00DD739F">
      <w:pPr>
        <w:spacing w:line="240" w:lineRule="auto"/>
        <w:ind w:left="426" w:hanging="710"/>
        <w:jc w:val="both"/>
      </w:pPr>
      <w:r w:rsidRPr="00C82597">
        <w:t xml:space="preserve">Adepoju-Bello, A. A., Issa, O. A., </w:t>
      </w:r>
      <w:proofErr w:type="spellStart"/>
      <w:r w:rsidRPr="00C82597">
        <w:t>Oguntibeju</w:t>
      </w:r>
      <w:proofErr w:type="spellEnd"/>
      <w:r w:rsidRPr="00C82597">
        <w:t xml:space="preserve">, O. O., Ayoola, G. A., </w:t>
      </w:r>
      <w:r>
        <w:t>and</w:t>
      </w:r>
      <w:r w:rsidRPr="00C82597">
        <w:t xml:space="preserve"> Adejumo, O. E. (2012). Analysis of some selected toxic metals in registered herbal products manufactured in Nigeria. </w:t>
      </w:r>
      <w:r w:rsidRPr="00C82597">
        <w:rPr>
          <w:i/>
          <w:iCs/>
        </w:rPr>
        <w:t>African Journal of Biotechnology, 11</w:t>
      </w:r>
      <w:r w:rsidRPr="00C82597">
        <w:t xml:space="preserve">(28), 6918–6922. </w:t>
      </w:r>
      <w:hyperlink w:tgtFrame="_blank" w:history="1">
        <w:r w:rsidRPr="00C82597">
          <w:rPr>
            <w:rStyle w:val="Hyperlink"/>
          </w:rPr>
          <w:t>https://doi.org/10.5897/AJB11.3922</w:t>
        </w:r>
      </w:hyperlink>
      <w:r w:rsidRPr="00C82597">
        <w:t xml:space="preserve"> </w:t>
      </w:r>
    </w:p>
    <w:p w14:paraId="21C2DC2D" w14:textId="77777777" w:rsidR="00DD739F" w:rsidRDefault="00DD739F" w:rsidP="00DD739F">
      <w:pPr>
        <w:spacing w:after="0" w:line="240" w:lineRule="auto"/>
        <w:ind w:left="709" w:hanging="709"/>
        <w:jc w:val="both"/>
      </w:pPr>
      <w:r>
        <w:t>Adeyemi, A., Olumide, O., and Chukwu, E. (2020). Chromium contamination in food products: Health risks and regulatory challenges. Nigerian Journal of Toxicology, 8(2), 112–125.</w:t>
      </w:r>
    </w:p>
    <w:p w14:paraId="4B857C2B" w14:textId="77777777" w:rsidR="00DD739F" w:rsidRDefault="00DD739F" w:rsidP="00DD739F">
      <w:pPr>
        <w:spacing w:after="0" w:line="240" w:lineRule="auto"/>
        <w:ind w:left="709" w:hanging="709"/>
        <w:jc w:val="both"/>
      </w:pPr>
      <w:r>
        <w:t>Afolabi, O., Okeke, C., and Mohammed, I. (2020). Heavy metal contamination in herbal teas and spices in Ibadan: A comparative analysis. African Journal of Food Science, 14(5), 230–245.</w:t>
      </w:r>
    </w:p>
    <w:p w14:paraId="5AF964F2" w14:textId="77777777" w:rsidR="00DD739F" w:rsidRDefault="00DD739F" w:rsidP="00DD739F">
      <w:pPr>
        <w:spacing w:after="0" w:line="240" w:lineRule="auto"/>
        <w:ind w:left="709" w:hanging="709"/>
        <w:jc w:val="both"/>
      </w:pPr>
      <w:r>
        <w:t xml:space="preserve">Ahmad, S., Khan, M., and Ali, R. (2019). Lead contamination in herbal teas: A global perspective. Journal of Food Safety, 39(4), e12678. </w:t>
      </w:r>
      <w:hyperlink w:history="1">
        <w:r w:rsidRPr="000F593F">
          <w:rPr>
            <w:rStyle w:val="Hyperlink"/>
          </w:rPr>
          <w:t>https://doi.org/10.1111/jfs.12678</w:t>
        </w:r>
      </w:hyperlink>
    </w:p>
    <w:p w14:paraId="2CA28443" w14:textId="77777777" w:rsidR="00DD739F" w:rsidRDefault="00DD739F" w:rsidP="00DD739F">
      <w:pPr>
        <w:spacing w:after="0" w:line="240" w:lineRule="auto"/>
        <w:ind w:left="709" w:hanging="709"/>
        <w:jc w:val="both"/>
      </w:pPr>
      <w:r w:rsidRPr="003F198A">
        <w:t xml:space="preserve">Ali, M., Khan, S., and Rahman, A. (2020). </w:t>
      </w:r>
      <w:r>
        <w:t xml:space="preserve">Manganese levels in green tea: A case study from Pakistan. Food Chemistry, 312, 126045. </w:t>
      </w:r>
      <w:hyperlink w:history="1">
        <w:r w:rsidRPr="000F593F">
          <w:rPr>
            <w:rStyle w:val="Hyperlink"/>
          </w:rPr>
          <w:t>https://doi.org/10.1016/j.foodchem.2019.126045</w:t>
        </w:r>
      </w:hyperlink>
    </w:p>
    <w:p w14:paraId="71B8CAD7" w14:textId="77777777" w:rsidR="00DD739F" w:rsidRDefault="00DD739F" w:rsidP="00DD739F">
      <w:pPr>
        <w:spacing w:after="0" w:line="240" w:lineRule="auto"/>
        <w:ind w:left="709" w:hanging="709"/>
        <w:jc w:val="both"/>
      </w:pPr>
      <w:r w:rsidRPr="00616EF6">
        <w:t>AOAC International. (2000). </w:t>
      </w:r>
      <w:r w:rsidRPr="00616EF6">
        <w:rPr>
          <w:i/>
          <w:iCs/>
        </w:rPr>
        <w:t>Official methods of analysis of AOAC International</w:t>
      </w:r>
      <w:r w:rsidRPr="00616EF6">
        <w:t xml:space="preserve"> (Vol. 17, No. 1-2). AOAC </w:t>
      </w:r>
      <w:r>
        <w:t>International</w:t>
      </w:r>
      <w:r w:rsidRPr="00616EF6">
        <w:t>.</w:t>
      </w:r>
    </w:p>
    <w:p w14:paraId="594A8567" w14:textId="77777777" w:rsidR="00DD739F" w:rsidRDefault="00DD739F" w:rsidP="00DD739F">
      <w:pPr>
        <w:spacing w:line="240" w:lineRule="auto"/>
        <w:ind w:left="426" w:hanging="710"/>
        <w:jc w:val="both"/>
      </w:pPr>
      <w:r>
        <w:t xml:space="preserve">Asomugha, R. U., </w:t>
      </w:r>
      <w:proofErr w:type="spellStart"/>
      <w:r>
        <w:t>Maduabuchi</w:t>
      </w:r>
      <w:proofErr w:type="spellEnd"/>
      <w:r>
        <w:t xml:space="preserve">, U. J., and Orisakwe, O. E. (2023). Street-vended foods in Nigeria: An analysis of the current state of affairs and the way forward. Cogent Food and Agriculture, 9(1), Article 2266194. https://doi.org/10.1080/23311932.2023.2266194  </w:t>
      </w:r>
    </w:p>
    <w:p w14:paraId="1AEC9E75" w14:textId="77777777" w:rsidR="00DD739F" w:rsidRDefault="00DD739F" w:rsidP="00DD739F">
      <w:pPr>
        <w:spacing w:after="0" w:line="240" w:lineRule="auto"/>
        <w:ind w:left="709" w:hanging="709"/>
        <w:jc w:val="both"/>
      </w:pPr>
      <w:proofErr w:type="spellStart"/>
      <w:r w:rsidRPr="0041527C">
        <w:t>Ayanniyi</w:t>
      </w:r>
      <w:proofErr w:type="spellEnd"/>
      <w:r w:rsidRPr="0041527C">
        <w:t xml:space="preserve">, O. A., Ayeni, O. H., Ibitoye, O. S., Aremu, E. A., Wealth, A. S., </w:t>
      </w:r>
      <w:proofErr w:type="spellStart"/>
      <w:r w:rsidRPr="0041527C">
        <w:t>Oyediji</w:t>
      </w:r>
      <w:proofErr w:type="spellEnd"/>
      <w:r w:rsidRPr="0041527C">
        <w:t xml:space="preserve">, O. T., ... </w:t>
      </w:r>
      <w:r>
        <w:t>and</w:t>
      </w:r>
      <w:r w:rsidRPr="0041527C">
        <w:t xml:space="preserve"> </w:t>
      </w:r>
      <w:proofErr w:type="spellStart"/>
      <w:r w:rsidRPr="0041527C">
        <w:t>Aladeokin</w:t>
      </w:r>
      <w:proofErr w:type="spellEnd"/>
      <w:r w:rsidRPr="0041527C">
        <w:t xml:space="preserve">, B. O. (2024). Evaluating estimated daily intake versus acceptable daily intake of heavy metals in </w:t>
      </w:r>
      <w:proofErr w:type="spellStart"/>
      <w:r w:rsidRPr="0041527C">
        <w:t>Farfantepenaeus</w:t>
      </w:r>
      <w:proofErr w:type="spellEnd"/>
      <w:r w:rsidRPr="0041527C">
        <w:t xml:space="preserve"> </w:t>
      </w:r>
      <w:proofErr w:type="spellStart"/>
      <w:r w:rsidRPr="0041527C">
        <w:t>notialis</w:t>
      </w:r>
      <w:proofErr w:type="spellEnd"/>
      <w:r w:rsidRPr="0041527C">
        <w:t xml:space="preserve"> from </w:t>
      </w:r>
      <w:proofErr w:type="spellStart"/>
      <w:r w:rsidRPr="0041527C">
        <w:t>Bodija</w:t>
      </w:r>
      <w:proofErr w:type="spellEnd"/>
      <w:r w:rsidRPr="0041527C">
        <w:t xml:space="preserve"> market, Ibadan: a comprehensive risk assessment. </w:t>
      </w:r>
      <w:r w:rsidRPr="0041527C">
        <w:rPr>
          <w:i/>
          <w:iCs/>
        </w:rPr>
        <w:t>Journal of Research in Forestry, Wildlife and Environment</w:t>
      </w:r>
      <w:r w:rsidRPr="0041527C">
        <w:t>, </w:t>
      </w:r>
      <w:r w:rsidRPr="0041527C">
        <w:rPr>
          <w:i/>
          <w:iCs/>
        </w:rPr>
        <w:t>16</w:t>
      </w:r>
      <w:r w:rsidRPr="0041527C">
        <w:t>(4), 29-38.</w:t>
      </w:r>
    </w:p>
    <w:p w14:paraId="0287A069" w14:textId="77777777" w:rsidR="00DD739F" w:rsidRDefault="00DD739F" w:rsidP="00DD739F">
      <w:pPr>
        <w:spacing w:after="0" w:line="240" w:lineRule="auto"/>
        <w:ind w:left="709" w:hanging="709"/>
        <w:jc w:val="both"/>
      </w:pPr>
      <w:r w:rsidRPr="00EA1124">
        <w:t xml:space="preserve">Ayinde, K. O., Omotosho, S. M., </w:t>
      </w:r>
      <w:proofErr w:type="spellStart"/>
      <w:r w:rsidRPr="00EA1124">
        <w:t>Oyesiku</w:t>
      </w:r>
      <w:proofErr w:type="spellEnd"/>
      <w:r w:rsidRPr="00EA1124">
        <w:t xml:space="preserve">, O. O., Feyisola, R. T., Abiola, O., </w:t>
      </w:r>
      <w:r>
        <w:t>and</w:t>
      </w:r>
      <w:r w:rsidRPr="00EA1124">
        <w:t xml:space="preserve"> Adisa, A. L. (2020). Evaluation of Heavy Metal Pollution from Vehicular Exhausts in Soils along a Highway, </w:t>
      </w:r>
      <w:r w:rsidRPr="00EA1124">
        <w:lastRenderedPageBreak/>
        <w:t>Southwestern Nigeria. </w:t>
      </w:r>
      <w:r w:rsidRPr="00EA1124">
        <w:rPr>
          <w:i/>
          <w:iCs/>
        </w:rPr>
        <w:t>International Journal of Environment, Agriculture and Biotechnology</w:t>
      </w:r>
      <w:r w:rsidRPr="00EA1124">
        <w:t>, </w:t>
      </w:r>
      <w:r w:rsidRPr="00EA1124">
        <w:rPr>
          <w:i/>
          <w:iCs/>
        </w:rPr>
        <w:t>5</w:t>
      </w:r>
      <w:r w:rsidRPr="00EA1124">
        <w:t>(6).</w:t>
      </w:r>
    </w:p>
    <w:p w14:paraId="28218E93" w14:textId="3A338523" w:rsidR="00DD739F" w:rsidRDefault="00DD739F" w:rsidP="00DD739F">
      <w:pPr>
        <w:spacing w:after="0" w:line="240" w:lineRule="auto"/>
        <w:ind w:left="709" w:hanging="709"/>
        <w:jc w:val="both"/>
      </w:pPr>
      <w:r w:rsidRPr="00C82597">
        <w:t xml:space="preserve"> </w:t>
      </w:r>
      <w:proofErr w:type="spellStart"/>
      <w:r w:rsidRPr="00C82597">
        <w:t>Babandi</w:t>
      </w:r>
      <w:proofErr w:type="spellEnd"/>
      <w:r w:rsidRPr="00C82597">
        <w:t xml:space="preserve">, A., Yakubu, N., Barau, M. M., Muazu, A. B., Ya’u, M., </w:t>
      </w:r>
      <w:r>
        <w:t>and</w:t>
      </w:r>
      <w:r w:rsidRPr="00C82597">
        <w:t xml:space="preserve"> Najam, W. S. (2021). Assessment of heavy </w:t>
      </w:r>
      <w:r w:rsidR="00A70A03">
        <w:t>metal</w:t>
      </w:r>
      <w:r w:rsidRPr="00C82597">
        <w:t xml:space="preserve"> contamination in some herbal teas sold in Katsina metropolis, Katsina state, Nigeria. </w:t>
      </w:r>
      <w:proofErr w:type="spellStart"/>
      <w:r w:rsidRPr="00C82597">
        <w:rPr>
          <w:i/>
          <w:iCs/>
        </w:rPr>
        <w:t>Dutse</w:t>
      </w:r>
      <w:proofErr w:type="spellEnd"/>
      <w:r w:rsidRPr="00C82597">
        <w:rPr>
          <w:i/>
          <w:iCs/>
        </w:rPr>
        <w:t xml:space="preserve"> Journal of Pure and Applied Sciences, 7</w:t>
      </w:r>
      <w:r w:rsidRPr="00C82597">
        <w:t xml:space="preserve">(3a), 78–86. </w:t>
      </w:r>
      <w:hyperlink w:tgtFrame="_blank" w:history="1">
        <w:r w:rsidRPr="00C82597">
          <w:rPr>
            <w:rStyle w:val="Hyperlink"/>
          </w:rPr>
          <w:t>https://dx.doi.org/10.4314/dujopas.v7i3a.9</w:t>
        </w:r>
      </w:hyperlink>
      <w:r w:rsidRPr="00C82597">
        <w:t xml:space="preserve"> </w:t>
      </w:r>
    </w:p>
    <w:p w14:paraId="2A675A40" w14:textId="55F29CF9" w:rsidR="00DD739F" w:rsidRDefault="00DD739F" w:rsidP="00DD739F">
      <w:pPr>
        <w:spacing w:after="0" w:line="240" w:lineRule="auto"/>
        <w:ind w:left="709" w:hanging="709"/>
        <w:jc w:val="both"/>
      </w:pPr>
      <w:r w:rsidRPr="0002025B">
        <w:t xml:space="preserve">Babandi, A., Yussuff, Y. M., Yakasai, H. M., Ya'u, M., Shehu, D., Ibrahim, S., ... </w:t>
      </w:r>
      <w:r>
        <w:t>and</w:t>
      </w:r>
      <w:r w:rsidRPr="0002025B">
        <w:t xml:space="preserve"> </w:t>
      </w:r>
      <w:proofErr w:type="spellStart"/>
      <w:r w:rsidRPr="0002025B">
        <w:t>Jagaba</w:t>
      </w:r>
      <w:proofErr w:type="spellEnd"/>
      <w:r w:rsidRPr="0002025B">
        <w:t>, A. H. (2024). Determination of heavy metals contamination, risk prediction</w:t>
      </w:r>
      <w:r w:rsidR="00A70A03">
        <w:t>,</w:t>
      </w:r>
      <w:r w:rsidRPr="0002025B">
        <w:t xml:space="preserve"> and antioxidant properties of anti-malarial herbal mixture sold in Kano state, Nigeria. </w:t>
      </w:r>
      <w:r w:rsidRPr="0002025B">
        <w:rPr>
          <w:i/>
          <w:iCs/>
        </w:rPr>
        <w:t>Case Studies in Chemical and Environmental Engineering</w:t>
      </w:r>
      <w:r w:rsidRPr="0002025B">
        <w:t>, </w:t>
      </w:r>
      <w:r w:rsidRPr="0002025B">
        <w:rPr>
          <w:i/>
          <w:iCs/>
        </w:rPr>
        <w:t>9</w:t>
      </w:r>
      <w:r w:rsidRPr="0002025B">
        <w:t>, 100576.</w:t>
      </w:r>
    </w:p>
    <w:p w14:paraId="59FE003F" w14:textId="77777777" w:rsidR="00DD739F" w:rsidRDefault="00DD739F" w:rsidP="00DD739F">
      <w:pPr>
        <w:spacing w:after="0" w:line="240" w:lineRule="auto"/>
        <w:ind w:left="709" w:hanging="709"/>
        <w:jc w:val="both"/>
      </w:pPr>
      <w:r w:rsidRPr="00B73582">
        <w:t xml:space="preserve">Baig, J. A., Bhatti, S., Kazi, T. G., </w:t>
      </w:r>
      <w:r>
        <w:t>and</w:t>
      </w:r>
      <w:r w:rsidRPr="00B73582">
        <w:t xml:space="preserve"> Afridi, H. I. (2019). Evaluation of arsenic, cadmium, nickel</w:t>
      </w:r>
      <w:r>
        <w:t>,</w:t>
      </w:r>
      <w:r w:rsidRPr="00B73582">
        <w:t xml:space="preserve"> and lead in common spices in Pakistan. </w:t>
      </w:r>
      <w:r w:rsidRPr="00B73582">
        <w:rPr>
          <w:i/>
          <w:iCs/>
        </w:rPr>
        <w:t>Biological trace element research</w:t>
      </w:r>
      <w:r w:rsidRPr="00B73582">
        <w:t>, </w:t>
      </w:r>
      <w:r w:rsidRPr="00B73582">
        <w:rPr>
          <w:i/>
          <w:iCs/>
        </w:rPr>
        <w:t>187</w:t>
      </w:r>
      <w:r w:rsidRPr="00B73582">
        <w:t>(2), 586-595.</w:t>
      </w:r>
    </w:p>
    <w:p w14:paraId="005C572B" w14:textId="37DE99B2" w:rsidR="00DD739F" w:rsidRDefault="00DD739F" w:rsidP="00DD739F">
      <w:pPr>
        <w:spacing w:after="0" w:line="240" w:lineRule="auto"/>
        <w:ind w:left="709" w:hanging="709"/>
        <w:jc w:val="both"/>
      </w:pPr>
      <w:r w:rsidRPr="00616EF6">
        <w:t xml:space="preserve">Barriga-Vélez, M. A., Ramírez-Vargas, L. C., </w:t>
      </w:r>
      <w:r w:rsidR="00843996">
        <w:t>López-Barrera, E. A. y</w:t>
      </w:r>
      <w:r w:rsidRPr="00616EF6">
        <w:t xml:space="preserve"> Peña-Rincón, C. A. (2023). Potential ecological risk index for metals in a grazing area, </w:t>
      </w:r>
      <w:proofErr w:type="spellStart"/>
      <w:r w:rsidRPr="00616EF6">
        <w:t>Guasca</w:t>
      </w:r>
      <w:proofErr w:type="spellEnd"/>
      <w:r w:rsidRPr="00616EF6">
        <w:t>, Cundinamarca. </w:t>
      </w:r>
      <w:proofErr w:type="spellStart"/>
      <w:r w:rsidRPr="00616EF6">
        <w:rPr>
          <w:i/>
          <w:iCs/>
        </w:rPr>
        <w:t>Revista</w:t>
      </w:r>
      <w:proofErr w:type="spellEnd"/>
      <w:r w:rsidRPr="00616EF6">
        <w:rPr>
          <w:i/>
          <w:iCs/>
        </w:rPr>
        <w:t xml:space="preserve"> </w:t>
      </w:r>
      <w:proofErr w:type="spellStart"/>
      <w:r w:rsidRPr="00616EF6">
        <w:rPr>
          <w:i/>
          <w:iCs/>
        </w:rPr>
        <w:t>Facultad</w:t>
      </w:r>
      <w:proofErr w:type="spellEnd"/>
      <w:r w:rsidRPr="00616EF6">
        <w:rPr>
          <w:i/>
          <w:iCs/>
        </w:rPr>
        <w:t xml:space="preserve"> de </w:t>
      </w:r>
      <w:proofErr w:type="spellStart"/>
      <w:r w:rsidRPr="00616EF6">
        <w:rPr>
          <w:i/>
          <w:iCs/>
        </w:rPr>
        <w:t>Ingeniería</w:t>
      </w:r>
      <w:proofErr w:type="spellEnd"/>
      <w:r w:rsidRPr="00616EF6">
        <w:rPr>
          <w:i/>
          <w:iCs/>
        </w:rPr>
        <w:t xml:space="preserve"> Universidad de Antioquia</w:t>
      </w:r>
      <w:r w:rsidRPr="00616EF6">
        <w:t xml:space="preserve">, </w:t>
      </w:r>
      <w:r>
        <w:t>106</w:t>
      </w:r>
      <w:r w:rsidRPr="00616EF6">
        <w:t>, 103-112.</w:t>
      </w:r>
    </w:p>
    <w:p w14:paraId="7188BDC5" w14:textId="247A15E0" w:rsidR="00DD739F" w:rsidRDefault="00DD739F" w:rsidP="00DD739F">
      <w:pPr>
        <w:spacing w:after="0" w:line="240" w:lineRule="auto"/>
        <w:ind w:left="709" w:hanging="709"/>
        <w:jc w:val="both"/>
      </w:pPr>
      <w:r>
        <w:t>Beatriz, L., Souza, M. and Ferreira, J. (2021). Heavy metal residues in spices: A focus on black pepper. Journal of Agricultural Science, 13(7), 89–102.</w:t>
      </w:r>
    </w:p>
    <w:p w14:paraId="25E534C4" w14:textId="77777777" w:rsidR="00DD739F" w:rsidRDefault="00DD739F" w:rsidP="00DD739F">
      <w:pPr>
        <w:spacing w:after="0" w:line="240" w:lineRule="auto"/>
        <w:ind w:left="709" w:hanging="709"/>
        <w:jc w:val="both"/>
      </w:pPr>
      <w:proofErr w:type="spellStart"/>
      <w:r>
        <w:t>Borobia</w:t>
      </w:r>
      <w:proofErr w:type="spellEnd"/>
      <w:r>
        <w:t xml:space="preserve">, A., Lopez, M., and Garcia, R. (2020). Copper toxicity: Mechanisms and health impacts. Toxicology Reviews, 39(1), 55–67. </w:t>
      </w:r>
      <w:hyperlink w:history="1">
        <w:r w:rsidRPr="000F593F">
          <w:rPr>
            <w:rStyle w:val="Hyperlink"/>
          </w:rPr>
          <w:t>https://doi.org/10.1007/s12154-019-00234-5</w:t>
        </w:r>
      </w:hyperlink>
    </w:p>
    <w:p w14:paraId="6526115A" w14:textId="77777777" w:rsidR="00DD739F" w:rsidRDefault="00DD739F" w:rsidP="00DD739F">
      <w:pPr>
        <w:spacing w:after="0" w:line="240" w:lineRule="auto"/>
        <w:ind w:left="709" w:hanging="709"/>
        <w:jc w:val="both"/>
      </w:pPr>
      <w:r w:rsidRPr="0041527C">
        <w:t xml:space="preserve">Budi, H. S., Catalan </w:t>
      </w:r>
      <w:proofErr w:type="spellStart"/>
      <w:r w:rsidRPr="0041527C">
        <w:t>Opulencia</w:t>
      </w:r>
      <w:proofErr w:type="spellEnd"/>
      <w:r w:rsidRPr="0041527C">
        <w:t xml:space="preserve">, M. J., Afra, A., </w:t>
      </w:r>
      <w:proofErr w:type="spellStart"/>
      <w:r w:rsidRPr="0041527C">
        <w:t>Abdelbasset</w:t>
      </w:r>
      <w:proofErr w:type="spellEnd"/>
      <w:r w:rsidRPr="0041527C">
        <w:t xml:space="preserve">, W. K., Abdullaev, D., Majdi, A., ... </w:t>
      </w:r>
      <w:r>
        <w:t>and</w:t>
      </w:r>
      <w:r w:rsidRPr="0041527C">
        <w:t xml:space="preserve"> Mohammadi, M. J. (2024). Source, toxicity</w:t>
      </w:r>
      <w:r>
        <w:t>,</w:t>
      </w:r>
      <w:r w:rsidRPr="0041527C">
        <w:t xml:space="preserve"> and carcinogenic health risk assessment of heavy metals. </w:t>
      </w:r>
      <w:r w:rsidRPr="0041527C">
        <w:rPr>
          <w:i/>
          <w:iCs/>
        </w:rPr>
        <w:t>Reviews on Environmental Health</w:t>
      </w:r>
      <w:r w:rsidRPr="0041527C">
        <w:t>, </w:t>
      </w:r>
      <w:r w:rsidRPr="0041527C">
        <w:rPr>
          <w:i/>
          <w:iCs/>
        </w:rPr>
        <w:t>39</w:t>
      </w:r>
      <w:r w:rsidRPr="0041527C">
        <w:t>(1), 77-90.</w:t>
      </w:r>
    </w:p>
    <w:p w14:paraId="007494D9" w14:textId="77777777" w:rsidR="00DD739F" w:rsidRDefault="00DD739F" w:rsidP="00DD739F">
      <w:pPr>
        <w:spacing w:after="0" w:line="240" w:lineRule="auto"/>
        <w:ind w:left="709" w:hanging="709"/>
        <w:jc w:val="both"/>
      </w:pPr>
      <w:r w:rsidRPr="00DC0D43">
        <w:t xml:space="preserve">Chen, X., Wang, Y., and Li, Z. (2019). </w:t>
      </w:r>
      <w:r>
        <w:t xml:space="preserve">Cadmium toxicity: Renal and skeletal implications. Environmental Health Perspectives, 127(6), 067008. </w:t>
      </w:r>
      <w:hyperlink w:history="1">
        <w:r w:rsidRPr="000F593F">
          <w:rPr>
            <w:rStyle w:val="Hyperlink"/>
          </w:rPr>
          <w:t>https://doi.org/10.1289/EHP5273</w:t>
        </w:r>
      </w:hyperlink>
    </w:p>
    <w:p w14:paraId="137EF292" w14:textId="77777777" w:rsidR="00DD739F" w:rsidRDefault="00DD739F" w:rsidP="00DD739F">
      <w:pPr>
        <w:spacing w:after="0" w:line="240" w:lineRule="auto"/>
        <w:ind w:left="709" w:hanging="709"/>
        <w:jc w:val="both"/>
      </w:pPr>
      <w:r>
        <w:t>Chukwu, E., Adeyemi, A., and Okeke, C. (2019). Hepatotoxicity and nephrotoxicity from copper exposure in food products. Journal of Health and Environmental Research, 5(4), 78–90.</w:t>
      </w:r>
    </w:p>
    <w:p w14:paraId="082C8530" w14:textId="77777777" w:rsidR="00DD739F" w:rsidRDefault="00DD739F" w:rsidP="00DD739F">
      <w:pPr>
        <w:spacing w:after="0" w:line="240" w:lineRule="auto"/>
        <w:ind w:left="709" w:hanging="709"/>
        <w:jc w:val="both"/>
      </w:pPr>
      <w:r w:rsidRPr="00434EEB">
        <w:t xml:space="preserve">Duru, S. C., </w:t>
      </w:r>
      <w:proofErr w:type="spellStart"/>
      <w:r w:rsidRPr="00434EEB">
        <w:t>Echiegu</w:t>
      </w:r>
      <w:proofErr w:type="spellEnd"/>
      <w:r w:rsidRPr="00434EEB">
        <w:t xml:space="preserve">, E. A., Anyadike, C. C., </w:t>
      </w:r>
      <w:proofErr w:type="spellStart"/>
      <w:r w:rsidRPr="00434EEB">
        <w:t>Alaneme</w:t>
      </w:r>
      <w:proofErr w:type="spellEnd"/>
      <w:r w:rsidRPr="00434EEB">
        <w:t xml:space="preserve">, G. U., </w:t>
      </w:r>
      <w:r>
        <w:t>and</w:t>
      </w:r>
      <w:r w:rsidRPr="00434EEB">
        <w:t xml:space="preserve"> Okechukwu, M. E. (2024). Spatial variability of heavy </w:t>
      </w:r>
      <w:r>
        <w:t>metal</w:t>
      </w:r>
      <w:r w:rsidRPr="00434EEB">
        <w:t xml:space="preserve"> concentrations in soil of auto-mechanic workshop clusters in Nsukka, Nigeria. </w:t>
      </w:r>
      <w:r w:rsidRPr="00434EEB">
        <w:rPr>
          <w:i/>
          <w:iCs/>
        </w:rPr>
        <w:t>Scientific Reports</w:t>
      </w:r>
      <w:r w:rsidRPr="00434EEB">
        <w:t>, </w:t>
      </w:r>
      <w:r w:rsidRPr="00434EEB">
        <w:rPr>
          <w:i/>
          <w:iCs/>
        </w:rPr>
        <w:t>14</w:t>
      </w:r>
      <w:r w:rsidRPr="00434EEB">
        <w:t>(1), 9681.</w:t>
      </w:r>
    </w:p>
    <w:p w14:paraId="2EFE3F9E" w14:textId="77777777" w:rsidR="00DD739F" w:rsidRDefault="00DD739F" w:rsidP="00DD739F">
      <w:pPr>
        <w:spacing w:after="0" w:line="240" w:lineRule="auto"/>
        <w:ind w:left="709" w:hanging="709"/>
        <w:jc w:val="both"/>
      </w:pPr>
      <w:r>
        <w:t>Eze, C., Okeke, C., and Afolabi, O. (2023). Heavy metal profiles in spices and teas from Awka, Nigeria. Nigerian Journal of Environmental Science, 15(2), 34–49.</w:t>
      </w:r>
    </w:p>
    <w:p w14:paraId="6ADB62EE" w14:textId="77777777" w:rsidR="00DD739F" w:rsidRDefault="00DD739F" w:rsidP="00DD739F">
      <w:pPr>
        <w:spacing w:after="0" w:line="240" w:lineRule="auto"/>
        <w:ind w:left="709" w:hanging="709"/>
        <w:jc w:val="both"/>
      </w:pPr>
      <w:proofErr w:type="spellStart"/>
      <w:r>
        <w:t>Filalova</w:t>
      </w:r>
      <w:proofErr w:type="spellEnd"/>
      <w:r>
        <w:t xml:space="preserve">, T., and Chepak, V. (2020). Nickel toxicity: Dermatological and respiratory effects. Journal of Occupational Health, 62(1), e12145. </w:t>
      </w:r>
      <w:hyperlink w:history="1">
        <w:r w:rsidRPr="000F593F">
          <w:rPr>
            <w:rStyle w:val="Hyperlink"/>
          </w:rPr>
          <w:t>https://doi.org/10.1002/1348-9585.12145</w:t>
        </w:r>
      </w:hyperlink>
    </w:p>
    <w:p w14:paraId="7D6F3470" w14:textId="77777777" w:rsidR="00DD739F" w:rsidRDefault="00DD739F" w:rsidP="00DD739F">
      <w:pPr>
        <w:spacing w:after="0" w:line="240" w:lineRule="auto"/>
        <w:ind w:left="709" w:hanging="709"/>
        <w:jc w:val="both"/>
      </w:pPr>
      <w:r>
        <w:t xml:space="preserve">Genchi, G., Carocci, A., and Lauria, G. (2020). Cadmium: Environmental exposure and health effects. International Journal of Environmental Research and Public Health, 17(3), 987. </w:t>
      </w:r>
      <w:hyperlink w:history="1">
        <w:r w:rsidRPr="000F593F">
          <w:rPr>
            <w:rStyle w:val="Hyperlink"/>
          </w:rPr>
          <w:t>https://doi.org/10.3390/ijerph17030987</w:t>
        </w:r>
      </w:hyperlink>
    </w:p>
    <w:p w14:paraId="2E3BAB8B" w14:textId="77777777" w:rsidR="00DD739F" w:rsidRDefault="00DD739F" w:rsidP="00DD739F">
      <w:pPr>
        <w:spacing w:after="0" w:line="240" w:lineRule="auto"/>
        <w:ind w:left="709" w:hanging="709"/>
        <w:jc w:val="both"/>
      </w:pPr>
      <w:r>
        <w:t xml:space="preserve">Genchi, G., Sinicropi, M. S., and Carocci, A. (2023). Cobalt toxicity: Emerging concerns in food safety. Food and Chemical Toxicology, 172, 113576. </w:t>
      </w:r>
      <w:hyperlink w:history="1">
        <w:r w:rsidRPr="000F593F">
          <w:rPr>
            <w:rStyle w:val="Hyperlink"/>
          </w:rPr>
          <w:t>https://doi.org/10.1016/j.fct.2022.113576</w:t>
        </w:r>
      </w:hyperlink>
      <w:r>
        <w:t>.</w:t>
      </w:r>
    </w:p>
    <w:p w14:paraId="4230BAE7" w14:textId="77777777" w:rsidR="00DD739F" w:rsidRDefault="00DD739F" w:rsidP="00DD739F">
      <w:pPr>
        <w:spacing w:after="0" w:line="240" w:lineRule="auto"/>
        <w:ind w:left="709" w:hanging="709"/>
        <w:jc w:val="both"/>
      </w:pPr>
      <w:r>
        <w:t xml:space="preserve">Hossain, M., Ahmed, S., and Rahman, M. (2018). Chromium levels in tea leaves: A global survey. Journal of Food Composition and Analysis, 73, 112–118. </w:t>
      </w:r>
      <w:hyperlink w:history="1">
        <w:r w:rsidRPr="000F593F">
          <w:rPr>
            <w:rStyle w:val="Hyperlink"/>
          </w:rPr>
          <w:t>https://doi.org/10.1016/j.jfca.2018.07.010</w:t>
        </w:r>
      </w:hyperlink>
      <w:r>
        <w:t>.</w:t>
      </w:r>
    </w:p>
    <w:p w14:paraId="627F0DBA" w14:textId="77777777" w:rsidR="00DD739F" w:rsidRDefault="00DD739F" w:rsidP="00DD739F">
      <w:pPr>
        <w:spacing w:after="0" w:line="240" w:lineRule="auto"/>
        <w:ind w:left="709" w:hanging="709"/>
        <w:jc w:val="both"/>
      </w:pPr>
      <w:r w:rsidRPr="00084192">
        <w:lastRenderedPageBreak/>
        <w:t xml:space="preserve">Hu, Y., Wang, J., Yang, Y., Li, S., Wu, Q., </w:t>
      </w:r>
      <w:proofErr w:type="spellStart"/>
      <w:r w:rsidRPr="00084192">
        <w:t>Nepovimova</w:t>
      </w:r>
      <w:proofErr w:type="spellEnd"/>
      <w:r w:rsidRPr="00084192">
        <w:t xml:space="preserve">, E., ... </w:t>
      </w:r>
      <w:r>
        <w:t>and</w:t>
      </w:r>
      <w:r w:rsidRPr="00B73582">
        <w:t xml:space="preserve"> Kuca, K. (2024). Revolutionizing soil heavy metal remediation: Cutting-edge innovations in plant disposal technology. </w:t>
      </w:r>
      <w:r w:rsidRPr="00B73582">
        <w:rPr>
          <w:i/>
          <w:iCs/>
        </w:rPr>
        <w:t>Science of The Total Environment</w:t>
      </w:r>
      <w:r w:rsidRPr="00B73582">
        <w:t>, </w:t>
      </w:r>
      <w:r w:rsidRPr="00B73582">
        <w:rPr>
          <w:i/>
          <w:iCs/>
        </w:rPr>
        <w:t>918</w:t>
      </w:r>
      <w:r w:rsidRPr="00B73582">
        <w:t>, 170577.</w:t>
      </w:r>
    </w:p>
    <w:p w14:paraId="3F3E824B" w14:textId="77777777" w:rsidR="00DD739F" w:rsidRDefault="00DD739F" w:rsidP="00DD739F">
      <w:pPr>
        <w:spacing w:after="0" w:line="240" w:lineRule="auto"/>
        <w:ind w:left="709" w:hanging="709"/>
        <w:jc w:val="both"/>
      </w:pPr>
      <w:r>
        <w:t xml:space="preserve">Idris, M., Musa, J., and Ade, T. (2021). Heavy metal contamination in spices from Kano, Nigeria. Journal of Food Protection, 84(6), 987–995. </w:t>
      </w:r>
      <w:hyperlink w:history="1">
        <w:r w:rsidRPr="000F593F">
          <w:rPr>
            <w:rStyle w:val="Hyperlink"/>
          </w:rPr>
          <w:t>https://doi.org/10.4315/JFP-20-345</w:t>
        </w:r>
      </w:hyperlink>
    </w:p>
    <w:p w14:paraId="5C195C66" w14:textId="77777777" w:rsidR="00DD739F" w:rsidRDefault="00DD739F" w:rsidP="00DD739F">
      <w:pPr>
        <w:spacing w:after="0" w:line="240" w:lineRule="auto"/>
        <w:ind w:left="709" w:hanging="709"/>
        <w:jc w:val="both"/>
      </w:pPr>
      <w:proofErr w:type="spellStart"/>
      <w:r w:rsidRPr="0041527C">
        <w:t>Inobeme</w:t>
      </w:r>
      <w:proofErr w:type="spellEnd"/>
      <w:r w:rsidRPr="0041527C">
        <w:t xml:space="preserve">, A., Mathew, J. T., </w:t>
      </w:r>
      <w:proofErr w:type="spellStart"/>
      <w:r w:rsidRPr="0041527C">
        <w:t>Jatto</w:t>
      </w:r>
      <w:proofErr w:type="spellEnd"/>
      <w:r w:rsidRPr="0041527C">
        <w:t xml:space="preserve">, E., </w:t>
      </w:r>
      <w:proofErr w:type="spellStart"/>
      <w:r w:rsidRPr="0041527C">
        <w:t>Inobeme</w:t>
      </w:r>
      <w:proofErr w:type="spellEnd"/>
      <w:r w:rsidRPr="0041527C">
        <w:t xml:space="preserve">, J., Adetunji, C. O., </w:t>
      </w:r>
      <w:proofErr w:type="spellStart"/>
      <w:r w:rsidRPr="0041527C">
        <w:t>Muniratu</w:t>
      </w:r>
      <w:proofErr w:type="spellEnd"/>
      <w:r w:rsidRPr="0041527C">
        <w:t xml:space="preserve">, M., ... </w:t>
      </w:r>
      <w:r>
        <w:t>and</w:t>
      </w:r>
      <w:r w:rsidRPr="0041527C">
        <w:t xml:space="preserve"> </w:t>
      </w:r>
      <w:proofErr w:type="spellStart"/>
      <w:r w:rsidRPr="0041527C">
        <w:t>Omali</w:t>
      </w:r>
      <w:proofErr w:type="spellEnd"/>
      <w:r w:rsidRPr="0041527C">
        <w:t>, P. I. (2023). Recent advances in instrumental techniques for heavy metal quantification. </w:t>
      </w:r>
      <w:r w:rsidRPr="0041527C">
        <w:rPr>
          <w:i/>
          <w:iCs/>
        </w:rPr>
        <w:t>Environmental Monitoring and Assessment</w:t>
      </w:r>
      <w:r w:rsidRPr="0041527C">
        <w:t>, </w:t>
      </w:r>
      <w:r w:rsidRPr="0041527C">
        <w:rPr>
          <w:i/>
          <w:iCs/>
        </w:rPr>
        <w:t>195</w:t>
      </w:r>
      <w:r w:rsidRPr="0041527C">
        <w:t>(4), 452.</w:t>
      </w:r>
    </w:p>
    <w:p w14:paraId="53FA9723" w14:textId="77777777" w:rsidR="00DD739F" w:rsidRDefault="00DD739F" w:rsidP="00DD739F">
      <w:pPr>
        <w:spacing w:after="0" w:line="240" w:lineRule="auto"/>
        <w:ind w:left="709" w:hanging="709"/>
        <w:jc w:val="both"/>
      </w:pPr>
      <w:r w:rsidRPr="00C82597">
        <w:t xml:space="preserve">Izah, S. C., </w:t>
      </w:r>
      <w:r w:rsidRPr="00DC0D43">
        <w:t>and</w:t>
      </w:r>
      <w:r w:rsidRPr="00C82597">
        <w:t xml:space="preserve"> </w:t>
      </w:r>
      <w:proofErr w:type="spellStart"/>
      <w:r w:rsidRPr="00C82597">
        <w:t>Aigberua</w:t>
      </w:r>
      <w:proofErr w:type="spellEnd"/>
      <w:r w:rsidRPr="00C82597">
        <w:t xml:space="preserve">, A. O. (2020). Assessing the nutritional value and heavy metals in edible vegetables sold in selected markets in Port Harcourt, Nigeria. </w:t>
      </w:r>
      <w:r w:rsidRPr="00C82597">
        <w:rPr>
          <w:i/>
          <w:iCs/>
        </w:rPr>
        <w:t>Journal of Environmental Chemistry and Ecotoxicology</w:t>
      </w:r>
      <w:r w:rsidRPr="00C82597">
        <w:t xml:space="preserve">, 12(2), 39–48. </w:t>
      </w:r>
      <w:hyperlink w:tgtFrame="_blank" w:history="1">
        <w:r w:rsidRPr="00C82597">
          <w:rPr>
            <w:rStyle w:val="Hyperlink"/>
          </w:rPr>
          <w:t>https://doi.org/10.5897/JECE2020.0454</w:t>
        </w:r>
      </w:hyperlink>
      <w:r w:rsidRPr="00C82597">
        <w:t>,</w:t>
      </w:r>
    </w:p>
    <w:p w14:paraId="4F84EAA3" w14:textId="77777777" w:rsidR="00DD739F" w:rsidRDefault="00DD739F" w:rsidP="00DD739F">
      <w:pPr>
        <w:spacing w:after="0" w:line="240" w:lineRule="auto"/>
        <w:ind w:left="709" w:hanging="709"/>
        <w:jc w:val="both"/>
      </w:pPr>
      <w:proofErr w:type="spellStart"/>
      <w:r w:rsidRPr="00B73582">
        <w:t>Jadaa</w:t>
      </w:r>
      <w:proofErr w:type="spellEnd"/>
      <w:r w:rsidRPr="00B73582">
        <w:t xml:space="preserve">, W., </w:t>
      </w:r>
      <w:r>
        <w:t>and</w:t>
      </w:r>
      <w:r w:rsidRPr="00B73582">
        <w:t xml:space="preserve"> Mohammed, H. (2023). Heavy metals–definition, natural and anthropogenic sources of </w:t>
      </w:r>
      <w:r>
        <w:t>release</w:t>
      </w:r>
      <w:r w:rsidRPr="00B73582">
        <w:t xml:space="preserve"> into ecosystems, toxicity, and removal methods–an overview study. </w:t>
      </w:r>
      <w:r w:rsidRPr="00B73582">
        <w:rPr>
          <w:i/>
          <w:iCs/>
        </w:rPr>
        <w:t>Journal of Ecological Engineering</w:t>
      </w:r>
      <w:r w:rsidRPr="00B73582">
        <w:t>, </w:t>
      </w:r>
      <w:r w:rsidRPr="00B73582">
        <w:rPr>
          <w:i/>
          <w:iCs/>
        </w:rPr>
        <w:t>24</w:t>
      </w:r>
      <w:r w:rsidRPr="00B73582">
        <w:t>(6), 249-271.</w:t>
      </w:r>
    </w:p>
    <w:p w14:paraId="273E6461" w14:textId="77777777" w:rsidR="00DD739F" w:rsidRDefault="00DD739F" w:rsidP="00DD739F">
      <w:pPr>
        <w:spacing w:after="0" w:line="240" w:lineRule="auto"/>
        <w:ind w:left="709" w:hanging="709"/>
        <w:jc w:val="both"/>
      </w:pPr>
      <w:r>
        <w:t xml:space="preserve">Karami, H., Rasekh, M., and Mirzaee, M. (2019). Heavy metal content in turmeric: A case study from Iran. Food Science and Technology International, 25(4), 321–330. </w:t>
      </w:r>
      <w:hyperlink w:history="1">
        <w:r w:rsidRPr="000F593F">
          <w:rPr>
            <w:rStyle w:val="Hyperlink"/>
          </w:rPr>
          <w:t>https://doi.org/10.1177/1082013218820012</w:t>
        </w:r>
      </w:hyperlink>
    </w:p>
    <w:p w14:paraId="1F9DA53F" w14:textId="77777777" w:rsidR="00DD739F" w:rsidRDefault="00DD739F" w:rsidP="00DD739F">
      <w:pPr>
        <w:spacing w:after="0" w:line="240" w:lineRule="auto"/>
        <w:ind w:left="709" w:hanging="709"/>
        <w:jc w:val="both"/>
      </w:pPr>
      <w:r w:rsidRPr="00B73582">
        <w:t xml:space="preserve">Kelle, H. I., </w:t>
      </w:r>
      <w:proofErr w:type="spellStart"/>
      <w:r w:rsidRPr="00B73582">
        <w:t>Ogoko</w:t>
      </w:r>
      <w:proofErr w:type="spellEnd"/>
      <w:r w:rsidRPr="00B73582">
        <w:t xml:space="preserve">, E. C., Udeozo, P. I., Fagbohun, A. A., </w:t>
      </w:r>
      <w:proofErr w:type="spellStart"/>
      <w:r w:rsidRPr="00B73582">
        <w:t>Ngbede</w:t>
      </w:r>
      <w:proofErr w:type="spellEnd"/>
      <w:r w:rsidRPr="00B73582">
        <w:t xml:space="preserve">, E. O., </w:t>
      </w:r>
      <w:proofErr w:type="spellStart"/>
      <w:r w:rsidRPr="00B73582">
        <w:t>Okopi</w:t>
      </w:r>
      <w:proofErr w:type="spellEnd"/>
      <w:r w:rsidRPr="00B73582">
        <w:t xml:space="preserve">, P. A., </w:t>
      </w:r>
      <w:r>
        <w:t>and</w:t>
      </w:r>
      <w:r w:rsidRPr="00B73582">
        <w:t xml:space="preserve"> Adamu, J. (2024). Investigation and health risk assessment of heavy metals in cattle from slaughterhouses in </w:t>
      </w:r>
      <w:r>
        <w:t xml:space="preserve">the </w:t>
      </w:r>
      <w:r w:rsidRPr="00B73582">
        <w:t>Federal Capital Territory (FCT), Abuja, Nigeria. </w:t>
      </w:r>
      <w:proofErr w:type="spellStart"/>
      <w:r w:rsidRPr="00B73582">
        <w:rPr>
          <w:i/>
          <w:iCs/>
        </w:rPr>
        <w:t>Revista</w:t>
      </w:r>
      <w:proofErr w:type="spellEnd"/>
      <w:r w:rsidRPr="00B73582">
        <w:rPr>
          <w:i/>
          <w:iCs/>
        </w:rPr>
        <w:t xml:space="preserve"> </w:t>
      </w:r>
      <w:proofErr w:type="spellStart"/>
      <w:r w:rsidRPr="00B73582">
        <w:rPr>
          <w:i/>
          <w:iCs/>
        </w:rPr>
        <w:t>Colombiana</w:t>
      </w:r>
      <w:proofErr w:type="spellEnd"/>
      <w:r w:rsidRPr="00B73582">
        <w:rPr>
          <w:i/>
          <w:iCs/>
        </w:rPr>
        <w:t xml:space="preserve"> de </w:t>
      </w:r>
      <w:proofErr w:type="spellStart"/>
      <w:r w:rsidRPr="00B73582">
        <w:rPr>
          <w:i/>
          <w:iCs/>
        </w:rPr>
        <w:t>Ciencias</w:t>
      </w:r>
      <w:proofErr w:type="spellEnd"/>
      <w:r w:rsidRPr="00B73582">
        <w:rPr>
          <w:i/>
          <w:iCs/>
        </w:rPr>
        <w:t xml:space="preserve"> </w:t>
      </w:r>
      <w:proofErr w:type="spellStart"/>
      <w:r w:rsidRPr="00B73582">
        <w:rPr>
          <w:i/>
          <w:iCs/>
        </w:rPr>
        <w:t>Químico-Farmacéuticas</w:t>
      </w:r>
      <w:proofErr w:type="spellEnd"/>
      <w:r w:rsidRPr="00B73582">
        <w:t>, </w:t>
      </w:r>
      <w:r w:rsidRPr="00B73582">
        <w:rPr>
          <w:i/>
          <w:iCs/>
        </w:rPr>
        <w:t>53</w:t>
      </w:r>
      <w:r w:rsidRPr="00B73582">
        <w:t>(3), 804-830.</w:t>
      </w:r>
    </w:p>
    <w:p w14:paraId="7DD92AB7" w14:textId="77777777" w:rsidR="00DD739F" w:rsidRDefault="00DD739F" w:rsidP="00DD739F">
      <w:pPr>
        <w:spacing w:after="0" w:line="240" w:lineRule="auto"/>
        <w:ind w:left="709" w:hanging="709"/>
        <w:jc w:val="both"/>
      </w:pPr>
      <w:r w:rsidRPr="00616EF6">
        <w:t>Kowalska, G. (2021). The safety assessment of toxic metals in commonly used herbs, spices, tea, and coffee in Poland. </w:t>
      </w:r>
      <w:r w:rsidRPr="00616EF6">
        <w:rPr>
          <w:i/>
          <w:iCs/>
        </w:rPr>
        <w:t>International journal of environmental research and public health</w:t>
      </w:r>
      <w:r w:rsidRPr="00616EF6">
        <w:t>, </w:t>
      </w:r>
      <w:r w:rsidRPr="00616EF6">
        <w:rPr>
          <w:i/>
          <w:iCs/>
        </w:rPr>
        <w:t>18</w:t>
      </w:r>
      <w:r w:rsidRPr="00616EF6">
        <w:t>(11), 5779.</w:t>
      </w:r>
    </w:p>
    <w:p w14:paraId="0F489D9A" w14:textId="77777777" w:rsidR="00DD739F" w:rsidRDefault="00DD739F" w:rsidP="00DD739F">
      <w:pPr>
        <w:spacing w:after="0" w:line="240" w:lineRule="auto"/>
        <w:ind w:left="709" w:hanging="709"/>
        <w:jc w:val="both"/>
      </w:pPr>
      <w:r>
        <w:t xml:space="preserve">Kulshreshtha, D., Sharma, S., and Singh, R. (2021). Manganese neurotoxicity: Mechanisms and implications. Neurotoxicology, 83, 67–78. </w:t>
      </w:r>
      <w:hyperlink w:history="1">
        <w:r w:rsidRPr="000F593F">
          <w:rPr>
            <w:rStyle w:val="Hyperlink"/>
          </w:rPr>
          <w:t>https://doi.org/10.1016/j.neuro.2020.12.005</w:t>
        </w:r>
      </w:hyperlink>
    </w:p>
    <w:p w14:paraId="6FD2DECE" w14:textId="77777777" w:rsidR="00DD739F" w:rsidRDefault="00DD739F" w:rsidP="00DD739F">
      <w:pPr>
        <w:spacing w:after="0" w:line="240" w:lineRule="auto"/>
        <w:ind w:left="709" w:hanging="709"/>
        <w:jc w:val="both"/>
      </w:pPr>
      <w:r w:rsidRPr="00120FE3">
        <w:t xml:space="preserve">Lawal, K. K., </w:t>
      </w:r>
      <w:proofErr w:type="spellStart"/>
      <w:r w:rsidRPr="00120FE3">
        <w:t>Ekeleme</w:t>
      </w:r>
      <w:proofErr w:type="spellEnd"/>
      <w:r w:rsidRPr="00120FE3">
        <w:t xml:space="preserve">, I. K., Onuigbo, C. M., Ikpeazu, V. O., </w:t>
      </w:r>
      <w:r>
        <w:t>and</w:t>
      </w:r>
      <w:r w:rsidRPr="00120FE3">
        <w:t xml:space="preserve"> </w:t>
      </w:r>
      <w:proofErr w:type="spellStart"/>
      <w:r w:rsidRPr="00120FE3">
        <w:t>Obiekezie</w:t>
      </w:r>
      <w:proofErr w:type="spellEnd"/>
      <w:r w:rsidRPr="00120FE3">
        <w:t>, S. O. (2021). A review on the public health implications of heavy metals. </w:t>
      </w:r>
      <w:r w:rsidRPr="00120FE3">
        <w:rPr>
          <w:i/>
          <w:iCs/>
        </w:rPr>
        <w:t>World Journal of Advanced Research and Reviews</w:t>
      </w:r>
      <w:r w:rsidRPr="00120FE3">
        <w:t>, </w:t>
      </w:r>
      <w:r w:rsidRPr="00120FE3">
        <w:rPr>
          <w:i/>
          <w:iCs/>
        </w:rPr>
        <w:t>10</w:t>
      </w:r>
      <w:r w:rsidRPr="00120FE3">
        <w:t>(3), 255-265.</w:t>
      </w:r>
    </w:p>
    <w:p w14:paraId="07BA7814" w14:textId="77777777" w:rsidR="00DD739F" w:rsidRDefault="00DD739F" w:rsidP="00DD739F">
      <w:pPr>
        <w:spacing w:after="0" w:line="240" w:lineRule="auto"/>
        <w:ind w:left="709" w:hanging="709"/>
        <w:jc w:val="both"/>
      </w:pPr>
      <w:r w:rsidRPr="00084192">
        <w:t xml:space="preserve">Li, Z., Chen, X., and Wang, Y. (2020). </w:t>
      </w:r>
      <w:r>
        <w:t xml:space="preserve">Cadmium in herbal teas: Sources and health risks. Journal of Agricultural and Food Chemistry, 68(7), 1923–1930. </w:t>
      </w:r>
      <w:hyperlink w:history="1">
        <w:r w:rsidRPr="000F593F">
          <w:rPr>
            <w:rStyle w:val="Hyperlink"/>
          </w:rPr>
          <w:t>https://doi.org/10.1021/acs.jafc.9b06789</w:t>
        </w:r>
      </w:hyperlink>
    </w:p>
    <w:p w14:paraId="179D58D5" w14:textId="77777777" w:rsidR="00DD739F" w:rsidRDefault="00DD739F" w:rsidP="00DD739F">
      <w:pPr>
        <w:spacing w:after="0" w:line="240" w:lineRule="auto"/>
        <w:ind w:left="709" w:hanging="709"/>
        <w:jc w:val="both"/>
      </w:pPr>
      <w:r>
        <w:t xml:space="preserve">Martins, R., Silva, J., and Costa, M. (2020). Nickel exposure: Health implications and regulatory concerns. Environmental Toxicology and Chemistry, 39(8), 1456–1465. </w:t>
      </w:r>
      <w:hyperlink w:history="1">
        <w:r w:rsidRPr="000F593F">
          <w:rPr>
            <w:rStyle w:val="Hyperlink"/>
          </w:rPr>
          <w:t>https://doi.org/10.1002/etc.4742</w:t>
        </w:r>
      </w:hyperlink>
    </w:p>
    <w:p w14:paraId="0A659463" w14:textId="77777777" w:rsidR="00DD739F" w:rsidRDefault="00DD739F" w:rsidP="00DD739F">
      <w:pPr>
        <w:spacing w:after="0" w:line="240" w:lineRule="auto"/>
        <w:ind w:left="709" w:hanging="709"/>
        <w:jc w:val="both"/>
      </w:pPr>
      <w:r>
        <w:t xml:space="preserve">Marwat, S., Khan, A., and Rehman, F. (2020). Cadmium in chili powder: A comparative study. Food Control, 112, 107134. </w:t>
      </w:r>
      <w:hyperlink w:history="1">
        <w:r w:rsidRPr="000F593F">
          <w:rPr>
            <w:rStyle w:val="Hyperlink"/>
          </w:rPr>
          <w:t>https://doi.org/10.1016/j.foodcont.2020.107134</w:t>
        </w:r>
      </w:hyperlink>
      <w:r>
        <w:t>.</w:t>
      </w:r>
    </w:p>
    <w:p w14:paraId="75FA457F" w14:textId="77777777" w:rsidR="00DD739F" w:rsidRDefault="00DD739F" w:rsidP="00DD739F">
      <w:pPr>
        <w:spacing w:after="0" w:line="240" w:lineRule="auto"/>
        <w:ind w:left="709" w:hanging="709"/>
        <w:jc w:val="both"/>
      </w:pPr>
      <w:r>
        <w:t>Mohammed, A., Ibrahim, S., and Yusuf, M. (2019). Lead toxicity in food products: Neurodevelopmental risks. Journal of Environmental Health, 81(9), 22–30.</w:t>
      </w:r>
    </w:p>
    <w:p w14:paraId="1D49076F" w14:textId="77777777" w:rsidR="00DD739F" w:rsidRDefault="00DD739F" w:rsidP="00DD739F">
      <w:pPr>
        <w:spacing w:after="0" w:line="240" w:lineRule="auto"/>
        <w:ind w:left="709" w:hanging="709"/>
        <w:jc w:val="both"/>
      </w:pPr>
      <w:r w:rsidRPr="00120FE3">
        <w:t xml:space="preserve">Munir, N., Jahangeer, M., Bouyahya, A., El Omari, N., </w:t>
      </w:r>
      <w:proofErr w:type="spellStart"/>
      <w:r w:rsidRPr="00120FE3">
        <w:t>Ghchime</w:t>
      </w:r>
      <w:proofErr w:type="spellEnd"/>
      <w:r w:rsidRPr="00120FE3">
        <w:t xml:space="preserve">, R., </w:t>
      </w:r>
      <w:proofErr w:type="spellStart"/>
      <w:r w:rsidRPr="00120FE3">
        <w:t>Balahbib</w:t>
      </w:r>
      <w:proofErr w:type="spellEnd"/>
      <w:r w:rsidRPr="00120FE3">
        <w:t xml:space="preserve">, A., ... </w:t>
      </w:r>
      <w:r>
        <w:t>and</w:t>
      </w:r>
      <w:r w:rsidRPr="00120FE3">
        <w:t xml:space="preserve"> Shariati, M. A. (2021). Heavy metal contamination of natural foods is a serious health issue: A review. </w:t>
      </w:r>
      <w:r w:rsidRPr="00120FE3">
        <w:rPr>
          <w:i/>
          <w:iCs/>
        </w:rPr>
        <w:t>Sustainability</w:t>
      </w:r>
      <w:r w:rsidRPr="00120FE3">
        <w:t>, </w:t>
      </w:r>
      <w:r w:rsidRPr="00120FE3">
        <w:rPr>
          <w:i/>
          <w:iCs/>
        </w:rPr>
        <w:t>14</w:t>
      </w:r>
      <w:r w:rsidRPr="00120FE3">
        <w:t>(1), 161.</w:t>
      </w:r>
    </w:p>
    <w:p w14:paraId="15AEEF30" w14:textId="77777777" w:rsidR="00DD739F" w:rsidRDefault="00DD739F" w:rsidP="00DD739F">
      <w:pPr>
        <w:spacing w:after="0" w:line="240" w:lineRule="auto"/>
        <w:ind w:left="709" w:hanging="709"/>
        <w:jc w:val="both"/>
      </w:pPr>
      <w:r>
        <w:lastRenderedPageBreak/>
        <w:t xml:space="preserve">Musa, J., Ade, T., and Idris, M. (2022). Industrial emissions and heavy metal contamination in the FCT: A case study. Environmental Monitoring and Assessment, 194(5), 345. </w:t>
      </w:r>
      <w:hyperlink w:history="1">
        <w:r w:rsidRPr="000F593F">
          <w:rPr>
            <w:rStyle w:val="Hyperlink"/>
          </w:rPr>
          <w:t>https://doi.org/10.1007/s10661-022-09987-3</w:t>
        </w:r>
      </w:hyperlink>
      <w:r>
        <w:t>.</w:t>
      </w:r>
    </w:p>
    <w:p w14:paraId="66DCD1D6" w14:textId="77777777" w:rsidR="00DD739F" w:rsidRDefault="00DD739F" w:rsidP="00DD739F">
      <w:pPr>
        <w:spacing w:after="0" w:line="240" w:lineRule="auto"/>
        <w:ind w:left="709" w:hanging="709"/>
        <w:jc w:val="both"/>
        <w:rPr>
          <w:i/>
          <w:iCs/>
        </w:rPr>
      </w:pPr>
      <w:proofErr w:type="spellStart"/>
      <w:r w:rsidRPr="00C82597">
        <w:t>Nnorom</w:t>
      </w:r>
      <w:proofErr w:type="spellEnd"/>
      <w:r w:rsidRPr="00C82597">
        <w:t xml:space="preserve">, I. C., </w:t>
      </w:r>
      <w:proofErr w:type="spellStart"/>
      <w:r w:rsidRPr="00C82597">
        <w:t>Osibanjo</w:t>
      </w:r>
      <w:proofErr w:type="spellEnd"/>
      <w:r w:rsidRPr="00C82597">
        <w:t xml:space="preserve">, O., </w:t>
      </w:r>
      <w:r>
        <w:t>and</w:t>
      </w:r>
      <w:r w:rsidRPr="00C82597">
        <w:t xml:space="preserve"> </w:t>
      </w:r>
      <w:proofErr w:type="spellStart"/>
      <w:r w:rsidRPr="00C82597">
        <w:t>Ogugua</w:t>
      </w:r>
      <w:proofErr w:type="spellEnd"/>
      <w:r w:rsidRPr="00C82597">
        <w:t xml:space="preserve">, K. (2016). Heavy metals hazards from Nigerian spices. </w:t>
      </w:r>
      <w:proofErr w:type="spellStart"/>
      <w:r w:rsidRPr="00C82597">
        <w:rPr>
          <w:i/>
          <w:iCs/>
        </w:rPr>
        <w:t>Roczniki</w:t>
      </w:r>
      <w:proofErr w:type="spellEnd"/>
      <w:r w:rsidRPr="00C82597">
        <w:rPr>
          <w:i/>
          <w:iCs/>
        </w:rPr>
        <w:t xml:space="preserve"> </w:t>
      </w:r>
      <w:proofErr w:type="spellStart"/>
      <w:r w:rsidRPr="00C82597">
        <w:rPr>
          <w:i/>
          <w:iCs/>
        </w:rPr>
        <w:t>Państwowego</w:t>
      </w:r>
      <w:proofErr w:type="spellEnd"/>
      <w:r w:rsidRPr="00C82597">
        <w:rPr>
          <w:i/>
          <w:iCs/>
        </w:rPr>
        <w:t xml:space="preserve"> </w:t>
      </w:r>
      <w:proofErr w:type="spellStart"/>
      <w:r w:rsidRPr="00C82597">
        <w:rPr>
          <w:i/>
          <w:iCs/>
        </w:rPr>
        <w:t>Zakładu</w:t>
      </w:r>
      <w:proofErr w:type="spellEnd"/>
      <w:r w:rsidRPr="00C82597">
        <w:rPr>
          <w:i/>
          <w:iCs/>
        </w:rPr>
        <w:t xml:space="preserve"> </w:t>
      </w:r>
      <w:proofErr w:type="spellStart"/>
      <w:r w:rsidRPr="00C82597">
        <w:rPr>
          <w:i/>
          <w:iCs/>
        </w:rPr>
        <w:t>Higieny</w:t>
      </w:r>
      <w:proofErr w:type="spellEnd"/>
      <w:r w:rsidRPr="00C82597">
        <w:rPr>
          <w:i/>
          <w:iCs/>
        </w:rPr>
        <w:t>, 67</w:t>
      </w:r>
      <w:r w:rsidRPr="00C82597">
        <w:t xml:space="preserve">(3), 309–314. </w:t>
      </w:r>
      <w:hyperlink w:tgtFrame="_blank" w:history="1">
        <w:r w:rsidRPr="00C82597">
          <w:rPr>
            <w:rStyle w:val="Hyperlink"/>
          </w:rPr>
          <w:t>https://pubmed.ncbi.nlm.nih.gov/27546329/</w:t>
        </w:r>
      </w:hyperlink>
      <w:r w:rsidRPr="00C82597">
        <w:t xml:space="preserve"> </w:t>
      </w:r>
    </w:p>
    <w:p w14:paraId="406AEE9C" w14:textId="77777777" w:rsidR="00DD739F" w:rsidRDefault="00DD739F" w:rsidP="00DD739F">
      <w:pPr>
        <w:spacing w:after="0" w:line="240" w:lineRule="auto"/>
        <w:ind w:left="709" w:hanging="709"/>
        <w:jc w:val="both"/>
      </w:pPr>
      <w:proofErr w:type="spellStart"/>
      <w:r w:rsidRPr="003F198A">
        <w:t>Ogoko</w:t>
      </w:r>
      <w:proofErr w:type="spellEnd"/>
      <w:r w:rsidRPr="003F198A">
        <w:t xml:space="preserve">, E. C., and </w:t>
      </w:r>
      <w:proofErr w:type="spellStart"/>
      <w:r w:rsidRPr="003F198A">
        <w:t>Emeziem</w:t>
      </w:r>
      <w:proofErr w:type="spellEnd"/>
      <w:r w:rsidRPr="003F198A">
        <w:t xml:space="preserve">, D. (2019). </w:t>
      </w:r>
      <w:r w:rsidRPr="00B73582">
        <w:t xml:space="preserve">Pollution load index and enrichment of heavy metals in soil within the vicinity of </w:t>
      </w:r>
      <w:proofErr w:type="spellStart"/>
      <w:r w:rsidRPr="00B73582">
        <w:t>osogbo</w:t>
      </w:r>
      <w:proofErr w:type="spellEnd"/>
      <w:r w:rsidRPr="00B73582">
        <w:t xml:space="preserve"> power station. </w:t>
      </w:r>
      <w:r w:rsidRPr="00B73582">
        <w:rPr>
          <w:i/>
          <w:iCs/>
        </w:rPr>
        <w:t>Journal of Chemical Society of Nigeria</w:t>
      </w:r>
      <w:r w:rsidRPr="00B73582">
        <w:t>, </w:t>
      </w:r>
      <w:r w:rsidRPr="00B73582">
        <w:rPr>
          <w:i/>
          <w:iCs/>
        </w:rPr>
        <w:t>44</w:t>
      </w:r>
      <w:r w:rsidRPr="00B73582">
        <w:t>(4).</w:t>
      </w:r>
    </w:p>
    <w:p w14:paraId="6150B7C7" w14:textId="77777777" w:rsidR="00DD739F" w:rsidRDefault="00DD739F" w:rsidP="00DD739F">
      <w:pPr>
        <w:spacing w:after="0" w:line="240" w:lineRule="auto"/>
        <w:ind w:left="709" w:hanging="709"/>
        <w:jc w:val="both"/>
      </w:pPr>
      <w:r>
        <w:t>Okeke, C., Mohammed, A., and Eze, C. (2020). Lead contamination in Nigerian food products: Public health implications. African Journal of Public Health, 12(4), 156–167.</w:t>
      </w:r>
    </w:p>
    <w:p w14:paraId="70A736B7" w14:textId="77777777" w:rsidR="00DD739F" w:rsidRDefault="00DD739F" w:rsidP="00DD739F">
      <w:pPr>
        <w:spacing w:after="0" w:line="240" w:lineRule="auto"/>
        <w:ind w:left="709" w:hanging="709"/>
        <w:jc w:val="both"/>
      </w:pPr>
      <w:proofErr w:type="spellStart"/>
      <w:r>
        <w:t>Okwelle</w:t>
      </w:r>
      <w:proofErr w:type="spellEnd"/>
      <w:r>
        <w:t>, A., and Pepple, G. (2020). Chromium levels in spices from Port Harcourt: A comparative study. Nigerian Journal of Food Science, 10(3), 88–95.</w:t>
      </w:r>
    </w:p>
    <w:p w14:paraId="59EAFA1F" w14:textId="77777777" w:rsidR="00DD739F" w:rsidRDefault="00DD739F" w:rsidP="00DD739F">
      <w:pPr>
        <w:spacing w:after="0" w:line="240" w:lineRule="auto"/>
        <w:ind w:left="709" w:hanging="709"/>
        <w:jc w:val="both"/>
      </w:pPr>
      <w:r w:rsidRPr="00EA1124">
        <w:t xml:space="preserve">Olatunji, A. S., Kolawole, T. O., </w:t>
      </w:r>
      <w:proofErr w:type="spellStart"/>
      <w:r w:rsidRPr="00EA1124">
        <w:t>Oloruntola</w:t>
      </w:r>
      <w:proofErr w:type="spellEnd"/>
      <w:r w:rsidRPr="00EA1124">
        <w:t xml:space="preserve">, M., </w:t>
      </w:r>
      <w:r>
        <w:t>and</w:t>
      </w:r>
      <w:r w:rsidRPr="00EA1124">
        <w:t xml:space="preserve"> Günter, C. (2018). Evaluation of pollution of soils and particulate matter around metal recycling factories in southwestern Nigeria. </w:t>
      </w:r>
      <w:r w:rsidRPr="00EA1124">
        <w:rPr>
          <w:i/>
          <w:iCs/>
        </w:rPr>
        <w:t>Journal of Health and Pollution</w:t>
      </w:r>
      <w:r w:rsidRPr="00EA1124">
        <w:t>, </w:t>
      </w:r>
      <w:r w:rsidRPr="00EA1124">
        <w:rPr>
          <w:i/>
          <w:iCs/>
        </w:rPr>
        <w:t>8</w:t>
      </w:r>
      <w:r w:rsidRPr="00EA1124">
        <w:t>(17), 20-30.</w:t>
      </w:r>
    </w:p>
    <w:p w14:paraId="268A69FB" w14:textId="77777777" w:rsidR="00DD739F" w:rsidRDefault="00DD739F" w:rsidP="00DD739F">
      <w:pPr>
        <w:spacing w:after="0" w:line="240" w:lineRule="auto"/>
        <w:ind w:left="709" w:hanging="709"/>
        <w:jc w:val="both"/>
      </w:pPr>
      <w:r w:rsidRPr="00EA1124">
        <w:t xml:space="preserve">Olukanni, D., </w:t>
      </w:r>
      <w:proofErr w:type="spellStart"/>
      <w:r w:rsidRPr="00EA1124">
        <w:t>Enetomhe</w:t>
      </w:r>
      <w:proofErr w:type="spellEnd"/>
      <w:r w:rsidRPr="00EA1124">
        <w:t xml:space="preserve">, D., </w:t>
      </w:r>
      <w:proofErr w:type="spellStart"/>
      <w:r w:rsidRPr="00EA1124">
        <w:t>Bamigboye</w:t>
      </w:r>
      <w:proofErr w:type="spellEnd"/>
      <w:r w:rsidRPr="00EA1124">
        <w:t xml:space="preserve">, G., </w:t>
      </w:r>
      <w:r>
        <w:t>and</w:t>
      </w:r>
      <w:r w:rsidRPr="00EA1124">
        <w:t xml:space="preserve"> Bassey, D. (2021). A time-based assessment of particulate matter (PM2. 5) levels at a highly trafficked intersection: case study of Sango-Ota, Nigeria. </w:t>
      </w:r>
      <w:r w:rsidRPr="00EA1124">
        <w:rPr>
          <w:i/>
          <w:iCs/>
        </w:rPr>
        <w:t>Atmosphere</w:t>
      </w:r>
      <w:r w:rsidRPr="00EA1124">
        <w:t>, </w:t>
      </w:r>
      <w:r w:rsidRPr="00EA1124">
        <w:rPr>
          <w:i/>
          <w:iCs/>
        </w:rPr>
        <w:t>12</w:t>
      </w:r>
      <w:r w:rsidRPr="00EA1124">
        <w:t>(5), 532.</w:t>
      </w:r>
    </w:p>
    <w:p w14:paraId="2710792F" w14:textId="77777777" w:rsidR="00DD739F" w:rsidRDefault="00DD739F" w:rsidP="00DD739F">
      <w:pPr>
        <w:spacing w:after="0" w:line="240" w:lineRule="auto"/>
        <w:ind w:left="709" w:hanging="709"/>
        <w:jc w:val="both"/>
      </w:pPr>
      <w:r>
        <w:t>Olumide, O., Adeyemi, A., and Afolabi, O. (2021). Heavy metal profiles in spices from Ado Ekiti: A case study. Journal of Food Safety and Quality, 7(2), 45–56.</w:t>
      </w:r>
    </w:p>
    <w:p w14:paraId="3E05BFFD" w14:textId="77777777" w:rsidR="00DD739F" w:rsidRDefault="00DD739F" w:rsidP="00DD739F">
      <w:pPr>
        <w:spacing w:after="0" w:line="240" w:lineRule="auto"/>
        <w:ind w:left="709" w:hanging="709"/>
        <w:jc w:val="both"/>
      </w:pPr>
      <w:r>
        <w:t xml:space="preserve">Onyekwere, P., Chukwu, E., and Okeke, C. (2019). Manganese and copper in southeastern Nigerian spices and teas. Food Chemistry, 288, 178–185. </w:t>
      </w:r>
      <w:hyperlink w:history="1">
        <w:r w:rsidRPr="000F593F">
          <w:rPr>
            <w:rStyle w:val="Hyperlink"/>
          </w:rPr>
          <w:t>https://doi.org/10.1016/j.foodchem.2019.02.089</w:t>
        </w:r>
      </w:hyperlink>
      <w:r>
        <w:t>.</w:t>
      </w:r>
    </w:p>
    <w:p w14:paraId="7DA3246C" w14:textId="77777777" w:rsidR="00DD739F" w:rsidRDefault="00DD739F" w:rsidP="00DD739F">
      <w:pPr>
        <w:spacing w:after="0" w:line="240" w:lineRule="auto"/>
        <w:ind w:left="709" w:hanging="709"/>
        <w:jc w:val="both"/>
      </w:pPr>
      <w:r w:rsidRPr="00C82597">
        <w:t xml:space="preserve">Orisakwe, O. E., Dagur, E. A., Mbagwu, H. O. C., </w:t>
      </w:r>
      <w:proofErr w:type="spellStart"/>
      <w:r w:rsidRPr="00C82597">
        <w:t>Udowelle</w:t>
      </w:r>
      <w:proofErr w:type="spellEnd"/>
      <w:r w:rsidRPr="00C82597">
        <w:t xml:space="preserve">, N. A., </w:t>
      </w:r>
      <w:r>
        <w:t>and</w:t>
      </w:r>
      <w:r w:rsidRPr="00C82597">
        <w:t xml:space="preserve"> Offor, S. J. (2020). Levels of heavy metals in herbal teas sold in Nigeria and health risk assessment. </w:t>
      </w:r>
      <w:r w:rsidRPr="00C82597">
        <w:rPr>
          <w:i/>
          <w:iCs/>
        </w:rPr>
        <w:t>Biological Trace Element Research, 198</w:t>
      </w:r>
      <w:r w:rsidRPr="00C82597">
        <w:t xml:space="preserve">(2), 357–366. </w:t>
      </w:r>
      <w:hyperlink w:tgtFrame="_blank" w:history="1">
        <w:r w:rsidRPr="00C82597">
          <w:rPr>
            <w:rStyle w:val="Hyperlink"/>
          </w:rPr>
          <w:t>https://doi.org/10.1007/s12011-020-02084-0</w:t>
        </w:r>
      </w:hyperlink>
      <w:r w:rsidRPr="00C82597">
        <w:t xml:space="preserve"> </w:t>
      </w:r>
    </w:p>
    <w:p w14:paraId="76B9496E" w14:textId="77777777" w:rsidR="00DD739F" w:rsidRDefault="00DD739F" w:rsidP="00DD739F">
      <w:pPr>
        <w:spacing w:after="0" w:line="240" w:lineRule="auto"/>
        <w:ind w:left="709" w:hanging="709"/>
        <w:jc w:val="both"/>
      </w:pPr>
      <w:r w:rsidRPr="00DD739F">
        <w:t xml:space="preserve">Orisakwe, O. E., Nduka, J. K., Amadi, C. N., Dike, D. O., </w:t>
      </w:r>
      <w:r>
        <w:t>and</w:t>
      </w:r>
      <w:r w:rsidRPr="00DD739F">
        <w:t xml:space="preserve"> Bede, O. (2015). </w:t>
      </w:r>
      <w:r>
        <w:t xml:space="preserve">Heavy metals health risk assessment for the population via consumption of food crops and fruits in Owerri, South-Eastern, Nigeria. *Environmental Science and Pollution Research, 22*(14), 10780–10790. https://doi.org/10.1007/s11356-015-4254-3  </w:t>
      </w:r>
    </w:p>
    <w:p w14:paraId="3D42E717" w14:textId="77777777" w:rsidR="00DD739F" w:rsidRDefault="00DD739F" w:rsidP="00DD739F">
      <w:pPr>
        <w:spacing w:after="0" w:line="240" w:lineRule="auto"/>
        <w:ind w:left="709" w:hanging="709"/>
        <w:jc w:val="both"/>
      </w:pPr>
      <w:r w:rsidRPr="003F198A">
        <w:t xml:space="preserve">Ozdemir, N., Kaya, S., and Yilmaz, A. (2018). </w:t>
      </w:r>
      <w:r>
        <w:t xml:space="preserve">Nickel in spices: A global perspective. Journal of Food Science, 83(10), 2456–2463. </w:t>
      </w:r>
      <w:hyperlink w:history="1">
        <w:r w:rsidRPr="000F593F">
          <w:rPr>
            <w:rStyle w:val="Hyperlink"/>
          </w:rPr>
          <w:t>https://doi.org/10.1111/1750-3841.14321</w:t>
        </w:r>
      </w:hyperlink>
      <w:r>
        <w:t>.</w:t>
      </w:r>
    </w:p>
    <w:p w14:paraId="4AA82702" w14:textId="77777777" w:rsidR="00DD739F" w:rsidRDefault="00DD739F" w:rsidP="00DD739F">
      <w:pPr>
        <w:spacing w:after="0" w:line="240" w:lineRule="auto"/>
        <w:ind w:left="709" w:hanging="709"/>
        <w:jc w:val="both"/>
      </w:pPr>
      <w:r>
        <w:t xml:space="preserve">Peres, T., Ong, C., and Costa, M. (2018). Manganese toxicity: Neurological impacts and mechanisms. Toxicological Sciences, 165(2), 277–289. </w:t>
      </w:r>
      <w:hyperlink w:history="1">
        <w:r w:rsidRPr="000F593F">
          <w:rPr>
            <w:rStyle w:val="Hyperlink"/>
          </w:rPr>
          <w:t>https://doi.org/10.1093/toxsci/kfy149</w:t>
        </w:r>
      </w:hyperlink>
    </w:p>
    <w:p w14:paraId="2FED66C6" w14:textId="77777777" w:rsidR="00DD739F" w:rsidRDefault="00DD739F" w:rsidP="00DD739F">
      <w:pPr>
        <w:spacing w:after="0" w:line="240" w:lineRule="auto"/>
        <w:ind w:left="709" w:hanging="709"/>
        <w:jc w:val="both"/>
      </w:pPr>
      <w:r w:rsidRPr="00E53702">
        <w:t xml:space="preserve">Sadeghi Poor Sheijany, M., Shariati, F., </w:t>
      </w:r>
      <w:proofErr w:type="spellStart"/>
      <w:r w:rsidRPr="00E53702">
        <w:t>Yaghmaeian</w:t>
      </w:r>
      <w:proofErr w:type="spellEnd"/>
      <w:r w:rsidRPr="00E53702">
        <w:t xml:space="preserve"> </w:t>
      </w:r>
      <w:proofErr w:type="spellStart"/>
      <w:r w:rsidRPr="00E53702">
        <w:t>Mahabadi</w:t>
      </w:r>
      <w:proofErr w:type="spellEnd"/>
      <w:r w:rsidRPr="00E53702">
        <w:t xml:space="preserve">, N., </w:t>
      </w:r>
      <w:r>
        <w:t>and</w:t>
      </w:r>
      <w:r w:rsidRPr="00E53702">
        <w:t xml:space="preserve"> </w:t>
      </w:r>
      <w:proofErr w:type="spellStart"/>
      <w:r w:rsidRPr="00E53702">
        <w:t>Karimzadegan</w:t>
      </w:r>
      <w:proofErr w:type="spellEnd"/>
      <w:r w:rsidRPr="00E53702">
        <w:t>, H. (2020). Evaluation of heavy metal contamination and ecological risk of soil adjacent to Saravan municipal solid waste disposal site, Rasht, Iran. </w:t>
      </w:r>
      <w:r w:rsidRPr="00E53702">
        <w:rPr>
          <w:i/>
          <w:iCs/>
        </w:rPr>
        <w:t>Environmental Monitoring and Assessment</w:t>
      </w:r>
      <w:r w:rsidRPr="00E53702">
        <w:t>, </w:t>
      </w:r>
      <w:r w:rsidRPr="00E53702">
        <w:rPr>
          <w:i/>
          <w:iCs/>
        </w:rPr>
        <w:t>192</w:t>
      </w:r>
      <w:r w:rsidRPr="00E53702">
        <w:t>(12), 757.</w:t>
      </w:r>
    </w:p>
    <w:p w14:paraId="418C74C0" w14:textId="77777777" w:rsidR="00DD739F" w:rsidRDefault="00DD739F" w:rsidP="00DD739F">
      <w:pPr>
        <w:spacing w:after="0" w:line="240" w:lineRule="auto"/>
        <w:ind w:left="709" w:hanging="709"/>
        <w:jc w:val="both"/>
      </w:pPr>
      <w:r>
        <w:t xml:space="preserve">Sadeghi, M., Karami, H., and Rasekh, M. (2022). Heavy metal residues in ginger: Environmental and health implications. Journal of Food Protection, 85(3), 456–463. </w:t>
      </w:r>
      <w:hyperlink w:history="1">
        <w:r w:rsidRPr="000F593F">
          <w:rPr>
            <w:rStyle w:val="Hyperlink"/>
          </w:rPr>
          <w:t>https://doi.org/10.4315/JFP-21-289</w:t>
        </w:r>
      </w:hyperlink>
      <w:r>
        <w:t>.</w:t>
      </w:r>
    </w:p>
    <w:p w14:paraId="4467B3C7" w14:textId="77777777" w:rsidR="00DD739F" w:rsidRDefault="00DD739F" w:rsidP="00DD739F">
      <w:pPr>
        <w:spacing w:after="0" w:line="240" w:lineRule="auto"/>
        <w:ind w:left="709" w:hanging="709"/>
        <w:jc w:val="both"/>
      </w:pPr>
      <w:r>
        <w:t xml:space="preserve">Sharma, R., Singh, P., and Gupta, S. (2017). Copper in spices: A case study from India. Food Chemistry, 235, 112–119. </w:t>
      </w:r>
      <w:hyperlink w:history="1">
        <w:r w:rsidRPr="000F593F">
          <w:rPr>
            <w:rStyle w:val="Hyperlink"/>
          </w:rPr>
          <w:t>https://doi.org/10.1016/j.foodchem.2017.05.034</w:t>
        </w:r>
      </w:hyperlink>
      <w:r>
        <w:t>.</w:t>
      </w:r>
    </w:p>
    <w:p w14:paraId="5968C4D0" w14:textId="77777777" w:rsidR="00DD739F" w:rsidRDefault="00DD739F" w:rsidP="00DD739F">
      <w:pPr>
        <w:spacing w:after="0" w:line="240" w:lineRule="auto"/>
        <w:ind w:left="709" w:hanging="709"/>
        <w:jc w:val="both"/>
      </w:pPr>
      <w:r>
        <w:lastRenderedPageBreak/>
        <w:t xml:space="preserve">She, L., Zhang, Y., and Liu, X. (2021). Cadmium in black pepper: Sources and implications. Journal of Food Science and Technology, 58(6), 2345–2353. </w:t>
      </w:r>
      <w:hyperlink w:history="1">
        <w:r w:rsidRPr="000F593F">
          <w:rPr>
            <w:rStyle w:val="Hyperlink"/>
          </w:rPr>
          <w:t>https://doi.org/10.1007/s13197-020-04789-4</w:t>
        </w:r>
      </w:hyperlink>
      <w:r>
        <w:t>.</w:t>
      </w:r>
    </w:p>
    <w:p w14:paraId="23535281" w14:textId="77777777" w:rsidR="00DD739F" w:rsidRDefault="00DD739F" w:rsidP="00DD739F">
      <w:pPr>
        <w:spacing w:after="0" w:line="240" w:lineRule="auto"/>
        <w:ind w:left="709" w:hanging="709"/>
        <w:jc w:val="both"/>
      </w:pPr>
      <w:proofErr w:type="spellStart"/>
      <w:r w:rsidRPr="003F198A">
        <w:t>Ukom</w:t>
      </w:r>
      <w:proofErr w:type="spellEnd"/>
      <w:r w:rsidRPr="003F198A">
        <w:t xml:space="preserve">, A., Okeke, C., and Eze, C. (2022). </w:t>
      </w:r>
      <w:r>
        <w:t xml:space="preserve">Heavy metal contamination in spices from Port Harcourt: A comparative analysis. Journal of Food Safety, 42(3), e12945. </w:t>
      </w:r>
      <w:hyperlink w:history="1">
        <w:r w:rsidRPr="000F593F">
          <w:rPr>
            <w:rStyle w:val="Hyperlink"/>
          </w:rPr>
          <w:t>https://doi.org/10.1111/jfs.12945</w:t>
        </w:r>
      </w:hyperlink>
      <w:r>
        <w:t>.</w:t>
      </w:r>
    </w:p>
    <w:p w14:paraId="4E90EAC4" w14:textId="77777777" w:rsidR="00DD739F" w:rsidRDefault="00DD739F" w:rsidP="00DD739F">
      <w:pPr>
        <w:spacing w:after="0" w:line="240" w:lineRule="auto"/>
        <w:ind w:left="709" w:hanging="709"/>
        <w:jc w:val="both"/>
      </w:pPr>
      <w:proofErr w:type="spellStart"/>
      <w:r w:rsidRPr="00E53702">
        <w:t>Umanah</w:t>
      </w:r>
      <w:proofErr w:type="spellEnd"/>
      <w:r w:rsidRPr="00E53702">
        <w:t xml:space="preserve">, I. A., </w:t>
      </w:r>
      <w:proofErr w:type="spellStart"/>
      <w:r w:rsidRPr="00E53702">
        <w:t>Awaka-ama</w:t>
      </w:r>
      <w:proofErr w:type="spellEnd"/>
      <w:r w:rsidRPr="00E53702">
        <w:t xml:space="preserve">, J. J., </w:t>
      </w:r>
      <w:r>
        <w:t>and</w:t>
      </w:r>
      <w:r w:rsidRPr="00E53702">
        <w:t xml:space="preserve"> Udo, G. J. (2025). Assessment of Heavy Metal and Polycyclic Aromatic Hydrocarbon (PAH) Levels in Drilling Fluids and Effluents from Niger Delta Oil Fields. </w:t>
      </w:r>
      <w:r w:rsidRPr="00E53702">
        <w:rPr>
          <w:i/>
          <w:iCs/>
        </w:rPr>
        <w:t>Researchers Journal of Science and Technology</w:t>
      </w:r>
      <w:r w:rsidRPr="00E53702">
        <w:t>, </w:t>
      </w:r>
      <w:r w:rsidRPr="00E53702">
        <w:rPr>
          <w:i/>
          <w:iCs/>
        </w:rPr>
        <w:t>5</w:t>
      </w:r>
      <w:r w:rsidRPr="00E53702">
        <w:t>(3), 22-40.</w:t>
      </w:r>
    </w:p>
    <w:p w14:paraId="288B3B1E" w14:textId="77777777" w:rsidR="00DD739F" w:rsidRDefault="00DD739F" w:rsidP="00DD739F">
      <w:pPr>
        <w:spacing w:after="0" w:line="240" w:lineRule="auto"/>
        <w:ind w:left="709" w:hanging="709"/>
        <w:jc w:val="both"/>
      </w:pPr>
      <w:proofErr w:type="spellStart"/>
      <w:r w:rsidRPr="00EA1124">
        <w:t>Uzoatu</w:t>
      </w:r>
      <w:proofErr w:type="spellEnd"/>
      <w:r w:rsidRPr="00EA1124">
        <w:t xml:space="preserve">, C. A., Osuji, L. C., </w:t>
      </w:r>
      <w:r>
        <w:t>and</w:t>
      </w:r>
      <w:r w:rsidRPr="00EA1124">
        <w:t xml:space="preserve"> </w:t>
      </w:r>
      <w:proofErr w:type="spellStart"/>
      <w:r w:rsidRPr="00EA1124">
        <w:t>Onojake</w:t>
      </w:r>
      <w:proofErr w:type="spellEnd"/>
      <w:r w:rsidRPr="00EA1124">
        <w:t xml:space="preserve">, M. C. (2025). Alterations in physicochemical properties of soils impacted by </w:t>
      </w:r>
      <w:proofErr w:type="spellStart"/>
      <w:r w:rsidRPr="00EA1124">
        <w:t>Ahoada</w:t>
      </w:r>
      <w:proofErr w:type="spellEnd"/>
      <w:r w:rsidRPr="00EA1124">
        <w:t xml:space="preserve"> oil spill in Rivers State, Nigeria. </w:t>
      </w:r>
      <w:r w:rsidRPr="00EA1124">
        <w:rPr>
          <w:i/>
          <w:iCs/>
        </w:rPr>
        <w:t>SSR Journal of Multidisciplinary (SSRJM)</w:t>
      </w:r>
      <w:r w:rsidRPr="00EA1124">
        <w:t>, </w:t>
      </w:r>
      <w:r w:rsidRPr="00EA1124">
        <w:rPr>
          <w:i/>
          <w:iCs/>
        </w:rPr>
        <w:t>2</w:t>
      </w:r>
      <w:r w:rsidRPr="00EA1124">
        <w:t>(2), 95-101.</w:t>
      </w:r>
    </w:p>
    <w:p w14:paraId="0067C68B" w14:textId="77777777" w:rsidR="00DD739F" w:rsidRDefault="00DD739F" w:rsidP="00DD739F">
      <w:pPr>
        <w:spacing w:after="0" w:line="240" w:lineRule="auto"/>
        <w:ind w:left="709" w:hanging="709"/>
        <w:jc w:val="both"/>
      </w:pPr>
      <w:r w:rsidRPr="003F198A">
        <w:t xml:space="preserve">Wang, Z., Chen, W. H., Li, S. X., He, Z. M., Zhu, W. L., Ji, Y. B., ... </w:t>
      </w:r>
      <w:r>
        <w:t>and</w:t>
      </w:r>
      <w:r w:rsidRPr="0041527C">
        <w:t xml:space="preserve"> Han, Y. (2021). Gut microbiota modulates the inflammatory response and cognitive impairment induced by sleep deprivation. </w:t>
      </w:r>
      <w:r w:rsidRPr="0041527C">
        <w:rPr>
          <w:i/>
          <w:iCs/>
        </w:rPr>
        <w:t>Molecular Psychiatry</w:t>
      </w:r>
      <w:r w:rsidRPr="0041527C">
        <w:t>, </w:t>
      </w:r>
      <w:r w:rsidRPr="0041527C">
        <w:rPr>
          <w:i/>
          <w:iCs/>
        </w:rPr>
        <w:t>26</w:t>
      </w:r>
      <w:r w:rsidRPr="0041527C">
        <w:t>(11), 6277-6292.</w:t>
      </w:r>
    </w:p>
    <w:p w14:paraId="28387167" w14:textId="77777777" w:rsidR="00DD739F" w:rsidRDefault="00DD739F" w:rsidP="00DD739F">
      <w:pPr>
        <w:spacing w:after="0" w:line="240" w:lineRule="auto"/>
        <w:ind w:left="709" w:hanging="709"/>
        <w:jc w:val="both"/>
      </w:pPr>
      <w:proofErr w:type="spellStart"/>
      <w:r w:rsidRPr="00B73582">
        <w:t>Winiarska-Mieczan</w:t>
      </w:r>
      <w:proofErr w:type="spellEnd"/>
      <w:r w:rsidRPr="00B73582">
        <w:t xml:space="preserve">, A., Jachimowicz, K., </w:t>
      </w:r>
      <w:proofErr w:type="spellStart"/>
      <w:r w:rsidRPr="00B73582">
        <w:t>Kwiecień</w:t>
      </w:r>
      <w:proofErr w:type="spellEnd"/>
      <w:r w:rsidRPr="00B73582">
        <w:t xml:space="preserve">, M., Krusiński, R., </w:t>
      </w:r>
      <w:proofErr w:type="spellStart"/>
      <w:r w:rsidRPr="00B73582">
        <w:t>Kislova</w:t>
      </w:r>
      <w:proofErr w:type="spellEnd"/>
      <w:r w:rsidRPr="00B73582">
        <w:t xml:space="preserve">, S., Sowińska, L., ... </w:t>
      </w:r>
      <w:r>
        <w:t>and</w:t>
      </w:r>
      <w:r w:rsidRPr="00B73582">
        <w:t xml:space="preserve"> </w:t>
      </w:r>
      <w:proofErr w:type="spellStart"/>
      <w:r w:rsidRPr="00B73582">
        <w:t>Yanovych</w:t>
      </w:r>
      <w:proofErr w:type="spellEnd"/>
      <w:r w:rsidRPr="00B73582">
        <w:t>, D. (2023). The content of Cd and Pb in herbs and single-component spices used in Polish cuisine. </w:t>
      </w:r>
      <w:r w:rsidRPr="00B73582">
        <w:rPr>
          <w:i/>
          <w:iCs/>
        </w:rPr>
        <w:t>Biological Trace Element Research</w:t>
      </w:r>
      <w:r w:rsidRPr="00B73582">
        <w:t>, </w:t>
      </w:r>
      <w:r w:rsidRPr="00B73582">
        <w:rPr>
          <w:i/>
          <w:iCs/>
        </w:rPr>
        <w:t>201</w:t>
      </w:r>
      <w:r w:rsidRPr="00B73582">
        <w:t>(7), 3567-3581.</w:t>
      </w:r>
    </w:p>
    <w:p w14:paraId="18634B06" w14:textId="77777777" w:rsidR="00DD739F" w:rsidRDefault="00DD739F" w:rsidP="00DD739F">
      <w:pPr>
        <w:spacing w:after="0" w:line="240" w:lineRule="auto"/>
        <w:ind w:left="709" w:hanging="709"/>
        <w:jc w:val="both"/>
      </w:pPr>
      <w:r w:rsidRPr="003F198A">
        <w:t xml:space="preserve">Wu, J., Li, Z., and Chen, X. (2019). </w:t>
      </w:r>
      <w:r>
        <w:t xml:space="preserve">Manganese in herbal teas: A global survey. Journal of Agricultural and Food Chemistry, 67(12), 3456–3464. </w:t>
      </w:r>
      <w:hyperlink w:history="1">
        <w:r w:rsidRPr="000F593F">
          <w:rPr>
            <w:rStyle w:val="Hyperlink"/>
          </w:rPr>
          <w:t>https://doi.org/10.1021/acs.jafc.8b06723</w:t>
        </w:r>
      </w:hyperlink>
      <w:r>
        <w:t>.</w:t>
      </w:r>
    </w:p>
    <w:p w14:paraId="3441D56F" w14:textId="77777777" w:rsidR="00DD739F" w:rsidRDefault="00DD739F" w:rsidP="00DD739F">
      <w:pPr>
        <w:spacing w:after="0" w:line="240" w:lineRule="auto"/>
        <w:ind w:left="709" w:hanging="709"/>
        <w:jc w:val="both"/>
      </w:pPr>
      <w:r w:rsidRPr="00B73582">
        <w:t xml:space="preserve">Yahaya, S. M., Abubakar, F., </w:t>
      </w:r>
      <w:r>
        <w:t>and</w:t>
      </w:r>
      <w:r w:rsidRPr="00B73582">
        <w:t xml:space="preserve"> Abdu, N. (2021). Ecological risk assessment of heavy metal-contaminated soils of selected villages in Zamfara State, Nigeria. </w:t>
      </w:r>
      <w:r w:rsidRPr="00B73582">
        <w:rPr>
          <w:i/>
          <w:iCs/>
        </w:rPr>
        <w:t>SN Applied Sciences</w:t>
      </w:r>
      <w:r w:rsidRPr="00B73582">
        <w:t>, </w:t>
      </w:r>
      <w:r w:rsidRPr="00B73582">
        <w:rPr>
          <w:i/>
          <w:iCs/>
        </w:rPr>
        <w:t>3</w:t>
      </w:r>
      <w:r w:rsidRPr="00B73582">
        <w:t>(2), 168.</w:t>
      </w:r>
    </w:p>
    <w:p w14:paraId="5CA5DC43" w14:textId="77777777" w:rsidR="00DD739F" w:rsidRDefault="00DD739F" w:rsidP="00DD739F">
      <w:pPr>
        <w:spacing w:after="0" w:line="240" w:lineRule="auto"/>
        <w:ind w:left="709" w:hanging="709"/>
        <w:jc w:val="both"/>
      </w:pPr>
      <w:r>
        <w:t xml:space="preserve">Zhang, Y., Liu, X., and She, L. (2020). Nickel contamination in herbal teas: Sources and health risks. Food Control, 118, 107412. </w:t>
      </w:r>
      <w:hyperlink w:history="1">
        <w:r w:rsidRPr="000F593F">
          <w:rPr>
            <w:rStyle w:val="Hyperlink"/>
          </w:rPr>
          <w:t>https://doi.org/10.1016/j.foodcont.2020.107412</w:t>
        </w:r>
      </w:hyperlink>
      <w:r>
        <w:t>.</w:t>
      </w:r>
    </w:p>
    <w:p w14:paraId="61FFE77B" w14:textId="77777777" w:rsidR="00DD739F" w:rsidRDefault="00DD739F" w:rsidP="00DD739F">
      <w:pPr>
        <w:spacing w:line="240" w:lineRule="auto"/>
      </w:pPr>
    </w:p>
    <w:p w14:paraId="787CC0E9" w14:textId="0C1D70CE" w:rsidR="007F71FF" w:rsidRDefault="007F71FF" w:rsidP="00DD739F">
      <w:pPr>
        <w:spacing w:line="240" w:lineRule="auto"/>
      </w:pPr>
      <w:r w:rsidRPr="007C4203">
        <w:rPr>
          <w:highlight w:val="yellow"/>
        </w:rPr>
        <w:t xml:space="preserve">Olusola, J. A., </w:t>
      </w:r>
      <w:proofErr w:type="spellStart"/>
      <w:r w:rsidRPr="007C4203">
        <w:rPr>
          <w:highlight w:val="yellow"/>
        </w:rPr>
        <w:t>Akintan</w:t>
      </w:r>
      <w:proofErr w:type="spellEnd"/>
      <w:r w:rsidRPr="007C4203">
        <w:rPr>
          <w:highlight w:val="yellow"/>
        </w:rPr>
        <w:t xml:space="preserve">, O. B., &amp; </w:t>
      </w:r>
      <w:proofErr w:type="spellStart"/>
      <w:r w:rsidRPr="007C4203">
        <w:rPr>
          <w:highlight w:val="yellow"/>
        </w:rPr>
        <w:t>Osanyinlusi</w:t>
      </w:r>
      <w:proofErr w:type="spellEnd"/>
      <w:r w:rsidRPr="007C4203">
        <w:rPr>
          <w:highlight w:val="yellow"/>
        </w:rPr>
        <w:t>, O. (2025). Trace metals potential human health risks assessment through consuming common food spices in Ado Ekiti, Southwest, Nigeria. Journal of Trace Elements and Minerals, 11, 100208.</w:t>
      </w:r>
      <w:r>
        <w:t xml:space="preserve">   </w:t>
      </w:r>
    </w:p>
    <w:p w14:paraId="03577182" w14:textId="492CD80A" w:rsidR="007F71FF" w:rsidRDefault="007F71FF" w:rsidP="00DD739F">
      <w:pPr>
        <w:spacing w:line="240" w:lineRule="auto"/>
      </w:pPr>
      <w:r w:rsidRPr="007C4203">
        <w:rPr>
          <w:highlight w:val="yellow"/>
        </w:rPr>
        <w:t xml:space="preserve">Patrick-Iwuanyanwu, K. C., &amp; </w:t>
      </w:r>
      <w:proofErr w:type="spellStart"/>
      <w:r w:rsidRPr="007C4203">
        <w:rPr>
          <w:highlight w:val="yellow"/>
        </w:rPr>
        <w:t>Udowelle</w:t>
      </w:r>
      <w:proofErr w:type="spellEnd"/>
      <w:r w:rsidRPr="007C4203">
        <w:rPr>
          <w:highlight w:val="yellow"/>
        </w:rPr>
        <w:t>, N. A. (2017). Monitoring of essential and toxic metals in imported herbal teas marketed in selected cities in Southern Nigeria: A health risk assessment study. Journal of Applied Sciences and Environmental Management, 21(6), 1189-1196.</w:t>
      </w:r>
      <w:r>
        <w:t xml:space="preserve">   </w:t>
      </w:r>
    </w:p>
    <w:p w14:paraId="493AF5AB" w14:textId="77777777" w:rsidR="00515108" w:rsidRDefault="00515108" w:rsidP="00DD739F">
      <w:pPr>
        <w:spacing w:line="240" w:lineRule="auto"/>
      </w:pPr>
    </w:p>
    <w:p w14:paraId="3772F8D1" w14:textId="0B418133" w:rsidR="00515108" w:rsidRDefault="00515108" w:rsidP="00DD739F">
      <w:pPr>
        <w:spacing w:line="240" w:lineRule="auto"/>
      </w:pPr>
      <w:r w:rsidRPr="007C4203">
        <w:rPr>
          <w:highlight w:val="yellow"/>
        </w:rPr>
        <w:t xml:space="preserve">Herrera, T., </w:t>
      </w:r>
      <w:proofErr w:type="spellStart"/>
      <w:r w:rsidRPr="007C4203">
        <w:rPr>
          <w:highlight w:val="yellow"/>
        </w:rPr>
        <w:t>Iriondo-DeHond</w:t>
      </w:r>
      <w:proofErr w:type="spellEnd"/>
      <w:r w:rsidRPr="007C4203">
        <w:rPr>
          <w:highlight w:val="yellow"/>
        </w:rPr>
        <w:t>, A., Uribarri, J., &amp; del Castillo, M. D. (2025). Beneficial herbs and spices. In Nutrition, Fitness, and Mindfulness: An Evidence-Based Guide for Clinicians (pp. 115-137). Cham: Springer Nature Switzerland.</w:t>
      </w:r>
      <w:r>
        <w:t xml:space="preserve">   </w:t>
      </w:r>
    </w:p>
    <w:p w14:paraId="1F0FA9E6" w14:textId="77777777" w:rsidR="00515108" w:rsidRDefault="00515108" w:rsidP="00DD739F">
      <w:pPr>
        <w:spacing w:line="240" w:lineRule="auto"/>
      </w:pPr>
    </w:p>
    <w:p w14:paraId="670398EF" w14:textId="54D541F9" w:rsidR="00515108" w:rsidRDefault="00515108" w:rsidP="00DD739F">
      <w:pPr>
        <w:spacing w:line="240" w:lineRule="auto"/>
      </w:pPr>
      <w:r w:rsidRPr="007C4203">
        <w:rPr>
          <w:highlight w:val="yellow"/>
        </w:rPr>
        <w:t>Mancao, L. S. (2022). Indigenous herbs and spices in selected areas of North Cotabato: An ethnobotanical survey. Asian Journal of Agricultural and Horticultural Research, 9(1), 29–51.</w:t>
      </w:r>
      <w:r>
        <w:t xml:space="preserve">  </w:t>
      </w:r>
    </w:p>
    <w:p w14:paraId="31603E2A" w14:textId="77777777" w:rsidR="00DD739F" w:rsidRDefault="00DD739F" w:rsidP="00DD739F">
      <w:pPr>
        <w:spacing w:after="0" w:line="240" w:lineRule="auto"/>
        <w:ind w:left="709" w:hanging="709"/>
        <w:jc w:val="both"/>
      </w:pPr>
    </w:p>
    <w:p w14:paraId="543D9AFD" w14:textId="77777777" w:rsidR="00DD739F" w:rsidRDefault="00DD739F" w:rsidP="00DD739F">
      <w:pPr>
        <w:spacing w:line="240" w:lineRule="auto"/>
        <w:jc w:val="both"/>
        <w:rPr>
          <w:rFonts w:ascii="Times New Roman" w:hAnsi="Times New Roman" w:cs="Times New Roman"/>
          <w:b/>
          <w:bCs/>
          <w:sz w:val="28"/>
          <w:szCs w:val="28"/>
        </w:rPr>
      </w:pPr>
    </w:p>
    <w:p w14:paraId="5A6FAB8F" w14:textId="77777777" w:rsidR="00DD739F" w:rsidRPr="00DC0D43" w:rsidRDefault="00DD739F" w:rsidP="00DD739F"/>
    <w:p w14:paraId="1D2D6B83" w14:textId="77777777" w:rsidR="00DD739F" w:rsidRPr="00DD739F" w:rsidRDefault="00DD739F" w:rsidP="00DD739F">
      <w:pPr>
        <w:spacing w:line="480" w:lineRule="auto"/>
        <w:rPr>
          <w:rFonts w:ascii="Times New Roman" w:hAnsi="Times New Roman" w:cs="Times New Roman"/>
          <w:b/>
          <w:bCs/>
        </w:rPr>
      </w:pPr>
    </w:p>
    <w:p w14:paraId="0E394566" w14:textId="77777777" w:rsidR="00087B60" w:rsidRDefault="00087B60" w:rsidP="00EC0A15">
      <w:pPr>
        <w:spacing w:line="480" w:lineRule="auto"/>
        <w:jc w:val="both"/>
        <w:rPr>
          <w:rFonts w:ascii="Times New Roman" w:hAnsi="Times New Roman" w:cs="Times New Roman"/>
        </w:rPr>
      </w:pPr>
    </w:p>
    <w:p w14:paraId="28138173" w14:textId="77777777" w:rsidR="007C74F6" w:rsidRDefault="007C74F6" w:rsidP="00EC0A15">
      <w:pPr>
        <w:spacing w:line="480" w:lineRule="auto"/>
        <w:jc w:val="both"/>
        <w:rPr>
          <w:rFonts w:ascii="Times New Roman" w:hAnsi="Times New Roman" w:cs="Times New Roman"/>
          <w:b/>
          <w:bCs/>
          <w:sz w:val="28"/>
          <w:szCs w:val="28"/>
        </w:rPr>
      </w:pPr>
    </w:p>
    <w:p w14:paraId="27C40CC9" w14:textId="77777777" w:rsidR="00DD739F" w:rsidRDefault="00DD739F" w:rsidP="00CA25C0">
      <w:pPr>
        <w:spacing w:after="0" w:line="240" w:lineRule="auto"/>
        <w:ind w:left="709" w:hanging="709"/>
        <w:jc w:val="both"/>
      </w:pPr>
      <w:bookmarkStart w:id="9" w:name="_GoBack"/>
      <w:bookmarkEnd w:id="9"/>
    </w:p>
    <w:sectPr w:rsidR="00DD739F">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D8E5B4" w14:textId="77777777" w:rsidR="004672FD" w:rsidRDefault="004672FD" w:rsidP="00E71AA1">
      <w:pPr>
        <w:spacing w:after="0" w:line="240" w:lineRule="auto"/>
      </w:pPr>
      <w:r>
        <w:separator/>
      </w:r>
    </w:p>
  </w:endnote>
  <w:endnote w:type="continuationSeparator" w:id="0">
    <w:p w14:paraId="2363AD42" w14:textId="77777777" w:rsidR="004672FD" w:rsidRDefault="004672FD" w:rsidP="00E71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4D686" w14:textId="77777777" w:rsidR="00E71AA1" w:rsidRDefault="00E71A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5107A" w14:textId="77777777" w:rsidR="00E71AA1" w:rsidRDefault="00E71A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E9ACF" w14:textId="77777777" w:rsidR="00E71AA1" w:rsidRDefault="00E71A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C450B4" w14:textId="77777777" w:rsidR="004672FD" w:rsidRDefault="004672FD" w:rsidP="00E71AA1">
      <w:pPr>
        <w:spacing w:after="0" w:line="240" w:lineRule="auto"/>
      </w:pPr>
      <w:r>
        <w:separator/>
      </w:r>
    </w:p>
  </w:footnote>
  <w:footnote w:type="continuationSeparator" w:id="0">
    <w:p w14:paraId="13A287AF" w14:textId="77777777" w:rsidR="004672FD" w:rsidRDefault="004672FD" w:rsidP="00E71A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3A6F7" w14:textId="391C1F9B" w:rsidR="00E71AA1" w:rsidRDefault="004672FD">
    <w:pPr>
      <w:pStyle w:val="Header"/>
    </w:pPr>
    <w:r>
      <w:rPr>
        <w:noProof/>
      </w:rPr>
      <w:pict w14:anchorId="00EDAD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762223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6AC28" w14:textId="5BFDA527" w:rsidR="00E71AA1" w:rsidRDefault="004672FD">
    <w:pPr>
      <w:pStyle w:val="Header"/>
    </w:pPr>
    <w:r>
      <w:rPr>
        <w:noProof/>
      </w:rPr>
      <w:pict w14:anchorId="040557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762223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D643E" w14:textId="5C00B5B8" w:rsidR="00E71AA1" w:rsidRDefault="004672FD">
    <w:pPr>
      <w:pStyle w:val="Header"/>
    </w:pPr>
    <w:r>
      <w:rPr>
        <w:noProof/>
      </w:rPr>
      <w:pict w14:anchorId="427D4D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762223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A35EDC"/>
    <w:multiLevelType w:val="multilevel"/>
    <w:tmpl w:val="DC983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AE25B7"/>
    <w:multiLevelType w:val="multilevel"/>
    <w:tmpl w:val="2CF62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D164203"/>
    <w:multiLevelType w:val="multilevel"/>
    <w:tmpl w:val="7AFEC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M0MzO2NDYzMzU2NLRU0lEKTi0uzszPAykwrAUAZjwOuCwAAAA="/>
  </w:docVars>
  <w:rsids>
    <w:rsidRoot w:val="00C20512"/>
    <w:rsid w:val="000100A3"/>
    <w:rsid w:val="00082C3C"/>
    <w:rsid w:val="00084192"/>
    <w:rsid w:val="00087B60"/>
    <w:rsid w:val="000A24A9"/>
    <w:rsid w:val="000C10E6"/>
    <w:rsid w:val="000C6957"/>
    <w:rsid w:val="000F02EB"/>
    <w:rsid w:val="001208D6"/>
    <w:rsid w:val="00125810"/>
    <w:rsid w:val="00161E16"/>
    <w:rsid w:val="001E5C8D"/>
    <w:rsid w:val="00206574"/>
    <w:rsid w:val="00210B01"/>
    <w:rsid w:val="00227496"/>
    <w:rsid w:val="0024684B"/>
    <w:rsid w:val="00263AD3"/>
    <w:rsid w:val="00266F49"/>
    <w:rsid w:val="00267C2B"/>
    <w:rsid w:val="00291D94"/>
    <w:rsid w:val="002A3CB3"/>
    <w:rsid w:val="002D2262"/>
    <w:rsid w:val="002D75B0"/>
    <w:rsid w:val="003264CD"/>
    <w:rsid w:val="003401FD"/>
    <w:rsid w:val="003463FF"/>
    <w:rsid w:val="0036657F"/>
    <w:rsid w:val="003748B3"/>
    <w:rsid w:val="003A0A8E"/>
    <w:rsid w:val="003C5582"/>
    <w:rsid w:val="003E2405"/>
    <w:rsid w:val="003E6512"/>
    <w:rsid w:val="003F6D6D"/>
    <w:rsid w:val="003F7E7A"/>
    <w:rsid w:val="0046020E"/>
    <w:rsid w:val="004650CB"/>
    <w:rsid w:val="004672FD"/>
    <w:rsid w:val="0048068D"/>
    <w:rsid w:val="004838EA"/>
    <w:rsid w:val="0049454E"/>
    <w:rsid w:val="00496A54"/>
    <w:rsid w:val="004F2C14"/>
    <w:rsid w:val="005018BC"/>
    <w:rsid w:val="0051502F"/>
    <w:rsid w:val="00515108"/>
    <w:rsid w:val="00523E41"/>
    <w:rsid w:val="0052756C"/>
    <w:rsid w:val="0053494B"/>
    <w:rsid w:val="00567238"/>
    <w:rsid w:val="0058150D"/>
    <w:rsid w:val="00586F12"/>
    <w:rsid w:val="005B0D04"/>
    <w:rsid w:val="005E00FC"/>
    <w:rsid w:val="00606C0D"/>
    <w:rsid w:val="006106A1"/>
    <w:rsid w:val="006233E3"/>
    <w:rsid w:val="00631AA1"/>
    <w:rsid w:val="00643993"/>
    <w:rsid w:val="00650393"/>
    <w:rsid w:val="00654FFB"/>
    <w:rsid w:val="006605AC"/>
    <w:rsid w:val="006904FA"/>
    <w:rsid w:val="006C0DB7"/>
    <w:rsid w:val="007060CF"/>
    <w:rsid w:val="00724E99"/>
    <w:rsid w:val="007414B7"/>
    <w:rsid w:val="0077058B"/>
    <w:rsid w:val="00777A89"/>
    <w:rsid w:val="007B657E"/>
    <w:rsid w:val="007C4203"/>
    <w:rsid w:val="007C74F6"/>
    <w:rsid w:val="007F504A"/>
    <w:rsid w:val="007F71FF"/>
    <w:rsid w:val="00827653"/>
    <w:rsid w:val="008312FE"/>
    <w:rsid w:val="00840E9B"/>
    <w:rsid w:val="00842C51"/>
    <w:rsid w:val="00843996"/>
    <w:rsid w:val="00844303"/>
    <w:rsid w:val="0086507B"/>
    <w:rsid w:val="00891FF5"/>
    <w:rsid w:val="00893BE9"/>
    <w:rsid w:val="008A2875"/>
    <w:rsid w:val="008A4A28"/>
    <w:rsid w:val="008D6ADE"/>
    <w:rsid w:val="00901D4B"/>
    <w:rsid w:val="009122BE"/>
    <w:rsid w:val="00917368"/>
    <w:rsid w:val="00921857"/>
    <w:rsid w:val="00930FCC"/>
    <w:rsid w:val="00950621"/>
    <w:rsid w:val="009602F3"/>
    <w:rsid w:val="00960EBD"/>
    <w:rsid w:val="0097275B"/>
    <w:rsid w:val="009A07E6"/>
    <w:rsid w:val="009A46CE"/>
    <w:rsid w:val="009A7E17"/>
    <w:rsid w:val="009B40C9"/>
    <w:rsid w:val="009D4F97"/>
    <w:rsid w:val="009F3DEA"/>
    <w:rsid w:val="00A60C09"/>
    <w:rsid w:val="00A70A03"/>
    <w:rsid w:val="00A71E9F"/>
    <w:rsid w:val="00A74D08"/>
    <w:rsid w:val="00B305FB"/>
    <w:rsid w:val="00B32E62"/>
    <w:rsid w:val="00B40636"/>
    <w:rsid w:val="00B4378C"/>
    <w:rsid w:val="00B504D6"/>
    <w:rsid w:val="00B51DEF"/>
    <w:rsid w:val="00B55F03"/>
    <w:rsid w:val="00B8704C"/>
    <w:rsid w:val="00BD767E"/>
    <w:rsid w:val="00C20512"/>
    <w:rsid w:val="00C711A8"/>
    <w:rsid w:val="00C717E8"/>
    <w:rsid w:val="00C90C84"/>
    <w:rsid w:val="00C96DB6"/>
    <w:rsid w:val="00CA25C0"/>
    <w:rsid w:val="00CE1B67"/>
    <w:rsid w:val="00CF6A47"/>
    <w:rsid w:val="00D17E23"/>
    <w:rsid w:val="00D44CC2"/>
    <w:rsid w:val="00D60097"/>
    <w:rsid w:val="00D60F6C"/>
    <w:rsid w:val="00D7593A"/>
    <w:rsid w:val="00D837E6"/>
    <w:rsid w:val="00D9029C"/>
    <w:rsid w:val="00DA3256"/>
    <w:rsid w:val="00DB53BB"/>
    <w:rsid w:val="00DC49D0"/>
    <w:rsid w:val="00DD0EFB"/>
    <w:rsid w:val="00DD30F4"/>
    <w:rsid w:val="00DD739F"/>
    <w:rsid w:val="00E07DEF"/>
    <w:rsid w:val="00E14355"/>
    <w:rsid w:val="00E45044"/>
    <w:rsid w:val="00E57121"/>
    <w:rsid w:val="00E67746"/>
    <w:rsid w:val="00E71AA1"/>
    <w:rsid w:val="00E973CF"/>
    <w:rsid w:val="00EB56BF"/>
    <w:rsid w:val="00EC0A15"/>
    <w:rsid w:val="00ED30E3"/>
    <w:rsid w:val="00EE61E3"/>
    <w:rsid w:val="00F30C1D"/>
    <w:rsid w:val="00F41A23"/>
    <w:rsid w:val="00F46EA5"/>
    <w:rsid w:val="00F61FB8"/>
    <w:rsid w:val="00F74192"/>
    <w:rsid w:val="00F93690"/>
    <w:rsid w:val="00FE0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5C7B373"/>
  <w15:chartTrackingRefBased/>
  <w15:docId w15:val="{9AE6573C-F486-4D26-9E76-9BF0C6469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05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205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2051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2051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2051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205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05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05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05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051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2051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2051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2051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2051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205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05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05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0512"/>
    <w:rPr>
      <w:rFonts w:eastAsiaTheme="majorEastAsia" w:cstheme="majorBidi"/>
      <w:color w:val="272727" w:themeColor="text1" w:themeTint="D8"/>
    </w:rPr>
  </w:style>
  <w:style w:type="paragraph" w:styleId="Title">
    <w:name w:val="Title"/>
    <w:basedOn w:val="Normal"/>
    <w:next w:val="Normal"/>
    <w:link w:val="TitleChar"/>
    <w:uiPriority w:val="10"/>
    <w:qFormat/>
    <w:rsid w:val="00C205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05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05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05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0512"/>
    <w:pPr>
      <w:spacing w:before="160"/>
      <w:jc w:val="center"/>
    </w:pPr>
    <w:rPr>
      <w:i/>
      <w:iCs/>
      <w:color w:val="404040" w:themeColor="text1" w:themeTint="BF"/>
    </w:rPr>
  </w:style>
  <w:style w:type="character" w:customStyle="1" w:styleId="QuoteChar">
    <w:name w:val="Quote Char"/>
    <w:basedOn w:val="DefaultParagraphFont"/>
    <w:link w:val="Quote"/>
    <w:uiPriority w:val="29"/>
    <w:rsid w:val="00C20512"/>
    <w:rPr>
      <w:i/>
      <w:iCs/>
      <w:color w:val="404040" w:themeColor="text1" w:themeTint="BF"/>
    </w:rPr>
  </w:style>
  <w:style w:type="paragraph" w:styleId="ListParagraph">
    <w:name w:val="List Paragraph"/>
    <w:basedOn w:val="Normal"/>
    <w:uiPriority w:val="34"/>
    <w:qFormat/>
    <w:rsid w:val="00C20512"/>
    <w:pPr>
      <w:ind w:left="720"/>
      <w:contextualSpacing/>
    </w:pPr>
  </w:style>
  <w:style w:type="character" w:styleId="IntenseEmphasis">
    <w:name w:val="Intense Emphasis"/>
    <w:basedOn w:val="DefaultParagraphFont"/>
    <w:uiPriority w:val="21"/>
    <w:qFormat/>
    <w:rsid w:val="00C20512"/>
    <w:rPr>
      <w:i/>
      <w:iCs/>
      <w:color w:val="2F5496" w:themeColor="accent1" w:themeShade="BF"/>
    </w:rPr>
  </w:style>
  <w:style w:type="paragraph" w:styleId="IntenseQuote">
    <w:name w:val="Intense Quote"/>
    <w:basedOn w:val="Normal"/>
    <w:next w:val="Normal"/>
    <w:link w:val="IntenseQuoteChar"/>
    <w:uiPriority w:val="30"/>
    <w:qFormat/>
    <w:rsid w:val="00C205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20512"/>
    <w:rPr>
      <w:i/>
      <w:iCs/>
      <w:color w:val="2F5496" w:themeColor="accent1" w:themeShade="BF"/>
    </w:rPr>
  </w:style>
  <w:style w:type="character" w:styleId="IntenseReference">
    <w:name w:val="Intense Reference"/>
    <w:basedOn w:val="DefaultParagraphFont"/>
    <w:uiPriority w:val="32"/>
    <w:qFormat/>
    <w:rsid w:val="00C20512"/>
    <w:rPr>
      <w:b/>
      <w:bCs/>
      <w:smallCaps/>
      <w:color w:val="2F5496" w:themeColor="accent1" w:themeShade="BF"/>
      <w:spacing w:val="5"/>
    </w:rPr>
  </w:style>
  <w:style w:type="paragraph" w:customStyle="1" w:styleId="msonormal0">
    <w:name w:val="msonormal"/>
    <w:basedOn w:val="Normal"/>
    <w:rsid w:val="00C2051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20512"/>
    <w:rPr>
      <w:b/>
      <w:bCs/>
    </w:rPr>
  </w:style>
  <w:style w:type="paragraph" w:styleId="NoSpacing">
    <w:name w:val="No Spacing"/>
    <w:basedOn w:val="Normal"/>
    <w:uiPriority w:val="1"/>
    <w:qFormat/>
    <w:rsid w:val="00C2051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C20512"/>
    <w:rPr>
      <w:color w:val="0000FF"/>
      <w:u w:val="single"/>
    </w:rPr>
  </w:style>
  <w:style w:type="character" w:styleId="FollowedHyperlink">
    <w:name w:val="FollowedHyperlink"/>
    <w:basedOn w:val="DefaultParagraphFont"/>
    <w:uiPriority w:val="99"/>
    <w:semiHidden/>
    <w:unhideWhenUsed/>
    <w:rsid w:val="00C20512"/>
    <w:rPr>
      <w:color w:val="800080"/>
      <w:u w:val="single"/>
    </w:rPr>
  </w:style>
  <w:style w:type="character" w:customStyle="1" w:styleId="relative">
    <w:name w:val="relative"/>
    <w:basedOn w:val="DefaultParagraphFont"/>
    <w:rsid w:val="00C20512"/>
  </w:style>
  <w:style w:type="paragraph" w:styleId="NormalWeb">
    <w:name w:val="Normal (Web)"/>
    <w:basedOn w:val="Normal"/>
    <w:uiPriority w:val="99"/>
    <w:semiHidden/>
    <w:unhideWhenUsed/>
    <w:rsid w:val="00C2051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C20512"/>
    <w:rPr>
      <w:color w:val="605E5C"/>
      <w:shd w:val="clear" w:color="auto" w:fill="E1DFDD"/>
    </w:rPr>
  </w:style>
  <w:style w:type="table" w:styleId="TableGrid">
    <w:name w:val="Table Grid"/>
    <w:basedOn w:val="TableNormal"/>
    <w:uiPriority w:val="39"/>
    <w:rsid w:val="00A71E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1A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1AA1"/>
  </w:style>
  <w:style w:type="paragraph" w:styleId="Footer">
    <w:name w:val="footer"/>
    <w:basedOn w:val="Normal"/>
    <w:link w:val="FooterChar"/>
    <w:uiPriority w:val="99"/>
    <w:unhideWhenUsed/>
    <w:rsid w:val="00E71A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1AA1"/>
  </w:style>
  <w:style w:type="paragraph" w:styleId="Revision">
    <w:name w:val="Revision"/>
    <w:hidden/>
    <w:uiPriority w:val="99"/>
    <w:semiHidden/>
    <w:rsid w:val="005672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28</Pages>
  <Words>8235</Words>
  <Characters>46941</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Adebisi FAGBOHUN</dc:creator>
  <cp:keywords/>
  <dc:description/>
  <cp:lastModifiedBy>SDI 1186</cp:lastModifiedBy>
  <cp:revision>8</cp:revision>
  <dcterms:created xsi:type="dcterms:W3CDTF">2025-10-24T15:04:00Z</dcterms:created>
  <dcterms:modified xsi:type="dcterms:W3CDTF">2025-11-07T08:58:00Z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3eaad303-0cef-4b78-bdce-efa3e61309b3</vt:lpwstr>
  </property>
</Properties>
</file>