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2AF4" w14:textId="275E69BF" w:rsidR="00DD0F93" w:rsidRDefault="004D0A17">
      <w:pPr>
        <w:spacing w:before="240" w:line="360" w:lineRule="auto"/>
        <w:rPr>
          <w:rFonts w:ascii="Times New Roman" w:hAnsi="Times New Roman"/>
          <w:b/>
          <w:sz w:val="24"/>
          <w:szCs w:val="24"/>
        </w:rPr>
      </w:pPr>
      <w:bookmarkStart w:id="0" w:name="_Hlk217999480"/>
      <w:r>
        <w:rPr>
          <w:rFonts w:ascii="Times New Roman" w:hAnsi="Times New Roman"/>
          <w:b/>
          <w:sz w:val="24"/>
          <w:szCs w:val="24"/>
        </w:rPr>
        <w:t xml:space="preserve">BIOACTIVE COMPOUNDS and GC-FID EVALUATION OF </w:t>
      </w:r>
      <w:proofErr w:type="spellStart"/>
      <w:r>
        <w:rPr>
          <w:rFonts w:ascii="Times New Roman" w:hAnsi="Times New Roman"/>
          <w:b/>
          <w:sz w:val="24"/>
          <w:szCs w:val="24"/>
        </w:rPr>
        <w:t>Azadirachta</w:t>
      </w:r>
      <w:proofErr w:type="spellEnd"/>
      <w:r>
        <w:rPr>
          <w:rFonts w:ascii="Times New Roman" w:hAnsi="Times New Roman"/>
          <w:b/>
          <w:sz w:val="24"/>
          <w:szCs w:val="24"/>
        </w:rPr>
        <w:t xml:space="preserve"> </w:t>
      </w:r>
      <w:proofErr w:type="gramStart"/>
      <w:r>
        <w:rPr>
          <w:rFonts w:ascii="Times New Roman" w:hAnsi="Times New Roman"/>
          <w:b/>
          <w:sz w:val="24"/>
          <w:szCs w:val="24"/>
        </w:rPr>
        <w:t>indica(</w:t>
      </w:r>
      <w:proofErr w:type="gramEnd"/>
      <w:r>
        <w:rPr>
          <w:rFonts w:ascii="Times New Roman" w:hAnsi="Times New Roman"/>
          <w:b/>
          <w:sz w:val="24"/>
          <w:szCs w:val="24"/>
        </w:rPr>
        <w:t>NEEM TREE) LEAVES IN UTURU AREA, NIGERIA</w:t>
      </w:r>
    </w:p>
    <w:bookmarkEnd w:id="0"/>
    <w:p w14:paraId="69E7F48C" w14:textId="54E9B870" w:rsidR="00DD0F93" w:rsidRDefault="00C740E5">
      <w:pPr>
        <w:spacing w:before="240" w:line="360" w:lineRule="auto"/>
        <w:rPr>
          <w:rFonts w:ascii="Times New Roman" w:hAnsi="Times New Roman"/>
          <w:b/>
          <w:sz w:val="24"/>
          <w:szCs w:val="24"/>
        </w:rPr>
      </w:pPr>
      <w:r>
        <w:rPr>
          <w:rFonts w:ascii="Times New Roman" w:hAnsi="Times New Roman"/>
          <w:b/>
          <w:sz w:val="24"/>
          <w:szCs w:val="24"/>
        </w:rPr>
        <w:t xml:space="preserve"> </w:t>
      </w:r>
    </w:p>
    <w:p w14:paraId="029D80CB" w14:textId="77777777" w:rsidR="00DD0F93" w:rsidRDefault="00DD0F93">
      <w:pPr>
        <w:spacing w:before="240" w:line="360" w:lineRule="auto"/>
        <w:rPr>
          <w:rFonts w:ascii="Times New Roman" w:hAnsi="Times New Roman"/>
          <w:b/>
          <w:sz w:val="24"/>
          <w:szCs w:val="24"/>
        </w:rPr>
      </w:pPr>
    </w:p>
    <w:p w14:paraId="6F62AEBB"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ABSTRACT</w:t>
      </w:r>
    </w:p>
    <w:p w14:paraId="37D6249D"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Plant extract contains several bioactive constituents that have been shown to possess health promoting properties. Plant derived bioactive compounds, such as biologically active proteins, phenols, </w:t>
      </w:r>
      <w:proofErr w:type="gramStart"/>
      <w:r>
        <w:rPr>
          <w:rFonts w:ascii="Times New Roman" w:hAnsi="Times New Roman"/>
          <w:sz w:val="24"/>
          <w:szCs w:val="24"/>
        </w:rPr>
        <w:t>carbohydrates ,</w:t>
      </w:r>
      <w:proofErr w:type="gramEnd"/>
      <w:r>
        <w:rPr>
          <w:rFonts w:ascii="Times New Roman" w:hAnsi="Times New Roman"/>
          <w:sz w:val="24"/>
          <w:szCs w:val="24"/>
        </w:rPr>
        <w:t xml:space="preserve"> alkaloids, </w:t>
      </w:r>
      <w:proofErr w:type="spellStart"/>
      <w:r>
        <w:rPr>
          <w:rFonts w:ascii="Times New Roman" w:hAnsi="Times New Roman"/>
          <w:sz w:val="24"/>
          <w:szCs w:val="24"/>
        </w:rPr>
        <w:t>cadiac</w:t>
      </w:r>
      <w:proofErr w:type="spellEnd"/>
      <w:r>
        <w:rPr>
          <w:rFonts w:ascii="Times New Roman" w:hAnsi="Times New Roman"/>
          <w:sz w:val="24"/>
          <w:szCs w:val="24"/>
        </w:rPr>
        <w:t xml:space="preserve"> glycosides, flavonoids, phenols, anthraquinones, proteins, terpenoids, saponin, steroids and </w:t>
      </w:r>
      <w:proofErr w:type="spellStart"/>
      <w:proofErr w:type="gramStart"/>
      <w:r>
        <w:rPr>
          <w:rFonts w:ascii="Times New Roman" w:hAnsi="Times New Roman"/>
          <w:sz w:val="24"/>
          <w:szCs w:val="24"/>
        </w:rPr>
        <w:t>tanins</w:t>
      </w:r>
      <w:proofErr w:type="spellEnd"/>
      <w:r>
        <w:rPr>
          <w:rFonts w:ascii="Times New Roman" w:hAnsi="Times New Roman"/>
          <w:sz w:val="24"/>
          <w:szCs w:val="24"/>
        </w:rPr>
        <w:t xml:space="preserve">  have</w:t>
      </w:r>
      <w:proofErr w:type="gramEnd"/>
      <w:r>
        <w:rPr>
          <w:rFonts w:ascii="Times New Roman" w:hAnsi="Times New Roman"/>
          <w:sz w:val="24"/>
          <w:szCs w:val="24"/>
        </w:rPr>
        <w:t xml:space="preserve"> been reported to be beneficial for human health, as anticancer, antioxidant, anti-infectives, anti-inflammatory, </w:t>
      </w:r>
      <w:proofErr w:type="spellStart"/>
      <w:r>
        <w:rPr>
          <w:rFonts w:ascii="Times New Roman" w:hAnsi="Times New Roman"/>
          <w:sz w:val="24"/>
          <w:szCs w:val="24"/>
        </w:rPr>
        <w:t>anitibactaria</w:t>
      </w:r>
      <w:proofErr w:type="spellEnd"/>
      <w:r>
        <w:rPr>
          <w:rFonts w:ascii="Times New Roman" w:hAnsi="Times New Roman"/>
          <w:sz w:val="24"/>
          <w:szCs w:val="24"/>
        </w:rPr>
        <w:t xml:space="preserve">, antidiabetics and neuroprotective. </w:t>
      </w:r>
      <w:commentRangeStart w:id="1"/>
      <w:r>
        <w:rPr>
          <w:rFonts w:ascii="Times New Roman" w:hAnsi="Times New Roman"/>
          <w:sz w:val="24"/>
          <w:szCs w:val="24"/>
        </w:rPr>
        <w:t xml:space="preserve">This analysis describes the qualitative phytochemical screening and quantitative analysis of bioactive compounds present in leaves of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Indica</w:t>
      </w:r>
      <w:r>
        <w:rPr>
          <w:rFonts w:ascii="Times New Roman" w:hAnsi="Times New Roman"/>
          <w:sz w:val="24"/>
          <w:szCs w:val="24"/>
        </w:rPr>
        <w:t>.</w:t>
      </w:r>
      <w:commentRangeEnd w:id="1"/>
      <w:r w:rsidR="00DE21A4">
        <w:rPr>
          <w:rStyle w:val="CommentReference"/>
        </w:rPr>
        <w:commentReference w:id="1"/>
      </w:r>
      <w:r>
        <w:rPr>
          <w:rFonts w:ascii="Times New Roman" w:hAnsi="Times New Roman"/>
          <w:sz w:val="24"/>
          <w:szCs w:val="24"/>
        </w:rPr>
        <w:t xml:space="preserve"> Different classes of </w:t>
      </w:r>
      <w:proofErr w:type="gramStart"/>
      <w:r>
        <w:rPr>
          <w:rFonts w:ascii="Times New Roman" w:hAnsi="Times New Roman"/>
          <w:sz w:val="24"/>
          <w:szCs w:val="24"/>
        </w:rPr>
        <w:t>bioactive  compounds</w:t>
      </w:r>
      <w:proofErr w:type="gramEnd"/>
      <w:r>
        <w:rPr>
          <w:rFonts w:ascii="Times New Roman" w:hAnsi="Times New Roman"/>
          <w:sz w:val="24"/>
          <w:szCs w:val="24"/>
        </w:rPr>
        <w:t xml:space="preserve"> was identified by GC-FID analysis. Genistein, luteolin, ferulic acid, </w:t>
      </w:r>
      <w:proofErr w:type="spellStart"/>
      <w:r>
        <w:rPr>
          <w:rFonts w:ascii="Times New Roman" w:hAnsi="Times New Roman"/>
          <w:sz w:val="24"/>
          <w:szCs w:val="24"/>
        </w:rPr>
        <w:t>artemetin</w:t>
      </w:r>
      <w:proofErr w:type="spellEnd"/>
      <w:r>
        <w:rPr>
          <w:rFonts w:ascii="Times New Roman" w:hAnsi="Times New Roman"/>
          <w:sz w:val="24"/>
          <w:szCs w:val="24"/>
        </w:rPr>
        <w:t xml:space="preserve">, </w:t>
      </w:r>
      <w:proofErr w:type="spellStart"/>
      <w:r>
        <w:rPr>
          <w:rFonts w:ascii="Times New Roman" w:hAnsi="Times New Roman"/>
          <w:sz w:val="24"/>
          <w:szCs w:val="24"/>
        </w:rPr>
        <w:t>gallocatechin</w:t>
      </w:r>
      <w:proofErr w:type="spellEnd"/>
      <w:r>
        <w:rPr>
          <w:rFonts w:ascii="Times New Roman" w:hAnsi="Times New Roman"/>
          <w:sz w:val="24"/>
          <w:szCs w:val="24"/>
        </w:rPr>
        <w:t xml:space="preserve">, flavones, </w:t>
      </w:r>
      <w:proofErr w:type="spellStart"/>
      <w:r>
        <w:rPr>
          <w:rFonts w:ascii="Times New Roman" w:hAnsi="Times New Roman"/>
          <w:sz w:val="24"/>
          <w:szCs w:val="24"/>
        </w:rPr>
        <w:t>reveratrol</w:t>
      </w:r>
      <w:proofErr w:type="spellEnd"/>
      <w:r>
        <w:rPr>
          <w:rFonts w:ascii="Times New Roman" w:hAnsi="Times New Roman"/>
          <w:sz w:val="24"/>
          <w:szCs w:val="24"/>
        </w:rPr>
        <w:t xml:space="preserve">, </w:t>
      </w:r>
      <w:proofErr w:type="spellStart"/>
      <w:r>
        <w:rPr>
          <w:rFonts w:ascii="Times New Roman" w:hAnsi="Times New Roman"/>
          <w:sz w:val="24"/>
          <w:szCs w:val="24"/>
        </w:rPr>
        <w:t>lunamarin</w:t>
      </w:r>
      <w:proofErr w:type="spellEnd"/>
      <w:r>
        <w:rPr>
          <w:rFonts w:ascii="Times New Roman" w:hAnsi="Times New Roman"/>
          <w:sz w:val="24"/>
          <w:szCs w:val="24"/>
        </w:rPr>
        <w:t xml:space="preserve">, </w:t>
      </w:r>
      <w:proofErr w:type="spellStart"/>
      <w:r>
        <w:rPr>
          <w:rFonts w:ascii="Times New Roman" w:hAnsi="Times New Roman"/>
          <w:sz w:val="24"/>
          <w:szCs w:val="24"/>
        </w:rPr>
        <w:t>retusin</w:t>
      </w:r>
      <w:proofErr w:type="spellEnd"/>
      <w:r>
        <w:rPr>
          <w:rFonts w:ascii="Times New Roman" w:hAnsi="Times New Roman"/>
          <w:sz w:val="24"/>
          <w:szCs w:val="24"/>
        </w:rPr>
        <w:t xml:space="preserve">, </w:t>
      </w:r>
      <w:proofErr w:type="spellStart"/>
      <w:r>
        <w:rPr>
          <w:rFonts w:ascii="Times New Roman" w:hAnsi="Times New Roman"/>
          <w:sz w:val="24"/>
          <w:szCs w:val="24"/>
        </w:rPr>
        <w:t>nobeletin</w:t>
      </w:r>
      <w:proofErr w:type="spellEnd"/>
      <w:r>
        <w:rPr>
          <w:rFonts w:ascii="Times New Roman" w:hAnsi="Times New Roman"/>
          <w:sz w:val="24"/>
          <w:szCs w:val="24"/>
        </w:rPr>
        <w:t xml:space="preserve">, ellagic acid, </w:t>
      </w:r>
      <w:proofErr w:type="spellStart"/>
      <w:r>
        <w:rPr>
          <w:rFonts w:ascii="Times New Roman" w:hAnsi="Times New Roman"/>
          <w:sz w:val="24"/>
          <w:szCs w:val="24"/>
        </w:rPr>
        <w:t>tangeretein</w:t>
      </w:r>
      <w:proofErr w:type="spellEnd"/>
      <w:r>
        <w:rPr>
          <w:rFonts w:ascii="Times New Roman" w:hAnsi="Times New Roman"/>
          <w:sz w:val="24"/>
          <w:szCs w:val="24"/>
        </w:rPr>
        <w:t xml:space="preserve">, epicatechin, vanillic, hesperidin, </w:t>
      </w:r>
      <w:proofErr w:type="spellStart"/>
      <w:r>
        <w:rPr>
          <w:rFonts w:ascii="Times New Roman" w:hAnsi="Times New Roman"/>
          <w:sz w:val="24"/>
          <w:szCs w:val="24"/>
        </w:rPr>
        <w:t>butein</w:t>
      </w:r>
      <w:proofErr w:type="spellEnd"/>
      <w:r>
        <w:rPr>
          <w:rFonts w:ascii="Times New Roman" w:hAnsi="Times New Roman"/>
          <w:sz w:val="24"/>
          <w:szCs w:val="24"/>
        </w:rPr>
        <w:t xml:space="preserve">, apigenin, naringenin, myricetin, hesperidin, isorhamnetin, </w:t>
      </w:r>
      <w:proofErr w:type="spellStart"/>
      <w:r>
        <w:rPr>
          <w:rFonts w:ascii="Times New Roman" w:hAnsi="Times New Roman"/>
          <w:sz w:val="24"/>
          <w:szCs w:val="24"/>
        </w:rPr>
        <w:t>maricetin</w:t>
      </w:r>
      <w:proofErr w:type="spellEnd"/>
      <w:r>
        <w:rPr>
          <w:rFonts w:ascii="Times New Roman" w:hAnsi="Times New Roman"/>
          <w:sz w:val="24"/>
          <w:szCs w:val="24"/>
        </w:rPr>
        <w:t xml:space="preserve"> and daidzein are bioactive compounds identified by GC-FID analysis of </w:t>
      </w:r>
      <w:commentRangeStart w:id="2"/>
      <w:proofErr w:type="spellStart"/>
      <w:r>
        <w:rPr>
          <w:rFonts w:ascii="Times New Roman" w:hAnsi="Times New Roman"/>
          <w:sz w:val="24"/>
          <w:szCs w:val="24"/>
        </w:rPr>
        <w:t>Azadirachta</w:t>
      </w:r>
      <w:proofErr w:type="spellEnd"/>
      <w:r>
        <w:rPr>
          <w:rFonts w:ascii="Times New Roman" w:hAnsi="Times New Roman"/>
          <w:sz w:val="24"/>
          <w:szCs w:val="24"/>
        </w:rPr>
        <w:t xml:space="preserve"> Indica</w:t>
      </w:r>
      <w:commentRangeEnd w:id="2"/>
      <w:r w:rsidR="00B4169F">
        <w:rPr>
          <w:rStyle w:val="CommentReference"/>
        </w:rPr>
        <w:commentReference w:id="2"/>
      </w:r>
      <w:r>
        <w:rPr>
          <w:rFonts w:ascii="Times New Roman" w:hAnsi="Times New Roman"/>
          <w:sz w:val="24"/>
          <w:szCs w:val="24"/>
        </w:rPr>
        <w:t xml:space="preserve"> leaves in substantial and trace amounts. </w:t>
      </w:r>
      <w:proofErr w:type="gramStart"/>
      <w:r>
        <w:rPr>
          <w:rFonts w:ascii="Times New Roman" w:hAnsi="Times New Roman"/>
          <w:sz w:val="24"/>
          <w:szCs w:val="24"/>
        </w:rPr>
        <w:t>The  metabolites</w:t>
      </w:r>
      <w:proofErr w:type="gramEnd"/>
      <w:r>
        <w:rPr>
          <w:rFonts w:ascii="Times New Roman" w:hAnsi="Times New Roman"/>
          <w:sz w:val="24"/>
          <w:szCs w:val="24"/>
        </w:rPr>
        <w:t xml:space="preserve"> and bioactive compounds present in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indica </w:t>
      </w:r>
      <w:r>
        <w:rPr>
          <w:rFonts w:ascii="Times New Roman" w:hAnsi="Times New Roman"/>
          <w:sz w:val="24"/>
          <w:szCs w:val="24"/>
        </w:rPr>
        <w:t xml:space="preserve">leaves makes it </w:t>
      </w:r>
      <w:proofErr w:type="gramStart"/>
      <w:r>
        <w:rPr>
          <w:rFonts w:ascii="Times New Roman" w:hAnsi="Times New Roman"/>
          <w:sz w:val="24"/>
          <w:szCs w:val="24"/>
        </w:rPr>
        <w:t>a  potential</w:t>
      </w:r>
      <w:proofErr w:type="gramEnd"/>
      <w:r>
        <w:rPr>
          <w:rFonts w:ascii="Times New Roman" w:hAnsi="Times New Roman"/>
          <w:sz w:val="24"/>
          <w:szCs w:val="24"/>
        </w:rPr>
        <w:t xml:space="preserve"> medicinal plants that contains therapeutic activities.</w:t>
      </w:r>
    </w:p>
    <w:p w14:paraId="2D475C00"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 xml:space="preserve">Keywords: Phytochemicals, Neem, bioactive compounds, therapeutic activities, GC-FID, Natural product </w:t>
      </w:r>
    </w:p>
    <w:p w14:paraId="25A131FC" w14:textId="77777777" w:rsidR="00DD0F93" w:rsidRDefault="004D0A17">
      <w:pPr>
        <w:spacing w:before="240" w:line="360" w:lineRule="auto"/>
        <w:rPr>
          <w:rFonts w:ascii="Times New Roman" w:hAnsi="Times New Roman"/>
          <w:sz w:val="24"/>
          <w:szCs w:val="24"/>
        </w:rPr>
      </w:pPr>
      <w:r>
        <w:rPr>
          <w:rFonts w:ascii="Times New Roman" w:hAnsi="Times New Roman"/>
          <w:b/>
          <w:sz w:val="24"/>
          <w:szCs w:val="24"/>
        </w:rPr>
        <w:t>INTRODUCTION</w:t>
      </w:r>
    </w:p>
    <w:p w14:paraId="34075D0D" w14:textId="328CA743"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Plant derived medications have notably improved human health and have served as models for western medicines and a source of inspiration for new ones. Over 70% of contemporary pharmacological products are thought to be based on plants </w:t>
      </w:r>
      <w:proofErr w:type="gramStart"/>
      <w:r>
        <w:rPr>
          <w:rFonts w:ascii="Times New Roman" w:hAnsi="Times New Roman"/>
          <w:sz w:val="24"/>
          <w:szCs w:val="24"/>
        </w:rPr>
        <w:t>( Marrelli</w:t>
      </w:r>
      <w:proofErr w:type="gramEnd"/>
      <w:r>
        <w:rPr>
          <w:rFonts w:ascii="Times New Roman" w:hAnsi="Times New Roman"/>
          <w:sz w:val="24"/>
          <w:szCs w:val="24"/>
        </w:rPr>
        <w:t>, 2021; Swamy and Akhtar, 2019). Example the production of artemisinin, which is derived from the plant Artemisia annua and used to make the anti-malaria treatment artesunate as well as other artemisinin-based medications (</w:t>
      </w:r>
      <w:proofErr w:type="spellStart"/>
      <w:r>
        <w:rPr>
          <w:rFonts w:ascii="Times New Roman" w:hAnsi="Times New Roman"/>
          <w:sz w:val="24"/>
          <w:szCs w:val="24"/>
        </w:rPr>
        <w:t>Anna</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w:t>
      </w:r>
      <w:commentRangeStart w:id="3"/>
      <w:r>
        <w:rPr>
          <w:rFonts w:ascii="Times New Roman" w:hAnsi="Times New Roman"/>
          <w:sz w:val="24"/>
          <w:szCs w:val="24"/>
        </w:rPr>
        <w:t>2023</w:t>
      </w:r>
      <w:commentRangeEnd w:id="3"/>
      <w:r w:rsidR="00B4169F">
        <w:rPr>
          <w:rStyle w:val="CommentReference"/>
        </w:rPr>
        <w:commentReference w:id="3"/>
      </w:r>
      <w:r>
        <w:rPr>
          <w:rFonts w:ascii="Times New Roman" w:hAnsi="Times New Roman"/>
          <w:sz w:val="24"/>
          <w:szCs w:val="24"/>
        </w:rPr>
        <w:t>)</w:t>
      </w:r>
    </w:p>
    <w:p w14:paraId="198980A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lastRenderedPageBreak/>
        <w:t>Natural products such as plant products show an important role in diseases prevention and treatment through the enhancement of antioxidant activity, inhibition of bacterial growth, and modulation of genetic pathways. The therapeutics role of number of plants in diseases management is still being enthusiastically researched due to their less side effect, relative safety, accessibility and affordable properties (</w:t>
      </w:r>
      <w:proofErr w:type="spellStart"/>
      <w:r>
        <w:rPr>
          <w:rFonts w:ascii="Times New Roman" w:hAnsi="Times New Roman"/>
          <w:sz w:val="24"/>
          <w:szCs w:val="24"/>
        </w:rPr>
        <w:t>Les</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2024; </w:t>
      </w:r>
      <w:proofErr w:type="spellStart"/>
      <w:r>
        <w:rPr>
          <w:rFonts w:ascii="Times New Roman" w:hAnsi="Times New Roman"/>
          <w:sz w:val="24"/>
          <w:szCs w:val="24"/>
        </w:rPr>
        <w:t>Alzohairy</w:t>
      </w:r>
      <w:proofErr w:type="spellEnd"/>
      <w:r>
        <w:rPr>
          <w:rFonts w:ascii="Times New Roman" w:hAnsi="Times New Roman"/>
          <w:sz w:val="24"/>
          <w:szCs w:val="24"/>
        </w:rPr>
        <w:t xml:space="preserve">, 2016). </w:t>
      </w:r>
    </w:p>
    <w:p w14:paraId="4B198B11" w14:textId="77777777" w:rsidR="00DD0F93" w:rsidRDefault="004D0A17">
      <w:pPr>
        <w:spacing w:before="240" w:line="360" w:lineRule="auto"/>
        <w:jc w:val="both"/>
        <w:rPr>
          <w:rStyle w:val="Strong"/>
          <w:rFonts w:ascii="Times New Roman" w:hAnsi="Times New Roman"/>
          <w:b w:val="0"/>
          <w:sz w:val="24"/>
          <w:szCs w:val="24"/>
          <w:shd w:val="clear" w:color="auto" w:fill="FFFFFF"/>
        </w:rPr>
      </w:pPr>
      <w:r>
        <w:rPr>
          <w:rFonts w:ascii="Times New Roman" w:hAnsi="Times New Roman"/>
          <w:sz w:val="24"/>
          <w:szCs w:val="24"/>
        </w:rPr>
        <w:t>Neem (</w:t>
      </w:r>
      <w:proofErr w:type="spellStart"/>
      <w:r>
        <w:rPr>
          <w:rFonts w:ascii="Times New Roman" w:hAnsi="Times New Roman"/>
          <w:sz w:val="24"/>
          <w:szCs w:val="24"/>
        </w:rPr>
        <w:t>Azadirachta</w:t>
      </w:r>
      <w:proofErr w:type="spellEnd"/>
      <w:r>
        <w:rPr>
          <w:rFonts w:ascii="Times New Roman" w:hAnsi="Times New Roman"/>
          <w:sz w:val="24"/>
          <w:szCs w:val="24"/>
        </w:rPr>
        <w:t xml:space="preserve"> indica) has been used for thousands of years for its medicinal properties. It has many potential uses, including treating infections, </w:t>
      </w:r>
      <w:proofErr w:type="spellStart"/>
      <w:proofErr w:type="gramStart"/>
      <w:r>
        <w:rPr>
          <w:rFonts w:ascii="Times New Roman" w:hAnsi="Times New Roman"/>
          <w:sz w:val="24"/>
          <w:szCs w:val="24"/>
        </w:rPr>
        <w:t>inflammation,skin</w:t>
      </w:r>
      <w:proofErr w:type="spellEnd"/>
      <w:proofErr w:type="gramEnd"/>
      <w:r>
        <w:rPr>
          <w:rFonts w:ascii="Times New Roman" w:hAnsi="Times New Roman"/>
          <w:sz w:val="24"/>
          <w:szCs w:val="24"/>
        </w:rPr>
        <w:t xml:space="preserve"> diseases, insect repellent, dental hygiene, antiviral, birth control, reducing dandruff, reducing joint pain, treating ulcers, in gastrointestinal diseases, treating brain ailments, treating </w:t>
      </w:r>
      <w:proofErr w:type="gramStart"/>
      <w:r>
        <w:rPr>
          <w:rFonts w:ascii="Times New Roman" w:hAnsi="Times New Roman"/>
          <w:sz w:val="24"/>
          <w:szCs w:val="24"/>
        </w:rPr>
        <w:t>acne  and</w:t>
      </w:r>
      <w:proofErr w:type="gramEnd"/>
      <w:r>
        <w:rPr>
          <w:rFonts w:ascii="Times New Roman" w:hAnsi="Times New Roman"/>
          <w:sz w:val="24"/>
          <w:szCs w:val="24"/>
        </w:rPr>
        <w:t xml:space="preserve">  lice (</w:t>
      </w:r>
      <w:proofErr w:type="spellStart"/>
      <w:r>
        <w:rPr>
          <w:rFonts w:ascii="Times New Roman" w:hAnsi="Times New Roman"/>
          <w:sz w:val="24"/>
          <w:szCs w:val="24"/>
        </w:rPr>
        <w:t>Wylie&amp;Merrell</w:t>
      </w:r>
      <w:proofErr w:type="spellEnd"/>
      <w:r>
        <w:rPr>
          <w:rFonts w:ascii="Times New Roman" w:hAnsi="Times New Roman"/>
          <w:sz w:val="24"/>
          <w:szCs w:val="24"/>
        </w:rPr>
        <w:t xml:space="preserve">, 2022). </w:t>
      </w:r>
    </w:p>
    <w:p w14:paraId="2DF8E371" w14:textId="77777777" w:rsidR="00DD0F93" w:rsidRDefault="004D0A17">
      <w:pPr>
        <w:spacing w:before="240" w:line="360" w:lineRule="auto"/>
        <w:jc w:val="both"/>
        <w:rPr>
          <w:rFonts w:ascii="Times New Roman" w:hAnsi="Times New Roman"/>
          <w:b/>
          <w:sz w:val="24"/>
          <w:szCs w:val="24"/>
        </w:rPr>
      </w:pPr>
      <w:proofErr w:type="spellStart"/>
      <w:r>
        <w:rPr>
          <w:rStyle w:val="Emphasis"/>
          <w:rFonts w:ascii="Times New Roman" w:hAnsi="Times New Roman"/>
          <w:sz w:val="24"/>
          <w:szCs w:val="24"/>
          <w:shd w:val="clear" w:color="auto" w:fill="FFFFFF"/>
        </w:rPr>
        <w:t>Azadirachta</w:t>
      </w:r>
      <w:proofErr w:type="spellEnd"/>
      <w:r>
        <w:rPr>
          <w:rStyle w:val="Emphasis"/>
          <w:rFonts w:ascii="Times New Roman" w:hAnsi="Times New Roman"/>
          <w:sz w:val="24"/>
          <w:szCs w:val="24"/>
          <w:shd w:val="clear" w:color="auto" w:fill="FFFFFF"/>
        </w:rPr>
        <w:t xml:space="preserve"> indica</w:t>
      </w:r>
      <w:r>
        <w:rPr>
          <w:rFonts w:ascii="Times New Roman" w:hAnsi="Times New Roman"/>
          <w:sz w:val="24"/>
          <w:szCs w:val="24"/>
          <w:shd w:val="clear" w:color="auto" w:fill="FFFFFF"/>
        </w:rPr>
        <w:t>), fast-growing </w:t>
      </w:r>
      <w:hyperlink r:id="rId11" w:history="1">
        <w:r w:rsidR="00DD0F93">
          <w:rPr>
            <w:rStyle w:val="Hyperlink"/>
            <w:rFonts w:ascii="Times New Roman" w:hAnsi="Times New Roman"/>
            <w:color w:val="auto"/>
            <w:sz w:val="24"/>
            <w:szCs w:val="24"/>
            <w:u w:val="none"/>
            <w:shd w:val="clear" w:color="auto" w:fill="FFFFFF"/>
          </w:rPr>
          <w:t>tree</w:t>
        </w:r>
      </w:hyperlink>
      <w:r>
        <w:rPr>
          <w:rFonts w:ascii="Times New Roman" w:hAnsi="Times New Roman"/>
          <w:sz w:val="24"/>
          <w:szCs w:val="24"/>
          <w:shd w:val="clear" w:color="auto" w:fill="FFFFFF"/>
        </w:rPr>
        <w:t> of the mahogany family (</w:t>
      </w:r>
      <w:proofErr w:type="spellStart"/>
      <w:r w:rsidR="00DD0F93">
        <w:fldChar w:fldCharType="begin"/>
      </w:r>
      <w:r w:rsidR="00DD0F93">
        <w:instrText>HYPERLINK "https://www.britannica.com/plant/Meliaceae"</w:instrText>
      </w:r>
      <w:r w:rsidR="00DD0F93">
        <w:fldChar w:fldCharType="separate"/>
      </w:r>
      <w:r w:rsidR="00DD0F93">
        <w:rPr>
          <w:rStyle w:val="Hyperlink"/>
          <w:rFonts w:ascii="Times New Roman" w:hAnsi="Times New Roman"/>
          <w:color w:val="auto"/>
          <w:sz w:val="24"/>
          <w:szCs w:val="24"/>
          <w:u w:val="none"/>
          <w:shd w:val="clear" w:color="auto" w:fill="FFFFFF"/>
        </w:rPr>
        <w:t>Meliaceae</w:t>
      </w:r>
      <w:proofErr w:type="spellEnd"/>
      <w:r w:rsidR="00DD0F93">
        <w:fldChar w:fldCharType="end"/>
      </w:r>
      <w:r>
        <w:rPr>
          <w:rFonts w:ascii="Times New Roman" w:hAnsi="Times New Roman"/>
          <w:sz w:val="24"/>
          <w:szCs w:val="24"/>
          <w:shd w:val="clear" w:color="auto" w:fill="FFFFFF"/>
        </w:rPr>
        <w:t>), valued as a medicinal </w:t>
      </w:r>
      <w:proofErr w:type="spellStart"/>
      <w:r w:rsidR="00DD0F93">
        <w:fldChar w:fldCharType="begin"/>
      </w:r>
      <w:r w:rsidR="00DD0F93">
        <w:instrText>HYPERLINK "https://www.britannica.com/plant/plant"</w:instrText>
      </w:r>
      <w:r w:rsidR="00DD0F93">
        <w:fldChar w:fldCharType="separate"/>
      </w:r>
      <w:r w:rsidR="00DD0F93">
        <w:rPr>
          <w:rStyle w:val="Hyperlink"/>
          <w:rFonts w:ascii="Times New Roman" w:hAnsi="Times New Roman"/>
          <w:color w:val="auto"/>
          <w:sz w:val="24"/>
          <w:szCs w:val="24"/>
          <w:u w:val="none"/>
          <w:shd w:val="clear" w:color="auto" w:fill="FFFFFF"/>
        </w:rPr>
        <w:t>plant</w:t>
      </w:r>
      <w:r w:rsidR="00DD0F93">
        <w:fldChar w:fldCharType="end"/>
      </w:r>
      <w:r>
        <w:rPr>
          <w:rFonts w:ascii="Times New Roman" w:hAnsi="Times New Roman"/>
          <w:sz w:val="24"/>
          <w:szCs w:val="24"/>
          <w:shd w:val="clear" w:color="auto" w:fill="FFFFFF"/>
        </w:rPr>
        <w:t>,a</w:t>
      </w:r>
      <w:proofErr w:type="spellEnd"/>
      <w:r>
        <w:rPr>
          <w:rFonts w:ascii="Times New Roman" w:hAnsi="Times New Roman"/>
          <w:sz w:val="24"/>
          <w:szCs w:val="24"/>
          <w:shd w:val="clear" w:color="auto" w:fill="FFFFFF"/>
        </w:rPr>
        <w:t xml:space="preserve"> source of organic pesticides, and for its timber uses. Neem is likely native to the </w:t>
      </w:r>
      <w:hyperlink r:id="rId12" w:history="1">
        <w:r w:rsidR="00DD0F93">
          <w:rPr>
            <w:rStyle w:val="Hyperlink"/>
            <w:rFonts w:ascii="Times New Roman" w:hAnsi="Times New Roman"/>
            <w:color w:val="auto"/>
            <w:sz w:val="24"/>
            <w:szCs w:val="24"/>
            <w:u w:val="none"/>
            <w:shd w:val="clear" w:color="auto" w:fill="FFFFFF"/>
          </w:rPr>
          <w:t>Indian subcontinent</w:t>
        </w:r>
      </w:hyperlink>
      <w:r>
        <w:rPr>
          <w:rFonts w:ascii="Times New Roman" w:hAnsi="Times New Roman"/>
          <w:sz w:val="24"/>
          <w:szCs w:val="24"/>
          <w:shd w:val="clear" w:color="auto" w:fill="FFFFFF"/>
        </w:rPr>
        <w:t> and to dry areas throughout </w:t>
      </w:r>
      <w:hyperlink r:id="rId13" w:history="1">
        <w:r w:rsidR="00DD0F93">
          <w:rPr>
            <w:rStyle w:val="Hyperlink"/>
            <w:rFonts w:ascii="Times New Roman" w:hAnsi="Times New Roman"/>
            <w:color w:val="auto"/>
            <w:sz w:val="24"/>
            <w:szCs w:val="24"/>
            <w:u w:val="none"/>
            <w:shd w:val="clear" w:color="auto" w:fill="FFFFFF"/>
          </w:rPr>
          <w:t>South Asia</w:t>
        </w:r>
      </w:hyperlink>
      <w:r>
        <w:rPr>
          <w:rFonts w:ascii="Times New Roman" w:hAnsi="Times New Roman"/>
          <w:sz w:val="24"/>
          <w:szCs w:val="24"/>
          <w:shd w:val="clear" w:color="auto" w:fill="FFFFFF"/>
        </w:rPr>
        <w:t>. Its present in parts of Africa, the Caribbean, and numerous counties in South and Central America. The plant has long been used in </w:t>
      </w:r>
      <w:hyperlink r:id="rId14" w:history="1">
        <w:r w:rsidR="00DD0F93">
          <w:rPr>
            <w:rStyle w:val="Hyperlink"/>
            <w:rFonts w:ascii="Times New Roman" w:hAnsi="Times New Roman"/>
            <w:color w:val="auto"/>
            <w:sz w:val="24"/>
            <w:szCs w:val="24"/>
            <w:u w:val="none"/>
            <w:shd w:val="clear" w:color="auto" w:fill="FFFFFF"/>
          </w:rPr>
          <w:t>Ayurvedic</w:t>
        </w:r>
      </w:hyperlink>
      <w:r>
        <w:rPr>
          <w:rFonts w:ascii="Times New Roman" w:hAnsi="Times New Roman"/>
          <w:sz w:val="24"/>
          <w:szCs w:val="24"/>
          <w:shd w:val="clear" w:color="auto" w:fill="FFFFFF"/>
        </w:rPr>
        <w:t xml:space="preserve"> and folk medicine and is </w:t>
      </w:r>
      <w:proofErr w:type="spellStart"/>
      <w:r>
        <w:rPr>
          <w:rFonts w:ascii="Times New Roman" w:hAnsi="Times New Roman"/>
          <w:sz w:val="24"/>
          <w:szCs w:val="24"/>
          <w:shd w:val="clear" w:color="auto" w:fill="FFFFFF"/>
        </w:rPr>
        <w:t>usedin</w:t>
      </w:r>
      <w:proofErr w:type="spellEnd"/>
      <w:r>
        <w:rPr>
          <w:rFonts w:ascii="Times New Roman" w:hAnsi="Times New Roman"/>
          <w:sz w:val="24"/>
          <w:szCs w:val="24"/>
          <w:shd w:val="clear" w:color="auto" w:fill="FFFFFF"/>
        </w:rPr>
        <w:t> </w:t>
      </w:r>
      <w:hyperlink r:id="rId15" w:history="1">
        <w:r w:rsidR="00DD0F93">
          <w:rPr>
            <w:rStyle w:val="Hyperlink"/>
            <w:rFonts w:ascii="Times New Roman" w:hAnsi="Times New Roman"/>
            <w:color w:val="auto"/>
            <w:sz w:val="24"/>
            <w:szCs w:val="24"/>
            <w:u w:val="none"/>
            <w:shd w:val="clear" w:color="auto" w:fill="FFFFFF"/>
          </w:rPr>
          <w:t>cosmetics</w:t>
        </w:r>
      </w:hyperlink>
      <w:r>
        <w:rPr>
          <w:rFonts w:ascii="Times New Roman" w:hAnsi="Times New Roman"/>
          <w:sz w:val="24"/>
          <w:szCs w:val="24"/>
          <w:shd w:val="clear" w:color="auto" w:fill="FFFFFF"/>
        </w:rPr>
        <w:t> and in </w:t>
      </w:r>
      <w:hyperlink r:id="rId16" w:history="1">
        <w:r w:rsidR="00DD0F93">
          <w:rPr>
            <w:rStyle w:val="Hyperlink"/>
            <w:rFonts w:ascii="Times New Roman" w:hAnsi="Times New Roman"/>
            <w:color w:val="auto"/>
            <w:sz w:val="24"/>
            <w:szCs w:val="24"/>
            <w:u w:val="none"/>
            <w:shd w:val="clear" w:color="auto" w:fill="FFFFFF"/>
          </w:rPr>
          <w:t>organic farming</w:t>
        </w:r>
      </w:hyperlink>
      <w:r>
        <w:rPr>
          <w:rFonts w:ascii="Times New Roman" w:hAnsi="Times New Roman"/>
          <w:sz w:val="24"/>
          <w:szCs w:val="24"/>
          <w:shd w:val="clear" w:color="auto" w:fill="FFFFFF"/>
        </w:rPr>
        <w:t> applications(</w:t>
      </w:r>
      <w:proofErr w:type="spellStart"/>
      <w:r>
        <w:rPr>
          <w:rFonts w:ascii="Times New Roman" w:hAnsi="Times New Roman"/>
          <w:sz w:val="24"/>
          <w:szCs w:val="24"/>
          <w:shd w:val="clear" w:color="auto" w:fill="FFFFFF"/>
        </w:rPr>
        <w:t>Jose</w:t>
      </w:r>
      <w:r>
        <w:rPr>
          <w:rFonts w:ascii="Times New Roman" w:hAnsi="Times New Roman"/>
          <w:i/>
          <w:iCs/>
          <w:sz w:val="24"/>
          <w:szCs w:val="24"/>
          <w:shd w:val="clear" w:color="auto" w:fill="FFFFFF"/>
        </w:rPr>
        <w:t>et</w:t>
      </w:r>
      <w:proofErr w:type="spellEnd"/>
      <w:r>
        <w:rPr>
          <w:rFonts w:ascii="Times New Roman" w:hAnsi="Times New Roman"/>
          <w:i/>
          <w:iCs/>
          <w:sz w:val="24"/>
          <w:szCs w:val="24"/>
          <w:shd w:val="clear" w:color="auto" w:fill="FFFFFF"/>
        </w:rPr>
        <w:t xml:space="preserve"> al</w:t>
      </w:r>
      <w:r>
        <w:rPr>
          <w:rFonts w:ascii="Times New Roman" w:hAnsi="Times New Roman"/>
          <w:sz w:val="24"/>
          <w:szCs w:val="24"/>
          <w:shd w:val="clear" w:color="auto" w:fill="FFFFFF"/>
        </w:rPr>
        <w:t>., 2020).</w:t>
      </w:r>
    </w:p>
    <w:p w14:paraId="403A3ED7" w14:textId="77777777" w:rsidR="00DD0F93" w:rsidRDefault="004D0A17">
      <w:pPr>
        <w:spacing w:before="240" w:line="360" w:lineRule="auto"/>
        <w:jc w:val="both"/>
        <w:rPr>
          <w:rFonts w:ascii="Times New Roman" w:hAnsi="Times New Roman"/>
          <w:noProof/>
          <w:sz w:val="24"/>
          <w:szCs w:val="24"/>
          <w:lang w:eastAsia="en-US"/>
        </w:rPr>
      </w:pP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w:t>
      </w:r>
      <w:r>
        <w:rPr>
          <w:rFonts w:ascii="Times New Roman" w:hAnsi="Times New Roman"/>
          <w:sz w:val="24"/>
          <w:szCs w:val="24"/>
        </w:rPr>
        <w:t xml:space="preserve"> has many common names, including; Neem tree, Nim tree, Indian lilac, Margosa tree, Nimba tree, Miracle tree, </w:t>
      </w:r>
      <w:proofErr w:type="spellStart"/>
      <w:r>
        <w:rPr>
          <w:rFonts w:ascii="Times New Roman" w:hAnsi="Times New Roman"/>
          <w:sz w:val="24"/>
          <w:szCs w:val="24"/>
        </w:rPr>
        <w:t>Margousier</w:t>
      </w:r>
      <w:proofErr w:type="spellEnd"/>
      <w:r>
        <w:rPr>
          <w:rFonts w:ascii="Times New Roman" w:hAnsi="Times New Roman"/>
          <w:sz w:val="24"/>
          <w:szCs w:val="24"/>
        </w:rPr>
        <w:t xml:space="preserve">, </w:t>
      </w:r>
      <w:proofErr w:type="spellStart"/>
      <w:r>
        <w:rPr>
          <w:rFonts w:ascii="Times New Roman" w:hAnsi="Times New Roman"/>
          <w:sz w:val="24"/>
          <w:szCs w:val="24"/>
        </w:rPr>
        <w:t>Margosier</w:t>
      </w:r>
      <w:proofErr w:type="spellEnd"/>
      <w:r>
        <w:rPr>
          <w:rFonts w:ascii="Times New Roman" w:hAnsi="Times New Roman"/>
          <w:sz w:val="24"/>
          <w:szCs w:val="24"/>
        </w:rPr>
        <w:t xml:space="preserve">, Amargosa, and </w:t>
      </w:r>
      <w:proofErr w:type="spellStart"/>
      <w:r>
        <w:rPr>
          <w:rFonts w:ascii="Times New Roman" w:hAnsi="Times New Roman"/>
          <w:sz w:val="24"/>
          <w:szCs w:val="24"/>
        </w:rPr>
        <w:t>Niembaum</w:t>
      </w:r>
      <w:proofErr w:type="spellEnd"/>
      <w:r>
        <w:rPr>
          <w:rFonts w:ascii="Times New Roman" w:hAnsi="Times New Roman"/>
          <w:sz w:val="24"/>
          <w:szCs w:val="24"/>
        </w:rPr>
        <w:t xml:space="preserve">. In Nigeria, the Igbo name for the neem tree is "Akum-shut-up". The Yoruba name is </w:t>
      </w:r>
      <w:proofErr w:type="spellStart"/>
      <w:r>
        <w:rPr>
          <w:rFonts w:ascii="Times New Roman" w:hAnsi="Times New Roman"/>
          <w:sz w:val="24"/>
          <w:szCs w:val="24"/>
        </w:rPr>
        <w:t>Dogoyaro</w:t>
      </w:r>
      <w:proofErr w:type="spellEnd"/>
      <w:r>
        <w:rPr>
          <w:rFonts w:ascii="Times New Roman" w:hAnsi="Times New Roman"/>
          <w:sz w:val="24"/>
          <w:szCs w:val="24"/>
        </w:rPr>
        <w:t xml:space="preserve"> and in </w:t>
      </w:r>
      <w:proofErr w:type="spellStart"/>
      <w:proofErr w:type="gramStart"/>
      <w:r>
        <w:rPr>
          <w:rFonts w:ascii="Times New Roman" w:hAnsi="Times New Roman"/>
          <w:sz w:val="24"/>
          <w:szCs w:val="24"/>
        </w:rPr>
        <w:t>Hausa,it</w:t>
      </w:r>
      <w:proofErr w:type="spellEnd"/>
      <w:proofErr w:type="gramEnd"/>
      <w:r>
        <w:rPr>
          <w:rFonts w:ascii="Times New Roman" w:hAnsi="Times New Roman"/>
          <w:sz w:val="24"/>
          <w:szCs w:val="24"/>
        </w:rPr>
        <w:t xml:space="preserve"> </w:t>
      </w:r>
      <w:proofErr w:type="gramStart"/>
      <w:r>
        <w:rPr>
          <w:rFonts w:ascii="Times New Roman" w:hAnsi="Times New Roman"/>
          <w:sz w:val="24"/>
          <w:szCs w:val="24"/>
        </w:rPr>
        <w:t>is  known</w:t>
      </w:r>
      <w:proofErr w:type="gramEnd"/>
      <w:r>
        <w:rPr>
          <w:rFonts w:ascii="Times New Roman" w:hAnsi="Times New Roman"/>
          <w:sz w:val="24"/>
          <w:szCs w:val="24"/>
        </w:rPr>
        <w:t xml:space="preserve">  as </w:t>
      </w:r>
      <w:proofErr w:type="spellStart"/>
      <w:r>
        <w:rPr>
          <w:rFonts w:ascii="Times New Roman" w:hAnsi="Times New Roman"/>
          <w:sz w:val="24"/>
          <w:szCs w:val="24"/>
        </w:rPr>
        <w:t>Darbejiya</w:t>
      </w:r>
      <w:proofErr w:type="spellEnd"/>
      <w:r>
        <w:rPr>
          <w:rFonts w:ascii="Times New Roman" w:hAnsi="Times New Roman"/>
          <w:sz w:val="24"/>
          <w:szCs w:val="24"/>
        </w:rPr>
        <w:t xml:space="preserve">, </w:t>
      </w:r>
      <w:proofErr w:type="spellStart"/>
      <w:r>
        <w:rPr>
          <w:rFonts w:ascii="Times New Roman" w:hAnsi="Times New Roman"/>
          <w:sz w:val="24"/>
          <w:szCs w:val="24"/>
        </w:rPr>
        <w:t>Bediand</w:t>
      </w:r>
      <w:proofErr w:type="spellEnd"/>
      <w:r>
        <w:rPr>
          <w:rFonts w:ascii="Times New Roman" w:hAnsi="Times New Roman"/>
          <w:sz w:val="24"/>
          <w:szCs w:val="24"/>
        </w:rPr>
        <w:t xml:space="preserve"> Maina.</w:t>
      </w:r>
    </w:p>
    <w:p w14:paraId="1589A150" w14:textId="77777777" w:rsidR="00DD0F93" w:rsidRDefault="004D0A17">
      <w:pPr>
        <w:spacing w:before="240" w:line="360" w:lineRule="auto"/>
        <w:jc w:val="center"/>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2887B376" wp14:editId="78FC7CF9">
            <wp:extent cx="4133850" cy="3057525"/>
            <wp:effectExtent l="19050" t="0" r="0" b="0"/>
            <wp:docPr id="1026" name="Picture 2" descr="images (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srcRect/>
                    <a:stretch/>
                  </pic:blipFill>
                  <pic:spPr>
                    <a:xfrm>
                      <a:off x="0" y="0"/>
                      <a:ext cx="4133850" cy="3057525"/>
                    </a:xfrm>
                    <a:prstGeom prst="rect">
                      <a:avLst/>
                    </a:prstGeom>
                  </pic:spPr>
                </pic:pic>
              </a:graphicData>
            </a:graphic>
          </wp:inline>
        </w:drawing>
      </w:r>
    </w:p>
    <w:p w14:paraId="5BFE406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 xml:space="preserve">Figure 1: picture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w:t>
      </w:r>
      <w:r>
        <w:rPr>
          <w:rFonts w:ascii="Times New Roman" w:hAnsi="Times New Roman"/>
          <w:sz w:val="24"/>
          <w:szCs w:val="24"/>
        </w:rPr>
        <w:t xml:space="preserve"> plant</w:t>
      </w:r>
    </w:p>
    <w:p w14:paraId="43FA3837" w14:textId="77777777" w:rsidR="00DD0F93" w:rsidRDefault="00DD0F93">
      <w:pPr>
        <w:spacing w:before="240" w:line="360" w:lineRule="auto"/>
        <w:rPr>
          <w:rFonts w:ascii="Times New Roman" w:hAnsi="Times New Roman"/>
          <w:b/>
          <w:sz w:val="24"/>
          <w:szCs w:val="24"/>
        </w:rPr>
      </w:pPr>
    </w:p>
    <w:p w14:paraId="714B6CAB" w14:textId="77777777" w:rsidR="00DD0F93" w:rsidRDefault="00DD0F93">
      <w:pPr>
        <w:spacing w:before="240" w:line="360" w:lineRule="auto"/>
        <w:rPr>
          <w:rFonts w:ascii="Times New Roman" w:hAnsi="Times New Roman"/>
          <w:b/>
          <w:sz w:val="24"/>
          <w:szCs w:val="24"/>
        </w:rPr>
      </w:pPr>
    </w:p>
    <w:p w14:paraId="7594E264"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MATERIALS AND METHODS</w:t>
      </w:r>
    </w:p>
    <w:p w14:paraId="6BBE0359"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Extraction of the plant sample</w:t>
      </w:r>
    </w:p>
    <w:p w14:paraId="73935242" w14:textId="77777777" w:rsidR="00DD0F93" w:rsidRDefault="004D0A17">
      <w:pPr>
        <w:spacing w:before="240" w:line="360" w:lineRule="auto"/>
        <w:rPr>
          <w:rFonts w:ascii="Times New Roman" w:hAnsi="Times New Roman"/>
          <w:sz w:val="24"/>
          <w:szCs w:val="24"/>
        </w:rPr>
      </w:pPr>
      <w:r>
        <w:rPr>
          <w:rFonts w:ascii="Times New Roman" w:hAnsi="Times New Roman"/>
          <w:sz w:val="24"/>
          <w:szCs w:val="24"/>
        </w:rPr>
        <w:t xml:space="preserve">The leaves of A- indica was collected within the environment of </w:t>
      </w:r>
      <w:proofErr w:type="spellStart"/>
      <w:r>
        <w:rPr>
          <w:rFonts w:ascii="Times New Roman" w:hAnsi="Times New Roman"/>
          <w:sz w:val="24"/>
          <w:szCs w:val="24"/>
        </w:rPr>
        <w:t>Uturu</w:t>
      </w:r>
      <w:proofErr w:type="spellEnd"/>
      <w:r>
        <w:rPr>
          <w:rFonts w:ascii="Times New Roman" w:hAnsi="Times New Roman"/>
          <w:sz w:val="24"/>
          <w:szCs w:val="24"/>
        </w:rPr>
        <w:t xml:space="preserve"> in </w:t>
      </w:r>
      <w:proofErr w:type="spellStart"/>
      <w:r>
        <w:rPr>
          <w:rFonts w:ascii="Times New Roman" w:hAnsi="Times New Roman"/>
          <w:sz w:val="24"/>
          <w:szCs w:val="24"/>
        </w:rPr>
        <w:t>isukwuato</w:t>
      </w:r>
      <w:proofErr w:type="spellEnd"/>
      <w:r>
        <w:rPr>
          <w:rFonts w:ascii="Times New Roman" w:hAnsi="Times New Roman"/>
          <w:sz w:val="24"/>
          <w:szCs w:val="24"/>
        </w:rPr>
        <w:t xml:space="preserve"> Local Government Area of Abia state, Nigeria. It was identified at the Department of Biological Sciences at the Abia state university and taken to industrial Chemistry laboratory for further analysis. The </w:t>
      </w:r>
      <w:proofErr w:type="gramStart"/>
      <w:r>
        <w:rPr>
          <w:rFonts w:ascii="Times New Roman" w:hAnsi="Times New Roman"/>
          <w:sz w:val="24"/>
          <w:szCs w:val="24"/>
        </w:rPr>
        <w:t>leave  sample</w:t>
      </w:r>
      <w:proofErr w:type="gramEnd"/>
      <w:r>
        <w:rPr>
          <w:rFonts w:ascii="Times New Roman" w:hAnsi="Times New Roman"/>
          <w:sz w:val="24"/>
          <w:szCs w:val="24"/>
        </w:rPr>
        <w:t xml:space="preserve"> were dried at room temperature away from direct sunlight. Samples were ground using blender into fine powder. Soxhlet extraction method was used for the extraction. Two solvents; n-hexane and ethanol </w:t>
      </w:r>
      <w:proofErr w:type="gramStart"/>
      <w:r>
        <w:rPr>
          <w:rFonts w:ascii="Times New Roman" w:hAnsi="Times New Roman"/>
          <w:sz w:val="24"/>
          <w:szCs w:val="24"/>
        </w:rPr>
        <w:t>was</w:t>
      </w:r>
      <w:proofErr w:type="gramEnd"/>
      <w:r>
        <w:rPr>
          <w:rFonts w:ascii="Times New Roman" w:hAnsi="Times New Roman"/>
          <w:sz w:val="24"/>
          <w:szCs w:val="24"/>
        </w:rPr>
        <w:t xml:space="preserve"> used in the extraction method. 200 ml of ethanol was poured into the boiling flask and the boiling flask containing the solvent was placed in the heating mantle. 30 g of the sample was measured and placed in the extraction </w:t>
      </w:r>
      <w:proofErr w:type="spellStart"/>
      <w:r>
        <w:rPr>
          <w:rFonts w:ascii="Times New Roman" w:hAnsi="Times New Roman"/>
          <w:sz w:val="24"/>
          <w:szCs w:val="24"/>
        </w:rPr>
        <w:t>chember</w:t>
      </w:r>
      <w:proofErr w:type="spellEnd"/>
      <w:r>
        <w:rPr>
          <w:rFonts w:ascii="Times New Roman" w:hAnsi="Times New Roman"/>
          <w:sz w:val="24"/>
          <w:szCs w:val="24"/>
        </w:rPr>
        <w:t xml:space="preserve">.  The system was left to flush three times before the sample extracted is used to carry out the phytochemical analysis. The same procedures </w:t>
      </w:r>
      <w:proofErr w:type="gramStart"/>
      <w:r>
        <w:rPr>
          <w:rFonts w:ascii="Times New Roman" w:hAnsi="Times New Roman"/>
          <w:sz w:val="24"/>
          <w:szCs w:val="24"/>
        </w:rPr>
        <w:t>was</w:t>
      </w:r>
      <w:proofErr w:type="gramEnd"/>
      <w:r>
        <w:rPr>
          <w:rFonts w:ascii="Times New Roman" w:hAnsi="Times New Roman"/>
          <w:sz w:val="24"/>
          <w:szCs w:val="24"/>
        </w:rPr>
        <w:t xml:space="preserve"> used to get the n-hexane sample extract.</w:t>
      </w:r>
    </w:p>
    <w:p w14:paraId="75C7A197"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QUALITATIVE PHYTOCHEMICAL SCREENING ANALYSIS </w:t>
      </w:r>
    </w:p>
    <w:p w14:paraId="068F0230"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Chemical tests for the screening and identification of bioactive chemical constituents in </w:t>
      </w:r>
      <w:proofErr w:type="spellStart"/>
      <w:r>
        <w:rPr>
          <w:rFonts w:ascii="Times New Roman" w:hAnsi="Times New Roman"/>
          <w:i/>
          <w:iCs/>
          <w:sz w:val="24"/>
          <w:szCs w:val="24"/>
        </w:rPr>
        <w:t>Azadirachta</w:t>
      </w:r>
      <w:proofErr w:type="spellEnd"/>
      <w:r>
        <w:rPr>
          <w:rFonts w:ascii="Times New Roman" w:hAnsi="Times New Roman"/>
          <w:i/>
          <w:iCs/>
          <w:sz w:val="24"/>
          <w:szCs w:val="24"/>
        </w:rPr>
        <w:t xml:space="preserve"> indica </w:t>
      </w:r>
      <w:r>
        <w:rPr>
          <w:rFonts w:ascii="Times New Roman" w:hAnsi="Times New Roman"/>
          <w:sz w:val="24"/>
          <w:szCs w:val="24"/>
        </w:rPr>
        <w:t>under study were carried out in extracts of the leaves using conventional qualitative techniques. The test includes;</w:t>
      </w:r>
    </w:p>
    <w:p w14:paraId="3753A74E"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carbohydrates (Fehling test)</w:t>
      </w:r>
    </w:p>
    <w:p w14:paraId="1F463A33"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A small quantity of crude extracts was added after Fehling Solution 1 and Fehling Solution 2 were combined in equal parts (2 mL each). After a little more heating, the test tube's bottom turned brick-red, indicating that carbohydrates </w:t>
      </w:r>
      <w:proofErr w:type="gramStart"/>
      <w:r>
        <w:rPr>
          <w:rFonts w:ascii="Times New Roman" w:hAnsi="Times New Roman"/>
          <w:sz w:val="24"/>
          <w:szCs w:val="24"/>
        </w:rPr>
        <w:t>is</w:t>
      </w:r>
      <w:proofErr w:type="gramEnd"/>
      <w:r>
        <w:rPr>
          <w:rFonts w:ascii="Times New Roman" w:hAnsi="Times New Roman"/>
          <w:sz w:val="24"/>
          <w:szCs w:val="24"/>
        </w:rPr>
        <w:t xml:space="preserve"> present in the mixture (</w:t>
      </w:r>
      <w:proofErr w:type="spellStart"/>
      <w:r>
        <w:rPr>
          <w:rFonts w:ascii="Times New Roman" w:hAnsi="Times New Roman"/>
          <w:sz w:val="24"/>
          <w:szCs w:val="24"/>
        </w:rPr>
        <w:t>Phuyal</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2019).</w:t>
      </w:r>
    </w:p>
    <w:p w14:paraId="6433685A"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flavonoids (alkaline reagent test).</w:t>
      </w:r>
    </w:p>
    <w:p w14:paraId="23373CE2" w14:textId="77777777" w:rsidR="00DD0F93" w:rsidRDefault="004D0A17">
      <w:pPr>
        <w:spacing w:before="240" w:line="360" w:lineRule="auto"/>
        <w:jc w:val="both"/>
        <w:rPr>
          <w:rFonts w:ascii="Times New Roman" w:hAnsi="Times New Roman"/>
          <w:b/>
          <w:bCs/>
          <w:sz w:val="24"/>
          <w:szCs w:val="24"/>
        </w:rPr>
      </w:pPr>
      <w:r>
        <w:rPr>
          <w:rFonts w:ascii="Times New Roman" w:hAnsi="Times New Roman"/>
          <w:sz w:val="24"/>
          <w:szCs w:val="24"/>
        </w:rPr>
        <w:t>By adding 2 milliliters of 10% NH</w:t>
      </w:r>
      <w:r>
        <w:rPr>
          <w:rFonts w:ascii="Times New Roman" w:hAnsi="Times New Roman"/>
          <w:sz w:val="24"/>
          <w:szCs w:val="24"/>
          <w:vertAlign w:val="subscript"/>
        </w:rPr>
        <w:t>4</w:t>
      </w:r>
      <w:r>
        <w:rPr>
          <w:rFonts w:ascii="Times New Roman" w:hAnsi="Times New Roman"/>
          <w:sz w:val="24"/>
          <w:szCs w:val="24"/>
        </w:rPr>
        <w:t xml:space="preserve">OH to the </w:t>
      </w:r>
      <w:proofErr w:type="gramStart"/>
      <w:r>
        <w:rPr>
          <w:rFonts w:ascii="Times New Roman" w:hAnsi="Times New Roman"/>
          <w:sz w:val="24"/>
          <w:szCs w:val="24"/>
        </w:rPr>
        <w:t>extract  solution</w:t>
      </w:r>
      <w:proofErr w:type="gramEnd"/>
      <w:r>
        <w:rPr>
          <w:rFonts w:ascii="Times New Roman" w:hAnsi="Times New Roman"/>
          <w:sz w:val="24"/>
          <w:szCs w:val="24"/>
        </w:rPr>
        <w:t xml:space="preserve"> and observing for the appearance of a yellow tint, the presence of flavonoids was verified (</w:t>
      </w:r>
      <w:proofErr w:type="spellStart"/>
      <w:r>
        <w:rPr>
          <w:rFonts w:ascii="Times New Roman" w:hAnsi="Times New Roman"/>
          <w:sz w:val="24"/>
          <w:szCs w:val="24"/>
        </w:rPr>
        <w:t>Alemu</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2024)</w:t>
      </w:r>
    </w:p>
    <w:p w14:paraId="19276B11"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Protein (xanthoproteic test)</w:t>
      </w:r>
    </w:p>
    <w:p w14:paraId="1843312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By adding few drops of nitric acid to each of the plant extract and observing the formation of yellow </w:t>
      </w:r>
      <w:proofErr w:type="spellStart"/>
      <w:r>
        <w:rPr>
          <w:rFonts w:ascii="Times New Roman" w:hAnsi="Times New Roman"/>
          <w:sz w:val="24"/>
          <w:szCs w:val="24"/>
        </w:rPr>
        <w:t>colour</w:t>
      </w:r>
      <w:proofErr w:type="spellEnd"/>
      <w:r>
        <w:rPr>
          <w:rFonts w:ascii="Times New Roman" w:hAnsi="Times New Roman"/>
          <w:sz w:val="24"/>
          <w:szCs w:val="24"/>
        </w:rPr>
        <w:t xml:space="preserve"> proves the presence of protein (</w:t>
      </w:r>
      <w:proofErr w:type="spellStart"/>
      <w:r>
        <w:rPr>
          <w:rFonts w:ascii="Times New Roman" w:hAnsi="Times New Roman"/>
          <w:sz w:val="24"/>
          <w:szCs w:val="24"/>
        </w:rPr>
        <w:t>Buddhi</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2021). </w:t>
      </w:r>
    </w:p>
    <w:p w14:paraId="64C1BE65"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 xml:space="preserve">Test for </w:t>
      </w:r>
      <w:proofErr w:type="spellStart"/>
      <w:r>
        <w:rPr>
          <w:rFonts w:ascii="Times New Roman" w:hAnsi="Times New Roman"/>
          <w:b/>
          <w:bCs/>
          <w:sz w:val="24"/>
          <w:szCs w:val="24"/>
        </w:rPr>
        <w:t>tanins</w:t>
      </w:r>
      <w:proofErr w:type="spellEnd"/>
      <w:r>
        <w:rPr>
          <w:rFonts w:ascii="Times New Roman" w:hAnsi="Times New Roman"/>
          <w:b/>
          <w:bCs/>
          <w:sz w:val="24"/>
          <w:szCs w:val="24"/>
        </w:rPr>
        <w:t xml:space="preserve"> (</w:t>
      </w:r>
      <w:proofErr w:type="spellStart"/>
      <w:r>
        <w:rPr>
          <w:rFonts w:ascii="Times New Roman" w:hAnsi="Times New Roman"/>
          <w:b/>
          <w:bCs/>
          <w:sz w:val="24"/>
          <w:szCs w:val="24"/>
        </w:rPr>
        <w:t>braymer's</w:t>
      </w:r>
      <w:proofErr w:type="spellEnd"/>
      <w:r>
        <w:rPr>
          <w:rFonts w:ascii="Times New Roman" w:hAnsi="Times New Roman"/>
          <w:b/>
          <w:bCs/>
          <w:sz w:val="24"/>
          <w:szCs w:val="24"/>
        </w:rPr>
        <w:t xml:space="preserve"> test)</w:t>
      </w:r>
    </w:p>
    <w:p w14:paraId="77B213FC"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10% alcoholic ferric chloride is added to 3 ml of extract. Dark blue or greenish grey coloration of the solution confirmed the presence of tannin (</w:t>
      </w:r>
      <w:proofErr w:type="spellStart"/>
      <w:r>
        <w:rPr>
          <w:rFonts w:ascii="Times New Roman" w:hAnsi="Times New Roman"/>
          <w:sz w:val="24"/>
          <w:szCs w:val="24"/>
        </w:rPr>
        <w:t>Kancherla</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2019).</w:t>
      </w:r>
    </w:p>
    <w:p w14:paraId="05B5AEF3"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saponin (foam test)</w:t>
      </w:r>
    </w:p>
    <w:p w14:paraId="26055242"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0.5 g of extract with 5 ml of distilled water was boiled in a water bath for 10 minutes. The mixture was filtered while hot and allowed to cool. 1 ml of the filtrate was diluted with 4 ml distilled water and shaken vigorously for 2 minutes. Appearance of frothing indicates the presence of saponin in the filtrate (Ali</w:t>
      </w:r>
      <w:r>
        <w:rPr>
          <w:rFonts w:ascii="Times New Roman" w:hAnsi="Times New Roman"/>
          <w:i/>
          <w:iCs/>
          <w:sz w:val="24"/>
          <w:szCs w:val="24"/>
        </w:rPr>
        <w:t>et al</w:t>
      </w:r>
      <w:r>
        <w:rPr>
          <w:rFonts w:ascii="Times New Roman" w:hAnsi="Times New Roman"/>
          <w:sz w:val="24"/>
          <w:szCs w:val="24"/>
        </w:rPr>
        <w:t>., 2018)</w:t>
      </w:r>
    </w:p>
    <w:p w14:paraId="3531675F"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phenol (ferric chloride test)</w:t>
      </w:r>
    </w:p>
    <w:p w14:paraId="43578699"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The extracts (2 ml) were combined with 10% FeCl</w:t>
      </w:r>
      <w:r>
        <w:rPr>
          <w:rFonts w:ascii="Times New Roman" w:hAnsi="Times New Roman"/>
          <w:sz w:val="24"/>
          <w:szCs w:val="24"/>
          <w:vertAlign w:val="subscript"/>
        </w:rPr>
        <w:t>3</w:t>
      </w:r>
      <w:r>
        <w:rPr>
          <w:rFonts w:ascii="Times New Roman" w:hAnsi="Times New Roman"/>
          <w:sz w:val="24"/>
          <w:szCs w:val="24"/>
        </w:rPr>
        <w:t xml:space="preserve"> solution and purified water. The presence of phenolic compounds was indicated by the emergence of a dark green coloring (</w:t>
      </w:r>
      <w:proofErr w:type="spellStart"/>
      <w:r>
        <w:rPr>
          <w:rFonts w:ascii="Times New Roman" w:hAnsi="Times New Roman"/>
          <w:sz w:val="24"/>
          <w:szCs w:val="24"/>
        </w:rPr>
        <w:t>Mooza</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2014).</w:t>
      </w:r>
    </w:p>
    <w:p w14:paraId="0FD36251"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lastRenderedPageBreak/>
        <w:t>Test for steroids and terpenoids (</w:t>
      </w:r>
      <w:proofErr w:type="spellStart"/>
      <w:r>
        <w:rPr>
          <w:rFonts w:ascii="Times New Roman" w:hAnsi="Times New Roman"/>
          <w:b/>
          <w:bCs/>
          <w:sz w:val="24"/>
          <w:szCs w:val="24"/>
        </w:rPr>
        <w:t>liebeann</w:t>
      </w:r>
      <w:proofErr w:type="spellEnd"/>
      <w:r>
        <w:rPr>
          <w:rFonts w:ascii="Times New Roman" w:hAnsi="Times New Roman"/>
          <w:b/>
          <w:bCs/>
          <w:sz w:val="24"/>
          <w:szCs w:val="24"/>
        </w:rPr>
        <w:t xml:space="preserve"> - </w:t>
      </w:r>
      <w:proofErr w:type="spellStart"/>
      <w:r>
        <w:rPr>
          <w:rFonts w:ascii="Times New Roman" w:hAnsi="Times New Roman"/>
          <w:b/>
          <w:bCs/>
          <w:sz w:val="24"/>
          <w:szCs w:val="24"/>
        </w:rPr>
        <w:t>burchard</w:t>
      </w:r>
      <w:proofErr w:type="spellEnd"/>
      <w:r>
        <w:rPr>
          <w:rFonts w:ascii="Times New Roman" w:hAnsi="Times New Roman"/>
          <w:b/>
          <w:bCs/>
          <w:sz w:val="24"/>
          <w:szCs w:val="24"/>
        </w:rPr>
        <w:t xml:space="preserve"> test)</w:t>
      </w:r>
    </w:p>
    <w:p w14:paraId="3B6F82E3"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A test tube containing 3 ml of extract, 2 ml of chloroform, and a few drops of acetic anhydride was heated in a water bath and quickly cooled in cold water. There was a brown ring where the two liquids met when conc.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was mixed with the test tube wall. The top layer turned green to indicate the presence of steroids, and </w:t>
      </w:r>
      <w:proofErr w:type="spellStart"/>
      <w:r>
        <w:rPr>
          <w:rFonts w:ascii="Times New Roman" w:hAnsi="Times New Roman"/>
          <w:sz w:val="24"/>
          <w:szCs w:val="24"/>
        </w:rPr>
        <w:t>adark</w:t>
      </w:r>
      <w:proofErr w:type="spellEnd"/>
      <w:r>
        <w:rPr>
          <w:rFonts w:ascii="Times New Roman" w:hAnsi="Times New Roman"/>
          <w:sz w:val="24"/>
          <w:szCs w:val="24"/>
        </w:rPr>
        <w:t xml:space="preserve"> red tint formed to show the presence of terpenoids (Christy and Sasi, 2015).</w:t>
      </w:r>
    </w:p>
    <w:p w14:paraId="3FFD008D"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Test for alkaloids (Mayer’s test)</w:t>
      </w:r>
    </w:p>
    <w:p w14:paraId="680B0301" w14:textId="77777777" w:rsidR="00DD0F93" w:rsidRDefault="004D0A17">
      <w:pPr>
        <w:spacing w:before="240" w:line="360" w:lineRule="auto"/>
        <w:jc w:val="both"/>
        <w:rPr>
          <w:rFonts w:ascii="Times New Roman" w:hAnsi="Times New Roman"/>
          <w:b/>
          <w:bCs/>
          <w:sz w:val="24"/>
          <w:szCs w:val="24"/>
        </w:rPr>
      </w:pPr>
      <w:r>
        <w:rPr>
          <w:rFonts w:ascii="Times New Roman" w:hAnsi="Times New Roman"/>
          <w:sz w:val="24"/>
          <w:szCs w:val="24"/>
        </w:rPr>
        <w:t xml:space="preserve">After adding a small amount (2 ml) of the extract to a few milliliters of diluted HCl, the mixture was filtered. A </w:t>
      </w:r>
      <w:proofErr w:type="gramStart"/>
      <w:r>
        <w:rPr>
          <w:rFonts w:ascii="Times New Roman" w:hAnsi="Times New Roman"/>
          <w:sz w:val="24"/>
          <w:szCs w:val="24"/>
        </w:rPr>
        <w:t>yellow colored</w:t>
      </w:r>
      <w:proofErr w:type="gramEnd"/>
      <w:r>
        <w:rPr>
          <w:rFonts w:ascii="Times New Roman" w:hAnsi="Times New Roman"/>
          <w:sz w:val="24"/>
          <w:szCs w:val="24"/>
        </w:rPr>
        <w:t xml:space="preserve"> precipitate was seen when two drops of potassium mercuric iodide (Mayer's reagent) solution were added to a small quantity (2 ml) of the extract solution from the test tube's side (</w:t>
      </w:r>
      <w:proofErr w:type="spellStart"/>
      <w:r>
        <w:rPr>
          <w:rFonts w:ascii="Times New Roman" w:hAnsi="Times New Roman"/>
          <w:sz w:val="24"/>
          <w:szCs w:val="24"/>
        </w:rPr>
        <w:t>Kancherla</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2019).</w:t>
      </w:r>
      <w:r>
        <w:rPr>
          <w:rFonts w:ascii="Times New Roman" w:hAnsi="Times New Roman"/>
          <w:sz w:val="24"/>
          <w:szCs w:val="24"/>
        </w:rPr>
        <w:cr/>
        <w:t>T</w:t>
      </w:r>
      <w:r>
        <w:rPr>
          <w:rFonts w:ascii="Times New Roman" w:hAnsi="Times New Roman"/>
          <w:b/>
          <w:bCs/>
          <w:sz w:val="24"/>
          <w:szCs w:val="24"/>
        </w:rPr>
        <w:t xml:space="preserve">est for </w:t>
      </w:r>
      <w:proofErr w:type="spellStart"/>
      <w:r>
        <w:rPr>
          <w:rFonts w:ascii="Times New Roman" w:hAnsi="Times New Roman"/>
          <w:b/>
          <w:bCs/>
          <w:sz w:val="24"/>
          <w:szCs w:val="24"/>
        </w:rPr>
        <w:t>cadiac</w:t>
      </w:r>
      <w:proofErr w:type="spellEnd"/>
      <w:r>
        <w:rPr>
          <w:rFonts w:ascii="Times New Roman" w:hAnsi="Times New Roman"/>
          <w:b/>
          <w:bCs/>
          <w:sz w:val="24"/>
          <w:szCs w:val="24"/>
        </w:rPr>
        <w:t xml:space="preserve"> </w:t>
      </w:r>
      <w:proofErr w:type="spellStart"/>
      <w:r>
        <w:rPr>
          <w:rFonts w:ascii="Times New Roman" w:hAnsi="Times New Roman"/>
          <w:b/>
          <w:bCs/>
          <w:sz w:val="24"/>
          <w:szCs w:val="24"/>
        </w:rPr>
        <w:t>glycosde</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keller</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kelliani's</w:t>
      </w:r>
      <w:proofErr w:type="spellEnd"/>
      <w:r>
        <w:rPr>
          <w:rFonts w:ascii="Times New Roman" w:hAnsi="Times New Roman"/>
          <w:b/>
          <w:bCs/>
          <w:sz w:val="24"/>
          <w:szCs w:val="24"/>
        </w:rPr>
        <w:t xml:space="preserve"> test)</w:t>
      </w:r>
    </w:p>
    <w:p w14:paraId="097F18C8"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1ml sample extract was dissolved in 1ml of glacial acetic acid containing one drop of ferric chloride solution. Which is under layered with 1ml of conc.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acid. A brown ring obtained at the interface shows the presence of cardiac glycosides (</w:t>
      </w:r>
      <w:proofErr w:type="spellStart"/>
      <w:r>
        <w:rPr>
          <w:rFonts w:ascii="Times New Roman" w:hAnsi="Times New Roman"/>
          <w:sz w:val="24"/>
          <w:szCs w:val="24"/>
        </w:rPr>
        <w:t>Onyewale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2002).</w:t>
      </w:r>
    </w:p>
    <w:p w14:paraId="6BE654D8" w14:textId="77777777" w:rsidR="00DD0F93" w:rsidRDefault="004D0A17">
      <w:pPr>
        <w:spacing w:before="240" w:line="360" w:lineRule="auto"/>
        <w:jc w:val="both"/>
        <w:rPr>
          <w:rFonts w:ascii="Times New Roman" w:hAnsi="Times New Roman"/>
          <w:b/>
          <w:bCs/>
          <w:sz w:val="24"/>
          <w:szCs w:val="24"/>
        </w:rPr>
      </w:pPr>
      <w:r>
        <w:rPr>
          <w:rFonts w:ascii="Times New Roman" w:hAnsi="Times New Roman"/>
          <w:b/>
          <w:bCs/>
          <w:sz w:val="24"/>
          <w:szCs w:val="24"/>
        </w:rPr>
        <w:t xml:space="preserve">Test for free anthraquinones (the </w:t>
      </w:r>
      <w:proofErr w:type="spellStart"/>
      <w:r>
        <w:rPr>
          <w:rFonts w:ascii="Times New Roman" w:hAnsi="Times New Roman"/>
          <w:b/>
          <w:bCs/>
          <w:sz w:val="24"/>
          <w:szCs w:val="24"/>
        </w:rPr>
        <w:t>borntrager</w:t>
      </w:r>
      <w:proofErr w:type="spellEnd"/>
      <w:r>
        <w:rPr>
          <w:rFonts w:ascii="Times New Roman" w:hAnsi="Times New Roman"/>
          <w:b/>
          <w:bCs/>
          <w:sz w:val="24"/>
          <w:szCs w:val="24"/>
        </w:rPr>
        <w:t xml:space="preserve"> test) </w:t>
      </w:r>
    </w:p>
    <w:p w14:paraId="7E51D867"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0.2 g of the extracts with 10 ml of benzene were added and </w:t>
      </w:r>
      <w:proofErr w:type="spellStart"/>
      <w:r>
        <w:rPr>
          <w:rFonts w:ascii="Times New Roman" w:hAnsi="Times New Roman"/>
          <w:sz w:val="24"/>
          <w:szCs w:val="24"/>
        </w:rPr>
        <w:t>shaked</w:t>
      </w:r>
      <w:proofErr w:type="spellEnd"/>
      <w:r>
        <w:rPr>
          <w:rFonts w:ascii="Times New Roman" w:hAnsi="Times New Roman"/>
          <w:sz w:val="24"/>
          <w:szCs w:val="24"/>
        </w:rPr>
        <w:t xml:space="preserve">. The mixture was filtered. 5 </w:t>
      </w:r>
      <w:proofErr w:type="gramStart"/>
      <w:r>
        <w:rPr>
          <w:rFonts w:ascii="Times New Roman" w:hAnsi="Times New Roman"/>
          <w:sz w:val="24"/>
          <w:szCs w:val="24"/>
        </w:rPr>
        <w:t>ml  of</w:t>
      </w:r>
      <w:proofErr w:type="gramEnd"/>
      <w:r>
        <w:rPr>
          <w:rFonts w:ascii="Times New Roman" w:hAnsi="Times New Roman"/>
          <w:sz w:val="24"/>
          <w:szCs w:val="24"/>
        </w:rPr>
        <w:t xml:space="preserve"> 10% ammonia solution was added to the filtrate and shaken vigorously. The </w:t>
      </w:r>
      <w:proofErr w:type="spellStart"/>
      <w:r>
        <w:rPr>
          <w:rFonts w:ascii="Times New Roman" w:hAnsi="Times New Roman"/>
          <w:sz w:val="24"/>
          <w:szCs w:val="24"/>
        </w:rPr>
        <w:t>prescence</w:t>
      </w:r>
      <w:proofErr w:type="spellEnd"/>
      <w:r>
        <w:rPr>
          <w:rFonts w:ascii="Times New Roman" w:hAnsi="Times New Roman"/>
          <w:sz w:val="24"/>
          <w:szCs w:val="24"/>
        </w:rPr>
        <w:t xml:space="preserve"> of pink-</w:t>
      </w:r>
      <w:proofErr w:type="spellStart"/>
      <w:r>
        <w:rPr>
          <w:rFonts w:ascii="Times New Roman" w:hAnsi="Times New Roman"/>
          <w:sz w:val="24"/>
          <w:szCs w:val="24"/>
        </w:rPr>
        <w:t>redcolor</w:t>
      </w:r>
      <w:proofErr w:type="spellEnd"/>
      <w:r>
        <w:rPr>
          <w:rFonts w:ascii="Times New Roman" w:hAnsi="Times New Roman"/>
          <w:sz w:val="24"/>
          <w:szCs w:val="24"/>
        </w:rPr>
        <w:t xml:space="preserve"> in the lower phase of the mixture confirms the substance contains free anthraquinones (</w:t>
      </w:r>
      <w:proofErr w:type="spellStart"/>
      <w:r>
        <w:rPr>
          <w:rFonts w:ascii="Times New Roman" w:hAnsi="Times New Roman"/>
          <w:sz w:val="24"/>
          <w:szCs w:val="24"/>
        </w:rPr>
        <w:t>Kujur</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2010).</w:t>
      </w:r>
    </w:p>
    <w:p w14:paraId="24E7E407" w14:textId="77777777" w:rsidR="00DD0F93" w:rsidRDefault="00DD0F93">
      <w:pPr>
        <w:spacing w:before="240" w:line="360" w:lineRule="auto"/>
        <w:jc w:val="both"/>
        <w:rPr>
          <w:rFonts w:ascii="Times New Roman" w:hAnsi="Times New Roman"/>
          <w:b/>
          <w:bCs/>
          <w:sz w:val="24"/>
          <w:szCs w:val="24"/>
        </w:rPr>
      </w:pPr>
    </w:p>
    <w:p w14:paraId="6F2396B7" w14:textId="77777777" w:rsidR="00DD0F93" w:rsidRDefault="00DD0F93">
      <w:pPr>
        <w:spacing w:before="240" w:line="360" w:lineRule="auto"/>
        <w:jc w:val="both"/>
        <w:rPr>
          <w:rFonts w:ascii="Times New Roman" w:hAnsi="Times New Roman"/>
          <w:b/>
          <w:bCs/>
          <w:sz w:val="24"/>
          <w:szCs w:val="24"/>
        </w:rPr>
      </w:pPr>
    </w:p>
    <w:p w14:paraId="4359D0D5"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Quantitative Analysis by Gas Chromatography-Flame Ionization Detector (GC-FID)</w:t>
      </w:r>
    </w:p>
    <w:p w14:paraId="67AD5A03"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 GC -</w:t>
      </w:r>
      <w:proofErr w:type="gramStart"/>
      <w:r>
        <w:rPr>
          <w:rFonts w:ascii="Times New Roman" w:hAnsi="Times New Roman"/>
          <w:b/>
          <w:sz w:val="24"/>
          <w:szCs w:val="24"/>
        </w:rPr>
        <w:t>FID  ANALYSIS</w:t>
      </w:r>
      <w:proofErr w:type="gramEnd"/>
      <w:r>
        <w:rPr>
          <w:rFonts w:ascii="Times New Roman" w:hAnsi="Times New Roman"/>
          <w:b/>
          <w:sz w:val="24"/>
          <w:szCs w:val="24"/>
        </w:rPr>
        <w:t xml:space="preserve"> of </w:t>
      </w:r>
      <w:proofErr w:type="spellStart"/>
      <w:r>
        <w:rPr>
          <w:rFonts w:ascii="Times New Roman" w:hAnsi="Times New Roman"/>
          <w:b/>
          <w:sz w:val="24"/>
          <w:szCs w:val="24"/>
        </w:rPr>
        <w:t>Azadirachta</w:t>
      </w:r>
      <w:proofErr w:type="spellEnd"/>
      <w:r>
        <w:rPr>
          <w:rFonts w:ascii="Times New Roman" w:hAnsi="Times New Roman"/>
          <w:b/>
          <w:sz w:val="24"/>
          <w:szCs w:val="24"/>
        </w:rPr>
        <w:t xml:space="preserve"> indica leaves </w:t>
      </w:r>
    </w:p>
    <w:p w14:paraId="00630EBE"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Bioactive compound composition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w:t>
      </w:r>
      <w:r>
        <w:rPr>
          <w:rFonts w:ascii="Times New Roman" w:hAnsi="Times New Roman"/>
          <w:sz w:val="24"/>
          <w:szCs w:val="24"/>
        </w:rPr>
        <w:t xml:space="preserve"> leaves was determine using Gas Chromatography Flame Ionization Detector (GC-FID) system. The GC-FID analysis of phytochemical was performed on </w:t>
      </w:r>
      <w:proofErr w:type="gramStart"/>
      <w:r>
        <w:rPr>
          <w:rFonts w:ascii="Times New Roman" w:hAnsi="Times New Roman"/>
          <w:sz w:val="24"/>
          <w:szCs w:val="24"/>
        </w:rPr>
        <w:t>a</w:t>
      </w:r>
      <w:proofErr w:type="gramEnd"/>
      <w:r>
        <w:rPr>
          <w:rFonts w:ascii="Times New Roman" w:hAnsi="Times New Roman"/>
          <w:sz w:val="24"/>
          <w:szCs w:val="24"/>
        </w:rPr>
        <w:t xml:space="preserve"> Agilent 6890 Gas chromatography equipped with a flame ionization detector. A RESTEK </w:t>
      </w:r>
      <w:proofErr w:type="gramStart"/>
      <w:r>
        <w:rPr>
          <w:rFonts w:ascii="Times New Roman" w:hAnsi="Times New Roman"/>
          <w:sz w:val="24"/>
          <w:szCs w:val="24"/>
        </w:rPr>
        <w:t xml:space="preserve">15 </w:t>
      </w:r>
      <w:r>
        <w:rPr>
          <w:rFonts w:ascii="Times New Roman" w:hAnsi="Times New Roman"/>
          <w:sz w:val="24"/>
          <w:szCs w:val="24"/>
        </w:rPr>
        <w:lastRenderedPageBreak/>
        <w:t>meter</w:t>
      </w:r>
      <w:proofErr w:type="gramEnd"/>
      <w:r>
        <w:rPr>
          <w:rFonts w:ascii="Times New Roman" w:hAnsi="Times New Roman"/>
          <w:sz w:val="24"/>
          <w:szCs w:val="24"/>
        </w:rPr>
        <w:t xml:space="preserve"> MXT-1 column (15m x 250um x 0.15um) was used. The injector temperature was 280</w:t>
      </w:r>
      <w:r>
        <w:rPr>
          <w:rFonts w:ascii="Times New Roman" w:hAnsi="Times New Roman"/>
          <w:sz w:val="24"/>
          <w:szCs w:val="24"/>
          <w:vertAlign w:val="superscript"/>
        </w:rPr>
        <w:t>o</w:t>
      </w:r>
      <w:r>
        <w:rPr>
          <w:rFonts w:ascii="Times New Roman" w:hAnsi="Times New Roman"/>
          <w:sz w:val="24"/>
          <w:szCs w:val="24"/>
        </w:rPr>
        <w:t xml:space="preserve">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2ul of sample and a linear velocity of 30cms-</w:t>
      </w:r>
      <w:r>
        <w:rPr>
          <w:rFonts w:ascii="Times New Roman" w:hAnsi="Times New Roman"/>
          <w:sz w:val="24"/>
          <w:szCs w:val="24"/>
          <w:vertAlign w:val="superscript"/>
        </w:rPr>
        <w:t>1</w:t>
      </w:r>
      <w:r>
        <w:rPr>
          <w:rFonts w:ascii="Times New Roman" w:hAnsi="Times New Roman"/>
          <w:sz w:val="24"/>
          <w:szCs w:val="24"/>
        </w:rPr>
        <w:t xml:space="preserve">, Helium </w:t>
      </w:r>
      <w:proofErr w:type="gramStart"/>
      <w:r>
        <w:rPr>
          <w:rFonts w:ascii="Times New Roman" w:hAnsi="Times New Roman"/>
          <w:sz w:val="24"/>
          <w:szCs w:val="24"/>
        </w:rPr>
        <w:t>5.0pa.s</w:t>
      </w:r>
      <w:proofErr w:type="gramEnd"/>
      <w:r>
        <w:rPr>
          <w:rFonts w:ascii="Times New Roman" w:hAnsi="Times New Roman"/>
          <w:sz w:val="24"/>
          <w:szCs w:val="24"/>
        </w:rPr>
        <w:t xml:space="preserve"> was the carrier gas with a flow rate of 40 mlmin-</w:t>
      </w:r>
      <w:r>
        <w:rPr>
          <w:rFonts w:ascii="Times New Roman" w:hAnsi="Times New Roman"/>
          <w:sz w:val="24"/>
          <w:szCs w:val="24"/>
          <w:vertAlign w:val="superscript"/>
        </w:rPr>
        <w:t>1</w:t>
      </w:r>
      <w:r>
        <w:rPr>
          <w:rFonts w:ascii="Times New Roman" w:hAnsi="Times New Roman"/>
          <w:sz w:val="24"/>
          <w:szCs w:val="24"/>
        </w:rPr>
        <w:t>.  The oven operated initially at 200</w:t>
      </w:r>
      <w:r>
        <w:rPr>
          <w:rFonts w:ascii="Times New Roman" w:hAnsi="Times New Roman"/>
          <w:sz w:val="24"/>
          <w:szCs w:val="24"/>
          <w:vertAlign w:val="superscript"/>
        </w:rPr>
        <w:t>0</w:t>
      </w:r>
      <w:proofErr w:type="gramStart"/>
      <w:r>
        <w:rPr>
          <w:rFonts w:ascii="Times New Roman" w:hAnsi="Times New Roman"/>
          <w:sz w:val="24"/>
          <w:szCs w:val="24"/>
        </w:rPr>
        <w:t>c,  it</w:t>
      </w:r>
      <w:proofErr w:type="gramEnd"/>
      <w:r>
        <w:rPr>
          <w:rFonts w:ascii="Times New Roman" w:hAnsi="Times New Roman"/>
          <w:sz w:val="24"/>
          <w:szCs w:val="24"/>
        </w:rPr>
        <w:t xml:space="preserve"> was heated to 330</w:t>
      </w:r>
      <w:r>
        <w:rPr>
          <w:rFonts w:ascii="Times New Roman" w:hAnsi="Times New Roman"/>
          <w:sz w:val="24"/>
          <w:szCs w:val="24"/>
          <w:vertAlign w:val="superscript"/>
        </w:rPr>
        <w:t>0</w:t>
      </w:r>
      <w:r>
        <w:rPr>
          <w:rFonts w:ascii="Times New Roman" w:hAnsi="Times New Roman"/>
          <w:sz w:val="24"/>
          <w:szCs w:val="24"/>
        </w:rPr>
        <w:t>c at a rate of 30c min-</w:t>
      </w:r>
      <w:r>
        <w:rPr>
          <w:rFonts w:ascii="Times New Roman" w:hAnsi="Times New Roman"/>
          <w:sz w:val="24"/>
          <w:szCs w:val="24"/>
          <w:vertAlign w:val="superscript"/>
        </w:rPr>
        <w:t>1</w:t>
      </w:r>
      <w:r>
        <w:rPr>
          <w:rFonts w:ascii="Times New Roman" w:hAnsi="Times New Roman"/>
          <w:sz w:val="24"/>
          <w:szCs w:val="24"/>
        </w:rPr>
        <w:t xml:space="preserve"> and was kept at this temperature for 5min. the detector operated at a temperature of 320</w:t>
      </w:r>
      <w:r>
        <w:rPr>
          <w:rFonts w:ascii="Times New Roman" w:hAnsi="Times New Roman"/>
          <w:sz w:val="24"/>
          <w:szCs w:val="24"/>
          <w:vertAlign w:val="superscript"/>
        </w:rPr>
        <w:t>0</w:t>
      </w:r>
      <w:r>
        <w:rPr>
          <w:rFonts w:ascii="Times New Roman" w:hAnsi="Times New Roman"/>
          <w:sz w:val="24"/>
          <w:szCs w:val="24"/>
        </w:rPr>
        <w:t xml:space="preserve">c. </w:t>
      </w:r>
      <w:proofErr w:type="gramStart"/>
      <w:r>
        <w:rPr>
          <w:rFonts w:ascii="Times New Roman" w:hAnsi="Times New Roman"/>
          <w:sz w:val="24"/>
          <w:szCs w:val="24"/>
        </w:rPr>
        <w:t>Phytochemicals  were</w:t>
      </w:r>
      <w:proofErr w:type="gramEnd"/>
      <w:r>
        <w:rPr>
          <w:rFonts w:ascii="Times New Roman" w:hAnsi="Times New Roman"/>
          <w:sz w:val="24"/>
          <w:szCs w:val="24"/>
        </w:rPr>
        <w:t xml:space="preserve"> determined by the ratio between the area and mass of internal standard and the area of the identified phytochemicals. The concentrations of the different phytochemicals were expressed in µg/ml, µg/g, and ppm.</w:t>
      </w:r>
    </w:p>
    <w:p w14:paraId="733946D8"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RESULT AND DISCUSSION</w:t>
      </w:r>
    </w:p>
    <w:p w14:paraId="775FB2AB"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 RESULT OF SELECTED PRIMARY AND SECONDARY METABOLITES ANALYSIS</w:t>
      </w:r>
    </w:p>
    <w:p w14:paraId="2D564F6C"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result of selected primary and secondary metabolites from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w:t>
      </w:r>
      <w:r>
        <w:rPr>
          <w:rFonts w:ascii="Times New Roman" w:hAnsi="Times New Roman"/>
          <w:sz w:val="24"/>
          <w:szCs w:val="24"/>
        </w:rPr>
        <w:t xml:space="preserve"> leaves is presented in table 1</w:t>
      </w:r>
    </w:p>
    <w:p w14:paraId="63319B1A" w14:textId="3D04896A"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Table 1: Result of selected primary and secondary metabolite screening of</w:t>
      </w:r>
      <w:r>
        <w:rPr>
          <w:rFonts w:ascii="Times New Roman" w:hAnsi="Times New Roman"/>
          <w:b/>
          <w:i/>
          <w:sz w:val="24"/>
          <w:szCs w:val="24"/>
        </w:rPr>
        <w:t xml:space="preserve">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indica</w:t>
      </w:r>
      <w:r w:rsidR="00DE21A4">
        <w:rPr>
          <w:rFonts w:ascii="Times New Roman" w:hAnsi="Times New Roman"/>
          <w:b/>
          <w:i/>
          <w:sz w:val="24"/>
          <w:szCs w:val="24"/>
        </w:rPr>
        <w:t xml:space="preserve"> </w:t>
      </w:r>
      <w:r>
        <w:rPr>
          <w:rFonts w:ascii="Times New Roman" w:hAnsi="Times New Roman"/>
          <w:b/>
          <w:sz w:val="24"/>
          <w:szCs w:val="24"/>
        </w:rPr>
        <w:t>leaves.</w:t>
      </w:r>
    </w:p>
    <w:p w14:paraId="01182F7B" w14:textId="77777777" w:rsidR="00DD0F93" w:rsidRDefault="00DD0F93">
      <w:pPr>
        <w:spacing w:before="240" w:line="360" w:lineRule="auto"/>
        <w:jc w:val="both"/>
        <w:rPr>
          <w:rFonts w:ascii="Times New Roman" w:hAnsi="Times New Roman"/>
          <w:b/>
          <w:sz w:val="24"/>
          <w:szCs w:val="24"/>
        </w:rPr>
      </w:pPr>
    </w:p>
    <w:p w14:paraId="17E23EE7" w14:textId="77777777" w:rsidR="00DD0F93" w:rsidRDefault="00DD0F93">
      <w:pPr>
        <w:spacing w:before="240" w:line="360" w:lineRule="auto"/>
        <w:jc w:val="both"/>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2873"/>
        <w:gridCol w:w="2873"/>
        <w:gridCol w:w="2699"/>
      </w:tblGrid>
      <w:tr w:rsidR="00DD0F93" w14:paraId="520C4871" w14:textId="77777777">
        <w:trPr>
          <w:trHeight w:val="426"/>
          <w:jc w:val="center"/>
        </w:trPr>
        <w:tc>
          <w:tcPr>
            <w:tcW w:w="2873" w:type="dxa"/>
          </w:tcPr>
          <w:p w14:paraId="5D93E6C1"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BIOACTIVE COMPOUND</w:t>
            </w:r>
          </w:p>
        </w:tc>
        <w:tc>
          <w:tcPr>
            <w:tcW w:w="2873" w:type="dxa"/>
          </w:tcPr>
          <w:p w14:paraId="0E08605B"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 xml:space="preserve">SAMPLE A </w:t>
            </w:r>
          </w:p>
          <w:p w14:paraId="726543F2"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N-hexane leave extract</w:t>
            </w:r>
          </w:p>
        </w:tc>
        <w:tc>
          <w:tcPr>
            <w:tcW w:w="2699" w:type="dxa"/>
          </w:tcPr>
          <w:p w14:paraId="31EC804B"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SAMPLE B</w:t>
            </w:r>
          </w:p>
          <w:p w14:paraId="59028DF1" w14:textId="77777777" w:rsidR="00DD0F93" w:rsidRDefault="004D0A17">
            <w:pPr>
              <w:spacing w:line="360" w:lineRule="auto"/>
              <w:jc w:val="both"/>
              <w:rPr>
                <w:rFonts w:ascii="Times New Roman" w:hAnsi="Times New Roman"/>
                <w:b/>
                <w:sz w:val="24"/>
                <w:szCs w:val="24"/>
              </w:rPr>
            </w:pPr>
            <w:r>
              <w:rPr>
                <w:rFonts w:ascii="Times New Roman" w:hAnsi="Times New Roman"/>
                <w:b/>
                <w:sz w:val="24"/>
                <w:szCs w:val="24"/>
              </w:rPr>
              <w:t>Ethanol leave extract</w:t>
            </w:r>
          </w:p>
        </w:tc>
      </w:tr>
      <w:tr w:rsidR="00DD0F93" w14:paraId="71EE19C9" w14:textId="77777777">
        <w:trPr>
          <w:trHeight w:val="371"/>
          <w:jc w:val="center"/>
        </w:trPr>
        <w:tc>
          <w:tcPr>
            <w:tcW w:w="2873" w:type="dxa"/>
          </w:tcPr>
          <w:p w14:paraId="3C43F47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 xml:space="preserve">CARBOHYDRATES </w:t>
            </w:r>
          </w:p>
        </w:tc>
        <w:tc>
          <w:tcPr>
            <w:tcW w:w="2873" w:type="dxa"/>
          </w:tcPr>
          <w:p w14:paraId="1607264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2B54DEA5"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3A10224F" w14:textId="77777777">
        <w:trPr>
          <w:trHeight w:val="409"/>
          <w:jc w:val="center"/>
        </w:trPr>
        <w:tc>
          <w:tcPr>
            <w:tcW w:w="2873" w:type="dxa"/>
          </w:tcPr>
          <w:p w14:paraId="5660168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ALKALOIDS</w:t>
            </w:r>
          </w:p>
        </w:tc>
        <w:tc>
          <w:tcPr>
            <w:tcW w:w="2873" w:type="dxa"/>
          </w:tcPr>
          <w:p w14:paraId="3F4DF3AB"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2C89B5C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3C474FD6" w14:textId="77777777">
        <w:trPr>
          <w:trHeight w:val="404"/>
          <w:jc w:val="center"/>
        </w:trPr>
        <w:tc>
          <w:tcPr>
            <w:tcW w:w="2873" w:type="dxa"/>
          </w:tcPr>
          <w:p w14:paraId="18010A51"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CADIAC GLYCOSDE</w:t>
            </w:r>
          </w:p>
        </w:tc>
        <w:tc>
          <w:tcPr>
            <w:tcW w:w="2873" w:type="dxa"/>
          </w:tcPr>
          <w:p w14:paraId="7AF58230"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3790778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2F5948B2" w14:textId="77777777">
        <w:trPr>
          <w:trHeight w:val="517"/>
          <w:jc w:val="center"/>
        </w:trPr>
        <w:tc>
          <w:tcPr>
            <w:tcW w:w="2873" w:type="dxa"/>
          </w:tcPr>
          <w:p w14:paraId="16CEA90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FLAVONOIDS</w:t>
            </w:r>
          </w:p>
        </w:tc>
        <w:tc>
          <w:tcPr>
            <w:tcW w:w="2873" w:type="dxa"/>
          </w:tcPr>
          <w:p w14:paraId="113619D4"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63898FAA"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64D60EF0" w14:textId="77777777">
        <w:trPr>
          <w:trHeight w:val="517"/>
          <w:jc w:val="center"/>
        </w:trPr>
        <w:tc>
          <w:tcPr>
            <w:tcW w:w="2873" w:type="dxa"/>
          </w:tcPr>
          <w:p w14:paraId="0F46A9A3"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PHENOLS</w:t>
            </w:r>
          </w:p>
        </w:tc>
        <w:tc>
          <w:tcPr>
            <w:tcW w:w="2873" w:type="dxa"/>
          </w:tcPr>
          <w:p w14:paraId="24E684F1"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3A86EA44"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451B7BFD" w14:textId="77777777">
        <w:trPr>
          <w:trHeight w:val="517"/>
          <w:jc w:val="center"/>
        </w:trPr>
        <w:tc>
          <w:tcPr>
            <w:tcW w:w="2873" w:type="dxa"/>
          </w:tcPr>
          <w:p w14:paraId="0307FE0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ANTHRAQUINONES</w:t>
            </w:r>
          </w:p>
        </w:tc>
        <w:tc>
          <w:tcPr>
            <w:tcW w:w="2873" w:type="dxa"/>
          </w:tcPr>
          <w:p w14:paraId="64A94183"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4C4318C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r>
      <w:tr w:rsidR="00DD0F93" w14:paraId="230FEFA8" w14:textId="77777777">
        <w:trPr>
          <w:trHeight w:val="517"/>
          <w:jc w:val="center"/>
        </w:trPr>
        <w:tc>
          <w:tcPr>
            <w:tcW w:w="2873" w:type="dxa"/>
          </w:tcPr>
          <w:p w14:paraId="4A707AFE"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PROTEINS</w:t>
            </w:r>
          </w:p>
        </w:tc>
        <w:tc>
          <w:tcPr>
            <w:tcW w:w="2873" w:type="dxa"/>
          </w:tcPr>
          <w:p w14:paraId="582B3332"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0C57E59A"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094F24B3" w14:textId="77777777">
        <w:trPr>
          <w:trHeight w:val="509"/>
          <w:jc w:val="center"/>
        </w:trPr>
        <w:tc>
          <w:tcPr>
            <w:tcW w:w="2873" w:type="dxa"/>
          </w:tcPr>
          <w:p w14:paraId="3569C80A"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TERPENOIDS</w:t>
            </w:r>
          </w:p>
        </w:tc>
        <w:tc>
          <w:tcPr>
            <w:tcW w:w="2873" w:type="dxa"/>
          </w:tcPr>
          <w:p w14:paraId="362BF077"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4EB4CDFC"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43C81A13" w14:textId="77777777">
        <w:trPr>
          <w:trHeight w:val="525"/>
          <w:jc w:val="center"/>
        </w:trPr>
        <w:tc>
          <w:tcPr>
            <w:tcW w:w="2873" w:type="dxa"/>
          </w:tcPr>
          <w:p w14:paraId="3C3FACF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SAPONIN</w:t>
            </w:r>
          </w:p>
        </w:tc>
        <w:tc>
          <w:tcPr>
            <w:tcW w:w="2873" w:type="dxa"/>
          </w:tcPr>
          <w:p w14:paraId="71DA38B8"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5BBEDA43"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7D098B4F" w14:textId="77777777">
        <w:trPr>
          <w:trHeight w:val="517"/>
          <w:jc w:val="center"/>
        </w:trPr>
        <w:tc>
          <w:tcPr>
            <w:tcW w:w="2873" w:type="dxa"/>
          </w:tcPr>
          <w:p w14:paraId="6E9D2DA8"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STEROIDS</w:t>
            </w:r>
          </w:p>
        </w:tc>
        <w:tc>
          <w:tcPr>
            <w:tcW w:w="2873" w:type="dxa"/>
          </w:tcPr>
          <w:p w14:paraId="1EED6F4F"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_</w:t>
            </w:r>
          </w:p>
        </w:tc>
        <w:tc>
          <w:tcPr>
            <w:tcW w:w="2699" w:type="dxa"/>
          </w:tcPr>
          <w:p w14:paraId="15D3E51F"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r w:rsidR="00DD0F93" w14:paraId="5323C182" w14:textId="77777777">
        <w:trPr>
          <w:trHeight w:val="436"/>
          <w:jc w:val="center"/>
        </w:trPr>
        <w:tc>
          <w:tcPr>
            <w:tcW w:w="2873" w:type="dxa"/>
          </w:tcPr>
          <w:p w14:paraId="7232469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lastRenderedPageBreak/>
              <w:t>TANINS</w:t>
            </w:r>
          </w:p>
        </w:tc>
        <w:tc>
          <w:tcPr>
            <w:tcW w:w="2873" w:type="dxa"/>
          </w:tcPr>
          <w:p w14:paraId="0DCBEB0D"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c>
          <w:tcPr>
            <w:tcW w:w="2699" w:type="dxa"/>
          </w:tcPr>
          <w:p w14:paraId="6305087E" w14:textId="77777777" w:rsidR="00DD0F93" w:rsidRDefault="004D0A17">
            <w:pPr>
              <w:spacing w:line="360" w:lineRule="auto"/>
              <w:jc w:val="center"/>
              <w:rPr>
                <w:rFonts w:ascii="Times New Roman" w:hAnsi="Times New Roman"/>
                <w:sz w:val="24"/>
                <w:szCs w:val="24"/>
              </w:rPr>
            </w:pPr>
            <w:r>
              <w:rPr>
                <w:rFonts w:ascii="Times New Roman" w:hAnsi="Times New Roman"/>
                <w:sz w:val="24"/>
                <w:szCs w:val="24"/>
              </w:rPr>
              <w:t>+</w:t>
            </w:r>
          </w:p>
        </w:tc>
      </w:tr>
    </w:tbl>
    <w:p w14:paraId="1DC37C1C" w14:textId="77777777" w:rsidR="00DD0F93" w:rsidRDefault="004D0A17">
      <w:pPr>
        <w:spacing w:after="0" w:line="360" w:lineRule="auto"/>
        <w:ind w:left="3600"/>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 = present, (-) = absent, (++) = actively present</w:t>
      </w:r>
    </w:p>
    <w:p w14:paraId="6F7CF684"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Table </w:t>
      </w:r>
      <w:proofErr w:type="gramStart"/>
      <w:r>
        <w:rPr>
          <w:rFonts w:ascii="Times New Roman" w:hAnsi="Times New Roman"/>
          <w:sz w:val="24"/>
          <w:szCs w:val="24"/>
        </w:rPr>
        <w:t>1  shows</w:t>
      </w:r>
      <w:proofErr w:type="gramEnd"/>
      <w:r>
        <w:rPr>
          <w:rFonts w:ascii="Times New Roman" w:hAnsi="Times New Roman"/>
          <w:sz w:val="24"/>
          <w:szCs w:val="24"/>
        </w:rPr>
        <w:t xml:space="preserve"> the phytochemical result of the n- hexane and ethanolic extract </w:t>
      </w:r>
      <w:proofErr w:type="gramStart"/>
      <w:r>
        <w:rPr>
          <w:rFonts w:ascii="Times New Roman" w:hAnsi="Times New Roman"/>
          <w:sz w:val="24"/>
          <w:szCs w:val="24"/>
        </w:rPr>
        <w:t xml:space="preserve">of </w:t>
      </w:r>
      <w:r>
        <w:rPr>
          <w:rFonts w:ascii="Times New Roman" w:hAnsi="Times New Roman"/>
          <w:i/>
          <w:sz w:val="24"/>
          <w:szCs w:val="24"/>
        </w:rPr>
        <w:t xml:space="preserve"> </w:t>
      </w:r>
      <w:proofErr w:type="spellStart"/>
      <w:r>
        <w:rPr>
          <w:rFonts w:ascii="Times New Roman" w:hAnsi="Times New Roman"/>
          <w:i/>
          <w:sz w:val="24"/>
          <w:szCs w:val="24"/>
        </w:rPr>
        <w:t>Azadirachta</w:t>
      </w:r>
      <w:proofErr w:type="spellEnd"/>
      <w:proofErr w:type="gramEnd"/>
      <w:r>
        <w:rPr>
          <w:rFonts w:ascii="Times New Roman" w:hAnsi="Times New Roman"/>
          <w:i/>
          <w:sz w:val="24"/>
          <w:szCs w:val="24"/>
        </w:rPr>
        <w:t xml:space="preserve"> indica</w:t>
      </w:r>
      <w:r>
        <w:rPr>
          <w:rFonts w:ascii="Times New Roman" w:hAnsi="Times New Roman"/>
          <w:sz w:val="24"/>
          <w:szCs w:val="24"/>
        </w:rPr>
        <w:t xml:space="preserve"> leaves using </w:t>
      </w:r>
      <w:proofErr w:type="spellStart"/>
      <w:r>
        <w:rPr>
          <w:rFonts w:ascii="Times New Roman" w:hAnsi="Times New Roman"/>
          <w:sz w:val="24"/>
          <w:szCs w:val="24"/>
        </w:rPr>
        <w:t>soxhlet</w:t>
      </w:r>
      <w:proofErr w:type="spellEnd"/>
      <w:r>
        <w:rPr>
          <w:rFonts w:ascii="Times New Roman" w:hAnsi="Times New Roman"/>
          <w:sz w:val="24"/>
          <w:szCs w:val="24"/>
        </w:rPr>
        <w:t xml:space="preserve"> extraction method.  Carbohydrates </w:t>
      </w:r>
      <w:proofErr w:type="gramStart"/>
      <w:r>
        <w:rPr>
          <w:rFonts w:ascii="Times New Roman" w:hAnsi="Times New Roman"/>
          <w:sz w:val="24"/>
          <w:szCs w:val="24"/>
        </w:rPr>
        <w:t>was</w:t>
      </w:r>
      <w:proofErr w:type="gramEnd"/>
      <w:r>
        <w:rPr>
          <w:rFonts w:ascii="Times New Roman" w:hAnsi="Times New Roman"/>
          <w:sz w:val="24"/>
          <w:szCs w:val="24"/>
        </w:rPr>
        <w:t xml:space="preserve"> present in the n- hexane and ethanol leave extract, this show that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 </w:t>
      </w:r>
      <w:r>
        <w:rPr>
          <w:rFonts w:ascii="Times New Roman" w:hAnsi="Times New Roman"/>
          <w:sz w:val="24"/>
          <w:szCs w:val="24"/>
        </w:rPr>
        <w:t xml:space="preserve">leave </w:t>
      </w:r>
      <w:proofErr w:type="gramStart"/>
      <w:r>
        <w:rPr>
          <w:rFonts w:ascii="Times New Roman" w:hAnsi="Times New Roman"/>
          <w:sz w:val="24"/>
          <w:szCs w:val="24"/>
        </w:rPr>
        <w:t>extract  has</w:t>
      </w:r>
      <w:proofErr w:type="gramEnd"/>
      <w:r>
        <w:rPr>
          <w:rFonts w:ascii="Times New Roman" w:hAnsi="Times New Roman"/>
          <w:sz w:val="24"/>
          <w:szCs w:val="24"/>
        </w:rPr>
        <w:t xml:space="preserve"> trace of carbohydrates in it. Carbohydrates provide the body with glucose, which is converted to energy used to support body functions and physical activities. Flavonoids </w:t>
      </w:r>
      <w:proofErr w:type="gramStart"/>
      <w:r>
        <w:rPr>
          <w:rFonts w:ascii="Times New Roman" w:hAnsi="Times New Roman"/>
          <w:sz w:val="24"/>
          <w:szCs w:val="24"/>
        </w:rPr>
        <w:t>was</w:t>
      </w:r>
      <w:proofErr w:type="gramEnd"/>
      <w:r>
        <w:rPr>
          <w:rFonts w:ascii="Times New Roman" w:hAnsi="Times New Roman"/>
          <w:sz w:val="24"/>
          <w:szCs w:val="24"/>
        </w:rPr>
        <w:t xml:space="preserve"> actively present in </w:t>
      </w:r>
      <w:proofErr w:type="spellStart"/>
      <w:r>
        <w:rPr>
          <w:rFonts w:ascii="Times New Roman" w:hAnsi="Times New Roman"/>
          <w:sz w:val="24"/>
          <w:szCs w:val="24"/>
        </w:rPr>
        <w:t>theleaves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extract,these</w:t>
      </w:r>
      <w:proofErr w:type="spellEnd"/>
      <w:proofErr w:type="gramEnd"/>
      <w:r>
        <w:rPr>
          <w:rFonts w:ascii="Times New Roman" w:hAnsi="Times New Roman"/>
          <w:sz w:val="24"/>
          <w:szCs w:val="24"/>
        </w:rPr>
        <w:t xml:space="preserve"> natural antioxidant possess a wide variety of biological attributes, such as anti-aging, anti-inflammatory, anti-viral, anti-microbial, and anti-cancer properties (</w:t>
      </w:r>
      <w:proofErr w:type="spellStart"/>
      <w:r>
        <w:rPr>
          <w:rFonts w:ascii="Times New Roman" w:hAnsi="Times New Roman"/>
          <w:sz w:val="24"/>
          <w:szCs w:val="24"/>
        </w:rPr>
        <w:t>Otukwude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2025; </w:t>
      </w:r>
      <w:proofErr w:type="spellStart"/>
      <w:r>
        <w:rPr>
          <w:rFonts w:ascii="Times New Roman" w:hAnsi="Times New Roman"/>
          <w:sz w:val="24"/>
          <w:szCs w:val="24"/>
        </w:rPr>
        <w:t>Zhang</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2016). </w:t>
      </w:r>
    </w:p>
    <w:p w14:paraId="280A1692"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Phenol, protein and steroids are absence in n- hexane extract but present in ethanol extract because hexane is a non-polar solvent that selectively dissolves non-polar compounds. Phenol, proteins and steroids are large complex polar molecules that are not soluble in non-polar solvents. In contrast, ethanol is a polar solvent capable of extracting a wider range of compounds, including polar molecules like proteins, steroids and phenol. Phenols are natural antioxidants and have been reported to possess several biological attributes, such as anti-cancerous, anti-aging, and anti-inflammatory properties (</w:t>
      </w:r>
      <w:proofErr w:type="spellStart"/>
      <w:r>
        <w:rPr>
          <w:rFonts w:ascii="Times New Roman" w:hAnsi="Times New Roman"/>
          <w:sz w:val="24"/>
          <w:szCs w:val="24"/>
        </w:rPr>
        <w:t>Xu</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w:t>
      </w:r>
      <w:proofErr w:type="gramStart"/>
      <w:r>
        <w:rPr>
          <w:rFonts w:ascii="Times New Roman" w:hAnsi="Times New Roman"/>
          <w:sz w:val="24"/>
          <w:szCs w:val="24"/>
        </w:rPr>
        <w:t>2017;Singh</w:t>
      </w:r>
      <w:proofErr w:type="gramEnd"/>
      <w:r>
        <w:rPr>
          <w:rFonts w:ascii="Times New Roman" w:hAnsi="Times New Roman"/>
          <w:i/>
          <w:iCs/>
          <w:sz w:val="24"/>
          <w:szCs w:val="24"/>
        </w:rPr>
        <w:t xml:space="preserve"> et al</w:t>
      </w:r>
      <w:r>
        <w:rPr>
          <w:rFonts w:ascii="Times New Roman" w:hAnsi="Times New Roman"/>
          <w:sz w:val="24"/>
          <w:szCs w:val="24"/>
        </w:rPr>
        <w:t xml:space="preserve">., 2015). Steroids </w:t>
      </w:r>
      <w:proofErr w:type="gramStart"/>
      <w:r>
        <w:rPr>
          <w:rFonts w:ascii="Times New Roman" w:hAnsi="Times New Roman"/>
          <w:sz w:val="24"/>
          <w:szCs w:val="24"/>
        </w:rPr>
        <w:t>has</w:t>
      </w:r>
      <w:proofErr w:type="gramEnd"/>
      <w:r>
        <w:rPr>
          <w:rFonts w:ascii="Times New Roman" w:hAnsi="Times New Roman"/>
          <w:sz w:val="24"/>
          <w:szCs w:val="24"/>
        </w:rPr>
        <w:t xml:space="preserve"> many physiological </w:t>
      </w:r>
      <w:proofErr w:type="gramStart"/>
      <w:r>
        <w:rPr>
          <w:rFonts w:ascii="Times New Roman" w:hAnsi="Times New Roman"/>
          <w:sz w:val="24"/>
          <w:szCs w:val="24"/>
        </w:rPr>
        <w:t>functions  such</w:t>
      </w:r>
      <w:proofErr w:type="gramEnd"/>
      <w:r>
        <w:rPr>
          <w:rFonts w:ascii="Times New Roman" w:hAnsi="Times New Roman"/>
          <w:sz w:val="24"/>
          <w:szCs w:val="24"/>
        </w:rPr>
        <w:t xml:space="preserve"> as an antioxidant function, anti-inflammatory and antipyretic effects and a </w:t>
      </w:r>
      <w:proofErr w:type="gramStart"/>
      <w:r>
        <w:rPr>
          <w:rFonts w:ascii="Times New Roman" w:hAnsi="Times New Roman"/>
          <w:sz w:val="24"/>
          <w:szCs w:val="24"/>
        </w:rPr>
        <w:t>hormone like</w:t>
      </w:r>
      <w:proofErr w:type="gramEnd"/>
      <w:r>
        <w:rPr>
          <w:rFonts w:ascii="Times New Roman" w:hAnsi="Times New Roman"/>
          <w:sz w:val="24"/>
          <w:szCs w:val="24"/>
        </w:rPr>
        <w:t xml:space="preserve"> effect (Walter, 2023).</w:t>
      </w:r>
    </w:p>
    <w:p w14:paraId="2610B92E"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Tanin and saponin which are used to treat tonsillitis, pharyngitis, </w:t>
      </w:r>
      <w:proofErr w:type="spellStart"/>
      <w:r>
        <w:rPr>
          <w:rFonts w:ascii="Times New Roman" w:hAnsi="Times New Roman"/>
          <w:sz w:val="24"/>
          <w:szCs w:val="24"/>
        </w:rPr>
        <w:t>haemorrhoids</w:t>
      </w:r>
      <w:proofErr w:type="spellEnd"/>
      <w:r>
        <w:rPr>
          <w:rFonts w:ascii="Times New Roman" w:hAnsi="Times New Roman"/>
          <w:sz w:val="24"/>
          <w:szCs w:val="24"/>
        </w:rPr>
        <w:t xml:space="preserve"> and skin eruptions, also in the </w:t>
      </w:r>
      <w:proofErr w:type="spellStart"/>
      <w:r>
        <w:rPr>
          <w:rFonts w:ascii="Times New Roman" w:hAnsi="Times New Roman"/>
          <w:sz w:val="24"/>
          <w:szCs w:val="24"/>
        </w:rPr>
        <w:t>treament</w:t>
      </w:r>
      <w:proofErr w:type="spellEnd"/>
      <w:r>
        <w:rPr>
          <w:rFonts w:ascii="Times New Roman" w:hAnsi="Times New Roman"/>
          <w:sz w:val="24"/>
          <w:szCs w:val="24"/>
        </w:rPr>
        <w:t xml:space="preserve"> of </w:t>
      </w:r>
      <w:proofErr w:type="spellStart"/>
      <w:r>
        <w:rPr>
          <w:rFonts w:ascii="Times New Roman" w:hAnsi="Times New Roman"/>
          <w:sz w:val="24"/>
          <w:szCs w:val="24"/>
        </w:rPr>
        <w:t>diarrhoea</w:t>
      </w:r>
      <w:proofErr w:type="spellEnd"/>
      <w:r>
        <w:rPr>
          <w:rFonts w:ascii="Times New Roman" w:hAnsi="Times New Roman"/>
          <w:sz w:val="24"/>
          <w:szCs w:val="24"/>
        </w:rPr>
        <w:t xml:space="preserve"> and intestinal bleeding and as an antidote for metallic, alkaloidal, and glycosidic </w:t>
      </w:r>
      <w:proofErr w:type="spellStart"/>
      <w:r>
        <w:rPr>
          <w:rFonts w:ascii="Times New Roman" w:hAnsi="Times New Roman"/>
          <w:sz w:val="24"/>
          <w:szCs w:val="24"/>
        </w:rPr>
        <w:t>poisonare</w:t>
      </w:r>
      <w:proofErr w:type="spellEnd"/>
      <w:r>
        <w:rPr>
          <w:rFonts w:ascii="Times New Roman" w:hAnsi="Times New Roman"/>
          <w:sz w:val="24"/>
          <w:szCs w:val="24"/>
        </w:rPr>
        <w:t xml:space="preserve"> present in n-hexane and ethanol extract of </w:t>
      </w:r>
      <w:proofErr w:type="spellStart"/>
      <w:r>
        <w:rPr>
          <w:rFonts w:ascii="Times New Roman" w:hAnsi="Times New Roman"/>
          <w:sz w:val="24"/>
          <w:szCs w:val="24"/>
        </w:rPr>
        <w:t>Azadirachta</w:t>
      </w:r>
      <w:proofErr w:type="spellEnd"/>
      <w:r>
        <w:rPr>
          <w:rFonts w:ascii="Times New Roman" w:hAnsi="Times New Roman"/>
          <w:sz w:val="24"/>
          <w:szCs w:val="24"/>
        </w:rPr>
        <w:t xml:space="preserve"> indica leaves (</w:t>
      </w:r>
      <w:proofErr w:type="spellStart"/>
      <w:r>
        <w:rPr>
          <w:rFonts w:ascii="Times New Roman" w:hAnsi="Times New Roman"/>
          <w:sz w:val="24"/>
          <w:szCs w:val="24"/>
        </w:rPr>
        <w:t>Farha</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2020; </w:t>
      </w:r>
      <w:proofErr w:type="spellStart"/>
      <w:r>
        <w:rPr>
          <w:rFonts w:ascii="Times New Roman" w:hAnsi="Times New Roman"/>
          <w:sz w:val="24"/>
          <w:szCs w:val="24"/>
        </w:rPr>
        <w:t>Jose</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2020). Alkaloids </w:t>
      </w:r>
      <w:proofErr w:type="gramStart"/>
      <w:r>
        <w:rPr>
          <w:rFonts w:ascii="Times New Roman" w:hAnsi="Times New Roman"/>
          <w:sz w:val="24"/>
          <w:szCs w:val="24"/>
        </w:rPr>
        <w:t>which  are</w:t>
      </w:r>
      <w:proofErr w:type="gramEnd"/>
      <w:r>
        <w:rPr>
          <w:rFonts w:ascii="Times New Roman" w:hAnsi="Times New Roman"/>
          <w:sz w:val="24"/>
          <w:szCs w:val="24"/>
        </w:rPr>
        <w:t xml:space="preserve"> known for their antimicrobial activities such as antibacterial, antifungal and anticancer are present in n- hexane and ethanol extract of </w:t>
      </w:r>
      <w:proofErr w:type="spellStart"/>
      <w:r>
        <w:rPr>
          <w:rFonts w:ascii="Times New Roman" w:hAnsi="Times New Roman"/>
          <w:sz w:val="24"/>
          <w:szCs w:val="24"/>
        </w:rPr>
        <w:t>Azadirachta</w:t>
      </w:r>
      <w:proofErr w:type="spellEnd"/>
      <w:r>
        <w:rPr>
          <w:rFonts w:ascii="Times New Roman" w:hAnsi="Times New Roman"/>
          <w:sz w:val="24"/>
          <w:szCs w:val="24"/>
        </w:rPr>
        <w:t xml:space="preserve"> indica leaves, a similar result can be seen in a study carried out </w:t>
      </w:r>
      <w:proofErr w:type="gramStart"/>
      <w:r>
        <w:rPr>
          <w:rFonts w:ascii="Times New Roman" w:hAnsi="Times New Roman"/>
          <w:sz w:val="24"/>
          <w:szCs w:val="24"/>
        </w:rPr>
        <w:t>by  El</w:t>
      </w:r>
      <w:proofErr w:type="gramEnd"/>
      <w:r>
        <w:rPr>
          <w:rFonts w:ascii="Times New Roman" w:hAnsi="Times New Roman"/>
          <w:sz w:val="24"/>
          <w:szCs w:val="24"/>
        </w:rPr>
        <w:t>-</w:t>
      </w:r>
      <w:proofErr w:type="spellStart"/>
      <w:r>
        <w:rPr>
          <w:rFonts w:ascii="Times New Roman" w:hAnsi="Times New Roman"/>
          <w:sz w:val="24"/>
          <w:szCs w:val="24"/>
        </w:rPr>
        <w:t>Genfy</w:t>
      </w:r>
      <w:proofErr w:type="spellEnd"/>
      <w:r>
        <w:rPr>
          <w:rFonts w:ascii="Times New Roman" w:hAnsi="Times New Roman"/>
          <w:sz w:val="24"/>
          <w:szCs w:val="24"/>
        </w:rPr>
        <w:t xml:space="preserve"> (El-</w:t>
      </w:r>
      <w:proofErr w:type="spellStart"/>
      <w:r>
        <w:rPr>
          <w:rFonts w:ascii="Times New Roman" w:hAnsi="Times New Roman"/>
          <w:sz w:val="24"/>
          <w:szCs w:val="24"/>
        </w:rPr>
        <w:t>Gendy</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2023; </w:t>
      </w:r>
      <w:proofErr w:type="spellStart"/>
      <w:r>
        <w:rPr>
          <w:rFonts w:ascii="Times New Roman" w:hAnsi="Times New Roman"/>
          <w:sz w:val="24"/>
          <w:szCs w:val="24"/>
        </w:rPr>
        <w:t>Bribi</w:t>
      </w:r>
      <w:proofErr w:type="spellEnd"/>
      <w:r>
        <w:rPr>
          <w:rFonts w:ascii="Times New Roman" w:hAnsi="Times New Roman"/>
          <w:sz w:val="24"/>
          <w:szCs w:val="24"/>
        </w:rPr>
        <w:t>, 2018</w:t>
      </w:r>
      <w:proofErr w:type="gramStart"/>
      <w:r>
        <w:rPr>
          <w:rFonts w:ascii="Times New Roman" w:hAnsi="Times New Roman"/>
          <w:sz w:val="24"/>
          <w:szCs w:val="24"/>
        </w:rPr>
        <w:t>).Cardiac</w:t>
      </w:r>
      <w:proofErr w:type="gramEnd"/>
      <w:r>
        <w:rPr>
          <w:rFonts w:ascii="Times New Roman" w:hAnsi="Times New Roman"/>
          <w:sz w:val="24"/>
          <w:szCs w:val="24"/>
        </w:rPr>
        <w:t xml:space="preserve"> glycoside was also presence in both </w:t>
      </w:r>
      <w:proofErr w:type="gramStart"/>
      <w:r>
        <w:rPr>
          <w:rFonts w:ascii="Times New Roman" w:hAnsi="Times New Roman"/>
          <w:sz w:val="24"/>
          <w:szCs w:val="24"/>
        </w:rPr>
        <w:t>extract</w:t>
      </w:r>
      <w:proofErr w:type="gramEnd"/>
      <w:r>
        <w:rPr>
          <w:rFonts w:ascii="Times New Roman" w:hAnsi="Times New Roman"/>
          <w:sz w:val="24"/>
          <w:szCs w:val="24"/>
        </w:rPr>
        <w:t xml:space="preserve">. They are a class of organic compounds that increase the output force of the heart and decrease </w:t>
      </w:r>
      <w:proofErr w:type="gramStart"/>
      <w:r>
        <w:rPr>
          <w:rFonts w:ascii="Times New Roman" w:hAnsi="Times New Roman"/>
          <w:sz w:val="24"/>
          <w:szCs w:val="24"/>
        </w:rPr>
        <w:t>it's</w:t>
      </w:r>
      <w:proofErr w:type="gramEnd"/>
      <w:r>
        <w:rPr>
          <w:rFonts w:ascii="Times New Roman" w:hAnsi="Times New Roman"/>
          <w:sz w:val="24"/>
          <w:szCs w:val="24"/>
        </w:rPr>
        <w:t xml:space="preserve"> rate of contractions by inhibiting the cellular sodium-potassium ATPase pump. Their beneficial medical uses are as treatments for congestive heart failure and cardiac arrhythmias (</w:t>
      </w:r>
      <w:proofErr w:type="spellStart"/>
      <w:r>
        <w:rPr>
          <w:rFonts w:ascii="Times New Roman" w:hAnsi="Times New Roman"/>
          <w:sz w:val="24"/>
          <w:szCs w:val="24"/>
        </w:rPr>
        <w:t>Akinwumi</w:t>
      </w:r>
      <w:proofErr w:type="spellEnd"/>
      <w:r>
        <w:rPr>
          <w:rFonts w:ascii="Times New Roman" w:hAnsi="Times New Roman"/>
          <w:sz w:val="24"/>
          <w:szCs w:val="24"/>
        </w:rPr>
        <w:t xml:space="preserve"> and Ambali, 2024).</w:t>
      </w:r>
    </w:p>
    <w:p w14:paraId="6A9CE0E4" w14:textId="77777777" w:rsidR="00DD0F93" w:rsidRDefault="004D0A17">
      <w:pPr>
        <w:spacing w:before="240" w:line="360" w:lineRule="auto"/>
        <w:jc w:val="both"/>
        <w:rPr>
          <w:rFonts w:ascii="Times New Roman" w:hAnsi="Times New Roman"/>
          <w:b/>
          <w:sz w:val="24"/>
          <w:szCs w:val="24"/>
        </w:rPr>
      </w:pPr>
      <w:r>
        <w:rPr>
          <w:rFonts w:ascii="Times New Roman" w:hAnsi="Times New Roman"/>
          <w:sz w:val="24"/>
          <w:szCs w:val="24"/>
        </w:rPr>
        <w:t xml:space="preserve">Anthraquinones are present in n-hexane extracts because they are non-polar and are better dissolved by non-polar </w:t>
      </w:r>
      <w:proofErr w:type="gramStart"/>
      <w:r>
        <w:rPr>
          <w:rFonts w:ascii="Times New Roman" w:hAnsi="Times New Roman"/>
          <w:sz w:val="24"/>
          <w:szCs w:val="24"/>
        </w:rPr>
        <w:t>solvents,  making</w:t>
      </w:r>
      <w:proofErr w:type="gramEnd"/>
      <w:r>
        <w:rPr>
          <w:rFonts w:ascii="Times New Roman" w:hAnsi="Times New Roman"/>
          <w:sz w:val="24"/>
          <w:szCs w:val="24"/>
        </w:rPr>
        <w:t xml:space="preserve"> them more soluble in n- hexane solvent compared to ethanol (</w:t>
      </w:r>
      <w:proofErr w:type="spellStart"/>
      <w:r>
        <w:rPr>
          <w:rFonts w:ascii="Times New Roman" w:hAnsi="Times New Roman"/>
          <w:sz w:val="24"/>
          <w:szCs w:val="24"/>
        </w:rPr>
        <w:t>Falana&amp;Nurudeen</w:t>
      </w:r>
      <w:proofErr w:type="spellEnd"/>
      <w:r>
        <w:rPr>
          <w:rFonts w:ascii="Times New Roman" w:hAnsi="Times New Roman"/>
          <w:sz w:val="24"/>
          <w:szCs w:val="24"/>
        </w:rPr>
        <w:t xml:space="preserve">, </w:t>
      </w:r>
      <w:r>
        <w:rPr>
          <w:rFonts w:ascii="Times New Roman" w:hAnsi="Times New Roman"/>
          <w:sz w:val="24"/>
          <w:szCs w:val="24"/>
        </w:rPr>
        <w:lastRenderedPageBreak/>
        <w:t>2020). Anthraquinones are used as antioxidants, laxatives, anti-inflammatory, anti-arthritic, anti-cancer, anti-bacterial, anti-fungal, anti-diabetic, neuroprotective and immunomodulator.</w:t>
      </w:r>
    </w:p>
    <w:p w14:paraId="1F6C7A19" w14:textId="77777777" w:rsidR="00DD0F93" w:rsidRDefault="004D0A17">
      <w:pPr>
        <w:spacing w:before="240" w:line="360" w:lineRule="auto"/>
        <w:jc w:val="center"/>
        <w:rPr>
          <w:rFonts w:ascii="Times New Roman" w:hAnsi="Times New Roman"/>
          <w:b/>
          <w:sz w:val="24"/>
          <w:szCs w:val="24"/>
        </w:rPr>
      </w:pPr>
      <w:r>
        <w:rPr>
          <w:rFonts w:ascii="Times New Roman" w:hAnsi="Times New Roman"/>
          <w:b/>
          <w:noProof/>
          <w:sz w:val="24"/>
          <w:szCs w:val="24"/>
          <w:lang w:eastAsia="en-US"/>
        </w:rPr>
        <w:drawing>
          <wp:inline distT="0" distB="0" distL="0" distR="0" wp14:anchorId="095344C3" wp14:editId="5A819A52">
            <wp:extent cx="5510482" cy="3494489"/>
            <wp:effectExtent l="19050" t="0" r="0" b="0"/>
            <wp:docPr id="1027" name="Picture 3" descr="Screenshot_20250221-063847_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8" cstate="print"/>
                    <a:srcRect t="4400"/>
                    <a:stretch/>
                  </pic:blipFill>
                  <pic:spPr>
                    <a:xfrm>
                      <a:off x="0" y="0"/>
                      <a:ext cx="5510482" cy="3494489"/>
                    </a:xfrm>
                    <a:prstGeom prst="rect">
                      <a:avLst/>
                    </a:prstGeom>
                  </pic:spPr>
                </pic:pic>
              </a:graphicData>
            </a:graphic>
          </wp:inline>
        </w:drawing>
      </w:r>
    </w:p>
    <w:p w14:paraId="1F94E0CF" w14:textId="77777777" w:rsidR="00DD0F93" w:rsidRDefault="004D0A17">
      <w:pPr>
        <w:tabs>
          <w:tab w:val="left" w:pos="2790"/>
        </w:tabs>
        <w:spacing w:line="360" w:lineRule="auto"/>
        <w:jc w:val="center"/>
        <w:rPr>
          <w:rFonts w:ascii="Times New Roman" w:eastAsia="Cambria" w:hAnsi="Times New Roman"/>
          <w:b/>
          <w:sz w:val="24"/>
          <w:szCs w:val="24"/>
        </w:rPr>
      </w:pPr>
      <w:r>
        <w:rPr>
          <w:rFonts w:ascii="Times New Roman" w:hAnsi="Times New Roman"/>
          <w:b/>
          <w:noProof/>
          <w:sz w:val="24"/>
          <w:szCs w:val="24"/>
          <w:lang w:eastAsia="en-US"/>
        </w:rPr>
        <w:t xml:space="preserve">Figure 2: </w:t>
      </w:r>
      <w:r>
        <w:rPr>
          <w:rFonts w:ascii="Times New Roman" w:eastAsia="Cambria" w:hAnsi="Times New Roman"/>
          <w:b/>
          <w:sz w:val="24"/>
          <w:szCs w:val="24"/>
        </w:rPr>
        <w:t xml:space="preserve">GC-FID CHROMATOGRAM OF </w:t>
      </w:r>
      <w:proofErr w:type="spellStart"/>
      <w:r>
        <w:rPr>
          <w:rFonts w:ascii="Times New Roman" w:hAnsi="Times New Roman"/>
          <w:b/>
          <w:i/>
          <w:sz w:val="24"/>
          <w:szCs w:val="24"/>
        </w:rPr>
        <w:t>Azadirachta</w:t>
      </w:r>
      <w:proofErr w:type="spellEnd"/>
      <w:r>
        <w:rPr>
          <w:rFonts w:ascii="Times New Roman" w:hAnsi="Times New Roman"/>
          <w:b/>
          <w:i/>
          <w:sz w:val="24"/>
          <w:szCs w:val="24"/>
        </w:rPr>
        <w:t xml:space="preserve"> indica </w:t>
      </w:r>
      <w:r>
        <w:rPr>
          <w:rFonts w:ascii="Times New Roman" w:eastAsia="Cambria" w:hAnsi="Times New Roman"/>
          <w:b/>
          <w:i/>
          <w:sz w:val="24"/>
          <w:szCs w:val="24"/>
        </w:rPr>
        <w:t>LEAVES</w:t>
      </w:r>
      <w:r>
        <w:rPr>
          <w:rFonts w:ascii="Times New Roman" w:eastAsia="Cambria" w:hAnsi="Times New Roman"/>
          <w:b/>
          <w:sz w:val="24"/>
          <w:szCs w:val="24"/>
        </w:rPr>
        <w:t xml:space="preserve"> EXTRACT</w:t>
      </w:r>
    </w:p>
    <w:p w14:paraId="2D8122DE" w14:textId="77777777" w:rsidR="00DD0F93" w:rsidRDefault="00DD0F93">
      <w:pPr>
        <w:spacing w:before="240" w:line="360" w:lineRule="auto"/>
        <w:jc w:val="both"/>
        <w:rPr>
          <w:rFonts w:ascii="Times New Roman" w:hAnsi="Times New Roman"/>
          <w:b/>
          <w:sz w:val="24"/>
          <w:szCs w:val="24"/>
        </w:rPr>
      </w:pPr>
    </w:p>
    <w:p w14:paraId="4E2364EE" w14:textId="77777777" w:rsidR="00DD0F93" w:rsidRDefault="004D0A17">
      <w:pPr>
        <w:spacing w:before="240" w:line="360" w:lineRule="auto"/>
        <w:rPr>
          <w:rFonts w:ascii="Times New Roman" w:hAnsi="Times New Roman"/>
          <w:b/>
          <w:sz w:val="24"/>
          <w:szCs w:val="24"/>
        </w:rPr>
      </w:pPr>
      <w:r>
        <w:rPr>
          <w:rFonts w:ascii="Times New Roman" w:hAnsi="Times New Roman"/>
          <w:b/>
          <w:sz w:val="24"/>
          <w:szCs w:val="24"/>
        </w:rPr>
        <w:t xml:space="preserve">Table 2: Result of bioactive compound identified in </w:t>
      </w:r>
      <w:proofErr w:type="spellStart"/>
      <w:r>
        <w:rPr>
          <w:rFonts w:ascii="Times New Roman" w:hAnsi="Times New Roman"/>
          <w:b/>
          <w:sz w:val="24"/>
          <w:szCs w:val="24"/>
        </w:rPr>
        <w:t>methanolicAzadirachta</w:t>
      </w:r>
      <w:proofErr w:type="spellEnd"/>
      <w:r>
        <w:rPr>
          <w:rFonts w:ascii="Times New Roman" w:hAnsi="Times New Roman"/>
          <w:b/>
          <w:sz w:val="24"/>
          <w:szCs w:val="24"/>
        </w:rPr>
        <w:t xml:space="preserve"> indica leave extract by Gas chromatography Flame Ionization Detector analysis (GC – FID). </w:t>
      </w:r>
    </w:p>
    <w:tbl>
      <w:tblPr>
        <w:tblStyle w:val="TableGrid"/>
        <w:tblW w:w="0" w:type="auto"/>
        <w:jc w:val="center"/>
        <w:tblLook w:val="04A0" w:firstRow="1" w:lastRow="0" w:firstColumn="1" w:lastColumn="0" w:noHBand="0" w:noVBand="1"/>
      </w:tblPr>
      <w:tblGrid>
        <w:gridCol w:w="853"/>
        <w:gridCol w:w="1420"/>
        <w:gridCol w:w="1802"/>
        <w:gridCol w:w="1493"/>
        <w:gridCol w:w="1185"/>
        <w:gridCol w:w="1685"/>
        <w:gridCol w:w="1257"/>
      </w:tblGrid>
      <w:tr w:rsidR="00DD0F93" w14:paraId="1E0823B3" w14:textId="77777777">
        <w:trPr>
          <w:trHeight w:val="46"/>
          <w:jc w:val="center"/>
        </w:trPr>
        <w:tc>
          <w:tcPr>
            <w:tcW w:w="853" w:type="dxa"/>
          </w:tcPr>
          <w:p w14:paraId="3EE3E6D6"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Peak No</w:t>
            </w:r>
          </w:p>
        </w:tc>
        <w:tc>
          <w:tcPr>
            <w:tcW w:w="1420" w:type="dxa"/>
          </w:tcPr>
          <w:p w14:paraId="481B7A8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Retention time</w:t>
            </w:r>
          </w:p>
        </w:tc>
        <w:tc>
          <w:tcPr>
            <w:tcW w:w="1802" w:type="dxa"/>
          </w:tcPr>
          <w:p w14:paraId="6139791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Compound found</w:t>
            </w:r>
          </w:p>
        </w:tc>
        <w:tc>
          <w:tcPr>
            <w:tcW w:w="1493" w:type="dxa"/>
          </w:tcPr>
          <w:p w14:paraId="74E86470"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Formulae</w:t>
            </w:r>
          </w:p>
        </w:tc>
        <w:tc>
          <w:tcPr>
            <w:tcW w:w="1185" w:type="dxa"/>
          </w:tcPr>
          <w:p w14:paraId="12621626"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Peak area</w:t>
            </w:r>
          </w:p>
        </w:tc>
        <w:tc>
          <w:tcPr>
            <w:tcW w:w="1685" w:type="dxa"/>
          </w:tcPr>
          <w:p w14:paraId="57F87437"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Class of secondary metabolites</w:t>
            </w:r>
          </w:p>
        </w:tc>
        <w:tc>
          <w:tcPr>
            <w:tcW w:w="1257" w:type="dxa"/>
          </w:tcPr>
          <w:p w14:paraId="718F3599"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Amount</w:t>
            </w:r>
          </w:p>
        </w:tc>
      </w:tr>
      <w:tr w:rsidR="00DD0F93" w14:paraId="08E59BAF" w14:textId="77777777">
        <w:trPr>
          <w:trHeight w:val="46"/>
          <w:jc w:val="center"/>
        </w:trPr>
        <w:tc>
          <w:tcPr>
            <w:tcW w:w="853" w:type="dxa"/>
          </w:tcPr>
          <w:p w14:paraId="394E39E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w:t>
            </w:r>
          </w:p>
        </w:tc>
        <w:tc>
          <w:tcPr>
            <w:tcW w:w="1420" w:type="dxa"/>
          </w:tcPr>
          <w:p w14:paraId="091055B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2.61</w:t>
            </w:r>
          </w:p>
        </w:tc>
        <w:tc>
          <w:tcPr>
            <w:tcW w:w="1802" w:type="dxa"/>
          </w:tcPr>
          <w:p w14:paraId="52B63968"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Kaemferol</w:t>
            </w:r>
            <w:proofErr w:type="spellEnd"/>
          </w:p>
        </w:tc>
        <w:tc>
          <w:tcPr>
            <w:tcW w:w="1493" w:type="dxa"/>
          </w:tcPr>
          <w:p w14:paraId="33C52D63"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2E6B0A4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210.53</w:t>
            </w:r>
          </w:p>
        </w:tc>
        <w:tc>
          <w:tcPr>
            <w:tcW w:w="1685" w:type="dxa"/>
          </w:tcPr>
          <w:p w14:paraId="5B7715E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290D26F"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26.15</w:t>
            </w:r>
          </w:p>
        </w:tc>
      </w:tr>
      <w:tr w:rsidR="00DD0F93" w14:paraId="02589EB0" w14:textId="77777777">
        <w:trPr>
          <w:trHeight w:val="46"/>
          <w:jc w:val="center"/>
        </w:trPr>
        <w:tc>
          <w:tcPr>
            <w:tcW w:w="853" w:type="dxa"/>
          </w:tcPr>
          <w:p w14:paraId="6B92344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w:t>
            </w:r>
          </w:p>
        </w:tc>
        <w:tc>
          <w:tcPr>
            <w:tcW w:w="1420" w:type="dxa"/>
          </w:tcPr>
          <w:p w14:paraId="62EBB4D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3.05</w:t>
            </w:r>
          </w:p>
        </w:tc>
        <w:tc>
          <w:tcPr>
            <w:tcW w:w="1802" w:type="dxa"/>
          </w:tcPr>
          <w:p w14:paraId="078563D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Catechin</w:t>
            </w:r>
          </w:p>
        </w:tc>
        <w:tc>
          <w:tcPr>
            <w:tcW w:w="1493" w:type="dxa"/>
          </w:tcPr>
          <w:p w14:paraId="2352F5E3"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40AFB8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129.44</w:t>
            </w:r>
          </w:p>
        </w:tc>
        <w:tc>
          <w:tcPr>
            <w:tcW w:w="1685" w:type="dxa"/>
          </w:tcPr>
          <w:p w14:paraId="303FC84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19F25FF9"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18.33</w:t>
            </w:r>
          </w:p>
        </w:tc>
      </w:tr>
      <w:tr w:rsidR="00DD0F93" w14:paraId="715312EB" w14:textId="77777777">
        <w:trPr>
          <w:trHeight w:val="46"/>
          <w:jc w:val="center"/>
        </w:trPr>
        <w:tc>
          <w:tcPr>
            <w:tcW w:w="853" w:type="dxa"/>
          </w:tcPr>
          <w:p w14:paraId="1CCC878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w:t>
            </w:r>
          </w:p>
        </w:tc>
        <w:tc>
          <w:tcPr>
            <w:tcW w:w="1420" w:type="dxa"/>
          </w:tcPr>
          <w:p w14:paraId="6D7710D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4.56</w:t>
            </w:r>
          </w:p>
        </w:tc>
        <w:tc>
          <w:tcPr>
            <w:tcW w:w="1802" w:type="dxa"/>
          </w:tcPr>
          <w:p w14:paraId="0BCEFD8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Quercetin</w:t>
            </w:r>
          </w:p>
        </w:tc>
        <w:tc>
          <w:tcPr>
            <w:tcW w:w="1493" w:type="dxa"/>
          </w:tcPr>
          <w:p w14:paraId="1EE1C917"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56EC3A0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5.96</w:t>
            </w:r>
          </w:p>
        </w:tc>
        <w:tc>
          <w:tcPr>
            <w:tcW w:w="1685" w:type="dxa"/>
          </w:tcPr>
          <w:p w14:paraId="3F7B84C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0A266E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0.82</w:t>
            </w:r>
          </w:p>
        </w:tc>
      </w:tr>
      <w:tr w:rsidR="00DD0F93" w14:paraId="28655654" w14:textId="77777777">
        <w:trPr>
          <w:trHeight w:val="46"/>
          <w:jc w:val="center"/>
        </w:trPr>
        <w:tc>
          <w:tcPr>
            <w:tcW w:w="853" w:type="dxa"/>
          </w:tcPr>
          <w:p w14:paraId="1B09C18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lastRenderedPageBreak/>
              <w:t>4</w:t>
            </w:r>
          </w:p>
        </w:tc>
        <w:tc>
          <w:tcPr>
            <w:tcW w:w="1420" w:type="dxa"/>
          </w:tcPr>
          <w:p w14:paraId="605121B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4.76</w:t>
            </w:r>
          </w:p>
        </w:tc>
        <w:tc>
          <w:tcPr>
            <w:tcW w:w="1802" w:type="dxa"/>
          </w:tcPr>
          <w:p w14:paraId="2388527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Genistein</w:t>
            </w:r>
          </w:p>
        </w:tc>
        <w:tc>
          <w:tcPr>
            <w:tcW w:w="1493" w:type="dxa"/>
          </w:tcPr>
          <w:p w14:paraId="3FD13E6E"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5954E49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6.57</w:t>
            </w:r>
          </w:p>
        </w:tc>
        <w:tc>
          <w:tcPr>
            <w:tcW w:w="1685" w:type="dxa"/>
          </w:tcPr>
          <w:p w14:paraId="28D16A0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4DCDF0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0.92</w:t>
            </w:r>
          </w:p>
        </w:tc>
      </w:tr>
      <w:tr w:rsidR="00DD0F93" w14:paraId="686117D6" w14:textId="77777777">
        <w:trPr>
          <w:trHeight w:val="46"/>
          <w:jc w:val="center"/>
        </w:trPr>
        <w:tc>
          <w:tcPr>
            <w:tcW w:w="853" w:type="dxa"/>
          </w:tcPr>
          <w:p w14:paraId="52ADAA3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w:t>
            </w:r>
          </w:p>
        </w:tc>
        <w:tc>
          <w:tcPr>
            <w:tcW w:w="1420" w:type="dxa"/>
          </w:tcPr>
          <w:p w14:paraId="6B6891D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6.16</w:t>
            </w:r>
          </w:p>
        </w:tc>
        <w:tc>
          <w:tcPr>
            <w:tcW w:w="1802" w:type="dxa"/>
          </w:tcPr>
          <w:p w14:paraId="25AFE1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Luteolin</w:t>
            </w:r>
          </w:p>
        </w:tc>
        <w:tc>
          <w:tcPr>
            <w:tcW w:w="1493" w:type="dxa"/>
          </w:tcPr>
          <w:p w14:paraId="67648060"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159DBE7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7.40</w:t>
            </w:r>
          </w:p>
        </w:tc>
        <w:tc>
          <w:tcPr>
            <w:tcW w:w="1685" w:type="dxa"/>
          </w:tcPr>
          <w:p w14:paraId="5F9FA72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Flavonoids</w:t>
            </w:r>
          </w:p>
        </w:tc>
        <w:tc>
          <w:tcPr>
            <w:tcW w:w="1257" w:type="dxa"/>
          </w:tcPr>
          <w:p w14:paraId="0ADD570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3.61</w:t>
            </w:r>
          </w:p>
        </w:tc>
      </w:tr>
      <w:tr w:rsidR="00DD0F93" w14:paraId="40AA72E9" w14:textId="77777777">
        <w:trPr>
          <w:trHeight w:val="46"/>
          <w:jc w:val="center"/>
        </w:trPr>
        <w:tc>
          <w:tcPr>
            <w:tcW w:w="853" w:type="dxa"/>
          </w:tcPr>
          <w:p w14:paraId="6FDC5A9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w:t>
            </w:r>
          </w:p>
        </w:tc>
        <w:tc>
          <w:tcPr>
            <w:tcW w:w="1420" w:type="dxa"/>
          </w:tcPr>
          <w:p w14:paraId="738C114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6.37</w:t>
            </w:r>
          </w:p>
        </w:tc>
        <w:tc>
          <w:tcPr>
            <w:tcW w:w="1802" w:type="dxa"/>
          </w:tcPr>
          <w:p w14:paraId="5F7F69B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Ferulic Acid</w:t>
            </w:r>
          </w:p>
        </w:tc>
        <w:tc>
          <w:tcPr>
            <w:tcW w:w="1493" w:type="dxa"/>
          </w:tcPr>
          <w:p w14:paraId="36088A98"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00B9CAA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37.41</w:t>
            </w:r>
          </w:p>
        </w:tc>
        <w:tc>
          <w:tcPr>
            <w:tcW w:w="1685" w:type="dxa"/>
          </w:tcPr>
          <w:p w14:paraId="729F3B0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 acids</w:t>
            </w:r>
          </w:p>
        </w:tc>
        <w:tc>
          <w:tcPr>
            <w:tcW w:w="1257" w:type="dxa"/>
          </w:tcPr>
          <w:p w14:paraId="61A98D9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5.40</w:t>
            </w:r>
          </w:p>
        </w:tc>
      </w:tr>
      <w:tr w:rsidR="00DD0F93" w14:paraId="6BC8BFDC" w14:textId="77777777">
        <w:trPr>
          <w:trHeight w:val="46"/>
          <w:jc w:val="center"/>
        </w:trPr>
        <w:tc>
          <w:tcPr>
            <w:tcW w:w="853" w:type="dxa"/>
          </w:tcPr>
          <w:p w14:paraId="66073B4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w:t>
            </w:r>
          </w:p>
        </w:tc>
        <w:tc>
          <w:tcPr>
            <w:tcW w:w="1420" w:type="dxa"/>
          </w:tcPr>
          <w:p w14:paraId="3E7AA69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7.06</w:t>
            </w:r>
          </w:p>
        </w:tc>
        <w:tc>
          <w:tcPr>
            <w:tcW w:w="1802" w:type="dxa"/>
          </w:tcPr>
          <w:p w14:paraId="0256538A"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Artemetin</w:t>
            </w:r>
            <w:proofErr w:type="spellEnd"/>
          </w:p>
        </w:tc>
        <w:tc>
          <w:tcPr>
            <w:tcW w:w="1493" w:type="dxa"/>
          </w:tcPr>
          <w:p w14:paraId="44CF96B2"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6AD5020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4.36</w:t>
            </w:r>
          </w:p>
        </w:tc>
        <w:tc>
          <w:tcPr>
            <w:tcW w:w="1685" w:type="dxa"/>
          </w:tcPr>
          <w:p w14:paraId="08BBD5C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14:paraId="29062511"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0.60</w:t>
            </w:r>
          </w:p>
        </w:tc>
      </w:tr>
      <w:tr w:rsidR="00DD0F93" w14:paraId="7C1F9E6F" w14:textId="77777777">
        <w:trPr>
          <w:trHeight w:val="46"/>
          <w:jc w:val="center"/>
        </w:trPr>
        <w:tc>
          <w:tcPr>
            <w:tcW w:w="853" w:type="dxa"/>
          </w:tcPr>
          <w:p w14:paraId="0F754E1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w:t>
            </w:r>
          </w:p>
        </w:tc>
        <w:tc>
          <w:tcPr>
            <w:tcW w:w="1420" w:type="dxa"/>
          </w:tcPr>
          <w:p w14:paraId="224182E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7.28</w:t>
            </w:r>
          </w:p>
        </w:tc>
        <w:tc>
          <w:tcPr>
            <w:tcW w:w="1802" w:type="dxa"/>
          </w:tcPr>
          <w:p w14:paraId="46469FE5"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Gallocatechin</w:t>
            </w:r>
            <w:proofErr w:type="spellEnd"/>
          </w:p>
        </w:tc>
        <w:tc>
          <w:tcPr>
            <w:tcW w:w="1493" w:type="dxa"/>
          </w:tcPr>
          <w:p w14:paraId="1E70E9D6"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6CC781D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w:t>
            </w:r>
          </w:p>
        </w:tc>
        <w:tc>
          <w:tcPr>
            <w:tcW w:w="1685" w:type="dxa"/>
          </w:tcPr>
          <w:p w14:paraId="3CCC2F4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03E967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0.21</w:t>
            </w:r>
          </w:p>
        </w:tc>
      </w:tr>
      <w:tr w:rsidR="00DD0F93" w14:paraId="6C9E4EAB" w14:textId="77777777">
        <w:trPr>
          <w:trHeight w:val="46"/>
          <w:jc w:val="center"/>
        </w:trPr>
        <w:tc>
          <w:tcPr>
            <w:tcW w:w="853" w:type="dxa"/>
          </w:tcPr>
          <w:p w14:paraId="640DF98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w:t>
            </w:r>
          </w:p>
        </w:tc>
        <w:tc>
          <w:tcPr>
            <w:tcW w:w="1420" w:type="dxa"/>
          </w:tcPr>
          <w:p w14:paraId="072B1D0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7.45</w:t>
            </w:r>
          </w:p>
        </w:tc>
        <w:tc>
          <w:tcPr>
            <w:tcW w:w="1802" w:type="dxa"/>
          </w:tcPr>
          <w:p w14:paraId="1C05F6C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Flavones</w:t>
            </w:r>
          </w:p>
        </w:tc>
        <w:tc>
          <w:tcPr>
            <w:tcW w:w="1493" w:type="dxa"/>
          </w:tcPr>
          <w:p w14:paraId="2BD90A95"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2</w:t>
            </w:r>
          </w:p>
        </w:tc>
        <w:tc>
          <w:tcPr>
            <w:tcW w:w="1185" w:type="dxa"/>
          </w:tcPr>
          <w:p w14:paraId="4077CB3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6.36</w:t>
            </w:r>
          </w:p>
        </w:tc>
        <w:tc>
          <w:tcPr>
            <w:tcW w:w="1685" w:type="dxa"/>
          </w:tcPr>
          <w:p w14:paraId="4EBD16E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724DF7B"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0.88</w:t>
            </w:r>
          </w:p>
        </w:tc>
      </w:tr>
      <w:tr w:rsidR="00DD0F93" w14:paraId="48250735" w14:textId="77777777">
        <w:trPr>
          <w:trHeight w:val="46"/>
          <w:jc w:val="center"/>
        </w:trPr>
        <w:tc>
          <w:tcPr>
            <w:tcW w:w="853" w:type="dxa"/>
          </w:tcPr>
          <w:p w14:paraId="103CDFE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w:t>
            </w:r>
          </w:p>
        </w:tc>
        <w:tc>
          <w:tcPr>
            <w:tcW w:w="1420" w:type="dxa"/>
          </w:tcPr>
          <w:p w14:paraId="0A67267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7.63</w:t>
            </w:r>
          </w:p>
        </w:tc>
        <w:tc>
          <w:tcPr>
            <w:tcW w:w="1802" w:type="dxa"/>
          </w:tcPr>
          <w:p w14:paraId="323C8DBC"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Reveratrol</w:t>
            </w:r>
            <w:proofErr w:type="spellEnd"/>
          </w:p>
        </w:tc>
        <w:tc>
          <w:tcPr>
            <w:tcW w:w="1493" w:type="dxa"/>
          </w:tcPr>
          <w:p w14:paraId="58163698"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3</w:t>
            </w:r>
          </w:p>
        </w:tc>
        <w:tc>
          <w:tcPr>
            <w:tcW w:w="1185" w:type="dxa"/>
          </w:tcPr>
          <w:p w14:paraId="6739422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14.59</w:t>
            </w:r>
          </w:p>
        </w:tc>
        <w:tc>
          <w:tcPr>
            <w:tcW w:w="1685" w:type="dxa"/>
          </w:tcPr>
          <w:p w14:paraId="1AAACED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14:paraId="25CD182C"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3.17</w:t>
            </w:r>
          </w:p>
        </w:tc>
      </w:tr>
      <w:tr w:rsidR="00DD0F93" w14:paraId="48686387" w14:textId="77777777">
        <w:trPr>
          <w:trHeight w:val="471"/>
          <w:jc w:val="center"/>
        </w:trPr>
        <w:tc>
          <w:tcPr>
            <w:tcW w:w="853" w:type="dxa"/>
          </w:tcPr>
          <w:p w14:paraId="4F92511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w:t>
            </w:r>
          </w:p>
        </w:tc>
        <w:tc>
          <w:tcPr>
            <w:tcW w:w="1420" w:type="dxa"/>
          </w:tcPr>
          <w:p w14:paraId="3B3D110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7.88</w:t>
            </w:r>
          </w:p>
        </w:tc>
        <w:tc>
          <w:tcPr>
            <w:tcW w:w="1802" w:type="dxa"/>
          </w:tcPr>
          <w:p w14:paraId="30C4270B"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Lunamarin</w:t>
            </w:r>
            <w:proofErr w:type="spellEnd"/>
          </w:p>
        </w:tc>
        <w:tc>
          <w:tcPr>
            <w:tcW w:w="1493" w:type="dxa"/>
          </w:tcPr>
          <w:p w14:paraId="701AAC7B"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17</w:t>
            </w:r>
            <w:r>
              <w:rPr>
                <w:rStyle w:val="Emphasis"/>
                <w:rFonts w:ascii="Times New Roman" w:hAnsi="Times New Roman"/>
                <w:bCs/>
                <w:i w:val="0"/>
                <w:iCs w:val="0"/>
                <w:color w:val="000000"/>
                <w:sz w:val="24"/>
                <w:szCs w:val="24"/>
                <w:shd w:val="clear" w:color="auto" w:fill="FFFFFF"/>
              </w:rPr>
              <w:t>NO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4A57E29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5.53</w:t>
            </w:r>
          </w:p>
        </w:tc>
        <w:tc>
          <w:tcPr>
            <w:tcW w:w="1685" w:type="dxa"/>
          </w:tcPr>
          <w:p w14:paraId="289BC67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Terpenoid</w:t>
            </w:r>
          </w:p>
        </w:tc>
        <w:tc>
          <w:tcPr>
            <w:tcW w:w="1257" w:type="dxa"/>
          </w:tcPr>
          <w:p w14:paraId="7B1AA63D"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0.73</w:t>
            </w:r>
          </w:p>
        </w:tc>
      </w:tr>
      <w:tr w:rsidR="00DD0F93" w14:paraId="10C419DE" w14:textId="77777777">
        <w:trPr>
          <w:trHeight w:val="471"/>
          <w:jc w:val="center"/>
        </w:trPr>
        <w:tc>
          <w:tcPr>
            <w:tcW w:w="853" w:type="dxa"/>
          </w:tcPr>
          <w:p w14:paraId="67BF052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w:t>
            </w:r>
          </w:p>
        </w:tc>
        <w:tc>
          <w:tcPr>
            <w:tcW w:w="1420" w:type="dxa"/>
          </w:tcPr>
          <w:p w14:paraId="2634FA6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8.01</w:t>
            </w:r>
          </w:p>
        </w:tc>
        <w:tc>
          <w:tcPr>
            <w:tcW w:w="1802" w:type="dxa"/>
          </w:tcPr>
          <w:p w14:paraId="59778129"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Retusin</w:t>
            </w:r>
            <w:proofErr w:type="spellEnd"/>
          </w:p>
        </w:tc>
        <w:tc>
          <w:tcPr>
            <w:tcW w:w="1493" w:type="dxa"/>
          </w:tcPr>
          <w:p w14:paraId="58A2D4C4"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19</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79C938F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2.62</w:t>
            </w:r>
          </w:p>
        </w:tc>
        <w:tc>
          <w:tcPr>
            <w:tcW w:w="1685" w:type="dxa"/>
          </w:tcPr>
          <w:p w14:paraId="379C67A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641436B"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0.32</w:t>
            </w:r>
          </w:p>
        </w:tc>
      </w:tr>
      <w:tr w:rsidR="00DD0F93" w14:paraId="32311FE2" w14:textId="77777777">
        <w:trPr>
          <w:trHeight w:val="532"/>
          <w:jc w:val="center"/>
        </w:trPr>
        <w:tc>
          <w:tcPr>
            <w:tcW w:w="853" w:type="dxa"/>
          </w:tcPr>
          <w:p w14:paraId="4E2123C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w:t>
            </w:r>
          </w:p>
        </w:tc>
        <w:tc>
          <w:tcPr>
            <w:tcW w:w="1420" w:type="dxa"/>
          </w:tcPr>
          <w:p w14:paraId="68656F3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8.51</w:t>
            </w:r>
          </w:p>
        </w:tc>
        <w:tc>
          <w:tcPr>
            <w:tcW w:w="1802" w:type="dxa"/>
          </w:tcPr>
          <w:p w14:paraId="166965FB"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Nobeletin</w:t>
            </w:r>
            <w:proofErr w:type="spellEnd"/>
          </w:p>
        </w:tc>
        <w:tc>
          <w:tcPr>
            <w:tcW w:w="1493" w:type="dxa"/>
          </w:tcPr>
          <w:p w14:paraId="647A1A75"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3B55F74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1.12</w:t>
            </w:r>
          </w:p>
        </w:tc>
        <w:tc>
          <w:tcPr>
            <w:tcW w:w="1685" w:type="dxa"/>
          </w:tcPr>
          <w:p w14:paraId="6BFB895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2BD1FF05"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0.15</w:t>
            </w:r>
          </w:p>
        </w:tc>
      </w:tr>
      <w:tr w:rsidR="00DD0F93" w14:paraId="6D3EF7B6" w14:textId="77777777">
        <w:trPr>
          <w:trHeight w:val="532"/>
          <w:jc w:val="center"/>
        </w:trPr>
        <w:tc>
          <w:tcPr>
            <w:tcW w:w="853" w:type="dxa"/>
          </w:tcPr>
          <w:p w14:paraId="21A0FC5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w:t>
            </w:r>
          </w:p>
        </w:tc>
        <w:tc>
          <w:tcPr>
            <w:tcW w:w="1420" w:type="dxa"/>
          </w:tcPr>
          <w:p w14:paraId="37FE5EC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8.88</w:t>
            </w:r>
          </w:p>
        </w:tc>
        <w:tc>
          <w:tcPr>
            <w:tcW w:w="1802" w:type="dxa"/>
          </w:tcPr>
          <w:p w14:paraId="34865D0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Ellagic acid</w:t>
            </w:r>
          </w:p>
        </w:tc>
        <w:tc>
          <w:tcPr>
            <w:tcW w:w="1493" w:type="dxa"/>
          </w:tcPr>
          <w:p w14:paraId="21AB5E29"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6</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4648207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9.34</w:t>
            </w:r>
          </w:p>
        </w:tc>
        <w:tc>
          <w:tcPr>
            <w:tcW w:w="1685" w:type="dxa"/>
          </w:tcPr>
          <w:p w14:paraId="581239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Polyphenol</w:t>
            </w:r>
          </w:p>
        </w:tc>
        <w:tc>
          <w:tcPr>
            <w:tcW w:w="1257" w:type="dxa"/>
          </w:tcPr>
          <w:p w14:paraId="4E2E9CB7"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5.87</w:t>
            </w:r>
          </w:p>
        </w:tc>
      </w:tr>
      <w:tr w:rsidR="00DD0F93" w14:paraId="4ADD6699" w14:textId="77777777">
        <w:trPr>
          <w:trHeight w:val="532"/>
          <w:jc w:val="center"/>
        </w:trPr>
        <w:tc>
          <w:tcPr>
            <w:tcW w:w="853" w:type="dxa"/>
          </w:tcPr>
          <w:p w14:paraId="23B1FC2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15</w:t>
            </w:r>
          </w:p>
        </w:tc>
        <w:tc>
          <w:tcPr>
            <w:tcW w:w="1420" w:type="dxa"/>
          </w:tcPr>
          <w:p w14:paraId="7E23218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9.33</w:t>
            </w:r>
          </w:p>
        </w:tc>
        <w:tc>
          <w:tcPr>
            <w:tcW w:w="1802" w:type="dxa"/>
          </w:tcPr>
          <w:p w14:paraId="24CA558B"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Tangeretein</w:t>
            </w:r>
            <w:proofErr w:type="spellEnd"/>
          </w:p>
        </w:tc>
        <w:tc>
          <w:tcPr>
            <w:tcW w:w="1493" w:type="dxa"/>
          </w:tcPr>
          <w:p w14:paraId="01408825"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7</w:t>
            </w:r>
          </w:p>
        </w:tc>
        <w:tc>
          <w:tcPr>
            <w:tcW w:w="1185" w:type="dxa"/>
          </w:tcPr>
          <w:p w14:paraId="23B3B45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10.89</w:t>
            </w:r>
          </w:p>
        </w:tc>
        <w:tc>
          <w:tcPr>
            <w:tcW w:w="1685" w:type="dxa"/>
          </w:tcPr>
          <w:p w14:paraId="4019DFE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3BAF3051"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6.67</w:t>
            </w:r>
          </w:p>
        </w:tc>
      </w:tr>
      <w:tr w:rsidR="00DD0F93" w14:paraId="17D5F830" w14:textId="77777777">
        <w:trPr>
          <w:trHeight w:val="532"/>
          <w:jc w:val="center"/>
        </w:trPr>
        <w:tc>
          <w:tcPr>
            <w:tcW w:w="853" w:type="dxa"/>
          </w:tcPr>
          <w:p w14:paraId="2AB5C6E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w:t>
            </w:r>
          </w:p>
        </w:tc>
        <w:tc>
          <w:tcPr>
            <w:tcW w:w="1420" w:type="dxa"/>
          </w:tcPr>
          <w:p w14:paraId="1A9BBAF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9.74</w:t>
            </w:r>
          </w:p>
        </w:tc>
        <w:tc>
          <w:tcPr>
            <w:tcW w:w="1802" w:type="dxa"/>
          </w:tcPr>
          <w:p w14:paraId="63619BE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Epicatechin</w:t>
            </w:r>
          </w:p>
        </w:tc>
        <w:tc>
          <w:tcPr>
            <w:tcW w:w="1493" w:type="dxa"/>
          </w:tcPr>
          <w:p w14:paraId="32A5FF60"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6</w:t>
            </w:r>
          </w:p>
        </w:tc>
        <w:tc>
          <w:tcPr>
            <w:tcW w:w="1185" w:type="dxa"/>
          </w:tcPr>
          <w:p w14:paraId="2542CA4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3.83</w:t>
            </w:r>
          </w:p>
        </w:tc>
        <w:tc>
          <w:tcPr>
            <w:tcW w:w="1685" w:type="dxa"/>
          </w:tcPr>
          <w:p w14:paraId="0E57262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05F01D4"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0.52</w:t>
            </w:r>
          </w:p>
        </w:tc>
      </w:tr>
      <w:tr w:rsidR="00DD0F93" w14:paraId="627A0C10" w14:textId="77777777">
        <w:trPr>
          <w:trHeight w:val="371"/>
          <w:jc w:val="center"/>
        </w:trPr>
        <w:tc>
          <w:tcPr>
            <w:tcW w:w="853" w:type="dxa"/>
          </w:tcPr>
          <w:p w14:paraId="069EF89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17</w:t>
            </w:r>
          </w:p>
        </w:tc>
        <w:tc>
          <w:tcPr>
            <w:tcW w:w="1420" w:type="dxa"/>
          </w:tcPr>
          <w:p w14:paraId="1BB2B62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9.90</w:t>
            </w:r>
          </w:p>
        </w:tc>
        <w:tc>
          <w:tcPr>
            <w:tcW w:w="1802" w:type="dxa"/>
          </w:tcPr>
          <w:p w14:paraId="3203E4F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Vanillic</w:t>
            </w:r>
          </w:p>
        </w:tc>
        <w:tc>
          <w:tcPr>
            <w:tcW w:w="1493" w:type="dxa"/>
          </w:tcPr>
          <w:p w14:paraId="5A72D069"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8</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01B2245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130.06</w:t>
            </w:r>
          </w:p>
        </w:tc>
        <w:tc>
          <w:tcPr>
            <w:tcW w:w="1685" w:type="dxa"/>
          </w:tcPr>
          <w:p w14:paraId="2A28C91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 acid</w:t>
            </w:r>
          </w:p>
        </w:tc>
        <w:tc>
          <w:tcPr>
            <w:tcW w:w="1257" w:type="dxa"/>
          </w:tcPr>
          <w:p w14:paraId="79B6522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19.68</w:t>
            </w:r>
          </w:p>
        </w:tc>
      </w:tr>
      <w:tr w:rsidR="00DD0F93" w14:paraId="33E9A90E" w14:textId="77777777">
        <w:trPr>
          <w:trHeight w:val="371"/>
          <w:jc w:val="center"/>
        </w:trPr>
        <w:tc>
          <w:tcPr>
            <w:tcW w:w="853" w:type="dxa"/>
          </w:tcPr>
          <w:p w14:paraId="7F2DABA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18</w:t>
            </w:r>
          </w:p>
        </w:tc>
        <w:tc>
          <w:tcPr>
            <w:tcW w:w="1420" w:type="dxa"/>
          </w:tcPr>
          <w:p w14:paraId="16204BA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11.78</w:t>
            </w:r>
          </w:p>
        </w:tc>
        <w:tc>
          <w:tcPr>
            <w:tcW w:w="1802" w:type="dxa"/>
          </w:tcPr>
          <w:p w14:paraId="7003929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14:paraId="541BC941"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14:paraId="49049C2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5.21</w:t>
            </w:r>
          </w:p>
        </w:tc>
        <w:tc>
          <w:tcPr>
            <w:tcW w:w="1685" w:type="dxa"/>
          </w:tcPr>
          <w:p w14:paraId="50E7605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57676063"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0.72</w:t>
            </w:r>
          </w:p>
        </w:tc>
      </w:tr>
      <w:tr w:rsidR="00DD0F93" w14:paraId="1CB0B519" w14:textId="77777777">
        <w:trPr>
          <w:trHeight w:val="618"/>
          <w:jc w:val="center"/>
        </w:trPr>
        <w:tc>
          <w:tcPr>
            <w:tcW w:w="853" w:type="dxa"/>
          </w:tcPr>
          <w:p w14:paraId="260757E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19</w:t>
            </w:r>
          </w:p>
        </w:tc>
        <w:tc>
          <w:tcPr>
            <w:tcW w:w="1420" w:type="dxa"/>
          </w:tcPr>
          <w:p w14:paraId="02C4F0C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10.29</w:t>
            </w:r>
          </w:p>
        </w:tc>
        <w:tc>
          <w:tcPr>
            <w:tcW w:w="1802" w:type="dxa"/>
          </w:tcPr>
          <w:p w14:paraId="58558EF4"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Butein</w:t>
            </w:r>
            <w:proofErr w:type="spellEnd"/>
          </w:p>
        </w:tc>
        <w:tc>
          <w:tcPr>
            <w:tcW w:w="1493" w:type="dxa"/>
          </w:tcPr>
          <w:p w14:paraId="655A1B3B"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4CD3893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9.38</w:t>
            </w:r>
          </w:p>
        </w:tc>
        <w:tc>
          <w:tcPr>
            <w:tcW w:w="1685" w:type="dxa"/>
          </w:tcPr>
          <w:p w14:paraId="6A42DFB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Phenolic</w:t>
            </w:r>
          </w:p>
        </w:tc>
        <w:tc>
          <w:tcPr>
            <w:tcW w:w="1257" w:type="dxa"/>
          </w:tcPr>
          <w:p w14:paraId="228D2AD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5.83</w:t>
            </w:r>
          </w:p>
        </w:tc>
      </w:tr>
      <w:tr w:rsidR="00DD0F93" w14:paraId="5437BC39" w14:textId="77777777">
        <w:trPr>
          <w:trHeight w:val="618"/>
          <w:jc w:val="center"/>
        </w:trPr>
        <w:tc>
          <w:tcPr>
            <w:tcW w:w="853" w:type="dxa"/>
          </w:tcPr>
          <w:p w14:paraId="42204EC2"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20</w:t>
            </w:r>
          </w:p>
        </w:tc>
        <w:tc>
          <w:tcPr>
            <w:tcW w:w="1420" w:type="dxa"/>
          </w:tcPr>
          <w:p w14:paraId="6C7A37A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10.43</w:t>
            </w:r>
          </w:p>
        </w:tc>
        <w:tc>
          <w:tcPr>
            <w:tcW w:w="1802" w:type="dxa"/>
          </w:tcPr>
          <w:p w14:paraId="27B6C17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Apigenin</w:t>
            </w:r>
          </w:p>
        </w:tc>
        <w:tc>
          <w:tcPr>
            <w:tcW w:w="1493" w:type="dxa"/>
          </w:tcPr>
          <w:p w14:paraId="2928AF00"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18CE526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1.65</w:t>
            </w:r>
          </w:p>
        </w:tc>
        <w:tc>
          <w:tcPr>
            <w:tcW w:w="1685" w:type="dxa"/>
          </w:tcPr>
          <w:p w14:paraId="3E3B936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E93B948"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0.28</w:t>
            </w:r>
          </w:p>
        </w:tc>
      </w:tr>
      <w:tr w:rsidR="00DD0F93" w14:paraId="013C5F3B" w14:textId="77777777">
        <w:trPr>
          <w:trHeight w:val="618"/>
          <w:jc w:val="center"/>
        </w:trPr>
        <w:tc>
          <w:tcPr>
            <w:tcW w:w="853" w:type="dxa"/>
          </w:tcPr>
          <w:p w14:paraId="793CB1F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21</w:t>
            </w:r>
          </w:p>
        </w:tc>
        <w:tc>
          <w:tcPr>
            <w:tcW w:w="1420" w:type="dxa"/>
          </w:tcPr>
          <w:p w14:paraId="28845A1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11.17</w:t>
            </w:r>
          </w:p>
        </w:tc>
        <w:tc>
          <w:tcPr>
            <w:tcW w:w="1802" w:type="dxa"/>
          </w:tcPr>
          <w:p w14:paraId="788062CA"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Naringenin</w:t>
            </w:r>
          </w:p>
        </w:tc>
        <w:tc>
          <w:tcPr>
            <w:tcW w:w="1493" w:type="dxa"/>
          </w:tcPr>
          <w:p w14:paraId="705AE20E"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12</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5</w:t>
            </w:r>
          </w:p>
        </w:tc>
        <w:tc>
          <w:tcPr>
            <w:tcW w:w="1185" w:type="dxa"/>
          </w:tcPr>
          <w:p w14:paraId="699F2AE5"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4.50</w:t>
            </w:r>
          </w:p>
        </w:tc>
        <w:tc>
          <w:tcPr>
            <w:tcW w:w="1685" w:type="dxa"/>
          </w:tcPr>
          <w:p w14:paraId="1A3D7E1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41C0018" w14:textId="77777777" w:rsidR="00DD0F93" w:rsidRDefault="004D0A17">
            <w:pPr>
              <w:spacing w:before="240" w:line="360" w:lineRule="auto"/>
              <w:jc w:val="center"/>
              <w:rPr>
                <w:rStyle w:val="Emphasis"/>
                <w:rFonts w:ascii="Times New Roman" w:hAnsi="Times New Roman"/>
                <w:bCs/>
                <w:i w:val="0"/>
                <w:iCs w:val="0"/>
                <w:color w:val="000000"/>
                <w:sz w:val="24"/>
                <w:szCs w:val="24"/>
                <w:shd w:val="clear" w:color="auto" w:fill="FFFFFF"/>
              </w:rPr>
            </w:pPr>
            <w:r>
              <w:rPr>
                <w:rStyle w:val="Emphasis"/>
                <w:rFonts w:ascii="Times New Roman" w:hAnsi="Times New Roman"/>
                <w:bCs/>
                <w:i w:val="0"/>
                <w:iCs w:val="0"/>
                <w:color w:val="000000"/>
                <w:sz w:val="24"/>
                <w:szCs w:val="24"/>
                <w:shd w:val="clear" w:color="auto" w:fill="FFFFFF"/>
              </w:rPr>
              <w:t>0.68</w:t>
            </w:r>
          </w:p>
        </w:tc>
      </w:tr>
      <w:tr w:rsidR="00DD0F93" w14:paraId="32D6BBFD" w14:textId="77777777">
        <w:trPr>
          <w:trHeight w:val="497"/>
          <w:jc w:val="center"/>
        </w:trPr>
        <w:tc>
          <w:tcPr>
            <w:tcW w:w="853" w:type="dxa"/>
          </w:tcPr>
          <w:p w14:paraId="041E0AF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22</w:t>
            </w:r>
          </w:p>
        </w:tc>
        <w:tc>
          <w:tcPr>
            <w:tcW w:w="1420" w:type="dxa"/>
          </w:tcPr>
          <w:p w14:paraId="0F985A5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11.47</w:t>
            </w:r>
          </w:p>
        </w:tc>
        <w:tc>
          <w:tcPr>
            <w:tcW w:w="1802" w:type="dxa"/>
          </w:tcPr>
          <w:p w14:paraId="62CF679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Myricetin</w:t>
            </w:r>
          </w:p>
        </w:tc>
        <w:tc>
          <w:tcPr>
            <w:tcW w:w="1493" w:type="dxa"/>
          </w:tcPr>
          <w:p w14:paraId="49C55F67"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8</w:t>
            </w:r>
          </w:p>
        </w:tc>
        <w:tc>
          <w:tcPr>
            <w:tcW w:w="1185" w:type="dxa"/>
          </w:tcPr>
          <w:p w14:paraId="33E9DF2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5.26</w:t>
            </w:r>
          </w:p>
        </w:tc>
        <w:tc>
          <w:tcPr>
            <w:tcW w:w="1685" w:type="dxa"/>
          </w:tcPr>
          <w:p w14:paraId="2E22310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70C0E323"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0.77</w:t>
            </w:r>
          </w:p>
        </w:tc>
      </w:tr>
      <w:tr w:rsidR="00DD0F93" w14:paraId="11168807" w14:textId="77777777">
        <w:trPr>
          <w:trHeight w:val="561"/>
          <w:jc w:val="center"/>
        </w:trPr>
        <w:tc>
          <w:tcPr>
            <w:tcW w:w="853" w:type="dxa"/>
          </w:tcPr>
          <w:p w14:paraId="72F69F9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lastRenderedPageBreak/>
              <w:t>23</w:t>
            </w:r>
          </w:p>
        </w:tc>
        <w:tc>
          <w:tcPr>
            <w:tcW w:w="1420" w:type="dxa"/>
          </w:tcPr>
          <w:p w14:paraId="7A54628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11.76</w:t>
            </w:r>
          </w:p>
        </w:tc>
        <w:tc>
          <w:tcPr>
            <w:tcW w:w="1802" w:type="dxa"/>
          </w:tcPr>
          <w:p w14:paraId="1254C1C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Hesperidin</w:t>
            </w:r>
          </w:p>
        </w:tc>
        <w:tc>
          <w:tcPr>
            <w:tcW w:w="1493" w:type="dxa"/>
          </w:tcPr>
          <w:p w14:paraId="589A4542"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28</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34</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15</w:t>
            </w:r>
          </w:p>
        </w:tc>
        <w:tc>
          <w:tcPr>
            <w:tcW w:w="1185" w:type="dxa"/>
          </w:tcPr>
          <w:p w14:paraId="315FD2A3"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2.89</w:t>
            </w:r>
          </w:p>
        </w:tc>
        <w:tc>
          <w:tcPr>
            <w:tcW w:w="1685" w:type="dxa"/>
          </w:tcPr>
          <w:p w14:paraId="44209301"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30B45466"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0.38</w:t>
            </w:r>
          </w:p>
        </w:tc>
      </w:tr>
      <w:tr w:rsidR="00DD0F93" w14:paraId="55361DBD" w14:textId="77777777">
        <w:trPr>
          <w:trHeight w:val="427"/>
          <w:jc w:val="center"/>
        </w:trPr>
        <w:tc>
          <w:tcPr>
            <w:tcW w:w="853" w:type="dxa"/>
          </w:tcPr>
          <w:p w14:paraId="286D262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24</w:t>
            </w:r>
          </w:p>
        </w:tc>
        <w:tc>
          <w:tcPr>
            <w:tcW w:w="1420" w:type="dxa"/>
          </w:tcPr>
          <w:p w14:paraId="7E5D3CB8"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12.31</w:t>
            </w:r>
          </w:p>
        </w:tc>
        <w:tc>
          <w:tcPr>
            <w:tcW w:w="1802" w:type="dxa"/>
          </w:tcPr>
          <w:p w14:paraId="59EF5288"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Daidzin</w:t>
            </w:r>
            <w:proofErr w:type="spellEnd"/>
          </w:p>
        </w:tc>
        <w:tc>
          <w:tcPr>
            <w:tcW w:w="1493" w:type="dxa"/>
          </w:tcPr>
          <w:p w14:paraId="4D3E16A1"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21</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20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9</w:t>
            </w:r>
          </w:p>
        </w:tc>
        <w:tc>
          <w:tcPr>
            <w:tcW w:w="1185" w:type="dxa"/>
          </w:tcPr>
          <w:p w14:paraId="61F6F58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3.36</w:t>
            </w:r>
          </w:p>
        </w:tc>
        <w:tc>
          <w:tcPr>
            <w:tcW w:w="1685" w:type="dxa"/>
          </w:tcPr>
          <w:p w14:paraId="5A3724F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10923CE0"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0.48</w:t>
            </w:r>
          </w:p>
        </w:tc>
      </w:tr>
      <w:tr w:rsidR="00DD0F93" w14:paraId="4377B2C1" w14:textId="77777777">
        <w:trPr>
          <w:trHeight w:val="367"/>
          <w:jc w:val="center"/>
        </w:trPr>
        <w:tc>
          <w:tcPr>
            <w:tcW w:w="853" w:type="dxa"/>
          </w:tcPr>
          <w:p w14:paraId="181FB6A0"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25</w:t>
            </w:r>
          </w:p>
        </w:tc>
        <w:tc>
          <w:tcPr>
            <w:tcW w:w="1420" w:type="dxa"/>
          </w:tcPr>
          <w:p w14:paraId="13ADDF3C"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12.56</w:t>
            </w:r>
          </w:p>
        </w:tc>
        <w:tc>
          <w:tcPr>
            <w:tcW w:w="1802" w:type="dxa"/>
          </w:tcPr>
          <w:p w14:paraId="1059C2BD"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Isorhamnetin</w:t>
            </w:r>
          </w:p>
        </w:tc>
        <w:tc>
          <w:tcPr>
            <w:tcW w:w="1493" w:type="dxa"/>
          </w:tcPr>
          <w:p w14:paraId="5E907A24"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6</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7</w:t>
            </w:r>
          </w:p>
        </w:tc>
        <w:tc>
          <w:tcPr>
            <w:tcW w:w="1185" w:type="dxa"/>
          </w:tcPr>
          <w:p w14:paraId="67AA9AB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2.44</w:t>
            </w:r>
          </w:p>
        </w:tc>
        <w:tc>
          <w:tcPr>
            <w:tcW w:w="1685" w:type="dxa"/>
          </w:tcPr>
          <w:p w14:paraId="16FEE81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4C1B0410" w14:textId="77777777" w:rsidR="00DD0F93" w:rsidRDefault="004D0A17">
            <w:pPr>
              <w:spacing w:before="240" w:line="360" w:lineRule="auto"/>
              <w:jc w:val="center"/>
              <w:rPr>
                <w:rFonts w:ascii="Times New Roman" w:hAnsi="Times New Roman"/>
                <w:noProof/>
                <w:sz w:val="24"/>
                <w:szCs w:val="24"/>
                <w:lang w:eastAsia="en-US"/>
              </w:rPr>
            </w:pPr>
            <w:r>
              <w:rPr>
                <w:rFonts w:ascii="Times New Roman" w:hAnsi="Times New Roman"/>
                <w:color w:val="000000"/>
                <w:sz w:val="24"/>
                <w:szCs w:val="24"/>
              </w:rPr>
              <w:t>0.39</w:t>
            </w:r>
          </w:p>
        </w:tc>
      </w:tr>
      <w:tr w:rsidR="00DD0F93" w14:paraId="572E9CF8" w14:textId="77777777">
        <w:trPr>
          <w:trHeight w:val="367"/>
          <w:jc w:val="center"/>
        </w:trPr>
        <w:tc>
          <w:tcPr>
            <w:tcW w:w="853" w:type="dxa"/>
          </w:tcPr>
          <w:p w14:paraId="621160E4"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26</w:t>
            </w:r>
          </w:p>
        </w:tc>
        <w:tc>
          <w:tcPr>
            <w:tcW w:w="1420" w:type="dxa"/>
          </w:tcPr>
          <w:p w14:paraId="4FBEEF4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13.01</w:t>
            </w:r>
          </w:p>
        </w:tc>
        <w:tc>
          <w:tcPr>
            <w:tcW w:w="1802" w:type="dxa"/>
          </w:tcPr>
          <w:p w14:paraId="6AEF736D" w14:textId="77777777" w:rsidR="00DD0F93" w:rsidRDefault="004D0A17">
            <w:pPr>
              <w:spacing w:before="240" w:line="360" w:lineRule="auto"/>
              <w:jc w:val="center"/>
              <w:rPr>
                <w:rFonts w:ascii="Times New Roman" w:hAnsi="Times New Roman"/>
                <w:sz w:val="24"/>
                <w:szCs w:val="24"/>
              </w:rPr>
            </w:pPr>
            <w:proofErr w:type="spellStart"/>
            <w:r>
              <w:rPr>
                <w:rFonts w:ascii="Times New Roman" w:hAnsi="Times New Roman"/>
                <w:sz w:val="24"/>
                <w:szCs w:val="24"/>
              </w:rPr>
              <w:t>Maricetin</w:t>
            </w:r>
            <w:proofErr w:type="spellEnd"/>
          </w:p>
        </w:tc>
        <w:tc>
          <w:tcPr>
            <w:tcW w:w="1493" w:type="dxa"/>
          </w:tcPr>
          <w:p w14:paraId="7F2C129B"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vertAlign w:val="subscript"/>
              </w:rPr>
              <w:t>15</w:t>
            </w:r>
            <w:r>
              <w:rPr>
                <w:rFonts w:ascii="Times New Roman" w:hAnsi="Times New Roman"/>
                <w:color w:val="000000"/>
                <w:sz w:val="24"/>
                <w:szCs w:val="24"/>
              </w:rPr>
              <w:t>H</w:t>
            </w:r>
            <w:r>
              <w:rPr>
                <w:rFonts w:ascii="Times New Roman" w:hAnsi="Times New Roman"/>
                <w:color w:val="000000"/>
                <w:sz w:val="24"/>
                <w:szCs w:val="24"/>
                <w:vertAlign w:val="subscript"/>
              </w:rPr>
              <w:t>12</w:t>
            </w:r>
            <w:r>
              <w:rPr>
                <w:rFonts w:ascii="Times New Roman" w:hAnsi="Times New Roman"/>
                <w:color w:val="000000"/>
                <w:sz w:val="24"/>
                <w:szCs w:val="24"/>
              </w:rPr>
              <w:t>O</w:t>
            </w:r>
            <w:r>
              <w:rPr>
                <w:rFonts w:ascii="Times New Roman" w:hAnsi="Times New Roman"/>
                <w:color w:val="000000"/>
                <w:sz w:val="24"/>
                <w:szCs w:val="24"/>
                <w:vertAlign w:val="subscript"/>
              </w:rPr>
              <w:t>5</w:t>
            </w:r>
          </w:p>
        </w:tc>
        <w:tc>
          <w:tcPr>
            <w:tcW w:w="1185" w:type="dxa"/>
          </w:tcPr>
          <w:p w14:paraId="58D2C7CE"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1.87</w:t>
            </w:r>
          </w:p>
        </w:tc>
        <w:tc>
          <w:tcPr>
            <w:tcW w:w="1685" w:type="dxa"/>
          </w:tcPr>
          <w:p w14:paraId="294821A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 xml:space="preserve">polyphenolic </w:t>
            </w:r>
          </w:p>
        </w:tc>
        <w:tc>
          <w:tcPr>
            <w:tcW w:w="1257" w:type="dxa"/>
          </w:tcPr>
          <w:p w14:paraId="4F3FA1CA" w14:textId="77777777" w:rsidR="00DD0F93" w:rsidRDefault="004D0A17">
            <w:pPr>
              <w:spacing w:before="240" w:line="360" w:lineRule="auto"/>
              <w:jc w:val="center"/>
              <w:rPr>
                <w:rFonts w:ascii="Times New Roman" w:hAnsi="Times New Roman"/>
                <w:color w:val="000000"/>
                <w:sz w:val="24"/>
                <w:szCs w:val="24"/>
              </w:rPr>
            </w:pPr>
            <w:r>
              <w:rPr>
                <w:rFonts w:ascii="Times New Roman" w:hAnsi="Times New Roman"/>
                <w:color w:val="000000"/>
                <w:sz w:val="24"/>
                <w:szCs w:val="24"/>
              </w:rPr>
              <w:t>0.25</w:t>
            </w:r>
          </w:p>
        </w:tc>
      </w:tr>
      <w:tr w:rsidR="00DD0F93" w14:paraId="409D1666" w14:textId="77777777">
        <w:trPr>
          <w:trHeight w:val="598"/>
          <w:jc w:val="center"/>
        </w:trPr>
        <w:tc>
          <w:tcPr>
            <w:tcW w:w="853" w:type="dxa"/>
          </w:tcPr>
          <w:p w14:paraId="3248C716"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27</w:t>
            </w:r>
          </w:p>
        </w:tc>
        <w:tc>
          <w:tcPr>
            <w:tcW w:w="1420" w:type="dxa"/>
          </w:tcPr>
          <w:p w14:paraId="2D0A6D89"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14.10</w:t>
            </w:r>
          </w:p>
        </w:tc>
        <w:tc>
          <w:tcPr>
            <w:tcW w:w="1802" w:type="dxa"/>
          </w:tcPr>
          <w:p w14:paraId="0418F2BF"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Daidzein</w:t>
            </w:r>
          </w:p>
        </w:tc>
        <w:tc>
          <w:tcPr>
            <w:tcW w:w="1493" w:type="dxa"/>
          </w:tcPr>
          <w:p w14:paraId="4C2531EC" w14:textId="77777777" w:rsidR="00DD0F93" w:rsidRDefault="004D0A17">
            <w:pPr>
              <w:spacing w:before="240" w:line="360" w:lineRule="auto"/>
              <w:jc w:val="center"/>
              <w:rPr>
                <w:rFonts w:ascii="Times New Roman" w:hAnsi="Times New Roman"/>
                <w:color w:val="000000"/>
                <w:sz w:val="24"/>
                <w:szCs w:val="24"/>
              </w:rPr>
            </w:pPr>
            <w:r>
              <w:rPr>
                <w:rStyle w:val="Emphasis"/>
                <w:rFonts w:ascii="Times New Roman" w:hAnsi="Times New Roman"/>
                <w:bCs/>
                <w:i w:val="0"/>
                <w:iCs w:val="0"/>
                <w:color w:val="000000"/>
                <w:sz w:val="24"/>
                <w:szCs w:val="24"/>
                <w:shd w:val="clear" w:color="auto" w:fill="FFFFFF"/>
              </w:rPr>
              <w:t>C</w:t>
            </w:r>
            <w:r>
              <w:rPr>
                <w:rStyle w:val="Emphasis"/>
                <w:rFonts w:ascii="Times New Roman" w:hAnsi="Times New Roman"/>
                <w:bCs/>
                <w:i w:val="0"/>
                <w:iCs w:val="0"/>
                <w:color w:val="000000"/>
                <w:sz w:val="24"/>
                <w:szCs w:val="24"/>
                <w:shd w:val="clear" w:color="auto" w:fill="FFFFFF"/>
                <w:vertAlign w:val="subscript"/>
              </w:rPr>
              <w:t>15</w:t>
            </w:r>
            <w:r>
              <w:rPr>
                <w:rStyle w:val="Emphasis"/>
                <w:rFonts w:ascii="Times New Roman" w:hAnsi="Times New Roman"/>
                <w:bCs/>
                <w:i w:val="0"/>
                <w:iCs w:val="0"/>
                <w:color w:val="000000"/>
                <w:sz w:val="24"/>
                <w:szCs w:val="24"/>
                <w:shd w:val="clear" w:color="auto" w:fill="FFFFFF"/>
              </w:rPr>
              <w:t>H</w:t>
            </w:r>
            <w:r>
              <w:rPr>
                <w:rStyle w:val="Emphasis"/>
                <w:rFonts w:ascii="Times New Roman" w:hAnsi="Times New Roman"/>
                <w:bCs/>
                <w:i w:val="0"/>
                <w:iCs w:val="0"/>
                <w:color w:val="000000"/>
                <w:sz w:val="24"/>
                <w:szCs w:val="24"/>
                <w:shd w:val="clear" w:color="auto" w:fill="FFFFFF"/>
                <w:vertAlign w:val="subscript"/>
              </w:rPr>
              <w:t>10</w:t>
            </w:r>
            <w:r>
              <w:rPr>
                <w:rStyle w:val="Emphasis"/>
                <w:rFonts w:ascii="Times New Roman" w:hAnsi="Times New Roman"/>
                <w:bCs/>
                <w:i w:val="0"/>
                <w:iCs w:val="0"/>
                <w:color w:val="000000"/>
                <w:sz w:val="24"/>
                <w:szCs w:val="24"/>
                <w:shd w:val="clear" w:color="auto" w:fill="FFFFFF"/>
              </w:rPr>
              <w:t>O</w:t>
            </w:r>
            <w:r>
              <w:rPr>
                <w:rStyle w:val="Emphasis"/>
                <w:rFonts w:ascii="Times New Roman" w:hAnsi="Times New Roman"/>
                <w:bCs/>
                <w:i w:val="0"/>
                <w:iCs w:val="0"/>
                <w:color w:val="000000"/>
                <w:sz w:val="24"/>
                <w:szCs w:val="24"/>
                <w:shd w:val="clear" w:color="auto" w:fill="FFFFFF"/>
                <w:vertAlign w:val="subscript"/>
              </w:rPr>
              <w:t>4</w:t>
            </w:r>
          </w:p>
        </w:tc>
        <w:tc>
          <w:tcPr>
            <w:tcW w:w="1185" w:type="dxa"/>
          </w:tcPr>
          <w:p w14:paraId="49F90ED7"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27.88</w:t>
            </w:r>
          </w:p>
        </w:tc>
        <w:tc>
          <w:tcPr>
            <w:tcW w:w="1685" w:type="dxa"/>
          </w:tcPr>
          <w:p w14:paraId="72BB1B5B" w14:textId="77777777" w:rsidR="00DD0F93" w:rsidRDefault="004D0A17">
            <w:pPr>
              <w:spacing w:before="240" w:line="360" w:lineRule="auto"/>
              <w:jc w:val="center"/>
              <w:rPr>
                <w:rFonts w:ascii="Times New Roman" w:hAnsi="Times New Roman"/>
                <w:sz w:val="24"/>
                <w:szCs w:val="24"/>
              </w:rPr>
            </w:pPr>
            <w:r>
              <w:rPr>
                <w:rFonts w:ascii="Times New Roman" w:hAnsi="Times New Roman"/>
                <w:sz w:val="24"/>
                <w:szCs w:val="24"/>
              </w:rPr>
              <w:t>Flavonoid</w:t>
            </w:r>
          </w:p>
        </w:tc>
        <w:tc>
          <w:tcPr>
            <w:tcW w:w="1257" w:type="dxa"/>
          </w:tcPr>
          <w:p w14:paraId="0F155651" w14:textId="77777777" w:rsidR="00DD0F93" w:rsidRDefault="004D0A17">
            <w:pPr>
              <w:spacing w:before="240" w:line="360" w:lineRule="auto"/>
              <w:jc w:val="center"/>
              <w:rPr>
                <w:rFonts w:ascii="Times New Roman" w:hAnsi="Times New Roman"/>
                <w:noProof/>
                <w:sz w:val="24"/>
                <w:szCs w:val="24"/>
                <w:lang w:eastAsia="en-US"/>
              </w:rPr>
            </w:pPr>
            <w:r>
              <w:rPr>
                <w:rStyle w:val="Emphasis"/>
                <w:rFonts w:ascii="Times New Roman" w:hAnsi="Times New Roman"/>
                <w:bCs/>
                <w:i w:val="0"/>
                <w:iCs w:val="0"/>
                <w:color w:val="000000"/>
                <w:sz w:val="24"/>
                <w:szCs w:val="24"/>
                <w:shd w:val="clear" w:color="auto" w:fill="FFFFFF"/>
              </w:rPr>
              <w:t>6.17</w:t>
            </w:r>
          </w:p>
        </w:tc>
      </w:tr>
    </w:tbl>
    <w:p w14:paraId="65713100" w14:textId="77777777" w:rsidR="00DD0F93" w:rsidRDefault="00DD0F93">
      <w:pPr>
        <w:spacing w:before="240" w:line="360" w:lineRule="auto"/>
        <w:jc w:val="both"/>
        <w:rPr>
          <w:rFonts w:ascii="Times New Roman" w:hAnsi="Times New Roman"/>
          <w:sz w:val="24"/>
          <w:szCs w:val="24"/>
        </w:rPr>
      </w:pPr>
    </w:p>
    <w:p w14:paraId="4271C70F"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Table 2 shows the bioactive compounds present in the leave extract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 </w:t>
      </w:r>
      <w:r>
        <w:rPr>
          <w:rFonts w:ascii="Times New Roman" w:hAnsi="Times New Roman"/>
          <w:sz w:val="24"/>
          <w:szCs w:val="24"/>
        </w:rPr>
        <w:t xml:space="preserve">Among all the bioactive compounds present, </w:t>
      </w:r>
      <w:proofErr w:type="spellStart"/>
      <w:r>
        <w:rPr>
          <w:rFonts w:ascii="Times New Roman" w:hAnsi="Times New Roman"/>
          <w:sz w:val="24"/>
          <w:szCs w:val="24"/>
        </w:rPr>
        <w:t>Kaemferol</w:t>
      </w:r>
      <w:proofErr w:type="spellEnd"/>
      <w:r>
        <w:rPr>
          <w:rFonts w:ascii="Times New Roman" w:hAnsi="Times New Roman"/>
          <w:sz w:val="24"/>
          <w:szCs w:val="24"/>
        </w:rPr>
        <w:t xml:space="preserve">, Vanillic and Catechin are the most abundant. </w:t>
      </w:r>
      <w:proofErr w:type="spellStart"/>
      <w:r>
        <w:rPr>
          <w:rFonts w:ascii="Times New Roman" w:hAnsi="Times New Roman"/>
          <w:sz w:val="24"/>
          <w:szCs w:val="24"/>
        </w:rPr>
        <w:t>Kaemferol</w:t>
      </w:r>
      <w:proofErr w:type="spellEnd"/>
      <w:r>
        <w:rPr>
          <w:rFonts w:ascii="Times New Roman" w:hAnsi="Times New Roman"/>
          <w:sz w:val="24"/>
          <w:szCs w:val="24"/>
        </w:rPr>
        <w:t xml:space="preserve"> has the highest amount of </w:t>
      </w:r>
      <w:r>
        <w:rPr>
          <w:rStyle w:val="Emphasis"/>
          <w:rFonts w:ascii="Times New Roman" w:hAnsi="Times New Roman"/>
          <w:bCs/>
          <w:i w:val="0"/>
          <w:iCs w:val="0"/>
          <w:color w:val="000000"/>
          <w:sz w:val="24"/>
          <w:szCs w:val="24"/>
          <w:shd w:val="clear" w:color="auto" w:fill="FFFFFF"/>
        </w:rPr>
        <w:t xml:space="preserve">26.15ppm, followed by </w:t>
      </w:r>
      <w:r>
        <w:rPr>
          <w:rFonts w:ascii="Times New Roman" w:hAnsi="Times New Roman"/>
          <w:sz w:val="24"/>
          <w:szCs w:val="24"/>
        </w:rPr>
        <w:t xml:space="preserve">Vanillic with the amount of 19.68ppm and Catechin which is 18.33ppm. This indicates that the leave extract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 </w:t>
      </w:r>
      <w:r>
        <w:rPr>
          <w:rFonts w:ascii="Times New Roman" w:hAnsi="Times New Roman"/>
          <w:sz w:val="24"/>
          <w:szCs w:val="24"/>
        </w:rPr>
        <w:t>by GC-</w:t>
      </w:r>
      <w:proofErr w:type="gramStart"/>
      <w:r>
        <w:rPr>
          <w:rFonts w:ascii="Times New Roman" w:hAnsi="Times New Roman"/>
          <w:sz w:val="24"/>
          <w:szCs w:val="24"/>
        </w:rPr>
        <w:t>FID  analysis</w:t>
      </w:r>
      <w:proofErr w:type="gramEnd"/>
      <w:r>
        <w:rPr>
          <w:rFonts w:ascii="Times New Roman" w:hAnsi="Times New Roman"/>
          <w:sz w:val="24"/>
          <w:szCs w:val="24"/>
        </w:rPr>
        <w:t xml:space="preserve"> contains Flavonoid and Phenolic acid in substantial amount. Flavonoids which are naturally occurring compounds in plants, have diverse therapeutic uses, including antioxidants, anti-inflammatory </w:t>
      </w:r>
      <w:proofErr w:type="spellStart"/>
      <w:proofErr w:type="gramStart"/>
      <w:r>
        <w:rPr>
          <w:rFonts w:ascii="Times New Roman" w:hAnsi="Times New Roman"/>
          <w:sz w:val="24"/>
          <w:szCs w:val="24"/>
        </w:rPr>
        <w:t>agents,anticancer</w:t>
      </w:r>
      <w:proofErr w:type="spellEnd"/>
      <w:proofErr w:type="gramEnd"/>
      <w:r>
        <w:rPr>
          <w:rFonts w:ascii="Times New Roman" w:hAnsi="Times New Roman"/>
          <w:sz w:val="24"/>
          <w:szCs w:val="24"/>
        </w:rPr>
        <w:t xml:space="preserve"> and antiviral activities, making them potential treatments for various diseases (</w:t>
      </w:r>
      <w:proofErr w:type="spellStart"/>
      <w:r>
        <w:rPr>
          <w:rFonts w:ascii="Times New Roman" w:hAnsi="Times New Roman"/>
          <w:sz w:val="24"/>
          <w:szCs w:val="24"/>
        </w:rPr>
        <w:t>Shen</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xml:space="preserve">, 2022; </w:t>
      </w:r>
      <w:proofErr w:type="spellStart"/>
      <w:r>
        <w:rPr>
          <w:rFonts w:ascii="Times New Roman" w:hAnsi="Times New Roman"/>
          <w:sz w:val="24"/>
          <w:szCs w:val="24"/>
        </w:rPr>
        <w:t>Otukwude</w:t>
      </w:r>
      <w:r>
        <w:rPr>
          <w:rFonts w:ascii="Times New Roman" w:hAnsi="Times New Roman"/>
          <w:i/>
          <w:iCs/>
          <w:sz w:val="24"/>
          <w:szCs w:val="24"/>
        </w:rPr>
        <w:t>et</w:t>
      </w:r>
      <w:proofErr w:type="spellEnd"/>
      <w:r>
        <w:rPr>
          <w:rFonts w:ascii="Times New Roman" w:hAnsi="Times New Roman"/>
          <w:i/>
          <w:iCs/>
          <w:sz w:val="24"/>
          <w:szCs w:val="24"/>
        </w:rPr>
        <w:t xml:space="preserve"> </w:t>
      </w:r>
      <w:proofErr w:type="gramStart"/>
      <w:r>
        <w:rPr>
          <w:rFonts w:ascii="Times New Roman" w:hAnsi="Times New Roman"/>
          <w:i/>
          <w:iCs/>
          <w:sz w:val="24"/>
          <w:szCs w:val="24"/>
        </w:rPr>
        <w:t>al</w:t>
      </w:r>
      <w:r>
        <w:rPr>
          <w:rFonts w:ascii="Times New Roman" w:hAnsi="Times New Roman"/>
          <w:sz w:val="24"/>
          <w:szCs w:val="24"/>
        </w:rPr>
        <w:t xml:space="preserve"> ,</w:t>
      </w:r>
      <w:proofErr w:type="gramEnd"/>
      <w:r>
        <w:rPr>
          <w:rFonts w:ascii="Times New Roman" w:hAnsi="Times New Roman"/>
          <w:sz w:val="24"/>
          <w:szCs w:val="24"/>
        </w:rPr>
        <w:t xml:space="preserve"> 2025). </w:t>
      </w:r>
    </w:p>
    <w:tbl>
      <w:tblPr>
        <w:tblStyle w:val="TableGrid"/>
        <w:tblW w:w="80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736"/>
        <w:gridCol w:w="2856"/>
      </w:tblGrid>
      <w:tr w:rsidR="00DD0F93" w14:paraId="4E93AB0D" w14:textId="77777777">
        <w:trPr>
          <w:trHeight w:val="1765"/>
          <w:jc w:val="center"/>
        </w:trPr>
        <w:tc>
          <w:tcPr>
            <w:tcW w:w="0" w:type="auto"/>
          </w:tcPr>
          <w:p w14:paraId="21EE602B"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390A1F72" wp14:editId="54652238">
                  <wp:extent cx="1711625" cy="646981"/>
                  <wp:effectExtent l="19050" t="0" r="2875" b="0"/>
                  <wp:docPr id="1028" name="Picture 5"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9" cstate="print"/>
                          <a:srcRect/>
                          <a:stretch/>
                        </pic:blipFill>
                        <pic:spPr>
                          <a:xfrm>
                            <a:off x="0" y="0"/>
                            <a:ext cx="1711625" cy="646981"/>
                          </a:xfrm>
                          <a:prstGeom prst="rect">
                            <a:avLst/>
                          </a:prstGeom>
                        </pic:spPr>
                      </pic:pic>
                    </a:graphicData>
                  </a:graphic>
                </wp:inline>
              </w:drawing>
            </w:r>
          </w:p>
          <w:p w14:paraId="50EC23AB" w14:textId="77777777" w:rsidR="00DD0F93" w:rsidRDefault="004D0A17">
            <w:pPr>
              <w:spacing w:line="360" w:lineRule="auto"/>
              <w:jc w:val="both"/>
              <w:rPr>
                <w:rFonts w:ascii="Times New Roman" w:hAnsi="Times New Roman"/>
                <w:sz w:val="24"/>
                <w:szCs w:val="24"/>
              </w:rPr>
            </w:pPr>
            <w:proofErr w:type="spellStart"/>
            <w:r>
              <w:rPr>
                <w:rFonts w:ascii="Times New Roman" w:hAnsi="Times New Roman"/>
                <w:sz w:val="24"/>
                <w:szCs w:val="24"/>
              </w:rPr>
              <w:t>Kaemferol</w:t>
            </w:r>
            <w:proofErr w:type="spellEnd"/>
          </w:p>
        </w:tc>
        <w:tc>
          <w:tcPr>
            <w:tcW w:w="0" w:type="auto"/>
          </w:tcPr>
          <w:p w14:paraId="0E212CFE"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6DE94F6" wp14:editId="64057A4E">
                  <wp:extent cx="1580581" cy="690113"/>
                  <wp:effectExtent l="19050" t="0" r="569" b="0"/>
                  <wp:docPr id="1029" name="Picture 6" descr="images (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20" cstate="print"/>
                          <a:srcRect/>
                          <a:stretch/>
                        </pic:blipFill>
                        <pic:spPr>
                          <a:xfrm>
                            <a:off x="0" y="0"/>
                            <a:ext cx="1580581" cy="690113"/>
                          </a:xfrm>
                          <a:prstGeom prst="rect">
                            <a:avLst/>
                          </a:prstGeom>
                        </pic:spPr>
                      </pic:pic>
                    </a:graphicData>
                  </a:graphic>
                </wp:inline>
              </w:drawing>
            </w:r>
          </w:p>
          <w:p w14:paraId="29C7C5E5"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Catechin</w:t>
            </w:r>
          </w:p>
        </w:tc>
        <w:tc>
          <w:tcPr>
            <w:tcW w:w="0" w:type="auto"/>
          </w:tcPr>
          <w:p w14:paraId="6FFFAFD1"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131F37A" wp14:editId="345673CD">
                  <wp:extent cx="1650665" cy="897146"/>
                  <wp:effectExtent l="19050" t="0" r="6685" b="0"/>
                  <wp:docPr id="1030" name="Picture 7" descr="images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21" cstate="print"/>
                          <a:srcRect/>
                          <a:stretch/>
                        </pic:blipFill>
                        <pic:spPr>
                          <a:xfrm>
                            <a:off x="0" y="0"/>
                            <a:ext cx="1650665" cy="897146"/>
                          </a:xfrm>
                          <a:prstGeom prst="rect">
                            <a:avLst/>
                          </a:prstGeom>
                        </pic:spPr>
                      </pic:pic>
                    </a:graphicData>
                  </a:graphic>
                </wp:inline>
              </w:drawing>
            </w:r>
          </w:p>
          <w:p w14:paraId="3F08C5A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Quercetin</w:t>
            </w:r>
          </w:p>
        </w:tc>
      </w:tr>
      <w:tr w:rsidR="00DD0F93" w14:paraId="0E166004" w14:textId="77777777">
        <w:trPr>
          <w:trHeight w:val="1808"/>
          <w:jc w:val="center"/>
        </w:trPr>
        <w:tc>
          <w:tcPr>
            <w:tcW w:w="0" w:type="auto"/>
          </w:tcPr>
          <w:p w14:paraId="1215F694"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73A54933" wp14:editId="26F61F8B">
                  <wp:extent cx="1544830" cy="802257"/>
                  <wp:effectExtent l="19050" t="0" r="0" b="0"/>
                  <wp:docPr id="1031" name="Picture 8"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8"/>
                          <pic:cNvPicPr/>
                        </pic:nvPicPr>
                        <pic:blipFill>
                          <a:blip r:embed="rId22" cstate="print"/>
                          <a:srcRect t="12671" b="18128"/>
                          <a:stretch/>
                        </pic:blipFill>
                        <pic:spPr>
                          <a:xfrm>
                            <a:off x="0" y="0"/>
                            <a:ext cx="1544830" cy="802257"/>
                          </a:xfrm>
                          <a:prstGeom prst="rect">
                            <a:avLst/>
                          </a:prstGeom>
                        </pic:spPr>
                      </pic:pic>
                    </a:graphicData>
                  </a:graphic>
                </wp:inline>
              </w:drawing>
            </w:r>
          </w:p>
          <w:p w14:paraId="6FA151F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Genistein</w:t>
            </w:r>
          </w:p>
        </w:tc>
        <w:tc>
          <w:tcPr>
            <w:tcW w:w="0" w:type="auto"/>
          </w:tcPr>
          <w:p w14:paraId="1AD29EDE"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B24CE45" wp14:editId="5E09FE70">
                  <wp:extent cx="1580246" cy="802257"/>
                  <wp:effectExtent l="19050" t="0" r="903" b="0"/>
                  <wp:docPr id="1032" name="Picture 9" descr="images (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23" cstate="print"/>
                          <a:srcRect l="15300" t="7595" r="15489"/>
                          <a:stretch/>
                        </pic:blipFill>
                        <pic:spPr>
                          <a:xfrm>
                            <a:off x="0" y="0"/>
                            <a:ext cx="1580246" cy="802257"/>
                          </a:xfrm>
                          <a:prstGeom prst="rect">
                            <a:avLst/>
                          </a:prstGeom>
                        </pic:spPr>
                      </pic:pic>
                    </a:graphicData>
                  </a:graphic>
                </wp:inline>
              </w:drawing>
            </w:r>
          </w:p>
          <w:p w14:paraId="1D256339"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Luteolin</w:t>
            </w:r>
          </w:p>
        </w:tc>
        <w:tc>
          <w:tcPr>
            <w:tcW w:w="0" w:type="auto"/>
          </w:tcPr>
          <w:p w14:paraId="3E5C3A81"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4072F291" wp14:editId="14D08363">
                  <wp:extent cx="1076505" cy="581037"/>
                  <wp:effectExtent l="19050" t="0" r="9345" b="0"/>
                  <wp:docPr id="1033" name="Picture 10" descr="images (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a:blip r:embed="rId24" cstate="print"/>
                          <a:srcRect/>
                          <a:stretch/>
                        </pic:blipFill>
                        <pic:spPr>
                          <a:xfrm>
                            <a:off x="0" y="0"/>
                            <a:ext cx="1076505" cy="581037"/>
                          </a:xfrm>
                          <a:prstGeom prst="rect">
                            <a:avLst/>
                          </a:prstGeom>
                        </pic:spPr>
                      </pic:pic>
                    </a:graphicData>
                  </a:graphic>
                </wp:inline>
              </w:drawing>
            </w:r>
          </w:p>
          <w:p w14:paraId="733D3490"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Ferulic Acid</w:t>
            </w:r>
          </w:p>
        </w:tc>
      </w:tr>
      <w:tr w:rsidR="00DD0F93" w14:paraId="75F2EA60" w14:textId="77777777">
        <w:trPr>
          <w:trHeight w:val="2263"/>
          <w:jc w:val="center"/>
        </w:trPr>
        <w:tc>
          <w:tcPr>
            <w:tcW w:w="0" w:type="auto"/>
          </w:tcPr>
          <w:p w14:paraId="0B6E3BEB" w14:textId="77777777" w:rsidR="00DD0F93" w:rsidRDefault="004D0A17">
            <w:pPr>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1E4D3739" wp14:editId="134C3969">
                  <wp:extent cx="1502845" cy="931653"/>
                  <wp:effectExtent l="19050" t="0" r="2105" b="0"/>
                  <wp:docPr id="1034" name="Picture 24" descr="images (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4"/>
                          <pic:cNvPicPr/>
                        </pic:nvPicPr>
                        <pic:blipFill>
                          <a:blip r:embed="rId25" cstate="print"/>
                          <a:srcRect t="8222" b="8648"/>
                          <a:stretch/>
                        </pic:blipFill>
                        <pic:spPr>
                          <a:xfrm>
                            <a:off x="0" y="0"/>
                            <a:ext cx="1502845" cy="931653"/>
                          </a:xfrm>
                          <a:prstGeom prst="rect">
                            <a:avLst/>
                          </a:prstGeom>
                        </pic:spPr>
                      </pic:pic>
                    </a:graphicData>
                  </a:graphic>
                </wp:inline>
              </w:drawing>
            </w:r>
          </w:p>
          <w:p w14:paraId="1EFD5E45"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Daidzein</w:t>
            </w:r>
          </w:p>
        </w:tc>
        <w:tc>
          <w:tcPr>
            <w:tcW w:w="0" w:type="auto"/>
          </w:tcPr>
          <w:p w14:paraId="791643DF"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6E43315B" wp14:editId="22C96373">
                  <wp:extent cx="1285732" cy="681487"/>
                  <wp:effectExtent l="19050" t="0" r="0" b="0"/>
                  <wp:docPr id="1035" name="Picture 17" descr="images (1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7"/>
                          <pic:cNvPicPr/>
                        </pic:nvPicPr>
                        <pic:blipFill>
                          <a:blip r:embed="rId26" cstate="print"/>
                          <a:srcRect/>
                          <a:stretch/>
                        </pic:blipFill>
                        <pic:spPr>
                          <a:xfrm>
                            <a:off x="0" y="0"/>
                            <a:ext cx="1285732" cy="681487"/>
                          </a:xfrm>
                          <a:prstGeom prst="rect">
                            <a:avLst/>
                          </a:prstGeom>
                        </pic:spPr>
                      </pic:pic>
                    </a:graphicData>
                  </a:graphic>
                </wp:inline>
              </w:drawing>
            </w:r>
          </w:p>
          <w:p w14:paraId="6636B4CD" w14:textId="77777777" w:rsidR="00DD0F93" w:rsidRDefault="004D0A17">
            <w:pPr>
              <w:spacing w:line="360" w:lineRule="auto"/>
              <w:jc w:val="both"/>
              <w:rPr>
                <w:rFonts w:ascii="Times New Roman" w:hAnsi="Times New Roman"/>
                <w:sz w:val="24"/>
                <w:szCs w:val="24"/>
              </w:rPr>
            </w:pPr>
            <w:r>
              <w:rPr>
                <w:rFonts w:ascii="Times New Roman" w:hAnsi="Times New Roman"/>
                <w:sz w:val="24"/>
                <w:szCs w:val="24"/>
              </w:rPr>
              <w:t>Vanillic</w:t>
            </w:r>
          </w:p>
        </w:tc>
        <w:tc>
          <w:tcPr>
            <w:tcW w:w="0" w:type="auto"/>
          </w:tcPr>
          <w:p w14:paraId="5BC300CD" w14:textId="77777777" w:rsidR="00DD0F93" w:rsidRDefault="004D0A17">
            <w:pPr>
              <w:spacing w:before="240"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22F90221" wp14:editId="45D36D2D">
                  <wp:extent cx="1466490" cy="776377"/>
                  <wp:effectExtent l="19050" t="0" r="360" b="0"/>
                  <wp:docPr id="1036" name="Picture 14" descr="20250409_20523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4"/>
                          <pic:cNvPicPr/>
                        </pic:nvPicPr>
                        <pic:blipFill>
                          <a:blip r:embed="rId27" cstate="print"/>
                          <a:srcRect l="470" t="7317"/>
                          <a:stretch/>
                        </pic:blipFill>
                        <pic:spPr>
                          <a:xfrm>
                            <a:off x="0" y="0"/>
                            <a:ext cx="1466490" cy="776377"/>
                          </a:xfrm>
                          <a:prstGeom prst="rect">
                            <a:avLst/>
                          </a:prstGeom>
                        </pic:spPr>
                      </pic:pic>
                    </a:graphicData>
                  </a:graphic>
                </wp:inline>
              </w:drawing>
            </w:r>
          </w:p>
          <w:p w14:paraId="63029AA0" w14:textId="77777777" w:rsidR="00DD0F93" w:rsidRDefault="004D0A17">
            <w:pPr>
              <w:spacing w:before="240" w:line="360" w:lineRule="auto"/>
              <w:jc w:val="both"/>
              <w:rPr>
                <w:rFonts w:ascii="Times New Roman" w:hAnsi="Times New Roman"/>
                <w:sz w:val="24"/>
                <w:szCs w:val="24"/>
              </w:rPr>
            </w:pPr>
            <w:proofErr w:type="spellStart"/>
            <w:r>
              <w:rPr>
                <w:rFonts w:ascii="Times New Roman" w:hAnsi="Times New Roman"/>
                <w:sz w:val="24"/>
                <w:szCs w:val="24"/>
              </w:rPr>
              <w:t>Lunamarin</w:t>
            </w:r>
            <w:proofErr w:type="spellEnd"/>
          </w:p>
        </w:tc>
      </w:tr>
    </w:tbl>
    <w:p w14:paraId="0316678E" w14:textId="77777777" w:rsidR="00DD0F93" w:rsidRDefault="004D0A17">
      <w:pPr>
        <w:spacing w:before="240" w:line="360" w:lineRule="auto"/>
        <w:jc w:val="center"/>
        <w:rPr>
          <w:rFonts w:ascii="Times New Roman" w:hAnsi="Times New Roman"/>
          <w:b/>
          <w:sz w:val="24"/>
          <w:szCs w:val="24"/>
        </w:rPr>
      </w:pPr>
      <w:r>
        <w:rPr>
          <w:rFonts w:ascii="Times New Roman" w:hAnsi="Times New Roman"/>
          <w:b/>
          <w:sz w:val="24"/>
          <w:szCs w:val="24"/>
        </w:rPr>
        <w:t xml:space="preserve">Figure 3: selected structures of bioactive compounds present in </w:t>
      </w:r>
      <w:proofErr w:type="spellStart"/>
      <w:r>
        <w:rPr>
          <w:rFonts w:ascii="Times New Roman" w:hAnsi="Times New Roman"/>
          <w:b/>
          <w:sz w:val="24"/>
          <w:szCs w:val="24"/>
        </w:rPr>
        <w:t>Azadirachta</w:t>
      </w:r>
      <w:proofErr w:type="spellEnd"/>
      <w:r>
        <w:rPr>
          <w:rFonts w:ascii="Times New Roman" w:hAnsi="Times New Roman"/>
          <w:b/>
          <w:sz w:val="24"/>
          <w:szCs w:val="24"/>
        </w:rPr>
        <w:t xml:space="preserve"> indica leaves.</w:t>
      </w:r>
    </w:p>
    <w:p w14:paraId="0D8F5DAC" w14:textId="72187249"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Phenolic acids</w:t>
      </w:r>
      <w:r w:rsidR="00DE21A4">
        <w:rPr>
          <w:rFonts w:ascii="Times New Roman" w:hAnsi="Times New Roman"/>
          <w:sz w:val="24"/>
          <w:szCs w:val="24"/>
        </w:rPr>
        <w:t xml:space="preserve"> </w:t>
      </w:r>
      <w:r>
        <w:rPr>
          <w:rFonts w:ascii="Times New Roman" w:hAnsi="Times New Roman"/>
          <w:sz w:val="24"/>
          <w:szCs w:val="24"/>
        </w:rPr>
        <w:t>exhibit a wide range of therapeutic functions, primarily due to their antioxidant and anti-inflammatory properties. They have shown to play a role in combating various diseases, including cancer, cardiovascular diseases, diabetes, and neurodegenerative disorders (</w:t>
      </w:r>
      <w:proofErr w:type="spellStart"/>
      <w:r>
        <w:rPr>
          <w:rFonts w:ascii="Times New Roman" w:hAnsi="Times New Roman"/>
          <w:sz w:val="24"/>
          <w:szCs w:val="24"/>
        </w:rPr>
        <w:t>Abotaleb</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2020). Polyphenol such as </w:t>
      </w:r>
      <w:proofErr w:type="spellStart"/>
      <w:r>
        <w:rPr>
          <w:rFonts w:ascii="Times New Roman" w:hAnsi="Times New Roman"/>
          <w:sz w:val="24"/>
          <w:szCs w:val="24"/>
        </w:rPr>
        <w:t>stilbenoids</w:t>
      </w:r>
      <w:proofErr w:type="spellEnd"/>
      <w:r>
        <w:rPr>
          <w:rFonts w:ascii="Times New Roman" w:hAnsi="Times New Roman"/>
          <w:sz w:val="24"/>
          <w:szCs w:val="24"/>
        </w:rPr>
        <w:t xml:space="preserve"> which are present in </w:t>
      </w:r>
      <w:proofErr w:type="spellStart"/>
      <w:r>
        <w:rPr>
          <w:rFonts w:ascii="Times New Roman" w:hAnsi="Times New Roman"/>
          <w:sz w:val="24"/>
          <w:szCs w:val="24"/>
        </w:rPr>
        <w:t>Reveratrol</w:t>
      </w:r>
      <w:proofErr w:type="spellEnd"/>
      <w:r>
        <w:rPr>
          <w:rFonts w:ascii="Times New Roman" w:hAnsi="Times New Roman"/>
          <w:sz w:val="24"/>
          <w:szCs w:val="24"/>
        </w:rPr>
        <w:t xml:space="preserve"> has </w:t>
      </w:r>
      <w:proofErr w:type="spellStart"/>
      <w:r>
        <w:rPr>
          <w:rFonts w:ascii="Times New Roman" w:hAnsi="Times New Roman"/>
          <w:sz w:val="24"/>
          <w:szCs w:val="24"/>
        </w:rPr>
        <w:t>diverese</w:t>
      </w:r>
      <w:proofErr w:type="spellEnd"/>
      <w:r>
        <w:rPr>
          <w:rFonts w:ascii="Times New Roman" w:hAnsi="Times New Roman"/>
          <w:sz w:val="24"/>
          <w:szCs w:val="24"/>
        </w:rPr>
        <w:t xml:space="preserve"> therapeutic functions such as Antioxidant, Anti-inflammatory, Anticancer, </w:t>
      </w:r>
      <w:proofErr w:type="spellStart"/>
      <w:proofErr w:type="gramStart"/>
      <w:r>
        <w:rPr>
          <w:rFonts w:ascii="Times New Roman" w:hAnsi="Times New Roman"/>
          <w:sz w:val="24"/>
          <w:szCs w:val="24"/>
        </w:rPr>
        <w:t>Cardioprotective,Neuroprotective</w:t>
      </w:r>
      <w:proofErr w:type="spellEnd"/>
      <w:proofErr w:type="gramEnd"/>
      <w:r>
        <w:rPr>
          <w:rFonts w:ascii="Times New Roman" w:hAnsi="Times New Roman"/>
          <w:sz w:val="24"/>
          <w:szCs w:val="24"/>
        </w:rPr>
        <w:t>, Antimicrobial, antiviral, Anti-diabetic (</w:t>
      </w:r>
      <w:proofErr w:type="spellStart"/>
      <w:r>
        <w:rPr>
          <w:rFonts w:ascii="Times New Roman" w:hAnsi="Times New Roman"/>
          <w:sz w:val="24"/>
          <w:szCs w:val="24"/>
        </w:rPr>
        <w:t>Raees</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2025; Tae-</w:t>
      </w:r>
      <w:proofErr w:type="spellStart"/>
      <w:r>
        <w:rPr>
          <w:rFonts w:ascii="Times New Roman" w:hAnsi="Times New Roman"/>
          <w:sz w:val="24"/>
          <w:szCs w:val="24"/>
        </w:rPr>
        <w:t>Hee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w:t>
      </w:r>
      <w:proofErr w:type="gramStart"/>
      <w:r>
        <w:rPr>
          <w:rFonts w:ascii="Times New Roman" w:hAnsi="Times New Roman"/>
          <w:sz w:val="24"/>
          <w:szCs w:val="24"/>
        </w:rPr>
        <w:t>2024 )</w:t>
      </w:r>
      <w:proofErr w:type="gramEnd"/>
      <w:r>
        <w:rPr>
          <w:rFonts w:ascii="Times New Roman" w:hAnsi="Times New Roman"/>
          <w:sz w:val="24"/>
          <w:szCs w:val="24"/>
        </w:rPr>
        <w:t xml:space="preserve">, </w:t>
      </w:r>
      <w:proofErr w:type="spellStart"/>
      <w:r>
        <w:rPr>
          <w:rFonts w:ascii="Times New Roman" w:hAnsi="Times New Roman"/>
          <w:sz w:val="24"/>
          <w:szCs w:val="24"/>
        </w:rPr>
        <w:t>stilbenoids</w:t>
      </w:r>
      <w:proofErr w:type="spellEnd"/>
      <w:r>
        <w:rPr>
          <w:rFonts w:ascii="Times New Roman" w:hAnsi="Times New Roman"/>
          <w:sz w:val="24"/>
          <w:szCs w:val="24"/>
        </w:rPr>
        <w:t xml:space="preserve"> have also been linked to benefits like promoting weight loss and extending lifespan (</w:t>
      </w:r>
      <w:proofErr w:type="spellStart"/>
      <w:r>
        <w:rPr>
          <w:rFonts w:ascii="Times New Roman" w:hAnsi="Times New Roman"/>
          <w:sz w:val="24"/>
          <w:szCs w:val="24"/>
        </w:rPr>
        <w:t>Akinwumi</w:t>
      </w:r>
      <w:r>
        <w:rPr>
          <w:rFonts w:ascii="Times New Roman" w:hAnsi="Times New Roman"/>
          <w:i/>
          <w:iCs/>
          <w:sz w:val="24"/>
          <w:szCs w:val="24"/>
        </w:rPr>
        <w:t>et</w:t>
      </w:r>
      <w:proofErr w:type="spellEnd"/>
      <w:r>
        <w:rPr>
          <w:rFonts w:ascii="Times New Roman" w:hAnsi="Times New Roman"/>
          <w:i/>
          <w:iCs/>
          <w:sz w:val="24"/>
          <w:szCs w:val="24"/>
        </w:rPr>
        <w:t xml:space="preserve"> al.</w:t>
      </w:r>
      <w:r>
        <w:rPr>
          <w:rFonts w:ascii="Times New Roman" w:hAnsi="Times New Roman"/>
          <w:sz w:val="24"/>
          <w:szCs w:val="24"/>
        </w:rPr>
        <w:t>, 2018).</w:t>
      </w:r>
    </w:p>
    <w:p w14:paraId="500953F8" w14:textId="77777777"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Luteolin, Ferulic Acid, Ellagic acid, </w:t>
      </w:r>
      <w:proofErr w:type="spellStart"/>
      <w:r>
        <w:rPr>
          <w:rFonts w:ascii="Times New Roman" w:hAnsi="Times New Roman"/>
          <w:sz w:val="24"/>
          <w:szCs w:val="24"/>
        </w:rPr>
        <w:t>Tangeretein</w:t>
      </w:r>
      <w:proofErr w:type="spellEnd"/>
      <w:r>
        <w:rPr>
          <w:rFonts w:ascii="Times New Roman" w:hAnsi="Times New Roman"/>
          <w:sz w:val="24"/>
          <w:szCs w:val="24"/>
        </w:rPr>
        <w:t xml:space="preserve">, </w:t>
      </w:r>
      <w:proofErr w:type="spellStart"/>
      <w:r>
        <w:rPr>
          <w:rFonts w:ascii="Times New Roman" w:hAnsi="Times New Roman"/>
          <w:sz w:val="24"/>
          <w:szCs w:val="24"/>
        </w:rPr>
        <w:t>Butein</w:t>
      </w:r>
      <w:proofErr w:type="spellEnd"/>
      <w:r>
        <w:rPr>
          <w:rFonts w:ascii="Times New Roman" w:hAnsi="Times New Roman"/>
          <w:sz w:val="24"/>
          <w:szCs w:val="24"/>
        </w:rPr>
        <w:t xml:space="preserve"> and Daidzein are known for their </w:t>
      </w:r>
      <w:proofErr w:type="spellStart"/>
      <w:proofErr w:type="gramStart"/>
      <w:r>
        <w:rPr>
          <w:rFonts w:ascii="Times New Roman" w:hAnsi="Times New Roman"/>
          <w:sz w:val="24"/>
          <w:szCs w:val="24"/>
        </w:rPr>
        <w:t>antioxidant,anti</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inflammatory,antbacterial</w:t>
      </w:r>
      <w:proofErr w:type="spellEnd"/>
      <w:proofErr w:type="gramEnd"/>
      <w:r>
        <w:rPr>
          <w:rFonts w:ascii="Times New Roman" w:hAnsi="Times New Roman"/>
          <w:sz w:val="24"/>
          <w:szCs w:val="24"/>
        </w:rPr>
        <w:t xml:space="preserve"> and antiviral functions were identified (</w:t>
      </w:r>
      <w:proofErr w:type="spellStart"/>
      <w:r>
        <w:rPr>
          <w:rFonts w:ascii="Times New Roman" w:hAnsi="Times New Roman"/>
          <w:sz w:val="24"/>
          <w:szCs w:val="24"/>
        </w:rPr>
        <w:t>Sadique</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2024; </w:t>
      </w:r>
      <w:proofErr w:type="spellStart"/>
      <w:r>
        <w:rPr>
          <w:rFonts w:ascii="Times New Roman" w:hAnsi="Times New Roman"/>
          <w:sz w:val="24"/>
          <w:szCs w:val="24"/>
        </w:rPr>
        <w:t>Bae</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2020; </w:t>
      </w:r>
      <w:proofErr w:type="spellStart"/>
      <w:r>
        <w:rPr>
          <w:rFonts w:ascii="Times New Roman" w:hAnsi="Times New Roman"/>
          <w:sz w:val="24"/>
          <w:szCs w:val="24"/>
        </w:rPr>
        <w:t>Eiko</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2022). While, Genistein, </w:t>
      </w:r>
      <w:proofErr w:type="spellStart"/>
      <w:r>
        <w:rPr>
          <w:rFonts w:ascii="Times New Roman" w:hAnsi="Times New Roman"/>
          <w:sz w:val="24"/>
          <w:szCs w:val="24"/>
        </w:rPr>
        <w:t>Artemetin</w:t>
      </w:r>
      <w:proofErr w:type="spellEnd"/>
      <w:r>
        <w:rPr>
          <w:rFonts w:ascii="Times New Roman" w:hAnsi="Times New Roman"/>
          <w:sz w:val="24"/>
          <w:szCs w:val="24"/>
        </w:rPr>
        <w:t xml:space="preserve">, </w:t>
      </w:r>
      <w:proofErr w:type="spellStart"/>
      <w:r>
        <w:rPr>
          <w:rFonts w:ascii="Times New Roman" w:hAnsi="Times New Roman"/>
          <w:sz w:val="24"/>
          <w:szCs w:val="24"/>
        </w:rPr>
        <w:t>Gallocatechin</w:t>
      </w:r>
      <w:proofErr w:type="spellEnd"/>
      <w:r>
        <w:rPr>
          <w:rFonts w:ascii="Times New Roman" w:hAnsi="Times New Roman"/>
          <w:sz w:val="24"/>
          <w:szCs w:val="24"/>
        </w:rPr>
        <w:t xml:space="preserve">, Flavones, </w:t>
      </w:r>
      <w:proofErr w:type="spellStart"/>
      <w:r>
        <w:rPr>
          <w:rFonts w:ascii="Times New Roman" w:hAnsi="Times New Roman"/>
          <w:sz w:val="24"/>
          <w:szCs w:val="24"/>
        </w:rPr>
        <w:t>Lunamarin</w:t>
      </w:r>
      <w:proofErr w:type="spellEnd"/>
      <w:r>
        <w:rPr>
          <w:rFonts w:ascii="Times New Roman" w:hAnsi="Times New Roman"/>
          <w:sz w:val="24"/>
          <w:szCs w:val="24"/>
        </w:rPr>
        <w:t xml:space="preserve">, </w:t>
      </w:r>
      <w:proofErr w:type="spellStart"/>
      <w:r>
        <w:rPr>
          <w:rFonts w:ascii="Times New Roman" w:hAnsi="Times New Roman"/>
          <w:sz w:val="24"/>
          <w:szCs w:val="24"/>
        </w:rPr>
        <w:t>Retusin</w:t>
      </w:r>
      <w:proofErr w:type="spellEnd"/>
      <w:r>
        <w:rPr>
          <w:rFonts w:ascii="Times New Roman" w:hAnsi="Times New Roman"/>
          <w:sz w:val="24"/>
          <w:szCs w:val="24"/>
        </w:rPr>
        <w:t xml:space="preserve">, </w:t>
      </w:r>
      <w:proofErr w:type="spellStart"/>
      <w:r>
        <w:rPr>
          <w:rFonts w:ascii="Times New Roman" w:hAnsi="Times New Roman"/>
          <w:sz w:val="24"/>
          <w:szCs w:val="24"/>
        </w:rPr>
        <w:t>Nobeletin</w:t>
      </w:r>
      <w:proofErr w:type="spellEnd"/>
      <w:r>
        <w:rPr>
          <w:rFonts w:ascii="Times New Roman" w:hAnsi="Times New Roman"/>
          <w:sz w:val="24"/>
          <w:szCs w:val="24"/>
        </w:rPr>
        <w:t xml:space="preserve">, Epicatechin, Hesperidin, Apigenin, Naringenin, Myricetin, Hesperidin, </w:t>
      </w:r>
      <w:proofErr w:type="spellStart"/>
      <w:r>
        <w:rPr>
          <w:rFonts w:ascii="Times New Roman" w:hAnsi="Times New Roman"/>
          <w:sz w:val="24"/>
          <w:szCs w:val="24"/>
        </w:rPr>
        <w:t>Daidzin</w:t>
      </w:r>
      <w:proofErr w:type="spellEnd"/>
      <w:r>
        <w:rPr>
          <w:rFonts w:ascii="Times New Roman" w:hAnsi="Times New Roman"/>
          <w:sz w:val="24"/>
          <w:szCs w:val="24"/>
        </w:rPr>
        <w:t xml:space="preserve">, Isorhamnetin and </w:t>
      </w:r>
      <w:proofErr w:type="spellStart"/>
      <w:r>
        <w:rPr>
          <w:rFonts w:ascii="Times New Roman" w:hAnsi="Times New Roman"/>
          <w:sz w:val="24"/>
          <w:szCs w:val="24"/>
        </w:rPr>
        <w:t>Maricetin</w:t>
      </w:r>
      <w:proofErr w:type="spellEnd"/>
      <w:r>
        <w:rPr>
          <w:rFonts w:ascii="Times New Roman" w:hAnsi="Times New Roman"/>
          <w:sz w:val="24"/>
          <w:szCs w:val="24"/>
        </w:rPr>
        <w:t xml:space="preserve"> which also contains some therapeutic effects were found in trace amount.</w:t>
      </w:r>
    </w:p>
    <w:p w14:paraId="10E742B0" w14:textId="77777777" w:rsidR="00DD0F93" w:rsidRDefault="00DD0F93">
      <w:pPr>
        <w:spacing w:before="240" w:line="360" w:lineRule="auto"/>
        <w:jc w:val="both"/>
        <w:rPr>
          <w:rFonts w:ascii="Times New Roman" w:hAnsi="Times New Roman"/>
          <w:sz w:val="24"/>
          <w:szCs w:val="24"/>
        </w:rPr>
      </w:pPr>
    </w:p>
    <w:p w14:paraId="12F61B81" w14:textId="77777777" w:rsidR="00DD0F93" w:rsidRDefault="004D0A17">
      <w:pPr>
        <w:spacing w:before="240" w:line="360" w:lineRule="auto"/>
        <w:jc w:val="both"/>
        <w:rPr>
          <w:rFonts w:ascii="Times New Roman" w:hAnsi="Times New Roman"/>
          <w:b/>
          <w:sz w:val="24"/>
          <w:szCs w:val="24"/>
        </w:rPr>
      </w:pPr>
      <w:r>
        <w:rPr>
          <w:rFonts w:ascii="Times New Roman" w:hAnsi="Times New Roman"/>
          <w:b/>
          <w:sz w:val="24"/>
          <w:szCs w:val="24"/>
        </w:rPr>
        <w:t xml:space="preserve">CONCLUSION </w:t>
      </w:r>
    </w:p>
    <w:p w14:paraId="0689D4DF" w14:textId="2ABD58CD" w:rsidR="00DD0F93" w:rsidRDefault="004D0A17">
      <w:pPr>
        <w:spacing w:before="240" w:line="360" w:lineRule="auto"/>
        <w:jc w:val="both"/>
        <w:rPr>
          <w:rFonts w:ascii="Times New Roman" w:hAnsi="Times New Roman"/>
          <w:sz w:val="24"/>
          <w:szCs w:val="24"/>
        </w:rPr>
      </w:pPr>
      <w:r>
        <w:rPr>
          <w:rFonts w:ascii="Times New Roman" w:hAnsi="Times New Roman"/>
          <w:sz w:val="24"/>
          <w:szCs w:val="24"/>
        </w:rPr>
        <w:t xml:space="preserve">The evaluation of the bioactive components of </w:t>
      </w:r>
      <w:proofErr w:type="spellStart"/>
      <w:r>
        <w:rPr>
          <w:rFonts w:ascii="Times New Roman" w:hAnsi="Times New Roman"/>
          <w:i/>
          <w:sz w:val="24"/>
          <w:szCs w:val="24"/>
        </w:rPr>
        <w:t>Azadirachta</w:t>
      </w:r>
      <w:proofErr w:type="spellEnd"/>
      <w:r>
        <w:rPr>
          <w:rFonts w:ascii="Times New Roman" w:hAnsi="Times New Roman"/>
          <w:i/>
          <w:sz w:val="24"/>
          <w:szCs w:val="24"/>
        </w:rPr>
        <w:t xml:space="preserve"> indica</w:t>
      </w:r>
      <w:r>
        <w:rPr>
          <w:rFonts w:ascii="Times New Roman" w:hAnsi="Times New Roman"/>
          <w:sz w:val="24"/>
          <w:szCs w:val="24"/>
        </w:rPr>
        <w:t xml:space="preserve"> </w:t>
      </w:r>
      <w:proofErr w:type="gramStart"/>
      <w:r>
        <w:rPr>
          <w:rFonts w:ascii="Times New Roman" w:hAnsi="Times New Roman"/>
          <w:sz w:val="24"/>
          <w:szCs w:val="24"/>
        </w:rPr>
        <w:t>leaves  shows</w:t>
      </w:r>
      <w:proofErr w:type="gramEnd"/>
      <w:r>
        <w:rPr>
          <w:rFonts w:ascii="Times New Roman" w:hAnsi="Times New Roman"/>
          <w:sz w:val="24"/>
          <w:szCs w:val="24"/>
        </w:rPr>
        <w:t xml:space="preserve"> that it contains numerous phytochemicals which possesses therapeutic and pharmacological activities and should be recommended as a medicinal plant</w:t>
      </w:r>
      <w:r w:rsidR="00DE21A4">
        <w:rPr>
          <w:rFonts w:ascii="Times New Roman" w:hAnsi="Times New Roman"/>
          <w:sz w:val="24"/>
          <w:szCs w:val="24"/>
        </w:rPr>
        <w:t xml:space="preserve"> </w:t>
      </w:r>
      <w:proofErr w:type="gramStart"/>
      <w:r>
        <w:rPr>
          <w:rFonts w:ascii="Times New Roman" w:hAnsi="Times New Roman"/>
          <w:sz w:val="24"/>
          <w:szCs w:val="24"/>
        </w:rPr>
        <w:t>for  anticancer</w:t>
      </w:r>
      <w:proofErr w:type="gramEnd"/>
      <w:r>
        <w:rPr>
          <w:rFonts w:ascii="Times New Roman" w:hAnsi="Times New Roman"/>
          <w:sz w:val="24"/>
          <w:szCs w:val="24"/>
        </w:rPr>
        <w:t xml:space="preserve">, antioxidant, </w:t>
      </w:r>
      <w:proofErr w:type="spellStart"/>
      <w:r>
        <w:rPr>
          <w:rFonts w:ascii="Times New Roman" w:hAnsi="Times New Roman"/>
          <w:sz w:val="24"/>
          <w:szCs w:val="24"/>
        </w:rPr>
        <w:t>antiinflammatory</w:t>
      </w:r>
      <w:proofErr w:type="spellEnd"/>
      <w:r>
        <w:rPr>
          <w:rFonts w:ascii="Times New Roman" w:hAnsi="Times New Roman"/>
          <w:sz w:val="24"/>
          <w:szCs w:val="24"/>
        </w:rPr>
        <w:t>, antipyretics and other physiological functions.</w:t>
      </w:r>
    </w:p>
    <w:p w14:paraId="70B81A8B" w14:textId="77777777" w:rsidR="00DD0F93" w:rsidRDefault="00DD0F93">
      <w:pPr>
        <w:tabs>
          <w:tab w:val="left" w:pos="90"/>
        </w:tabs>
        <w:spacing w:line="360" w:lineRule="auto"/>
        <w:rPr>
          <w:rFonts w:ascii="Times New Roman" w:hAnsi="Times New Roman"/>
          <w:b/>
          <w:sz w:val="24"/>
          <w:szCs w:val="24"/>
        </w:rPr>
      </w:pPr>
    </w:p>
    <w:p w14:paraId="61DF34CA" w14:textId="77777777" w:rsidR="00DD0F93" w:rsidRDefault="004D0A17">
      <w:pPr>
        <w:tabs>
          <w:tab w:val="left" w:pos="90"/>
        </w:tabs>
        <w:spacing w:line="360" w:lineRule="auto"/>
        <w:rPr>
          <w:rFonts w:ascii="Times New Roman" w:hAnsi="Times New Roman"/>
          <w:b/>
          <w:sz w:val="24"/>
          <w:szCs w:val="24"/>
        </w:rPr>
      </w:pPr>
      <w:commentRangeStart w:id="4"/>
      <w:r>
        <w:rPr>
          <w:rFonts w:ascii="Times New Roman" w:hAnsi="Times New Roman"/>
          <w:b/>
          <w:sz w:val="24"/>
          <w:szCs w:val="24"/>
        </w:rPr>
        <w:t>Reference</w:t>
      </w:r>
      <w:commentRangeEnd w:id="4"/>
      <w:r w:rsidR="008C7CCE">
        <w:rPr>
          <w:rStyle w:val="CommentReference"/>
        </w:rPr>
        <w:commentReference w:id="4"/>
      </w:r>
    </w:p>
    <w:p w14:paraId="4AF9119C" w14:textId="50DEE0D6" w:rsidR="00DD0F93" w:rsidRPr="001471B2" w:rsidRDefault="0017730D"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lastRenderedPageBreak/>
        <w:t>Abotaleb</w:t>
      </w:r>
      <w:proofErr w:type="spellEnd"/>
      <w:r w:rsidRPr="001471B2">
        <w:rPr>
          <w:rFonts w:ascii="Times New Roman" w:hAnsi="Times New Roman"/>
          <w:sz w:val="24"/>
          <w:szCs w:val="24"/>
        </w:rPr>
        <w:t xml:space="preserve">, M., Liskova, A., </w:t>
      </w:r>
      <w:proofErr w:type="spellStart"/>
      <w:r w:rsidRPr="001471B2">
        <w:rPr>
          <w:rFonts w:ascii="Times New Roman" w:hAnsi="Times New Roman"/>
          <w:sz w:val="24"/>
          <w:szCs w:val="24"/>
        </w:rPr>
        <w:t>Kubatka</w:t>
      </w:r>
      <w:proofErr w:type="spellEnd"/>
      <w:r w:rsidRPr="001471B2">
        <w:rPr>
          <w:rFonts w:ascii="Times New Roman" w:hAnsi="Times New Roman"/>
          <w:sz w:val="24"/>
          <w:szCs w:val="24"/>
        </w:rPr>
        <w:t xml:space="preserve">, P., &amp; </w:t>
      </w:r>
      <w:proofErr w:type="spellStart"/>
      <w:r w:rsidRPr="001471B2">
        <w:rPr>
          <w:rFonts w:ascii="Times New Roman" w:hAnsi="Times New Roman"/>
          <w:sz w:val="24"/>
          <w:szCs w:val="24"/>
        </w:rPr>
        <w:t>Büsselberg</w:t>
      </w:r>
      <w:proofErr w:type="spellEnd"/>
      <w:r w:rsidRPr="001471B2">
        <w:rPr>
          <w:rFonts w:ascii="Times New Roman" w:hAnsi="Times New Roman"/>
          <w:sz w:val="24"/>
          <w:szCs w:val="24"/>
        </w:rPr>
        <w:t xml:space="preserve">, D. (2020). Therapeutic Potential of Plant Phenolic Acids in the Treatment of Cancer. Biomolecules, 10(2), 221. </w:t>
      </w:r>
      <w:hyperlink r:id="rId28" w:history="1">
        <w:r w:rsidRPr="001471B2">
          <w:rPr>
            <w:rStyle w:val="Hyperlink"/>
            <w:rFonts w:ascii="Times New Roman" w:hAnsi="Times New Roman"/>
            <w:sz w:val="24"/>
            <w:szCs w:val="24"/>
          </w:rPr>
          <w:t>https://doi.org/10.3390/biom10020221</w:t>
        </w:r>
      </w:hyperlink>
      <w:r w:rsidRPr="001471B2">
        <w:rPr>
          <w:rFonts w:ascii="Times New Roman" w:hAnsi="Times New Roman"/>
          <w:sz w:val="24"/>
          <w:szCs w:val="24"/>
        </w:rPr>
        <w:t xml:space="preserve"> </w:t>
      </w:r>
    </w:p>
    <w:p w14:paraId="50255A8C" w14:textId="459166CA" w:rsidR="00DD0F93" w:rsidRPr="001471B2" w:rsidRDefault="00216788"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Akinwumi, B. C., Bordun, K. M., &amp; Anderson, H. D. (2018). Biological Activities of </w:t>
      </w:r>
      <w:proofErr w:type="spellStart"/>
      <w:r w:rsidRPr="001471B2">
        <w:rPr>
          <w:rFonts w:ascii="Times New Roman" w:hAnsi="Times New Roman"/>
          <w:sz w:val="24"/>
          <w:szCs w:val="24"/>
        </w:rPr>
        <w:t>Stilbenoids</w:t>
      </w:r>
      <w:proofErr w:type="spellEnd"/>
      <w:r w:rsidRPr="001471B2">
        <w:rPr>
          <w:rFonts w:ascii="Times New Roman" w:hAnsi="Times New Roman"/>
          <w:sz w:val="24"/>
          <w:szCs w:val="24"/>
        </w:rPr>
        <w:t xml:space="preserve">. International Journal of Molecular Sciences, 19(3), 792. </w:t>
      </w:r>
      <w:hyperlink r:id="rId29" w:history="1">
        <w:r w:rsidRPr="001471B2">
          <w:rPr>
            <w:rStyle w:val="Hyperlink"/>
            <w:rFonts w:ascii="Times New Roman" w:hAnsi="Times New Roman"/>
            <w:sz w:val="24"/>
            <w:szCs w:val="24"/>
          </w:rPr>
          <w:t>https://doi.org/10.3390/ijms19030792</w:t>
        </w:r>
      </w:hyperlink>
      <w:r w:rsidRPr="001471B2">
        <w:rPr>
          <w:rFonts w:ascii="Times New Roman" w:hAnsi="Times New Roman"/>
          <w:sz w:val="24"/>
          <w:szCs w:val="24"/>
        </w:rPr>
        <w:t xml:space="preserve"> </w:t>
      </w:r>
    </w:p>
    <w:p w14:paraId="440F94A3" w14:textId="6219B34B" w:rsidR="00DD0F93" w:rsidRPr="001471B2" w:rsidRDefault="00D212F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Akinwumi, I. A., &amp; Ambali, O. A. (2024). Cardiac Glycosides from African Medicinal Plants as Promising Therapeutics. Tropical Journal of Phytochemistry and Pharmaceutical Sciences, 3(2), 158–167. </w:t>
      </w:r>
      <w:hyperlink r:id="rId30" w:history="1">
        <w:r w:rsidRPr="001471B2">
          <w:rPr>
            <w:rStyle w:val="Hyperlink"/>
            <w:rFonts w:ascii="Times New Roman" w:hAnsi="Times New Roman"/>
            <w:sz w:val="24"/>
            <w:szCs w:val="24"/>
          </w:rPr>
          <w:t>https://doi.org/10.26538/tjpps/v3i2.1</w:t>
        </w:r>
      </w:hyperlink>
      <w:r w:rsidRPr="001471B2">
        <w:rPr>
          <w:rFonts w:ascii="Times New Roman" w:hAnsi="Times New Roman"/>
          <w:sz w:val="24"/>
          <w:szCs w:val="24"/>
        </w:rPr>
        <w:t xml:space="preserve"> </w:t>
      </w:r>
    </w:p>
    <w:p w14:paraId="24C5FAA6" w14:textId="55FF0CDB" w:rsidR="00DD0F93" w:rsidRPr="001471B2" w:rsidRDefault="003143C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Alemu, M., </w:t>
      </w:r>
      <w:proofErr w:type="spellStart"/>
      <w:r w:rsidRPr="001471B2">
        <w:rPr>
          <w:rFonts w:ascii="Times New Roman" w:hAnsi="Times New Roman"/>
          <w:sz w:val="24"/>
          <w:szCs w:val="24"/>
        </w:rPr>
        <w:t>Lulekal</w:t>
      </w:r>
      <w:proofErr w:type="spellEnd"/>
      <w:r w:rsidRPr="001471B2">
        <w:rPr>
          <w:rFonts w:ascii="Times New Roman" w:hAnsi="Times New Roman"/>
          <w:sz w:val="24"/>
          <w:szCs w:val="24"/>
        </w:rPr>
        <w:t xml:space="preserve">, E., Asfaw, Z., </w:t>
      </w:r>
      <w:proofErr w:type="spellStart"/>
      <w:r w:rsidRPr="001471B2">
        <w:rPr>
          <w:rFonts w:ascii="Times New Roman" w:hAnsi="Times New Roman"/>
          <w:sz w:val="24"/>
          <w:szCs w:val="24"/>
        </w:rPr>
        <w:t>Warkineh</w:t>
      </w:r>
      <w:proofErr w:type="spellEnd"/>
      <w:r w:rsidRPr="001471B2">
        <w:rPr>
          <w:rFonts w:ascii="Times New Roman" w:hAnsi="Times New Roman"/>
          <w:sz w:val="24"/>
          <w:szCs w:val="24"/>
        </w:rPr>
        <w:t xml:space="preserve">, B., Debella, A., Abebe, A., Degu, S., &amp; Debebe, E. (2024). Antibacterial activity and phytochemical screening of traditional medicinal plants most preferred for treating infectious diseases in </w:t>
      </w:r>
      <w:proofErr w:type="spellStart"/>
      <w:r w:rsidRPr="001471B2">
        <w:rPr>
          <w:rFonts w:ascii="Times New Roman" w:hAnsi="Times New Roman"/>
          <w:sz w:val="24"/>
          <w:szCs w:val="24"/>
        </w:rPr>
        <w:t>Habru</w:t>
      </w:r>
      <w:proofErr w:type="spellEnd"/>
      <w:r w:rsidRPr="001471B2">
        <w:rPr>
          <w:rFonts w:ascii="Times New Roman" w:hAnsi="Times New Roman"/>
          <w:sz w:val="24"/>
          <w:szCs w:val="24"/>
        </w:rPr>
        <w:t xml:space="preserve"> District, North Wollo Zone, Amhara Region, Ethiopia. </w:t>
      </w:r>
      <w:proofErr w:type="spellStart"/>
      <w:r w:rsidRPr="001471B2">
        <w:rPr>
          <w:rFonts w:ascii="Times New Roman" w:hAnsi="Times New Roman"/>
          <w:sz w:val="24"/>
          <w:szCs w:val="24"/>
        </w:rPr>
        <w:t>PloS</w:t>
      </w:r>
      <w:proofErr w:type="spellEnd"/>
      <w:r w:rsidRPr="001471B2">
        <w:rPr>
          <w:rFonts w:ascii="Times New Roman" w:hAnsi="Times New Roman"/>
          <w:sz w:val="24"/>
          <w:szCs w:val="24"/>
        </w:rPr>
        <w:t xml:space="preserve"> one, 19(3). </w:t>
      </w:r>
      <w:hyperlink r:id="rId31" w:history="1">
        <w:r w:rsidRPr="001471B2">
          <w:rPr>
            <w:rStyle w:val="Hyperlink"/>
            <w:rFonts w:ascii="Times New Roman" w:hAnsi="Times New Roman"/>
            <w:sz w:val="24"/>
            <w:szCs w:val="24"/>
          </w:rPr>
          <w:t>https://doi.org/10.1371/journal.pone.0300060</w:t>
        </w:r>
      </w:hyperlink>
      <w:r w:rsidRPr="001471B2">
        <w:rPr>
          <w:rFonts w:ascii="Times New Roman" w:hAnsi="Times New Roman"/>
          <w:sz w:val="24"/>
          <w:szCs w:val="24"/>
        </w:rPr>
        <w:t xml:space="preserve"> </w:t>
      </w:r>
    </w:p>
    <w:p w14:paraId="5A2D6614" w14:textId="561A87B4" w:rsidR="00DD0F93" w:rsidRPr="001471B2" w:rsidRDefault="003A51F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Ali, S., Khan, M. R., Irfanullah, Sajid, M., &amp; Zahra, Z. (2018). Phytochemical investigation and antimicrobial appraisal of </w:t>
      </w:r>
      <w:proofErr w:type="spellStart"/>
      <w:r w:rsidRPr="001471B2">
        <w:rPr>
          <w:rFonts w:ascii="Times New Roman" w:hAnsi="Times New Roman"/>
          <w:sz w:val="24"/>
          <w:szCs w:val="24"/>
        </w:rPr>
        <w:t>Parrotiopsis</w:t>
      </w:r>
      <w:proofErr w:type="spellEnd"/>
      <w:r w:rsidRPr="001471B2">
        <w:rPr>
          <w:rFonts w:ascii="Times New Roman" w:hAnsi="Times New Roman"/>
          <w:sz w:val="24"/>
          <w:szCs w:val="24"/>
        </w:rPr>
        <w:t xml:space="preserve"> </w:t>
      </w:r>
      <w:proofErr w:type="spellStart"/>
      <w:r w:rsidRPr="001471B2">
        <w:rPr>
          <w:rFonts w:ascii="Times New Roman" w:hAnsi="Times New Roman"/>
          <w:sz w:val="24"/>
          <w:szCs w:val="24"/>
        </w:rPr>
        <w:t>jacquemontiana</w:t>
      </w:r>
      <w:proofErr w:type="spellEnd"/>
      <w:r w:rsidRPr="001471B2">
        <w:rPr>
          <w:rFonts w:ascii="Times New Roman" w:hAnsi="Times New Roman"/>
          <w:sz w:val="24"/>
          <w:szCs w:val="24"/>
        </w:rPr>
        <w:t xml:space="preserve"> (</w:t>
      </w:r>
      <w:proofErr w:type="spellStart"/>
      <w:r w:rsidRPr="001471B2">
        <w:rPr>
          <w:rFonts w:ascii="Times New Roman" w:hAnsi="Times New Roman"/>
          <w:sz w:val="24"/>
          <w:szCs w:val="24"/>
        </w:rPr>
        <w:t>Decne</w:t>
      </w:r>
      <w:proofErr w:type="spellEnd"/>
      <w:r w:rsidRPr="001471B2">
        <w:rPr>
          <w:rFonts w:ascii="Times New Roman" w:hAnsi="Times New Roman"/>
          <w:sz w:val="24"/>
          <w:szCs w:val="24"/>
        </w:rPr>
        <w:t xml:space="preserve">) Rehder. BMC Complementary and Alternative Medicine, 18(1), 43. </w:t>
      </w:r>
      <w:hyperlink r:id="rId32" w:history="1">
        <w:r w:rsidRPr="001471B2">
          <w:rPr>
            <w:rStyle w:val="Hyperlink"/>
            <w:rFonts w:ascii="Times New Roman" w:hAnsi="Times New Roman"/>
            <w:sz w:val="24"/>
            <w:szCs w:val="24"/>
          </w:rPr>
          <w:t>https://doi.org/10.1186/s12906-018-2114-z</w:t>
        </w:r>
      </w:hyperlink>
      <w:r w:rsidRPr="001471B2">
        <w:rPr>
          <w:rFonts w:ascii="Times New Roman" w:hAnsi="Times New Roman"/>
          <w:sz w:val="24"/>
          <w:szCs w:val="24"/>
        </w:rPr>
        <w:t xml:space="preserve"> </w:t>
      </w:r>
    </w:p>
    <w:p w14:paraId="1AB1FAD0" w14:textId="5ED84061" w:rsidR="00DD0F93" w:rsidRPr="001471B2" w:rsidRDefault="00F96BC5"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Alzohairy</w:t>
      </w:r>
      <w:proofErr w:type="spellEnd"/>
      <w:r w:rsidRPr="001471B2">
        <w:rPr>
          <w:rFonts w:ascii="Times New Roman" w:hAnsi="Times New Roman"/>
          <w:sz w:val="24"/>
          <w:szCs w:val="24"/>
        </w:rPr>
        <w:t xml:space="preserve">, M. A. (2016). Therapeutics Role of </w:t>
      </w:r>
      <w:proofErr w:type="spellStart"/>
      <w:r w:rsidRPr="001471B2">
        <w:rPr>
          <w:rFonts w:ascii="Times New Roman" w:hAnsi="Times New Roman"/>
          <w:sz w:val="24"/>
          <w:szCs w:val="24"/>
        </w:rPr>
        <w:t>Azadirachta</w:t>
      </w:r>
      <w:proofErr w:type="spellEnd"/>
      <w:r w:rsidRPr="001471B2">
        <w:rPr>
          <w:rFonts w:ascii="Times New Roman" w:hAnsi="Times New Roman"/>
          <w:sz w:val="24"/>
          <w:szCs w:val="24"/>
        </w:rPr>
        <w:t xml:space="preserve"> indica (Neem) and Their Active Constituents in Diseases Prevention and Treatment. Evidence-Based Complementary and Alternative Medicine. </w:t>
      </w:r>
      <w:hyperlink r:id="rId33" w:history="1">
        <w:r w:rsidRPr="001471B2">
          <w:rPr>
            <w:rStyle w:val="Hyperlink"/>
            <w:rFonts w:ascii="Times New Roman" w:hAnsi="Times New Roman"/>
            <w:sz w:val="24"/>
            <w:szCs w:val="24"/>
          </w:rPr>
          <w:t>https://doi.org/10.1155/2016/7382506</w:t>
        </w:r>
      </w:hyperlink>
      <w:r w:rsidRPr="001471B2">
        <w:rPr>
          <w:rFonts w:ascii="Times New Roman" w:hAnsi="Times New Roman"/>
          <w:sz w:val="24"/>
          <w:szCs w:val="24"/>
        </w:rPr>
        <w:t xml:space="preserve"> </w:t>
      </w:r>
    </w:p>
    <w:p w14:paraId="38EFC678" w14:textId="662FD6AA" w:rsidR="00DD0F93" w:rsidRPr="001471B2" w:rsidRDefault="0086665A"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Posadino</w:t>
      </w:r>
      <w:proofErr w:type="spellEnd"/>
      <w:r w:rsidRPr="001471B2">
        <w:rPr>
          <w:rFonts w:ascii="Times New Roman" w:hAnsi="Times New Roman"/>
          <w:sz w:val="24"/>
          <w:szCs w:val="24"/>
        </w:rPr>
        <w:t xml:space="preserve">, A. M., Giordo, R., Pintus, G., Mohammed, S. A., Orhan, I. E., Fokou, P. V. T., Sharopov, F., Adetunji, C. O., </w:t>
      </w:r>
      <w:proofErr w:type="spellStart"/>
      <w:r w:rsidRPr="001471B2">
        <w:rPr>
          <w:rFonts w:ascii="Times New Roman" w:hAnsi="Times New Roman"/>
          <w:sz w:val="24"/>
          <w:szCs w:val="24"/>
        </w:rPr>
        <w:t>Gulsunoglu-Konuskan</w:t>
      </w:r>
      <w:proofErr w:type="spellEnd"/>
      <w:r w:rsidRPr="001471B2">
        <w:rPr>
          <w:rFonts w:ascii="Times New Roman" w:hAnsi="Times New Roman"/>
          <w:sz w:val="24"/>
          <w:szCs w:val="24"/>
        </w:rPr>
        <w:t xml:space="preserve">, Z., </w:t>
      </w:r>
      <w:proofErr w:type="spellStart"/>
      <w:r w:rsidRPr="001471B2">
        <w:rPr>
          <w:rFonts w:ascii="Times New Roman" w:hAnsi="Times New Roman"/>
          <w:sz w:val="24"/>
          <w:szCs w:val="24"/>
        </w:rPr>
        <w:t>Ydyrys</w:t>
      </w:r>
      <w:proofErr w:type="spellEnd"/>
      <w:r w:rsidRPr="001471B2">
        <w:rPr>
          <w:rFonts w:ascii="Times New Roman" w:hAnsi="Times New Roman"/>
          <w:sz w:val="24"/>
          <w:szCs w:val="24"/>
        </w:rPr>
        <w:t xml:space="preserve">, A., Armstrong, L., Sytar, O., Martorell, M., </w:t>
      </w:r>
      <w:proofErr w:type="spellStart"/>
      <w:r w:rsidRPr="001471B2">
        <w:rPr>
          <w:rFonts w:ascii="Times New Roman" w:hAnsi="Times New Roman"/>
          <w:sz w:val="24"/>
          <w:szCs w:val="24"/>
        </w:rPr>
        <w:t>Razis</w:t>
      </w:r>
      <w:proofErr w:type="spellEnd"/>
      <w:r w:rsidRPr="001471B2">
        <w:rPr>
          <w:rFonts w:ascii="Times New Roman" w:hAnsi="Times New Roman"/>
          <w:sz w:val="24"/>
          <w:szCs w:val="24"/>
        </w:rPr>
        <w:t xml:space="preserve">, A. F. A., Modu, B., Calina, D., Habtemariam, S., Sharifi-Rad, J., &amp; Cho, W. C. (2023). Medicinal and mechanistic overview of artemisinin in the treatment of human diseases. Biomedicine &amp; Pharmacotherapy, 163, 114866. </w:t>
      </w:r>
      <w:hyperlink r:id="rId34" w:history="1">
        <w:r w:rsidRPr="001471B2">
          <w:rPr>
            <w:rStyle w:val="Hyperlink"/>
            <w:rFonts w:ascii="Times New Roman" w:hAnsi="Times New Roman"/>
            <w:sz w:val="24"/>
            <w:szCs w:val="24"/>
          </w:rPr>
          <w:t>https://doi.org/10.1016/j.biopha.2023.114866</w:t>
        </w:r>
      </w:hyperlink>
      <w:r w:rsidRPr="001471B2">
        <w:rPr>
          <w:rFonts w:ascii="Times New Roman" w:hAnsi="Times New Roman"/>
          <w:sz w:val="24"/>
          <w:szCs w:val="24"/>
        </w:rPr>
        <w:t xml:space="preserve"> </w:t>
      </w:r>
    </w:p>
    <w:p w14:paraId="619DB951" w14:textId="37CEC0E4" w:rsidR="00DD0F93" w:rsidRPr="001471B2" w:rsidRDefault="002C6C5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Bae, J. H., Kim, N., Shin, Y.-M., Kim, S.-Y., &amp; Kim, Y.-J. (2020). Activity of catechins and their applications. Biomedical Dermatology, 4, Article 8. </w:t>
      </w:r>
      <w:hyperlink r:id="rId35" w:history="1">
        <w:r w:rsidRPr="001471B2">
          <w:rPr>
            <w:rStyle w:val="Hyperlink"/>
            <w:rFonts w:ascii="Times New Roman" w:hAnsi="Times New Roman"/>
            <w:sz w:val="24"/>
            <w:szCs w:val="24"/>
          </w:rPr>
          <w:t>https://doi.org/10.1186/s41702-020-00058-w</w:t>
        </w:r>
      </w:hyperlink>
      <w:r w:rsidRPr="001471B2">
        <w:rPr>
          <w:rFonts w:ascii="Times New Roman" w:hAnsi="Times New Roman"/>
          <w:sz w:val="24"/>
          <w:szCs w:val="24"/>
        </w:rPr>
        <w:t xml:space="preserve"> </w:t>
      </w:r>
    </w:p>
    <w:p w14:paraId="7ADB3C74" w14:textId="77777777" w:rsidR="00DD0F93" w:rsidRPr="001471B2" w:rsidRDefault="004D0A17"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Bribi</w:t>
      </w:r>
      <w:proofErr w:type="spellEnd"/>
      <w:r w:rsidRPr="001471B2">
        <w:rPr>
          <w:rFonts w:ascii="Times New Roman" w:hAnsi="Times New Roman"/>
          <w:sz w:val="24"/>
          <w:szCs w:val="24"/>
        </w:rPr>
        <w:t xml:space="preserve">, N. (2018). Pharmacological activity of alkaloids: a review. </w:t>
      </w:r>
      <w:r w:rsidRPr="001471B2">
        <w:rPr>
          <w:rFonts w:ascii="Times New Roman" w:hAnsi="Times New Roman"/>
          <w:i/>
          <w:iCs/>
          <w:sz w:val="24"/>
          <w:szCs w:val="24"/>
        </w:rPr>
        <w:t>Asian Journal of Botany</w:t>
      </w:r>
      <w:r w:rsidRPr="001471B2">
        <w:rPr>
          <w:rFonts w:ascii="Times New Roman" w:hAnsi="Times New Roman"/>
          <w:sz w:val="24"/>
          <w:szCs w:val="24"/>
        </w:rPr>
        <w:t>, 1(1), 1-6.</w:t>
      </w:r>
    </w:p>
    <w:p w14:paraId="47AB1AC9" w14:textId="392D8FF6" w:rsidR="00DD0F93" w:rsidRPr="001471B2" w:rsidRDefault="007275D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Pandey, S., Goswami, S. K., &amp; Jain, B. P. (2020). Protocols in Biochemistry and Clinical Biochemistry. Academic Press. </w:t>
      </w:r>
      <w:hyperlink r:id="rId36" w:history="1">
        <w:r w:rsidRPr="001471B2">
          <w:rPr>
            <w:rStyle w:val="Hyperlink"/>
            <w:rFonts w:ascii="Times New Roman" w:hAnsi="Times New Roman"/>
            <w:sz w:val="24"/>
            <w:szCs w:val="24"/>
          </w:rPr>
          <w:t>https://www.elsevier.com/books/protocols-in-biochemistry-and-clinical-biochemistry/pandey/978-0-12-822007-8</w:t>
        </w:r>
      </w:hyperlink>
      <w:r w:rsidRPr="001471B2">
        <w:rPr>
          <w:rFonts w:ascii="Times New Roman" w:hAnsi="Times New Roman"/>
          <w:sz w:val="24"/>
          <w:szCs w:val="24"/>
        </w:rPr>
        <w:t xml:space="preserve"> </w:t>
      </w:r>
    </w:p>
    <w:p w14:paraId="0A2F798C" w14:textId="60DD6072" w:rsidR="00DD0F93" w:rsidRPr="001471B2" w:rsidRDefault="00CF230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Nkwocha, C. C., Joshua, O. F., Lomi, O. M., &amp; Boniface, A. A. (2024). Phytochemical screening and GC-FID identification of bioactive compounds in n-hexane, </w:t>
      </w:r>
      <w:proofErr w:type="spellStart"/>
      <w:r w:rsidRPr="001471B2">
        <w:rPr>
          <w:rFonts w:ascii="Times New Roman" w:hAnsi="Times New Roman"/>
          <w:sz w:val="24"/>
          <w:szCs w:val="24"/>
        </w:rPr>
        <w:t>ethylacetate</w:t>
      </w:r>
      <w:proofErr w:type="spellEnd"/>
      <w:r w:rsidRPr="001471B2">
        <w:rPr>
          <w:rFonts w:ascii="Times New Roman" w:hAnsi="Times New Roman"/>
          <w:sz w:val="24"/>
          <w:szCs w:val="24"/>
        </w:rPr>
        <w:t xml:space="preserve"> and methanol fractions of methanolic leaves extract of Azanza </w:t>
      </w:r>
      <w:proofErr w:type="spellStart"/>
      <w:r w:rsidRPr="001471B2">
        <w:rPr>
          <w:rFonts w:ascii="Times New Roman" w:hAnsi="Times New Roman"/>
          <w:sz w:val="24"/>
          <w:szCs w:val="24"/>
        </w:rPr>
        <w:t>garckeana</w:t>
      </w:r>
      <w:proofErr w:type="spellEnd"/>
      <w:r w:rsidRPr="001471B2">
        <w:rPr>
          <w:rFonts w:ascii="Times New Roman" w:hAnsi="Times New Roman"/>
          <w:sz w:val="24"/>
          <w:szCs w:val="24"/>
        </w:rPr>
        <w:t xml:space="preserve">. Food Chemistry Advances, 4, 100712. </w:t>
      </w:r>
      <w:hyperlink r:id="rId37" w:history="1">
        <w:r w:rsidRPr="001471B2">
          <w:rPr>
            <w:rStyle w:val="Hyperlink"/>
            <w:rFonts w:ascii="Times New Roman" w:hAnsi="Times New Roman"/>
            <w:sz w:val="24"/>
            <w:szCs w:val="24"/>
          </w:rPr>
          <w:t>https://doi.org/10.1016/j.focha.2024.100712</w:t>
        </w:r>
      </w:hyperlink>
      <w:r w:rsidRPr="001471B2">
        <w:rPr>
          <w:rFonts w:ascii="Times New Roman" w:hAnsi="Times New Roman"/>
          <w:sz w:val="24"/>
          <w:szCs w:val="24"/>
        </w:rPr>
        <w:t xml:space="preserve"> </w:t>
      </w:r>
    </w:p>
    <w:p w14:paraId="5A56B23F" w14:textId="4BAB6D54" w:rsidR="00DD0F93" w:rsidRPr="001471B2" w:rsidRDefault="005D24D4"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Christy, G. T. P., &amp; Sasi, K. R. (2015). Phytochemical examination, antioxidant potential and in vitro antibacterial studies of crude extracts of Parthenium </w:t>
      </w:r>
      <w:proofErr w:type="spellStart"/>
      <w:r w:rsidRPr="001471B2">
        <w:rPr>
          <w:rFonts w:ascii="Times New Roman" w:hAnsi="Times New Roman"/>
          <w:sz w:val="24"/>
          <w:szCs w:val="24"/>
        </w:rPr>
        <w:t>hysterophorus</w:t>
      </w:r>
      <w:proofErr w:type="spellEnd"/>
      <w:r w:rsidRPr="001471B2">
        <w:rPr>
          <w:rFonts w:ascii="Times New Roman" w:hAnsi="Times New Roman"/>
          <w:sz w:val="24"/>
          <w:szCs w:val="24"/>
        </w:rPr>
        <w:t xml:space="preserve"> Linn. leaves. Journal of Chemical and Pharmaceutical Research, 7(4), 219-225. </w:t>
      </w:r>
      <w:hyperlink r:id="rId38" w:history="1">
        <w:r w:rsidRPr="001471B2">
          <w:rPr>
            <w:rStyle w:val="Hyperlink"/>
            <w:rFonts w:ascii="Times New Roman" w:hAnsi="Times New Roman"/>
            <w:sz w:val="24"/>
            <w:szCs w:val="24"/>
          </w:rPr>
          <w:t>https://www.jocpr.com/articles/JCPRC5-2015-7-4-219-225.pdf</w:t>
        </w:r>
      </w:hyperlink>
      <w:r w:rsidRPr="001471B2">
        <w:rPr>
          <w:rFonts w:ascii="Times New Roman" w:hAnsi="Times New Roman"/>
          <w:sz w:val="24"/>
          <w:szCs w:val="24"/>
        </w:rPr>
        <w:t xml:space="preserve"> </w:t>
      </w:r>
    </w:p>
    <w:p w14:paraId="4B00F22E" w14:textId="7A5A25ED" w:rsidR="00DD0F93" w:rsidRPr="001471B2" w:rsidRDefault="00941EDE"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Sakai, E., Farhana, F., Yamaguchi, Y., &amp; Tsukuba, T. (2022). Potentials of natural antioxidants from plants as </w:t>
      </w:r>
      <w:proofErr w:type="spellStart"/>
      <w:r w:rsidRPr="001471B2">
        <w:rPr>
          <w:rFonts w:ascii="Times New Roman" w:hAnsi="Times New Roman"/>
          <w:sz w:val="24"/>
          <w:szCs w:val="24"/>
        </w:rPr>
        <w:t>antiosteoporotic</w:t>
      </w:r>
      <w:proofErr w:type="spellEnd"/>
      <w:r w:rsidRPr="001471B2">
        <w:rPr>
          <w:rFonts w:ascii="Times New Roman" w:hAnsi="Times New Roman"/>
          <w:sz w:val="24"/>
          <w:szCs w:val="24"/>
        </w:rPr>
        <w:t xml:space="preserve"> agents. In A.-u. Rahman (Ed.), Studies in Natural Products Chemistry (Vol. 72, pp. 1-28). Elsevier. </w:t>
      </w:r>
      <w:hyperlink r:id="rId39" w:history="1">
        <w:r w:rsidRPr="001471B2">
          <w:rPr>
            <w:rStyle w:val="Hyperlink"/>
            <w:rFonts w:ascii="Times New Roman" w:hAnsi="Times New Roman"/>
            <w:sz w:val="24"/>
            <w:szCs w:val="24"/>
          </w:rPr>
          <w:t>https://doi.org/10.1016/B978-0-12-823944-5.00002-8</w:t>
        </w:r>
      </w:hyperlink>
      <w:r w:rsidRPr="001471B2">
        <w:rPr>
          <w:rFonts w:ascii="Times New Roman" w:hAnsi="Times New Roman"/>
          <w:sz w:val="24"/>
          <w:szCs w:val="24"/>
        </w:rPr>
        <w:t xml:space="preserve"> </w:t>
      </w:r>
    </w:p>
    <w:p w14:paraId="7E5799A3" w14:textId="14DCFEAA" w:rsidR="00DD0F93" w:rsidRPr="001471B2" w:rsidRDefault="001943A3"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El-Gendy, Z. A., Taher, R. F., Elgamal, A. M., Serag, A., Hassan, A., Jaleel, G. A. A., Farag, M. A., &amp; Elshamy, A. I. (2023). Metabolites Profiling and Bioassays Reveal Bassia indica Ethanol Extract Protective Effect against Stomach Ulcers Development via HMGB1/TLR-4/NF-</w:t>
      </w:r>
      <w:proofErr w:type="spellStart"/>
      <w:r w:rsidRPr="001471B2">
        <w:rPr>
          <w:rFonts w:ascii="Times New Roman" w:hAnsi="Times New Roman"/>
          <w:sz w:val="24"/>
          <w:szCs w:val="24"/>
        </w:rPr>
        <w:t>κB</w:t>
      </w:r>
      <w:proofErr w:type="spellEnd"/>
      <w:r w:rsidRPr="001471B2">
        <w:rPr>
          <w:rFonts w:ascii="Times New Roman" w:hAnsi="Times New Roman"/>
          <w:sz w:val="24"/>
          <w:szCs w:val="24"/>
        </w:rPr>
        <w:t xml:space="preserve"> Pathway. Antioxidants (Basel, Switzerland), 12(6), 1263. </w:t>
      </w:r>
      <w:hyperlink r:id="rId40" w:history="1">
        <w:r w:rsidRPr="001471B2">
          <w:rPr>
            <w:rStyle w:val="Hyperlink"/>
            <w:rFonts w:ascii="Times New Roman" w:hAnsi="Times New Roman"/>
            <w:sz w:val="24"/>
            <w:szCs w:val="24"/>
          </w:rPr>
          <w:t>https://doi.org/10.3390/antiox12061263</w:t>
        </w:r>
      </w:hyperlink>
      <w:r w:rsidRPr="001471B2">
        <w:rPr>
          <w:rFonts w:ascii="Times New Roman" w:hAnsi="Times New Roman"/>
          <w:sz w:val="24"/>
          <w:szCs w:val="24"/>
        </w:rPr>
        <w:t xml:space="preserve"> </w:t>
      </w:r>
    </w:p>
    <w:p w14:paraId="01ADF4A2" w14:textId="09491B3D" w:rsidR="00DD0F93" w:rsidRPr="001471B2" w:rsidRDefault="001808CC"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Falana, M. B., &amp; Nurudeen, Q. O. (2020). Analysis of secondary metabolites and in vitro evaluation of extracts of Carica papaya and </w:t>
      </w:r>
      <w:proofErr w:type="spellStart"/>
      <w:r w:rsidRPr="001471B2">
        <w:rPr>
          <w:rFonts w:ascii="Times New Roman" w:hAnsi="Times New Roman"/>
          <w:sz w:val="24"/>
          <w:szCs w:val="24"/>
        </w:rPr>
        <w:t>Azadirachta</w:t>
      </w:r>
      <w:proofErr w:type="spellEnd"/>
      <w:r w:rsidRPr="001471B2">
        <w:rPr>
          <w:rFonts w:ascii="Times New Roman" w:hAnsi="Times New Roman"/>
          <w:sz w:val="24"/>
          <w:szCs w:val="24"/>
        </w:rPr>
        <w:t xml:space="preserve"> indica leaves on selected human pathogens. </w:t>
      </w:r>
      <w:proofErr w:type="spellStart"/>
      <w:r w:rsidRPr="001471B2">
        <w:rPr>
          <w:rFonts w:ascii="Times New Roman" w:hAnsi="Times New Roman"/>
          <w:sz w:val="24"/>
          <w:szCs w:val="24"/>
        </w:rPr>
        <w:t>Notulae</w:t>
      </w:r>
      <w:proofErr w:type="spellEnd"/>
      <w:r w:rsidRPr="001471B2">
        <w:rPr>
          <w:rFonts w:ascii="Times New Roman" w:hAnsi="Times New Roman"/>
          <w:sz w:val="24"/>
          <w:szCs w:val="24"/>
        </w:rPr>
        <w:t xml:space="preserve"> Scientia </w:t>
      </w:r>
      <w:proofErr w:type="spellStart"/>
      <w:r w:rsidRPr="001471B2">
        <w:rPr>
          <w:rFonts w:ascii="Times New Roman" w:hAnsi="Times New Roman"/>
          <w:sz w:val="24"/>
          <w:szCs w:val="24"/>
        </w:rPr>
        <w:t>Biologicae</w:t>
      </w:r>
      <w:proofErr w:type="spellEnd"/>
      <w:r w:rsidRPr="001471B2">
        <w:rPr>
          <w:rFonts w:ascii="Times New Roman" w:hAnsi="Times New Roman"/>
          <w:sz w:val="24"/>
          <w:szCs w:val="24"/>
        </w:rPr>
        <w:t xml:space="preserve">, 12(1), 57–73. </w:t>
      </w:r>
      <w:hyperlink r:id="rId41" w:history="1">
        <w:r w:rsidRPr="001471B2">
          <w:rPr>
            <w:rStyle w:val="Hyperlink"/>
            <w:rFonts w:ascii="Times New Roman" w:hAnsi="Times New Roman"/>
            <w:sz w:val="24"/>
            <w:szCs w:val="24"/>
          </w:rPr>
          <w:t>https://doi.org/10.15835/nsb12110541</w:t>
        </w:r>
      </w:hyperlink>
      <w:r w:rsidRPr="001471B2">
        <w:rPr>
          <w:rFonts w:ascii="Times New Roman" w:hAnsi="Times New Roman"/>
          <w:sz w:val="24"/>
          <w:szCs w:val="24"/>
        </w:rPr>
        <w:t xml:space="preserve"> </w:t>
      </w:r>
    </w:p>
    <w:p w14:paraId="098EAC6B" w14:textId="34861EF3" w:rsidR="00DD0F93" w:rsidRPr="001471B2" w:rsidRDefault="009F079E"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Farha, A. K., Yang, Q. Q., Kim, G., Li, H. B., Zhu, F., Liu, H. Y., Gan, R. Y., &amp; Corke, H. (2020). Tannins as an alternative to antibiotics. Food Bioscience. </w:t>
      </w:r>
      <w:hyperlink r:id="rId42" w:history="1">
        <w:r w:rsidRPr="001471B2">
          <w:rPr>
            <w:rStyle w:val="Hyperlink"/>
            <w:rFonts w:ascii="Times New Roman" w:hAnsi="Times New Roman"/>
            <w:sz w:val="24"/>
            <w:szCs w:val="24"/>
          </w:rPr>
          <w:t>https://doi.org/10.1016/j.fbio.2020.100751</w:t>
        </w:r>
      </w:hyperlink>
      <w:r w:rsidRPr="001471B2">
        <w:rPr>
          <w:rFonts w:ascii="Times New Roman" w:hAnsi="Times New Roman"/>
          <w:sz w:val="24"/>
          <w:szCs w:val="24"/>
        </w:rPr>
        <w:t xml:space="preserve"> </w:t>
      </w:r>
    </w:p>
    <w:p w14:paraId="417935E0" w14:textId="3EEA3ACB" w:rsidR="00DD0F93" w:rsidRPr="001471B2" w:rsidRDefault="004C4162"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Islas, J. F., Acosta, E., G-Buentello, Z., Delgado-Gallegos, J. L., Moreno-Treviño, M. G., Escalante, B., &amp; Moreno-Cuevas, J. E. (2020). An overview of Neem (</w:t>
      </w:r>
      <w:proofErr w:type="spellStart"/>
      <w:r w:rsidRPr="001471B2">
        <w:rPr>
          <w:rFonts w:ascii="Times New Roman" w:hAnsi="Times New Roman"/>
          <w:sz w:val="24"/>
          <w:szCs w:val="24"/>
        </w:rPr>
        <w:t>Azadirachta</w:t>
      </w:r>
      <w:proofErr w:type="spellEnd"/>
      <w:r w:rsidRPr="001471B2">
        <w:rPr>
          <w:rFonts w:ascii="Times New Roman" w:hAnsi="Times New Roman"/>
          <w:sz w:val="24"/>
          <w:szCs w:val="24"/>
        </w:rPr>
        <w:t xml:space="preserve"> indica) and its potential impact on health. Journal of Functional Foods. </w:t>
      </w:r>
      <w:hyperlink r:id="rId43" w:history="1">
        <w:r w:rsidRPr="001471B2">
          <w:rPr>
            <w:rStyle w:val="Hyperlink"/>
            <w:rFonts w:ascii="Times New Roman" w:hAnsi="Times New Roman"/>
            <w:sz w:val="24"/>
            <w:szCs w:val="24"/>
          </w:rPr>
          <w:t>https://doi.org/10.1016/j.jff.2020.104171</w:t>
        </w:r>
      </w:hyperlink>
      <w:r w:rsidRPr="001471B2">
        <w:rPr>
          <w:rFonts w:ascii="Times New Roman" w:hAnsi="Times New Roman"/>
          <w:sz w:val="24"/>
          <w:szCs w:val="24"/>
        </w:rPr>
        <w:t xml:space="preserve"> </w:t>
      </w:r>
    </w:p>
    <w:p w14:paraId="6214BB43" w14:textId="721B1FFE" w:rsidR="00DD0F93" w:rsidRPr="001471B2" w:rsidRDefault="00095CE3"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Kancherla, N., </w:t>
      </w:r>
      <w:proofErr w:type="spellStart"/>
      <w:r w:rsidRPr="001471B2">
        <w:rPr>
          <w:rFonts w:ascii="Times New Roman" w:hAnsi="Times New Roman"/>
          <w:sz w:val="24"/>
          <w:szCs w:val="24"/>
        </w:rPr>
        <w:t>Dhakshinamoothi</w:t>
      </w:r>
      <w:proofErr w:type="spellEnd"/>
      <w:r w:rsidRPr="001471B2">
        <w:rPr>
          <w:rFonts w:ascii="Times New Roman" w:hAnsi="Times New Roman"/>
          <w:sz w:val="24"/>
          <w:szCs w:val="24"/>
        </w:rPr>
        <w:t xml:space="preserve">, A., Chitra, K., &amp; Komaram, R. B. (2019). Preliminary Analysis of Phytoconstituents and Evaluation of Anthelminthic Property of </w:t>
      </w:r>
      <w:proofErr w:type="spellStart"/>
      <w:r w:rsidRPr="001471B2">
        <w:rPr>
          <w:rFonts w:ascii="Times New Roman" w:hAnsi="Times New Roman"/>
          <w:sz w:val="24"/>
          <w:szCs w:val="24"/>
        </w:rPr>
        <w:t>Cayratia</w:t>
      </w:r>
      <w:proofErr w:type="spellEnd"/>
      <w:r w:rsidRPr="001471B2">
        <w:rPr>
          <w:rFonts w:ascii="Times New Roman" w:hAnsi="Times New Roman"/>
          <w:sz w:val="24"/>
          <w:szCs w:val="24"/>
        </w:rPr>
        <w:t xml:space="preserve"> auriculata (In Vitro). </w:t>
      </w:r>
      <w:proofErr w:type="spellStart"/>
      <w:r w:rsidRPr="001471B2">
        <w:rPr>
          <w:rFonts w:ascii="Times New Roman" w:hAnsi="Times New Roman"/>
          <w:sz w:val="24"/>
          <w:szCs w:val="24"/>
        </w:rPr>
        <w:t>Maedica</w:t>
      </w:r>
      <w:proofErr w:type="spellEnd"/>
      <w:r w:rsidRPr="001471B2">
        <w:rPr>
          <w:rFonts w:ascii="Times New Roman" w:hAnsi="Times New Roman"/>
          <w:sz w:val="24"/>
          <w:szCs w:val="24"/>
        </w:rPr>
        <w:t xml:space="preserve">, 14(4), 350–356. </w:t>
      </w:r>
      <w:hyperlink r:id="rId44" w:history="1">
        <w:r w:rsidRPr="001471B2">
          <w:rPr>
            <w:rStyle w:val="Hyperlink"/>
            <w:rFonts w:ascii="Times New Roman" w:hAnsi="Times New Roman"/>
            <w:sz w:val="24"/>
            <w:szCs w:val="24"/>
          </w:rPr>
          <w:t>https://doi.org/10.26574/maedica.2019.14.4.350</w:t>
        </w:r>
      </w:hyperlink>
      <w:r w:rsidRPr="001471B2">
        <w:rPr>
          <w:rFonts w:ascii="Times New Roman" w:hAnsi="Times New Roman"/>
          <w:sz w:val="24"/>
          <w:szCs w:val="24"/>
        </w:rPr>
        <w:t xml:space="preserve"> </w:t>
      </w:r>
    </w:p>
    <w:p w14:paraId="5060F5A5" w14:textId="74442349" w:rsidR="00DD0F93" w:rsidRPr="001471B2" w:rsidRDefault="002124E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Kujur, R. S., Singh, V., Ram, M., Yadava, H. N., Singh, K. K., Kumari, S., &amp; Roy, B. K. (2010). Antidiabetic activity and phytochemical screening of crude extract of Stevia </w:t>
      </w:r>
      <w:proofErr w:type="spellStart"/>
      <w:r w:rsidRPr="001471B2">
        <w:rPr>
          <w:rFonts w:ascii="Times New Roman" w:hAnsi="Times New Roman"/>
          <w:sz w:val="24"/>
          <w:szCs w:val="24"/>
        </w:rPr>
        <w:t>rebaudiana</w:t>
      </w:r>
      <w:proofErr w:type="spellEnd"/>
      <w:r w:rsidRPr="001471B2">
        <w:rPr>
          <w:rFonts w:ascii="Times New Roman" w:hAnsi="Times New Roman"/>
          <w:sz w:val="24"/>
          <w:szCs w:val="24"/>
        </w:rPr>
        <w:t xml:space="preserve"> in alloxan-induced diabetic rats. Pharmacognosy Research, 2(4), 258–263. </w:t>
      </w:r>
      <w:hyperlink r:id="rId45" w:history="1">
        <w:r w:rsidRPr="001471B2">
          <w:rPr>
            <w:rStyle w:val="Hyperlink"/>
            <w:rFonts w:ascii="Times New Roman" w:hAnsi="Times New Roman"/>
            <w:sz w:val="24"/>
            <w:szCs w:val="24"/>
          </w:rPr>
          <w:t>https://doi.org/10.4103/0974-8490.69128</w:t>
        </w:r>
      </w:hyperlink>
      <w:r w:rsidRPr="001471B2">
        <w:rPr>
          <w:rFonts w:ascii="Times New Roman" w:hAnsi="Times New Roman"/>
          <w:sz w:val="24"/>
          <w:szCs w:val="24"/>
        </w:rPr>
        <w:t xml:space="preserve"> </w:t>
      </w:r>
    </w:p>
    <w:p w14:paraId="32BCA1E5" w14:textId="0C46C552" w:rsidR="00DD0F93" w:rsidRPr="001471B2" w:rsidRDefault="004D335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Les, F., Valero, M. S., &amp; </w:t>
      </w:r>
      <w:proofErr w:type="spellStart"/>
      <w:r w:rsidRPr="001471B2">
        <w:rPr>
          <w:rFonts w:ascii="Times New Roman" w:hAnsi="Times New Roman"/>
          <w:sz w:val="24"/>
          <w:szCs w:val="24"/>
        </w:rPr>
        <w:t>Arruebo</w:t>
      </w:r>
      <w:proofErr w:type="spellEnd"/>
      <w:r w:rsidRPr="001471B2">
        <w:rPr>
          <w:rFonts w:ascii="Times New Roman" w:hAnsi="Times New Roman"/>
          <w:sz w:val="24"/>
          <w:szCs w:val="24"/>
        </w:rPr>
        <w:t xml:space="preserve">, M. P. (2024). Natural Product Chemistry and Biological Research. International Journal of Molecular Sciences. </w:t>
      </w:r>
      <w:hyperlink r:id="rId46" w:history="1">
        <w:r w:rsidRPr="001471B2">
          <w:rPr>
            <w:rStyle w:val="Hyperlink"/>
            <w:rFonts w:ascii="Times New Roman" w:hAnsi="Times New Roman"/>
            <w:sz w:val="24"/>
            <w:szCs w:val="24"/>
          </w:rPr>
          <w:t>https://doi.org/10.3390/ijms25073774</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099B97B3" w14:textId="3849E8D6" w:rsidR="00DD0F93" w:rsidRPr="001471B2" w:rsidRDefault="00692147" w:rsidP="001471B2">
      <w:pPr>
        <w:tabs>
          <w:tab w:val="left" w:pos="720"/>
        </w:tabs>
        <w:spacing w:line="360" w:lineRule="auto"/>
        <w:jc w:val="both"/>
        <w:rPr>
          <w:rFonts w:ascii="Times New Roman" w:hAnsi="Times New Roman"/>
          <w:sz w:val="24"/>
          <w:szCs w:val="24"/>
        </w:rPr>
      </w:pPr>
      <w:bookmarkStart w:id="5" w:name="_Hlk218002326"/>
      <w:r w:rsidRPr="001471B2">
        <w:rPr>
          <w:rFonts w:ascii="Times New Roman" w:hAnsi="Times New Roman"/>
          <w:sz w:val="24"/>
          <w:szCs w:val="24"/>
        </w:rPr>
        <w:t xml:space="preserve">Marrelli, M. (2021). Medicinal Plants. Plants, 10(7), 1355. </w:t>
      </w:r>
      <w:hyperlink r:id="rId47" w:history="1">
        <w:r w:rsidRPr="001471B2">
          <w:rPr>
            <w:rStyle w:val="Hyperlink"/>
            <w:rFonts w:ascii="Times New Roman" w:hAnsi="Times New Roman"/>
            <w:sz w:val="24"/>
            <w:szCs w:val="24"/>
          </w:rPr>
          <w:t>https://doi.org/10.3390/plants10071355</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311768C6" w14:textId="7B8E47DF" w:rsidR="00DD0F93" w:rsidRPr="001471B2" w:rsidRDefault="006C1DB9"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Al-Owaisi, M., Al-</w:t>
      </w:r>
      <w:proofErr w:type="spellStart"/>
      <w:r w:rsidRPr="001471B2">
        <w:rPr>
          <w:rFonts w:ascii="Times New Roman" w:hAnsi="Times New Roman"/>
          <w:sz w:val="24"/>
          <w:szCs w:val="24"/>
        </w:rPr>
        <w:t>Hadiwi</w:t>
      </w:r>
      <w:proofErr w:type="spellEnd"/>
      <w:r w:rsidRPr="001471B2">
        <w:rPr>
          <w:rFonts w:ascii="Times New Roman" w:hAnsi="Times New Roman"/>
          <w:sz w:val="24"/>
          <w:szCs w:val="24"/>
        </w:rPr>
        <w:t>, N., &amp; Khan, S. A. (2014). GC-MS analysis, determination of total phenolics, flavonoid content and free radical scavenging activities of various crude extracts of Moringa peregrina (</w:t>
      </w:r>
      <w:proofErr w:type="spellStart"/>
      <w:r w:rsidRPr="001471B2">
        <w:rPr>
          <w:rFonts w:ascii="Times New Roman" w:hAnsi="Times New Roman"/>
          <w:sz w:val="24"/>
          <w:szCs w:val="24"/>
        </w:rPr>
        <w:t>Forssk</w:t>
      </w:r>
      <w:proofErr w:type="spellEnd"/>
      <w:r w:rsidRPr="001471B2">
        <w:rPr>
          <w:rFonts w:ascii="Times New Roman" w:hAnsi="Times New Roman"/>
          <w:sz w:val="24"/>
          <w:szCs w:val="24"/>
        </w:rPr>
        <w:t xml:space="preserve">.) Fiori leaves. Asian Pacific Journal of Tropical Biomedicine, 4(12), 964-970. </w:t>
      </w:r>
      <w:hyperlink r:id="rId48" w:history="1">
        <w:r w:rsidRPr="001471B2">
          <w:rPr>
            <w:rStyle w:val="Hyperlink"/>
            <w:rFonts w:ascii="Times New Roman" w:hAnsi="Times New Roman"/>
            <w:sz w:val="24"/>
            <w:szCs w:val="24"/>
          </w:rPr>
          <w:t>https://doi.org/10.12980/APJTB.4.201414B295</w:t>
        </w:r>
      </w:hyperlink>
      <w:r w:rsidRPr="001471B2">
        <w:rPr>
          <w:rFonts w:ascii="Times New Roman" w:hAnsi="Times New Roman"/>
          <w:sz w:val="24"/>
          <w:szCs w:val="24"/>
        </w:rPr>
        <w:t xml:space="preserve"> </w:t>
      </w:r>
    </w:p>
    <w:p w14:paraId="6A1B36FD" w14:textId="45605206" w:rsidR="00DD0F93" w:rsidRPr="001471B2" w:rsidRDefault="00D030EF"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Oyewale</w:t>
      </w:r>
      <w:proofErr w:type="spellEnd"/>
      <w:r w:rsidRPr="001471B2">
        <w:rPr>
          <w:rFonts w:ascii="Times New Roman" w:hAnsi="Times New Roman"/>
          <w:sz w:val="24"/>
          <w:szCs w:val="24"/>
        </w:rPr>
        <w:t xml:space="preserve">, A. O., Mika, A., &amp; Peters, F. A. (2002). Phytochemical, cytotoxicity and microbial screening of Euphorbia </w:t>
      </w:r>
      <w:proofErr w:type="spellStart"/>
      <w:r w:rsidRPr="001471B2">
        <w:rPr>
          <w:rFonts w:ascii="Times New Roman" w:hAnsi="Times New Roman"/>
          <w:sz w:val="24"/>
          <w:szCs w:val="24"/>
        </w:rPr>
        <w:t>Hirta</w:t>
      </w:r>
      <w:proofErr w:type="spellEnd"/>
      <w:r w:rsidRPr="001471B2">
        <w:rPr>
          <w:rFonts w:ascii="Times New Roman" w:hAnsi="Times New Roman"/>
          <w:sz w:val="24"/>
          <w:szCs w:val="24"/>
        </w:rPr>
        <w:t xml:space="preserve"> linn. Global Journal of Pure and Applied Sciences, 8(1), 49-55. </w:t>
      </w:r>
      <w:hyperlink r:id="rId49" w:history="1">
        <w:r w:rsidRPr="001471B2">
          <w:rPr>
            <w:rStyle w:val="Hyperlink"/>
            <w:rFonts w:ascii="Times New Roman" w:hAnsi="Times New Roman"/>
            <w:sz w:val="24"/>
            <w:szCs w:val="24"/>
          </w:rPr>
          <w:t>https://doi.org/10.4314/gjpas.v8i1.16332</w:t>
        </w:r>
      </w:hyperlink>
      <w:r w:rsidRPr="001471B2">
        <w:rPr>
          <w:rFonts w:ascii="Times New Roman" w:hAnsi="Times New Roman"/>
          <w:sz w:val="24"/>
          <w:szCs w:val="24"/>
        </w:rPr>
        <w:t xml:space="preserve"> </w:t>
      </w:r>
    </w:p>
    <w:p w14:paraId="3119778E" w14:textId="3DB12DC8" w:rsidR="00DD0F93" w:rsidRPr="001471B2" w:rsidRDefault="00062021"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Otukwude</w:t>
      </w:r>
      <w:proofErr w:type="spellEnd"/>
      <w:r w:rsidRPr="001471B2">
        <w:rPr>
          <w:rFonts w:ascii="Times New Roman" w:hAnsi="Times New Roman"/>
          <w:sz w:val="24"/>
          <w:szCs w:val="24"/>
        </w:rPr>
        <w:t xml:space="preserve">, F. O., </w:t>
      </w:r>
      <w:proofErr w:type="spellStart"/>
      <w:r w:rsidRPr="001471B2">
        <w:rPr>
          <w:rFonts w:ascii="Times New Roman" w:hAnsi="Times New Roman"/>
          <w:sz w:val="24"/>
          <w:szCs w:val="24"/>
        </w:rPr>
        <w:t>Ahuchaogu</w:t>
      </w:r>
      <w:proofErr w:type="spellEnd"/>
      <w:r w:rsidRPr="001471B2">
        <w:rPr>
          <w:rFonts w:ascii="Times New Roman" w:hAnsi="Times New Roman"/>
          <w:sz w:val="24"/>
          <w:szCs w:val="24"/>
        </w:rPr>
        <w:t xml:space="preserve">, A. A., &amp; </w:t>
      </w:r>
      <w:proofErr w:type="spellStart"/>
      <w:r w:rsidRPr="001471B2">
        <w:rPr>
          <w:rFonts w:ascii="Times New Roman" w:hAnsi="Times New Roman"/>
          <w:sz w:val="24"/>
          <w:szCs w:val="24"/>
        </w:rPr>
        <w:t>Otukwude</w:t>
      </w:r>
      <w:proofErr w:type="spellEnd"/>
      <w:r w:rsidRPr="001471B2">
        <w:rPr>
          <w:rFonts w:ascii="Times New Roman" w:hAnsi="Times New Roman"/>
          <w:sz w:val="24"/>
          <w:szCs w:val="24"/>
        </w:rPr>
        <w:t xml:space="preserve">, P. A. (2025). Chemistry of flavonoids and their therapeutic effects: A Review. Advanced Journal of Chemistry Research. </w:t>
      </w:r>
      <w:hyperlink r:id="rId50" w:history="1">
        <w:r w:rsidRPr="001471B2">
          <w:rPr>
            <w:rStyle w:val="Hyperlink"/>
            <w:rFonts w:ascii="Times New Roman" w:hAnsi="Times New Roman"/>
            <w:sz w:val="24"/>
            <w:szCs w:val="24"/>
          </w:rPr>
          <w:t>https://doi.org/10.31248/AJCR2025.012</w:t>
        </w:r>
      </w:hyperlink>
      <w:r w:rsidRPr="001471B2">
        <w:rPr>
          <w:rFonts w:ascii="Times New Roman" w:hAnsi="Times New Roman"/>
          <w:sz w:val="24"/>
          <w:szCs w:val="24"/>
        </w:rPr>
        <w:t xml:space="preserve"> </w:t>
      </w:r>
    </w:p>
    <w:p w14:paraId="390C4ECA" w14:textId="01AFF1C5" w:rsidR="00DD0F93" w:rsidRPr="001471B2" w:rsidRDefault="007732F5"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Phuyal, A., Ojha, P.K., </w:t>
      </w:r>
      <w:proofErr w:type="spellStart"/>
      <w:r w:rsidRPr="001471B2">
        <w:rPr>
          <w:rFonts w:ascii="Times New Roman" w:hAnsi="Times New Roman"/>
          <w:sz w:val="24"/>
          <w:szCs w:val="24"/>
        </w:rPr>
        <w:t>Guragain</w:t>
      </w:r>
      <w:proofErr w:type="spellEnd"/>
      <w:r w:rsidRPr="001471B2">
        <w:rPr>
          <w:rFonts w:ascii="Times New Roman" w:hAnsi="Times New Roman"/>
          <w:sz w:val="24"/>
          <w:szCs w:val="24"/>
        </w:rPr>
        <w:t xml:space="preserve">, B., &amp; Chaudhary, N.K. (2019). Phytochemical screening, metal concentration determination, antioxidant activity, and antibacterial evaluation of </w:t>
      </w:r>
      <w:proofErr w:type="spellStart"/>
      <w:r w:rsidRPr="001471B2">
        <w:rPr>
          <w:rFonts w:ascii="Times New Roman" w:hAnsi="Times New Roman"/>
          <w:sz w:val="24"/>
          <w:szCs w:val="24"/>
        </w:rPr>
        <w:t>Drymaria</w:t>
      </w:r>
      <w:proofErr w:type="spellEnd"/>
      <w:r w:rsidRPr="001471B2">
        <w:rPr>
          <w:rFonts w:ascii="Times New Roman" w:hAnsi="Times New Roman"/>
          <w:sz w:val="24"/>
          <w:szCs w:val="24"/>
        </w:rPr>
        <w:t xml:space="preserve"> </w:t>
      </w:r>
      <w:proofErr w:type="spellStart"/>
      <w:r w:rsidRPr="001471B2">
        <w:rPr>
          <w:rFonts w:ascii="Times New Roman" w:hAnsi="Times New Roman"/>
          <w:sz w:val="24"/>
          <w:szCs w:val="24"/>
        </w:rPr>
        <w:t>diandra</w:t>
      </w:r>
      <w:proofErr w:type="spellEnd"/>
      <w:r w:rsidRPr="001471B2">
        <w:rPr>
          <w:rFonts w:ascii="Times New Roman" w:hAnsi="Times New Roman"/>
          <w:sz w:val="24"/>
          <w:szCs w:val="24"/>
        </w:rPr>
        <w:t xml:space="preserve"> plant. Beni-</w:t>
      </w:r>
      <w:proofErr w:type="spellStart"/>
      <w:r w:rsidRPr="001471B2">
        <w:rPr>
          <w:rFonts w:ascii="Times New Roman" w:hAnsi="Times New Roman"/>
          <w:sz w:val="24"/>
          <w:szCs w:val="24"/>
        </w:rPr>
        <w:t>Suef</w:t>
      </w:r>
      <w:proofErr w:type="spellEnd"/>
      <w:r w:rsidRPr="001471B2">
        <w:rPr>
          <w:rFonts w:ascii="Times New Roman" w:hAnsi="Times New Roman"/>
          <w:sz w:val="24"/>
          <w:szCs w:val="24"/>
        </w:rPr>
        <w:t xml:space="preserve"> University Journal of Basic and Applied Sciences, 8, 16. </w:t>
      </w:r>
      <w:hyperlink r:id="rId51" w:history="1">
        <w:r w:rsidRPr="001471B2">
          <w:rPr>
            <w:rStyle w:val="Hyperlink"/>
            <w:rFonts w:ascii="Times New Roman" w:hAnsi="Times New Roman"/>
            <w:sz w:val="24"/>
            <w:szCs w:val="24"/>
          </w:rPr>
          <w:t>https://doi.org/10.1186/s43088-019-0020-1</w:t>
        </w:r>
      </w:hyperlink>
      <w:r w:rsidRPr="001471B2">
        <w:rPr>
          <w:rFonts w:ascii="Times New Roman" w:hAnsi="Times New Roman"/>
          <w:sz w:val="24"/>
          <w:szCs w:val="24"/>
        </w:rPr>
        <w:t xml:space="preserve"> </w:t>
      </w:r>
    </w:p>
    <w:p w14:paraId="28376ACF" w14:textId="77777777" w:rsidR="00DD0F93" w:rsidRPr="001471B2" w:rsidRDefault="004D0A17"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Raees, S., Afzal Shah, S., &amp; Karim, A. (2025). Stilbenes: Emerging Applications in Health, Agriculture, and Industry. </w:t>
      </w:r>
      <w:proofErr w:type="spellStart"/>
      <w:r w:rsidRPr="001471B2">
        <w:rPr>
          <w:rFonts w:ascii="Times New Roman" w:hAnsi="Times New Roman"/>
          <w:i/>
          <w:iCs/>
          <w:sz w:val="24"/>
          <w:szCs w:val="24"/>
        </w:rPr>
        <w:t>IntechOpen</w:t>
      </w:r>
      <w:proofErr w:type="spellEnd"/>
      <w:r w:rsidRPr="001471B2">
        <w:rPr>
          <w:rFonts w:ascii="Times New Roman" w:hAnsi="Times New Roman"/>
          <w:sz w:val="24"/>
          <w:szCs w:val="24"/>
        </w:rPr>
        <w:t>.</w:t>
      </w:r>
    </w:p>
    <w:p w14:paraId="71094F5A" w14:textId="63DE033F" w:rsidR="00DD0F93" w:rsidRPr="001471B2" w:rsidRDefault="007E14A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Hussain, M. S., Altamimi, A. S. A., Afzal, M., Almalki, W. H., Kazmi, I., </w:t>
      </w:r>
      <w:proofErr w:type="spellStart"/>
      <w:r w:rsidRPr="001471B2">
        <w:rPr>
          <w:rFonts w:ascii="Times New Roman" w:hAnsi="Times New Roman"/>
          <w:sz w:val="24"/>
          <w:szCs w:val="24"/>
        </w:rPr>
        <w:t>Alzarea</w:t>
      </w:r>
      <w:proofErr w:type="spellEnd"/>
      <w:r w:rsidRPr="001471B2">
        <w:rPr>
          <w:rFonts w:ascii="Times New Roman" w:hAnsi="Times New Roman"/>
          <w:sz w:val="24"/>
          <w:szCs w:val="24"/>
        </w:rPr>
        <w:t xml:space="preserve">, S. I., Gupta, G., Shahwan, M., Kukreti, N., Wong, L. S., Kumarasamy, V., &amp; Subramaniyan, V. (2024). Kaempferol: Paving the path for </w:t>
      </w:r>
      <w:r w:rsidRPr="001471B2">
        <w:rPr>
          <w:rFonts w:ascii="Times New Roman" w:hAnsi="Times New Roman"/>
          <w:sz w:val="24"/>
          <w:szCs w:val="24"/>
        </w:rPr>
        <w:lastRenderedPageBreak/>
        <w:t xml:space="preserve">advanced treatments in aging-related diseases. Experimental Gerontology, 188, 112389. </w:t>
      </w:r>
      <w:hyperlink r:id="rId52" w:history="1">
        <w:r w:rsidRPr="001471B2">
          <w:rPr>
            <w:rStyle w:val="Hyperlink"/>
            <w:rFonts w:ascii="Times New Roman" w:hAnsi="Times New Roman"/>
            <w:sz w:val="24"/>
            <w:szCs w:val="24"/>
          </w:rPr>
          <w:t>https://doi.org/10.1016/j.exger.2024.112389</w:t>
        </w:r>
      </w:hyperlink>
      <w:r w:rsidRPr="001471B2">
        <w:rPr>
          <w:rFonts w:ascii="Times New Roman" w:hAnsi="Times New Roman"/>
          <w:sz w:val="24"/>
          <w:szCs w:val="24"/>
        </w:rPr>
        <w:t xml:space="preserve"> </w:t>
      </w:r>
    </w:p>
    <w:p w14:paraId="0D362CD4" w14:textId="58ABD65C" w:rsidR="00DD0F93" w:rsidRPr="001471B2" w:rsidRDefault="0006528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Shen, N., Wang, T., Gan, Q., Liu, S., Wang, L., &amp; Jin, B. (2022). Plant flavonoids: Classification, distribution, biosynthesis, and antioxidant activity. Food Chemistry. </w:t>
      </w:r>
      <w:hyperlink r:id="rId53" w:history="1">
        <w:r w:rsidRPr="001471B2">
          <w:rPr>
            <w:rStyle w:val="Hyperlink"/>
            <w:rFonts w:ascii="Times New Roman" w:hAnsi="Times New Roman"/>
            <w:sz w:val="24"/>
            <w:szCs w:val="24"/>
          </w:rPr>
          <w:t>https://doi.org/10.1016/j.foodchem.2022.132531</w:t>
        </w:r>
      </w:hyperlink>
      <w:r w:rsidRPr="001471B2">
        <w:rPr>
          <w:rFonts w:ascii="Times New Roman" w:hAnsi="Times New Roman"/>
          <w:sz w:val="24"/>
          <w:szCs w:val="24"/>
        </w:rPr>
        <w:t xml:space="preserve"> </w:t>
      </w:r>
    </w:p>
    <w:p w14:paraId="726281AD" w14:textId="6FEF1C38" w:rsidR="00DD0F93" w:rsidRPr="001471B2" w:rsidRDefault="0006528B" w:rsidP="001471B2">
      <w:pPr>
        <w:tabs>
          <w:tab w:val="left" w:pos="720"/>
        </w:tabs>
        <w:spacing w:line="360" w:lineRule="auto"/>
        <w:jc w:val="both"/>
        <w:rPr>
          <w:rFonts w:ascii="Times New Roman" w:hAnsi="Times New Roman"/>
          <w:sz w:val="24"/>
          <w:szCs w:val="24"/>
        </w:rPr>
      </w:pPr>
      <w:r w:rsidRPr="001471B2">
        <w:rPr>
          <w:rFonts w:ascii="Times New Roman" w:hAnsi="Times New Roman" w:hint="eastAsia"/>
          <w:sz w:val="24"/>
          <w:szCs w:val="24"/>
        </w:rPr>
        <w:t xml:space="preserve">Singh, J. P., Kaur, A., </w:t>
      </w:r>
      <w:proofErr w:type="spellStart"/>
      <w:r w:rsidRPr="001471B2">
        <w:rPr>
          <w:rFonts w:ascii="Times New Roman" w:hAnsi="Times New Roman" w:hint="eastAsia"/>
          <w:sz w:val="24"/>
          <w:szCs w:val="24"/>
        </w:rPr>
        <w:t>Shevkani</w:t>
      </w:r>
      <w:proofErr w:type="spellEnd"/>
      <w:r w:rsidRPr="001471B2">
        <w:rPr>
          <w:rFonts w:ascii="Times New Roman" w:hAnsi="Times New Roman" w:hint="eastAsia"/>
          <w:sz w:val="24"/>
          <w:szCs w:val="24"/>
        </w:rPr>
        <w:t xml:space="preserve">, K., &amp; Singh, N. (2015). Influence of </w:t>
      </w:r>
      <w:proofErr w:type="spellStart"/>
      <w:r w:rsidRPr="001471B2">
        <w:rPr>
          <w:rFonts w:ascii="Times New Roman" w:hAnsi="Times New Roman" w:hint="eastAsia"/>
          <w:sz w:val="24"/>
          <w:szCs w:val="24"/>
        </w:rPr>
        <w:t>jambolan</w:t>
      </w:r>
      <w:proofErr w:type="spellEnd"/>
      <w:r w:rsidRPr="001471B2">
        <w:rPr>
          <w:rFonts w:ascii="Times New Roman" w:hAnsi="Times New Roman" w:hint="eastAsia"/>
          <w:sz w:val="24"/>
          <w:szCs w:val="24"/>
        </w:rPr>
        <w:t xml:space="preserve"> (</w:t>
      </w:r>
      <w:proofErr w:type="spellStart"/>
      <w:r w:rsidRPr="001471B2">
        <w:rPr>
          <w:rFonts w:ascii="Times New Roman" w:hAnsi="Times New Roman" w:hint="eastAsia"/>
          <w:sz w:val="24"/>
          <w:szCs w:val="24"/>
        </w:rPr>
        <w:t>Syzygium</w:t>
      </w:r>
      <w:proofErr w:type="spellEnd"/>
      <w:r w:rsidRPr="001471B2">
        <w:rPr>
          <w:rFonts w:ascii="Times New Roman" w:hAnsi="Times New Roman" w:hint="eastAsia"/>
          <w:sz w:val="24"/>
          <w:szCs w:val="24"/>
        </w:rPr>
        <w:t xml:space="preserve"> </w:t>
      </w:r>
      <w:proofErr w:type="spellStart"/>
      <w:r w:rsidRPr="001471B2">
        <w:rPr>
          <w:rFonts w:ascii="Times New Roman" w:hAnsi="Times New Roman" w:hint="eastAsia"/>
          <w:sz w:val="24"/>
          <w:szCs w:val="24"/>
        </w:rPr>
        <w:t>cumini</w:t>
      </w:r>
      <w:proofErr w:type="spellEnd"/>
      <w:r w:rsidRPr="001471B2">
        <w:rPr>
          <w:rFonts w:ascii="Times New Roman" w:hAnsi="Times New Roman" w:hint="eastAsia"/>
          <w:sz w:val="24"/>
          <w:szCs w:val="24"/>
        </w:rPr>
        <w:t>) and xanthan gum incorporation on the physicochemical, antioxidant and sensory properties of gluten</w:t>
      </w:r>
      <w:r w:rsidRPr="001471B2">
        <w:rPr>
          <w:rFonts w:ascii="Times New Roman" w:hAnsi="Times New Roman" w:hint="eastAsia"/>
          <w:sz w:val="24"/>
          <w:szCs w:val="24"/>
        </w:rPr>
        <w:t>‐</w:t>
      </w:r>
      <w:r w:rsidRPr="001471B2">
        <w:rPr>
          <w:rFonts w:ascii="Times New Roman" w:hAnsi="Times New Roman" w:hint="eastAsia"/>
          <w:sz w:val="24"/>
          <w:szCs w:val="24"/>
        </w:rPr>
        <w:t>free eggless rice muffins. International Journal of Food Sc</w:t>
      </w:r>
      <w:r w:rsidRPr="001471B2">
        <w:rPr>
          <w:rFonts w:ascii="Times New Roman" w:hAnsi="Times New Roman"/>
          <w:sz w:val="24"/>
          <w:szCs w:val="24"/>
        </w:rPr>
        <w:t xml:space="preserve">ience and Technology. </w:t>
      </w:r>
      <w:hyperlink r:id="rId54" w:history="1">
        <w:r w:rsidRPr="001471B2">
          <w:rPr>
            <w:rStyle w:val="Hyperlink"/>
            <w:rFonts w:ascii="Times New Roman" w:hAnsi="Times New Roman"/>
            <w:sz w:val="24"/>
            <w:szCs w:val="24"/>
          </w:rPr>
          <w:t>https://doi.org/10.1111/ijfs.12764</w:t>
        </w:r>
      </w:hyperlink>
      <w:r w:rsidRPr="001471B2">
        <w:rPr>
          <w:rFonts w:ascii="Times New Roman" w:hAnsi="Times New Roman"/>
          <w:sz w:val="24"/>
          <w:szCs w:val="24"/>
        </w:rPr>
        <w:t xml:space="preserve"> </w:t>
      </w:r>
    </w:p>
    <w:p w14:paraId="4815C0AF" w14:textId="04C22A2E" w:rsidR="00DD0F93" w:rsidRPr="001471B2" w:rsidRDefault="0078598F"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Swamy, M. K., &amp; Akhtar, M. S. (2019). Natural Bio-active Compounds: Chemistry, Pharmacology and Health Care Practices. Springer Nature Singapore Pte Ltd. </w:t>
      </w:r>
      <w:hyperlink r:id="rId55" w:history="1">
        <w:r w:rsidRPr="001471B2">
          <w:rPr>
            <w:rStyle w:val="Hyperlink"/>
            <w:rFonts w:ascii="Times New Roman" w:hAnsi="Times New Roman"/>
            <w:sz w:val="24"/>
            <w:szCs w:val="24"/>
          </w:rPr>
          <w:t>https://doi.org/10.1007/978-981-13-7205-6</w:t>
        </w:r>
      </w:hyperlink>
      <w:r w:rsidRPr="001471B2">
        <w:rPr>
          <w:rFonts w:ascii="Times New Roman" w:hAnsi="Times New Roman"/>
          <w:sz w:val="24"/>
          <w:szCs w:val="24"/>
        </w:rPr>
        <w:t xml:space="preserve"> </w:t>
      </w:r>
    </w:p>
    <w:p w14:paraId="058DD6B7" w14:textId="4ADF3B98" w:rsidR="00DD0F93" w:rsidRPr="001471B2" w:rsidRDefault="0080474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Hwang, T. H., Lee, J., Ha, D. S., Kim, H., Jin, G., Park, M. K., Kim, M., Yang, H. A., Kim, J., Kim, S. J., Han, T. S., Choi, Y., Woo, M., Bae, H. S., &amp; Lee, K. (2024). </w:t>
      </w:r>
      <w:proofErr w:type="spellStart"/>
      <w:r w:rsidRPr="001471B2">
        <w:rPr>
          <w:rFonts w:ascii="Times New Roman" w:hAnsi="Times New Roman"/>
          <w:sz w:val="24"/>
          <w:szCs w:val="24"/>
        </w:rPr>
        <w:t>Stilbenoid</w:t>
      </w:r>
      <w:proofErr w:type="spellEnd"/>
      <w:r w:rsidRPr="001471B2">
        <w:rPr>
          <w:rFonts w:ascii="Times New Roman" w:hAnsi="Times New Roman"/>
          <w:sz w:val="24"/>
          <w:szCs w:val="24"/>
        </w:rPr>
        <w:t xml:space="preserve"> derivatives as potent inhibitors of HIF-1α-centric cancer metabolism under hypoxia. Biomedicine &amp; Pharmacotherapy, 176, 116838. </w:t>
      </w:r>
      <w:hyperlink r:id="rId56" w:history="1">
        <w:r w:rsidRPr="001471B2">
          <w:rPr>
            <w:rStyle w:val="Hyperlink"/>
            <w:rFonts w:ascii="Times New Roman" w:hAnsi="Times New Roman"/>
            <w:sz w:val="24"/>
            <w:szCs w:val="24"/>
          </w:rPr>
          <w:t>https://doi.org/10.1016/j.biopha.2024.116838</w:t>
        </w:r>
      </w:hyperlink>
      <w:r w:rsidRPr="001471B2">
        <w:rPr>
          <w:rFonts w:ascii="Times New Roman" w:hAnsi="Times New Roman"/>
          <w:sz w:val="24"/>
          <w:szCs w:val="24"/>
        </w:rPr>
        <w:t xml:space="preserve"> </w:t>
      </w:r>
    </w:p>
    <w:p w14:paraId="2D72D57E" w14:textId="4B5E2026" w:rsidR="00DD0F93" w:rsidRPr="001471B2" w:rsidRDefault="004A6306" w:rsidP="001471B2">
      <w:pPr>
        <w:tabs>
          <w:tab w:val="left" w:pos="720"/>
        </w:tabs>
        <w:spacing w:line="360" w:lineRule="auto"/>
        <w:jc w:val="both"/>
        <w:rPr>
          <w:rFonts w:ascii="Times New Roman" w:hAnsi="Times New Roman"/>
          <w:sz w:val="24"/>
          <w:szCs w:val="24"/>
        </w:rPr>
      </w:pPr>
      <w:proofErr w:type="spellStart"/>
      <w:r w:rsidRPr="001471B2">
        <w:rPr>
          <w:rFonts w:ascii="Times New Roman" w:hAnsi="Times New Roman"/>
          <w:sz w:val="24"/>
          <w:szCs w:val="24"/>
        </w:rPr>
        <w:t>Vilahur</w:t>
      </w:r>
      <w:proofErr w:type="spellEnd"/>
      <w:r w:rsidRPr="001471B2">
        <w:rPr>
          <w:rFonts w:ascii="Times New Roman" w:hAnsi="Times New Roman"/>
          <w:sz w:val="24"/>
          <w:szCs w:val="24"/>
        </w:rPr>
        <w:t xml:space="preserve">, G., Padró, T., </w:t>
      </w:r>
      <w:proofErr w:type="spellStart"/>
      <w:r w:rsidRPr="001471B2">
        <w:rPr>
          <w:rFonts w:ascii="Times New Roman" w:hAnsi="Times New Roman"/>
          <w:sz w:val="24"/>
          <w:szCs w:val="24"/>
        </w:rPr>
        <w:t>Casaní</w:t>
      </w:r>
      <w:proofErr w:type="spellEnd"/>
      <w:r w:rsidRPr="001471B2">
        <w:rPr>
          <w:rFonts w:ascii="Times New Roman" w:hAnsi="Times New Roman"/>
          <w:sz w:val="24"/>
          <w:szCs w:val="24"/>
        </w:rPr>
        <w:t xml:space="preserve">, L., Mendieta, G., López, J. A., Streitenberger, S., &amp; </w:t>
      </w:r>
      <w:proofErr w:type="spellStart"/>
      <w:r w:rsidRPr="001471B2">
        <w:rPr>
          <w:rFonts w:ascii="Times New Roman" w:hAnsi="Times New Roman"/>
          <w:sz w:val="24"/>
          <w:szCs w:val="24"/>
        </w:rPr>
        <w:t>Badimon</w:t>
      </w:r>
      <w:proofErr w:type="spellEnd"/>
      <w:r w:rsidRPr="001471B2">
        <w:rPr>
          <w:rFonts w:ascii="Times New Roman" w:hAnsi="Times New Roman"/>
          <w:sz w:val="24"/>
          <w:szCs w:val="24"/>
        </w:rPr>
        <w:t>, L. (2019). Polyphenol-enriched diet prevents coronary endothelial dysfunction by activating the Akt/</w:t>
      </w:r>
      <w:proofErr w:type="spellStart"/>
      <w:r w:rsidRPr="001471B2">
        <w:rPr>
          <w:rFonts w:ascii="Times New Roman" w:hAnsi="Times New Roman"/>
          <w:sz w:val="24"/>
          <w:szCs w:val="24"/>
        </w:rPr>
        <w:t>eNOS</w:t>
      </w:r>
      <w:proofErr w:type="spellEnd"/>
      <w:r w:rsidRPr="001471B2">
        <w:rPr>
          <w:rFonts w:ascii="Times New Roman" w:hAnsi="Times New Roman"/>
          <w:sz w:val="24"/>
          <w:szCs w:val="24"/>
        </w:rPr>
        <w:t xml:space="preserve"> pathway. </w:t>
      </w:r>
      <w:proofErr w:type="spellStart"/>
      <w:r w:rsidRPr="001471B2">
        <w:rPr>
          <w:rFonts w:ascii="Times New Roman" w:hAnsi="Times New Roman"/>
          <w:sz w:val="24"/>
          <w:szCs w:val="24"/>
        </w:rPr>
        <w:t>Revista</w:t>
      </w:r>
      <w:proofErr w:type="spellEnd"/>
      <w:r w:rsidRPr="001471B2">
        <w:rPr>
          <w:rFonts w:ascii="Times New Roman" w:hAnsi="Times New Roman"/>
          <w:sz w:val="24"/>
          <w:szCs w:val="24"/>
        </w:rPr>
        <w:t xml:space="preserve"> Española de </w:t>
      </w:r>
      <w:proofErr w:type="spellStart"/>
      <w:r w:rsidRPr="001471B2">
        <w:rPr>
          <w:rFonts w:ascii="Times New Roman" w:hAnsi="Times New Roman"/>
          <w:sz w:val="24"/>
          <w:szCs w:val="24"/>
        </w:rPr>
        <w:t>Cardiología</w:t>
      </w:r>
      <w:proofErr w:type="spellEnd"/>
      <w:r w:rsidRPr="001471B2">
        <w:rPr>
          <w:rFonts w:ascii="Times New Roman" w:hAnsi="Times New Roman"/>
          <w:sz w:val="24"/>
          <w:szCs w:val="24"/>
        </w:rPr>
        <w:t xml:space="preserve"> (English Edition), 72(3), 229-237. </w:t>
      </w:r>
      <w:hyperlink r:id="rId57" w:history="1">
        <w:r w:rsidRPr="001471B2">
          <w:rPr>
            <w:rStyle w:val="Hyperlink"/>
            <w:rFonts w:ascii="Times New Roman" w:hAnsi="Times New Roman"/>
            <w:sz w:val="24"/>
            <w:szCs w:val="24"/>
          </w:rPr>
          <w:t>https://doi.org/10.1016/j.rec.2014.04.021</w:t>
        </w:r>
      </w:hyperlink>
      <w:r w:rsidRPr="001471B2">
        <w:rPr>
          <w:rFonts w:ascii="Times New Roman" w:hAnsi="Times New Roman"/>
          <w:sz w:val="24"/>
          <w:szCs w:val="24"/>
        </w:rPr>
        <w:t xml:space="preserve"> </w:t>
      </w:r>
    </w:p>
    <w:p w14:paraId="2975004B" w14:textId="14678717" w:rsidR="00DD0F93" w:rsidRPr="001471B2" w:rsidRDefault="001254F7"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Lewis, W. (2023). The Role of Steroids in Clinical Practice: Benefits, Risks, and Considerations for Therapeutic Use. Annals of Clinical Trials and Vaccines Research, 13(4), 128–131. </w:t>
      </w:r>
      <w:hyperlink r:id="rId58" w:history="1">
        <w:r w:rsidRPr="001471B2">
          <w:rPr>
            <w:rStyle w:val="Hyperlink"/>
            <w:rFonts w:ascii="Times New Roman" w:hAnsi="Times New Roman"/>
            <w:sz w:val="24"/>
            <w:szCs w:val="24"/>
          </w:rPr>
          <w:t>https://doi.org/10.37532/ACTVR.2023.13(4).128-131</w:t>
        </w:r>
      </w:hyperlink>
      <w:r w:rsidRPr="001471B2">
        <w:rPr>
          <w:rFonts w:ascii="Times New Roman" w:hAnsi="Times New Roman"/>
          <w:sz w:val="24"/>
          <w:szCs w:val="24"/>
        </w:rPr>
        <w:t xml:space="preserve"> </w:t>
      </w:r>
    </w:p>
    <w:p w14:paraId="0898F599" w14:textId="0EAEE0D0" w:rsidR="00DD0F93" w:rsidRPr="001471B2" w:rsidRDefault="005E0D6D"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Wylie, M. R., &amp; Merrell, D. S. (2022). The antimicrobial potential of the neem tree </w:t>
      </w:r>
      <w:proofErr w:type="spellStart"/>
      <w:r w:rsidRPr="001471B2">
        <w:rPr>
          <w:rFonts w:ascii="Times New Roman" w:hAnsi="Times New Roman"/>
          <w:sz w:val="24"/>
          <w:szCs w:val="24"/>
        </w:rPr>
        <w:t>Azadirachta</w:t>
      </w:r>
      <w:proofErr w:type="spellEnd"/>
      <w:r w:rsidRPr="001471B2">
        <w:rPr>
          <w:rFonts w:ascii="Times New Roman" w:hAnsi="Times New Roman"/>
          <w:sz w:val="24"/>
          <w:szCs w:val="24"/>
        </w:rPr>
        <w:t xml:space="preserve"> indica. Frontiers in Pharmacology, 13, 891535. </w:t>
      </w:r>
      <w:hyperlink r:id="rId59" w:history="1">
        <w:r w:rsidRPr="001471B2">
          <w:rPr>
            <w:rStyle w:val="Hyperlink"/>
            <w:rFonts w:ascii="Times New Roman" w:hAnsi="Times New Roman"/>
            <w:sz w:val="24"/>
            <w:szCs w:val="24"/>
          </w:rPr>
          <w:t>https://doi.org/10.3389/fphar.2022.891535</w:t>
        </w:r>
      </w:hyperlink>
      <w:r w:rsidRPr="001471B2">
        <w:rPr>
          <w:rFonts w:ascii="Times New Roman" w:hAnsi="Times New Roman"/>
          <w:sz w:val="24"/>
          <w:szCs w:val="24"/>
        </w:rPr>
        <w:t xml:space="preserve"> </w:t>
      </w:r>
      <w:r w:rsidR="004D0A17" w:rsidRPr="001471B2">
        <w:rPr>
          <w:rFonts w:ascii="Times New Roman" w:hAnsi="Times New Roman"/>
          <w:sz w:val="24"/>
          <w:szCs w:val="24"/>
        </w:rPr>
        <w:t xml:space="preserve"> </w:t>
      </w:r>
    </w:p>
    <w:p w14:paraId="6F129278" w14:textId="435CEA73" w:rsidR="00DD0F93" w:rsidRPr="001471B2" w:rsidRDefault="005B4F38"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t xml:space="preserve">Xu, D. P., Li, Y., Meng, X., Zhou, T., Zhou, Y., Zheng, J., Zhang, J. J., &amp; Li, H. B. (2017). Natural Antioxidants in Foods and Medicinal Plants: Extraction, Assessment and Resources. International Journal of Molecular Sciences, 18(1), 96. </w:t>
      </w:r>
      <w:hyperlink r:id="rId60" w:history="1">
        <w:r w:rsidRPr="001471B2">
          <w:rPr>
            <w:rStyle w:val="Hyperlink"/>
            <w:rFonts w:ascii="Times New Roman" w:hAnsi="Times New Roman"/>
            <w:sz w:val="24"/>
            <w:szCs w:val="24"/>
          </w:rPr>
          <w:t>https://doi.org/10.3390/ijms18010096</w:t>
        </w:r>
      </w:hyperlink>
      <w:r w:rsidRPr="001471B2">
        <w:rPr>
          <w:rFonts w:ascii="Times New Roman" w:hAnsi="Times New Roman"/>
          <w:sz w:val="24"/>
          <w:szCs w:val="24"/>
        </w:rPr>
        <w:t xml:space="preserve"> </w:t>
      </w:r>
    </w:p>
    <w:bookmarkEnd w:id="5"/>
    <w:p w14:paraId="368A0606" w14:textId="3B19FAE5" w:rsidR="00DD0F93" w:rsidRPr="001471B2" w:rsidRDefault="0007667B" w:rsidP="001471B2">
      <w:pPr>
        <w:tabs>
          <w:tab w:val="left" w:pos="720"/>
        </w:tabs>
        <w:spacing w:line="360" w:lineRule="auto"/>
        <w:jc w:val="both"/>
        <w:rPr>
          <w:rFonts w:ascii="Times New Roman" w:hAnsi="Times New Roman"/>
          <w:sz w:val="24"/>
          <w:szCs w:val="24"/>
        </w:rPr>
      </w:pPr>
      <w:r w:rsidRPr="001471B2">
        <w:rPr>
          <w:rFonts w:ascii="Times New Roman" w:hAnsi="Times New Roman"/>
          <w:sz w:val="24"/>
          <w:szCs w:val="24"/>
        </w:rPr>
        <w:lastRenderedPageBreak/>
        <w:t xml:space="preserve">Zhang, Z. L., Luo, Z. L., Shi, H. W., Zhang, L. X., &amp; Ma, X. J. (2017). Research advance of functional plant pharmaceutical cycloartenol about pharmacological and physiological activity. </w:t>
      </w:r>
      <w:proofErr w:type="spellStart"/>
      <w:r w:rsidRPr="001471B2">
        <w:rPr>
          <w:rFonts w:ascii="Times New Roman" w:hAnsi="Times New Roman"/>
          <w:sz w:val="24"/>
          <w:szCs w:val="24"/>
        </w:rPr>
        <w:t>Zhongguo</w:t>
      </w:r>
      <w:proofErr w:type="spellEnd"/>
      <w:r w:rsidRPr="001471B2">
        <w:rPr>
          <w:rFonts w:ascii="Times New Roman" w:hAnsi="Times New Roman"/>
          <w:sz w:val="24"/>
          <w:szCs w:val="24"/>
        </w:rPr>
        <w:t xml:space="preserve"> Zhong Yao Za Zhi, 42(3), 433–437. </w:t>
      </w:r>
      <w:hyperlink r:id="rId61" w:history="1">
        <w:r w:rsidRPr="001471B2">
          <w:rPr>
            <w:rStyle w:val="Hyperlink"/>
            <w:rFonts w:ascii="Times New Roman" w:hAnsi="Times New Roman"/>
            <w:sz w:val="24"/>
            <w:szCs w:val="24"/>
          </w:rPr>
          <w:t>https://doi.org/10.19540/j.cnki.cjcmm.20161222.066</w:t>
        </w:r>
      </w:hyperlink>
      <w:r w:rsidRPr="001471B2">
        <w:rPr>
          <w:rFonts w:ascii="Times New Roman" w:hAnsi="Times New Roman"/>
          <w:sz w:val="24"/>
          <w:szCs w:val="24"/>
        </w:rPr>
        <w:t xml:space="preserve"> </w:t>
      </w:r>
    </w:p>
    <w:p w14:paraId="6815D48A" w14:textId="77777777" w:rsidR="00DD0F93" w:rsidRDefault="00DD0F93">
      <w:pPr>
        <w:tabs>
          <w:tab w:val="left" w:pos="90"/>
        </w:tabs>
        <w:spacing w:line="360" w:lineRule="auto"/>
        <w:rPr>
          <w:rFonts w:ascii="Times New Roman" w:hAnsi="Times New Roman"/>
          <w:b/>
          <w:sz w:val="24"/>
          <w:szCs w:val="24"/>
        </w:rPr>
      </w:pPr>
    </w:p>
    <w:sectPr w:rsidR="00DD0F93">
      <w:headerReference w:type="even" r:id="rId62"/>
      <w:headerReference w:type="default" r:id="rId63"/>
      <w:footerReference w:type="even" r:id="rId64"/>
      <w:footerReference w:type="default" r:id="rId65"/>
      <w:headerReference w:type="first" r:id="rId66"/>
      <w:footerReference w:type="first" r:id="rId67"/>
      <w:pgSz w:w="12240" w:h="15840"/>
      <w:pgMar w:top="1440" w:right="72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AMU SABA" w:date="2026-01-01T14:12:00Z" w:initials="AS">
    <w:p w14:paraId="7EF749D6" w14:textId="1DCFB5D8" w:rsidR="00DE21A4" w:rsidRDefault="00DE21A4">
      <w:pPr>
        <w:pStyle w:val="CommentText"/>
      </w:pPr>
      <w:r>
        <w:rPr>
          <w:rStyle w:val="CommentReference"/>
        </w:rPr>
        <w:annotationRef/>
      </w:r>
      <w:r>
        <w:t>Statement of the resea</w:t>
      </w:r>
      <w:r w:rsidR="00330941">
        <w:t xml:space="preserve">rch problem not clearly stated: state the </w:t>
      </w:r>
      <w:proofErr w:type="gramStart"/>
      <w:r w:rsidR="00330941">
        <w:t>problem  and</w:t>
      </w:r>
      <w:proofErr w:type="gramEnd"/>
      <w:r w:rsidR="00330941">
        <w:t xml:space="preserve"> research gap of the study.</w:t>
      </w:r>
    </w:p>
  </w:comment>
  <w:comment w:id="2" w:author="ADAMU SABA" w:date="2026-01-01T13:43:00Z" w:initials="AS">
    <w:p w14:paraId="38B16ADE" w14:textId="1CB73680" w:rsidR="00B4169F" w:rsidRPr="00B4169F" w:rsidRDefault="00B4169F">
      <w:pPr>
        <w:pStyle w:val="CommentText"/>
        <w:rPr>
          <w:i/>
          <w:iCs/>
        </w:rPr>
      </w:pPr>
      <w:r w:rsidRPr="00B4169F">
        <w:rPr>
          <w:rStyle w:val="CommentReference"/>
          <w:i/>
          <w:iCs/>
        </w:rPr>
        <w:annotationRef/>
      </w:r>
      <w:r>
        <w:rPr>
          <w:i/>
          <w:iCs/>
        </w:rPr>
        <w:t xml:space="preserve"> </w:t>
      </w:r>
      <w:proofErr w:type="spellStart"/>
      <w:r w:rsidRPr="00B4169F">
        <w:t>Italized</w:t>
      </w:r>
      <w:proofErr w:type="spellEnd"/>
      <w:r>
        <w:rPr>
          <w:i/>
          <w:iCs/>
        </w:rPr>
        <w:t xml:space="preserve">: </w:t>
      </w:r>
      <w:r w:rsidRPr="00B4169F">
        <w:rPr>
          <w:i/>
          <w:iCs/>
        </w:rPr>
        <w:t> </w:t>
      </w:r>
      <w:proofErr w:type="spellStart"/>
      <w:r w:rsidRPr="00B4169F">
        <w:rPr>
          <w:i/>
          <w:iCs/>
        </w:rPr>
        <w:t>Azadirachta</w:t>
      </w:r>
      <w:proofErr w:type="spellEnd"/>
      <w:r w:rsidRPr="00B4169F">
        <w:rPr>
          <w:i/>
          <w:iCs/>
        </w:rPr>
        <w:t xml:space="preserve"> indica </w:t>
      </w:r>
    </w:p>
  </w:comment>
  <w:comment w:id="3" w:author="ADAMU SABA" w:date="2026-01-01T13:51:00Z" w:initials="AS">
    <w:p w14:paraId="6F7C0C07" w14:textId="72D97EB6" w:rsidR="00B4169F" w:rsidRDefault="00B4169F">
      <w:pPr>
        <w:pStyle w:val="CommentText"/>
      </w:pPr>
      <w:r>
        <w:rPr>
          <w:rStyle w:val="CommentReference"/>
        </w:rPr>
        <w:annotationRef/>
      </w:r>
      <w:r>
        <w:t xml:space="preserve">Full </w:t>
      </w:r>
      <w:proofErr w:type="gramStart"/>
      <w:r>
        <w:t>stop .</w:t>
      </w:r>
      <w:proofErr w:type="gramEnd"/>
    </w:p>
  </w:comment>
  <w:comment w:id="4" w:author="ADAMU SABA" w:date="2026-01-01T14:01:00Z" w:initials="AS">
    <w:p w14:paraId="36396D79" w14:textId="0C9E29FC" w:rsidR="008C7CCE" w:rsidRDefault="008C7CCE">
      <w:pPr>
        <w:pStyle w:val="CommentText"/>
      </w:pPr>
      <w:r>
        <w:rPr>
          <w:rStyle w:val="CommentReference"/>
        </w:rPr>
        <w:annotationRef/>
      </w:r>
      <w:r>
        <w:rPr>
          <w:rStyle w:val="CommentReference"/>
        </w:rPr>
        <w:t>Follow the journal reference stri</w:t>
      </w:r>
      <w:r w:rsidR="00DE21A4">
        <w:rPr>
          <w:rStyle w:val="CommentReference"/>
        </w:rPr>
        <w:t>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749D6" w15:done="0"/>
  <w15:commentEx w15:paraId="38B16ADE" w15:done="0"/>
  <w15:commentEx w15:paraId="6F7C0C07" w15:done="0"/>
  <w15:commentEx w15:paraId="36396D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B2CEBD" w16cex:dateUtc="2026-01-01T13:12:00Z"/>
  <w16cex:commentExtensible w16cex:durableId="1B87FF62" w16cex:dateUtc="2026-01-01T12:43:00Z"/>
  <w16cex:commentExtensible w16cex:durableId="1011BF8A" w16cex:dateUtc="2026-01-01T12:51:00Z"/>
  <w16cex:commentExtensible w16cex:durableId="577C9CBC" w16cex:dateUtc="2026-01-01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749D6" w16cid:durableId="17B2CEBD"/>
  <w16cid:commentId w16cid:paraId="38B16ADE" w16cid:durableId="1B87FF62"/>
  <w16cid:commentId w16cid:paraId="6F7C0C07" w16cid:durableId="1011BF8A"/>
  <w16cid:commentId w16cid:paraId="36396D79" w16cid:durableId="577C9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D217" w14:textId="77777777" w:rsidR="007B3868" w:rsidRDefault="007B3868">
      <w:pPr>
        <w:spacing w:after="0" w:line="240" w:lineRule="auto"/>
      </w:pPr>
      <w:r>
        <w:separator/>
      </w:r>
    </w:p>
  </w:endnote>
  <w:endnote w:type="continuationSeparator" w:id="0">
    <w:p w14:paraId="4F2EBE51" w14:textId="77777777" w:rsidR="007B3868" w:rsidRDefault="007B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BD7" w14:textId="77777777" w:rsidR="00947483" w:rsidRDefault="0094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D94" w14:textId="77777777" w:rsidR="00DD0F93" w:rsidRDefault="004D0A17">
    <w:pPr>
      <w:pStyle w:val="Footer"/>
      <w:jc w:val="center"/>
    </w:pPr>
    <w:r>
      <w:fldChar w:fldCharType="begin"/>
    </w:r>
    <w:r>
      <w:instrText xml:space="preserve"> PAGE   \* MERGEFORMAT </w:instrText>
    </w:r>
    <w:r>
      <w:fldChar w:fldCharType="separate"/>
    </w:r>
    <w:r>
      <w:rPr>
        <w:noProof/>
      </w:rPr>
      <w:t>12</w:t>
    </w:r>
    <w:r>
      <w:fldChar w:fldCharType="end"/>
    </w:r>
  </w:p>
  <w:p w14:paraId="347065EC" w14:textId="77777777" w:rsidR="00DD0F93" w:rsidRDefault="00DD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EED" w14:textId="77777777" w:rsidR="00947483" w:rsidRDefault="00947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C259" w14:textId="77777777" w:rsidR="007B3868" w:rsidRDefault="007B3868">
      <w:pPr>
        <w:spacing w:after="0" w:line="240" w:lineRule="auto"/>
      </w:pPr>
      <w:r>
        <w:separator/>
      </w:r>
    </w:p>
  </w:footnote>
  <w:footnote w:type="continuationSeparator" w:id="0">
    <w:p w14:paraId="038DD38D" w14:textId="77777777" w:rsidR="007B3868" w:rsidRDefault="007B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7811" w14:textId="5B58CBBD" w:rsidR="00947483" w:rsidRDefault="00000000">
    <w:pPr>
      <w:pStyle w:val="Header"/>
    </w:pPr>
    <w:r>
      <w:rPr>
        <w:noProof/>
      </w:rPr>
      <w:pict w14:anchorId="6CB44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2" o:spid="_x0000_s1026" type="#_x0000_t136" style="position:absolute;margin-left:0;margin-top:0;width:630.45pt;height:118.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8072" w14:textId="6B872797" w:rsidR="00947483" w:rsidRDefault="00000000">
    <w:pPr>
      <w:pStyle w:val="Header"/>
    </w:pPr>
    <w:r>
      <w:rPr>
        <w:noProof/>
      </w:rPr>
      <w:pict w14:anchorId="52B7A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3" o:spid="_x0000_s1027" type="#_x0000_t136" style="position:absolute;margin-left:0;margin-top:0;width:630.45pt;height:118.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C5A4" w14:textId="134FE281" w:rsidR="00947483" w:rsidRDefault="00000000">
    <w:pPr>
      <w:pStyle w:val="Header"/>
    </w:pPr>
    <w:r>
      <w:rPr>
        <w:noProof/>
      </w:rPr>
      <w:pict w14:anchorId="0269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633171" o:spid="_x0000_s1025" type="#_x0000_t136" style="position:absolute;margin-left:0;margin-top:0;width:630.45pt;height:118.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9C47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527E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C84A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47C7A"/>
    <w:multiLevelType w:val="hybridMultilevel"/>
    <w:tmpl w:val="80A24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E0EDF"/>
    <w:multiLevelType w:val="hybridMultilevel"/>
    <w:tmpl w:val="5A585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5510972">
    <w:abstractNumId w:val="1"/>
  </w:num>
  <w:num w:numId="2" w16cid:durableId="1228414418">
    <w:abstractNumId w:val="2"/>
  </w:num>
  <w:num w:numId="3" w16cid:durableId="1955089289">
    <w:abstractNumId w:val="0"/>
  </w:num>
  <w:num w:numId="4" w16cid:durableId="808403504">
    <w:abstractNumId w:val="3"/>
  </w:num>
  <w:num w:numId="5" w16cid:durableId="12102681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U SABA">
    <w15:presenceInfo w15:providerId="None" w15:userId="ADAMU S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0F93"/>
    <w:rsid w:val="00062021"/>
    <w:rsid w:val="0006528B"/>
    <w:rsid w:val="0007667B"/>
    <w:rsid w:val="00095CE3"/>
    <w:rsid w:val="000D522A"/>
    <w:rsid w:val="001254F7"/>
    <w:rsid w:val="001471B2"/>
    <w:rsid w:val="0017730D"/>
    <w:rsid w:val="001808CC"/>
    <w:rsid w:val="001943A3"/>
    <w:rsid w:val="001D0D75"/>
    <w:rsid w:val="002124ED"/>
    <w:rsid w:val="00216788"/>
    <w:rsid w:val="002C6C52"/>
    <w:rsid w:val="003143CD"/>
    <w:rsid w:val="00330941"/>
    <w:rsid w:val="003A51FB"/>
    <w:rsid w:val="00466C27"/>
    <w:rsid w:val="004A6306"/>
    <w:rsid w:val="004C4162"/>
    <w:rsid w:val="004D0A17"/>
    <w:rsid w:val="004D335D"/>
    <w:rsid w:val="005B4F38"/>
    <w:rsid w:val="005D24D4"/>
    <w:rsid w:val="005E0D6D"/>
    <w:rsid w:val="00692147"/>
    <w:rsid w:val="006C1DB9"/>
    <w:rsid w:val="006F2586"/>
    <w:rsid w:val="007275DF"/>
    <w:rsid w:val="00747D2F"/>
    <w:rsid w:val="007732F5"/>
    <w:rsid w:val="0078598F"/>
    <w:rsid w:val="007B3868"/>
    <w:rsid w:val="007E14AD"/>
    <w:rsid w:val="0080474D"/>
    <w:rsid w:val="0086665A"/>
    <w:rsid w:val="00874F6C"/>
    <w:rsid w:val="008C7CCE"/>
    <w:rsid w:val="00941EDE"/>
    <w:rsid w:val="00947483"/>
    <w:rsid w:val="00983F07"/>
    <w:rsid w:val="009B7D0F"/>
    <w:rsid w:val="009F079E"/>
    <w:rsid w:val="00A94B40"/>
    <w:rsid w:val="00B17002"/>
    <w:rsid w:val="00B4169F"/>
    <w:rsid w:val="00C740E5"/>
    <w:rsid w:val="00CE08E7"/>
    <w:rsid w:val="00CF230F"/>
    <w:rsid w:val="00D030EF"/>
    <w:rsid w:val="00D212F2"/>
    <w:rsid w:val="00DD0F93"/>
    <w:rsid w:val="00DD1333"/>
    <w:rsid w:val="00DE21A4"/>
    <w:rsid w:val="00F30A46"/>
    <w:rsid w:val="00F96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6B033"/>
  <w15:docId w15:val="{A3DBE9E2-9B66-4E10-B339-0C82D6EC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table" w:styleId="TableGrid">
    <w:name w:val="Table Grid"/>
    <w:basedOn w:val="TableNormal"/>
    <w:uiPriority w:val="59"/>
    <w:pPr>
      <w:spacing w:after="0" w:line="240" w:lineRule="auto"/>
    </w:pPr>
    <w:rPr>
      <w:rFonts w:eastAsia="SimSu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740E5"/>
    <w:rPr>
      <w:color w:val="605E5C"/>
      <w:shd w:val="clear" w:color="auto" w:fill="E1DFDD"/>
    </w:rPr>
  </w:style>
  <w:style w:type="character" w:styleId="CommentReference">
    <w:name w:val="annotation reference"/>
    <w:basedOn w:val="DefaultParagraphFont"/>
    <w:uiPriority w:val="99"/>
    <w:semiHidden/>
    <w:unhideWhenUsed/>
    <w:rsid w:val="00B4169F"/>
    <w:rPr>
      <w:sz w:val="16"/>
      <w:szCs w:val="16"/>
    </w:rPr>
  </w:style>
  <w:style w:type="paragraph" w:styleId="CommentText">
    <w:name w:val="annotation text"/>
    <w:basedOn w:val="Normal"/>
    <w:link w:val="CommentTextChar"/>
    <w:uiPriority w:val="99"/>
    <w:semiHidden/>
    <w:unhideWhenUsed/>
    <w:rsid w:val="00B4169F"/>
    <w:pPr>
      <w:spacing w:line="240" w:lineRule="auto"/>
    </w:pPr>
    <w:rPr>
      <w:sz w:val="20"/>
      <w:szCs w:val="20"/>
    </w:rPr>
  </w:style>
  <w:style w:type="character" w:customStyle="1" w:styleId="CommentTextChar">
    <w:name w:val="Comment Text Char"/>
    <w:basedOn w:val="DefaultParagraphFont"/>
    <w:link w:val="CommentText"/>
    <w:uiPriority w:val="99"/>
    <w:semiHidden/>
    <w:rsid w:val="00B4169F"/>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4169F"/>
    <w:rPr>
      <w:b/>
      <w:bCs/>
    </w:rPr>
  </w:style>
  <w:style w:type="character" w:customStyle="1" w:styleId="CommentSubjectChar">
    <w:name w:val="Comment Subject Char"/>
    <w:basedOn w:val="CommentTextChar"/>
    <w:link w:val="CommentSubject"/>
    <w:uiPriority w:val="99"/>
    <w:semiHidden/>
    <w:rsid w:val="00B4169F"/>
    <w:rPr>
      <w:rFonts w:eastAsia="SimSu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South-Asia" TargetMode="External"/><Relationship Id="rId18" Type="http://schemas.openxmlformats.org/officeDocument/2006/relationships/image" Target="media/image2.png"/><Relationship Id="rId26" Type="http://schemas.openxmlformats.org/officeDocument/2006/relationships/image" Target="media/image10.jpeg"/><Relationship Id="rId39" Type="http://schemas.openxmlformats.org/officeDocument/2006/relationships/hyperlink" Target="https://doi.org/10.1016/B978-0-12-823944-5.00002-8" TargetMode="External"/><Relationship Id="rId21" Type="http://schemas.openxmlformats.org/officeDocument/2006/relationships/image" Target="media/image5.png"/><Relationship Id="rId34" Type="http://schemas.openxmlformats.org/officeDocument/2006/relationships/hyperlink" Target="https://doi.org/10.1016/j.biopha.2023.114866" TargetMode="External"/><Relationship Id="rId42" Type="http://schemas.openxmlformats.org/officeDocument/2006/relationships/hyperlink" Target="https://doi.org/10.1016/j.fbio.2020.100751" TargetMode="External"/><Relationship Id="rId47" Type="http://schemas.openxmlformats.org/officeDocument/2006/relationships/hyperlink" Target="https://doi.org/10.3390/plants10071355" TargetMode="External"/><Relationship Id="rId50" Type="http://schemas.openxmlformats.org/officeDocument/2006/relationships/hyperlink" Target="https://doi.org/10.31248/AJCR2025.012" TargetMode="External"/><Relationship Id="rId55" Type="http://schemas.openxmlformats.org/officeDocument/2006/relationships/hyperlink" Target="https://doi.org/10.1007/978-981-13-7205-6"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britannica.com/topic/organic-farming" TargetMode="External"/><Relationship Id="rId29" Type="http://schemas.openxmlformats.org/officeDocument/2006/relationships/hyperlink" Target="https://doi.org/10.3390/ijms19030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plant/tree" TargetMode="External"/><Relationship Id="rId24" Type="http://schemas.openxmlformats.org/officeDocument/2006/relationships/image" Target="media/image8.png"/><Relationship Id="rId32" Type="http://schemas.openxmlformats.org/officeDocument/2006/relationships/hyperlink" Target="https://doi.org/10.1186/s12906-018-2114-z" TargetMode="External"/><Relationship Id="rId37" Type="http://schemas.openxmlformats.org/officeDocument/2006/relationships/hyperlink" Target="https://doi.org/10.1016/j.focha.2024.100712" TargetMode="External"/><Relationship Id="rId40" Type="http://schemas.openxmlformats.org/officeDocument/2006/relationships/hyperlink" Target="https://doi.org/10.3390/antiox12061263" TargetMode="External"/><Relationship Id="rId45" Type="http://schemas.openxmlformats.org/officeDocument/2006/relationships/hyperlink" Target="https://doi.org/10.4103/0974-8490.69128" TargetMode="External"/><Relationship Id="rId53" Type="http://schemas.openxmlformats.org/officeDocument/2006/relationships/hyperlink" Target="https://doi.org/10.1016/j.foodchem.2022.132531" TargetMode="External"/><Relationship Id="rId58" Type="http://schemas.openxmlformats.org/officeDocument/2006/relationships/hyperlink" Target="https://doi.org/10.37532/ACTVR.2023.13(4).128-131" TargetMode="External"/><Relationship Id="rId66"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ritannica.com/art/cosmetic" TargetMode="External"/><Relationship Id="rId23" Type="http://schemas.openxmlformats.org/officeDocument/2006/relationships/image" Target="media/image7.png"/><Relationship Id="rId28" Type="http://schemas.openxmlformats.org/officeDocument/2006/relationships/hyperlink" Target="https://doi.org/10.3390/biom10020221" TargetMode="External"/><Relationship Id="rId36" Type="http://schemas.openxmlformats.org/officeDocument/2006/relationships/hyperlink" Target="https://www.elsevier.com/books/protocols-in-biochemistry-and-clinical-biochemistry/pandey/978-0-12-822007-8" TargetMode="External"/><Relationship Id="rId49" Type="http://schemas.openxmlformats.org/officeDocument/2006/relationships/hyperlink" Target="https://doi.org/10.4314/gjpas.v8i1.16332" TargetMode="External"/><Relationship Id="rId57" Type="http://schemas.openxmlformats.org/officeDocument/2006/relationships/hyperlink" Target="https://doi.org/10.1016/j.rec.2014.04.021" TargetMode="External"/><Relationship Id="rId61" Type="http://schemas.openxmlformats.org/officeDocument/2006/relationships/hyperlink" Target="https://doi.org/10.19540/j.cnki.cjcmm.20161222.066" TargetMode="External"/><Relationship Id="rId10" Type="http://schemas.microsoft.com/office/2018/08/relationships/commentsExtensible" Target="commentsExtensible.xml"/><Relationship Id="rId19" Type="http://schemas.openxmlformats.org/officeDocument/2006/relationships/image" Target="media/image3.png"/><Relationship Id="rId31" Type="http://schemas.openxmlformats.org/officeDocument/2006/relationships/hyperlink" Target="https://doi.org/10.1371/journal.pone.0300060" TargetMode="External"/><Relationship Id="rId44" Type="http://schemas.openxmlformats.org/officeDocument/2006/relationships/hyperlink" Target="https://doi.org/10.26574/maedica.2019.14.4.350" TargetMode="External"/><Relationship Id="rId52" Type="http://schemas.openxmlformats.org/officeDocument/2006/relationships/hyperlink" Target="https://doi.org/10.1016/j.exger.2024.112389" TargetMode="External"/><Relationship Id="rId60" Type="http://schemas.openxmlformats.org/officeDocument/2006/relationships/hyperlink" Target="https://doi.org/10.3390/ijms18010096" TargetMode="External"/><Relationship Id="rId65"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britannica.com/science/Ayurveda" TargetMode="Externa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hyperlink" Target="https://doi.org/10.26538/tjpps/v3i2.1" TargetMode="External"/><Relationship Id="rId35" Type="http://schemas.openxmlformats.org/officeDocument/2006/relationships/hyperlink" Target="https://doi.org/10.1186/s41702-020-00058-w" TargetMode="External"/><Relationship Id="rId43" Type="http://schemas.openxmlformats.org/officeDocument/2006/relationships/hyperlink" Target="https://doi.org/10.1016/j.jff.2020.104171" TargetMode="External"/><Relationship Id="rId48" Type="http://schemas.openxmlformats.org/officeDocument/2006/relationships/hyperlink" Target="https://doi.org/10.12980/APJTB.4.201414B295" TargetMode="External"/><Relationship Id="rId56" Type="http://schemas.openxmlformats.org/officeDocument/2006/relationships/hyperlink" Target="https://doi.org/10.1016/j.biopha.2024.116838" TargetMode="External"/><Relationship Id="rId64" Type="http://schemas.openxmlformats.org/officeDocument/2006/relationships/footer" Target="footer1.xml"/><Relationship Id="rId69"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doi.org/10.1186/s43088-019-0020-1" TargetMode="External"/><Relationship Id="rId3" Type="http://schemas.openxmlformats.org/officeDocument/2006/relationships/settings" Target="settings.xml"/><Relationship Id="rId12" Type="http://schemas.openxmlformats.org/officeDocument/2006/relationships/hyperlink" Target="https://www.britannica.com/place/Indian-subcontinent"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hyperlink" Target="https://doi.org/10.1155/2016/7382506" TargetMode="External"/><Relationship Id="rId38" Type="http://schemas.openxmlformats.org/officeDocument/2006/relationships/hyperlink" Target="https://www.jocpr.com/articles/JCPRC5-2015-7-4-219-225.pdf" TargetMode="External"/><Relationship Id="rId46" Type="http://schemas.openxmlformats.org/officeDocument/2006/relationships/hyperlink" Target="https://doi.org/10.3390/ijms25073774" TargetMode="External"/><Relationship Id="rId59" Type="http://schemas.openxmlformats.org/officeDocument/2006/relationships/hyperlink" Target="https://doi.org/10.3389/fphar.2022.891535" TargetMode="External"/><Relationship Id="rId67" Type="http://schemas.openxmlformats.org/officeDocument/2006/relationships/footer" Target="footer3.xml"/><Relationship Id="rId20" Type="http://schemas.openxmlformats.org/officeDocument/2006/relationships/image" Target="media/image4.png"/><Relationship Id="rId41" Type="http://schemas.openxmlformats.org/officeDocument/2006/relationships/hyperlink" Target="https://doi.org/10.15835/nsb12110541" TargetMode="External"/><Relationship Id="rId54" Type="http://schemas.openxmlformats.org/officeDocument/2006/relationships/hyperlink" Target="https://doi.org/10.1111/ijfs.12764" TargetMode="External"/><Relationship Id="rId62" Type="http://schemas.openxmlformats.org/officeDocument/2006/relationships/header" Target="header1.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ADAMU SABA</cp:lastModifiedBy>
  <cp:revision>48</cp:revision>
  <dcterms:created xsi:type="dcterms:W3CDTF">2025-11-28T05:07:00Z</dcterms:created>
  <dcterms:modified xsi:type="dcterms:W3CDTF">2026-01-01T13:42:00Z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748c656ac1194f4fb45247d1df7b306c</vt:lpwstr>
  </property>
</Properties>
</file>