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20F03" w14:textId="77777777" w:rsidR="00976B94" w:rsidRDefault="00976B94" w:rsidP="00441B6F">
      <w:pPr>
        <w:pStyle w:val="Author"/>
        <w:spacing w:line="240" w:lineRule="auto"/>
        <w:rPr>
          <w:rFonts w:ascii="Arial" w:hAnsi="Arial" w:cs="Arial"/>
          <w:bCs/>
          <w:iCs/>
          <w:kern w:val="28"/>
          <w:sz w:val="36"/>
        </w:rPr>
      </w:pPr>
      <w:proofErr w:type="spellStart"/>
      <w:r w:rsidRPr="00976B94">
        <w:rPr>
          <w:rFonts w:ascii="Arial" w:hAnsi="Arial" w:cs="Arial"/>
          <w:bCs/>
          <w:iCs/>
          <w:kern w:val="28"/>
          <w:sz w:val="36"/>
        </w:rPr>
        <w:t>Symphoxanthone</w:t>
      </w:r>
      <w:proofErr w:type="spellEnd"/>
      <w:r w:rsidRPr="00976B94">
        <w:rPr>
          <w:rFonts w:ascii="Arial" w:hAnsi="Arial" w:cs="Arial"/>
          <w:bCs/>
          <w:iCs/>
          <w:kern w:val="28"/>
          <w:sz w:val="36"/>
        </w:rPr>
        <w:t xml:space="preserve"> and </w:t>
      </w:r>
      <w:proofErr w:type="spellStart"/>
      <w:r w:rsidRPr="00976B94">
        <w:rPr>
          <w:rFonts w:ascii="Arial" w:hAnsi="Arial" w:cs="Arial"/>
          <w:bCs/>
          <w:iCs/>
          <w:kern w:val="28"/>
          <w:sz w:val="36"/>
        </w:rPr>
        <w:t>Celibixanthone</w:t>
      </w:r>
      <w:proofErr w:type="spellEnd"/>
      <w:r w:rsidRPr="00976B94">
        <w:rPr>
          <w:rFonts w:ascii="Arial" w:hAnsi="Arial" w:cs="Arial"/>
          <w:bCs/>
          <w:iCs/>
          <w:kern w:val="28"/>
          <w:sz w:val="36"/>
        </w:rPr>
        <w:t xml:space="preserve"> as COVID Spike Protein </w:t>
      </w:r>
      <w:commentRangeStart w:id="0"/>
      <w:r w:rsidRPr="00976B94">
        <w:rPr>
          <w:rFonts w:ascii="Arial" w:hAnsi="Arial" w:cs="Arial"/>
          <w:bCs/>
          <w:iCs/>
          <w:kern w:val="28"/>
          <w:sz w:val="36"/>
        </w:rPr>
        <w:t>inhibitors</w:t>
      </w:r>
      <w:commentRangeEnd w:id="0"/>
      <w:r w:rsidR="00F272CA">
        <w:rPr>
          <w:rStyle w:val="CommentReference"/>
          <w:rFonts w:ascii="Times New Roman" w:hAnsi="Times New Roman"/>
          <w:b w:val="0"/>
          <w:lang w:val="nb-NO" w:eastAsia="nb-NO"/>
        </w:rPr>
        <w:commentReference w:id="0"/>
      </w:r>
      <w:r w:rsidRPr="00976B94">
        <w:rPr>
          <w:rFonts w:ascii="Arial" w:hAnsi="Arial" w:cs="Arial"/>
          <w:bCs/>
          <w:iCs/>
          <w:kern w:val="28"/>
          <w:sz w:val="36"/>
        </w:rPr>
        <w:t xml:space="preserve"> using Molecular Docking, MM GBSA, and Molecular Dynamics Studies</w:t>
      </w:r>
    </w:p>
    <w:p w14:paraId="47E8AFB3" w14:textId="77777777" w:rsidR="00976B94" w:rsidRDefault="00976B94" w:rsidP="00441B6F">
      <w:pPr>
        <w:pStyle w:val="Author"/>
        <w:spacing w:line="240" w:lineRule="auto"/>
        <w:rPr>
          <w:rFonts w:ascii="Arial" w:hAnsi="Arial" w:cs="Arial"/>
          <w:bCs/>
          <w:iCs/>
          <w:kern w:val="28"/>
          <w:sz w:val="36"/>
        </w:rPr>
      </w:pPr>
    </w:p>
    <w:p w14:paraId="6758A2BA" w14:textId="77777777" w:rsidR="00976B94" w:rsidRDefault="00976B94" w:rsidP="00441B6F">
      <w:pPr>
        <w:pStyle w:val="Author"/>
        <w:spacing w:line="240" w:lineRule="auto"/>
        <w:rPr>
          <w:rFonts w:ascii="Arial" w:hAnsi="Arial" w:cs="Arial"/>
          <w:bCs/>
          <w:iCs/>
          <w:kern w:val="28"/>
          <w:sz w:val="36"/>
        </w:rPr>
      </w:pPr>
    </w:p>
    <w:p w14:paraId="23700456" w14:textId="4A461AA6" w:rsidR="00B01FCD" w:rsidRPr="00FB3A86" w:rsidRDefault="002B6670" w:rsidP="00441B6F">
      <w:pPr>
        <w:pStyle w:val="Copyright"/>
        <w:spacing w:after="0" w:line="240" w:lineRule="auto"/>
        <w:jc w:val="both"/>
        <w:rPr>
          <w:rFonts w:ascii="Arial" w:hAnsi="Arial" w:cs="Arial"/>
        </w:rPr>
        <w:sectPr w:rsidR="00B01FCD" w:rsidRPr="00FB3A86" w:rsidSect="00681543">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1FD6D4C3" wp14:editId="3B586C78">
                <wp:extent cx="5303520" cy="635"/>
                <wp:effectExtent l="13335" t="17145" r="17145" b="11430"/>
                <wp:docPr id="2328087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18E7B7B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6uJQIAAEQ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5JuriUCAABE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1B63173C" w14:textId="0F54762B" w:rsidR="00B01FCD" w:rsidRDefault="00B01FCD" w:rsidP="00441B6F">
      <w:pPr>
        <w:pStyle w:val="AbstHead"/>
        <w:spacing w:after="0"/>
        <w:jc w:val="both"/>
        <w:rPr>
          <w:rFonts w:ascii="Arial" w:hAnsi="Arial" w:cs="Arial"/>
        </w:rPr>
      </w:pPr>
      <w:r w:rsidRPr="00FB3A86">
        <w:rPr>
          <w:rFonts w:ascii="Arial" w:hAnsi="Arial" w:cs="Arial"/>
        </w:rPr>
        <w:t>ABSTRACT</w:t>
      </w:r>
    </w:p>
    <w:p w14:paraId="437F10E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DB4D22A" w14:textId="77777777" w:rsidTr="001E44FE">
        <w:tc>
          <w:tcPr>
            <w:tcW w:w="9576" w:type="dxa"/>
            <w:shd w:val="clear" w:color="auto" w:fill="F2F2F2"/>
          </w:tcPr>
          <w:p w14:paraId="0A3C1315" w14:textId="6C1B33EB" w:rsidR="00505F06" w:rsidRPr="00F063C4" w:rsidRDefault="00976B94" w:rsidP="00976B94">
            <w:pPr>
              <w:jc w:val="both"/>
            </w:pPr>
            <w:r>
              <w:t>The COVID-19 pandemic posed an unprecedented global health challenge, leading to the rapid development of vaccines and antiviral drugs that substantially reduced disease-related mortality. Nevertheless, conventional synthetic drug discovery remains time-consuming and is often associated with adverse effects, prompting interest in alternative therapeutic strategies based on natural products. One viable antiviral approach involves inhibiting angiotensin-converting enzyme 2 (ACE2), the primary host receptor that mediates SARS-CoV-2 entry through interaction with the receptor-binding domain (RBD) of the viral spike protein. In this study, we aimed to identify potential phytochemical inhibitors of ACE2 that could serve as pre-COVID antiviral candidates. Molecular docking was performed using standard precision (SP) and extra precision (XP) protocols, with nelfinavir, hydroxychloroquine, nirmatrelvir, and Paxlovid employed as reference drugs approved by the United States Food and Drug Administration. The binding free energy was estimated using MM-GBSA calculations. The ACE2 structure was extracted from the ACE2</w:t>
            </w:r>
            <w:r w:rsidR="008416DA">
              <w:t>-</w:t>
            </w:r>
            <w:r>
              <w:t>RBD complex (PDB ID: 6M0J) by removing the viral RBD before docking. The most promising ligand</w:t>
            </w:r>
            <w:r w:rsidR="008416DA">
              <w:t>-</w:t>
            </w:r>
            <w:r>
              <w:t>receptor complexes were further evaluated through 100 ns molecular dynamics simulations. Structural stability and conformational behavior were assessed using root-mean-square deviation (RMSD), root-mean-square fluctuation (RMSF), and radius of gyration (</w:t>
            </w:r>
            <w:proofErr w:type="spellStart"/>
            <w:r>
              <w:t>Rg</w:t>
            </w:r>
            <w:proofErr w:type="spellEnd"/>
            <w:r>
              <w:t>) analyses. The results indicated that the phytochemicals NP#0158 (</w:t>
            </w:r>
            <w:proofErr w:type="spellStart"/>
            <w:r>
              <w:t>Symphoxanthone</w:t>
            </w:r>
            <w:proofErr w:type="spellEnd"/>
            <w:r>
              <w:t>) and NP#0157 (</w:t>
            </w:r>
            <w:proofErr w:type="spellStart"/>
            <w:r>
              <w:t>Celibixanthone</w:t>
            </w:r>
            <w:proofErr w:type="spellEnd"/>
            <w:r>
              <w:t xml:space="preserve">) exhibited favorable docking scores, binding free energies, and stable interaction profiles comparable to hydroxychloroquine. These findings suggest that </w:t>
            </w:r>
            <w:proofErr w:type="spellStart"/>
            <w:r>
              <w:t>Symphoxanthone</w:t>
            </w:r>
            <w:proofErr w:type="spellEnd"/>
            <w:r>
              <w:t xml:space="preserve"> and </w:t>
            </w:r>
            <w:proofErr w:type="spellStart"/>
            <w:r>
              <w:t>Celibixanthone</w:t>
            </w:r>
            <w:proofErr w:type="spellEnd"/>
            <w:r>
              <w:t xml:space="preserve"> may serve as promising natural-product-based ACE2 inhibitors and warrant further experimental validation as potential antiviral agents against SARS-CoV-2.</w:t>
            </w:r>
          </w:p>
        </w:tc>
      </w:tr>
    </w:tbl>
    <w:p w14:paraId="5CEF5E50" w14:textId="77777777" w:rsidR="00636EB2" w:rsidRDefault="00636EB2" w:rsidP="00441B6F">
      <w:pPr>
        <w:pStyle w:val="Body"/>
        <w:spacing w:after="0"/>
        <w:rPr>
          <w:rFonts w:ascii="Arial" w:hAnsi="Arial" w:cs="Arial"/>
          <w:i/>
        </w:rPr>
      </w:pPr>
    </w:p>
    <w:p w14:paraId="660200B9" w14:textId="5E01E336" w:rsidR="00F063C4" w:rsidRDefault="00A24E7E" w:rsidP="00441B6F">
      <w:pPr>
        <w:pStyle w:val="Body"/>
        <w:spacing w:after="0"/>
        <w:rPr>
          <w:rFonts w:ascii="Arial" w:hAnsi="Arial" w:cs="Arial"/>
          <w:i/>
        </w:rPr>
      </w:pPr>
      <w:r w:rsidRPr="00F063C4">
        <w:rPr>
          <w:rFonts w:ascii="Arial" w:hAnsi="Arial" w:cs="Arial"/>
          <w:b/>
          <w:bCs/>
          <w:i/>
        </w:rPr>
        <w:t>Keywords:</w:t>
      </w:r>
      <w:r>
        <w:rPr>
          <w:rFonts w:ascii="Arial" w:hAnsi="Arial" w:cs="Arial"/>
          <w:i/>
        </w:rPr>
        <w:t xml:space="preserve"> </w:t>
      </w:r>
      <w:r w:rsidR="00976B94" w:rsidRPr="00976B94">
        <w:rPr>
          <w:rFonts w:ascii="Arial" w:hAnsi="Arial" w:cs="Arial"/>
          <w:i/>
        </w:rPr>
        <w:t>COVID-19</w:t>
      </w:r>
      <w:r w:rsidR="00976B94">
        <w:rPr>
          <w:rFonts w:ascii="Arial" w:hAnsi="Arial" w:cs="Arial"/>
          <w:i/>
        </w:rPr>
        <w:t>,</w:t>
      </w:r>
      <w:r w:rsidR="00976B94" w:rsidRPr="00976B94">
        <w:rPr>
          <w:rFonts w:ascii="Arial" w:hAnsi="Arial" w:cs="Arial"/>
          <w:i/>
        </w:rPr>
        <w:t xml:space="preserve"> ACE2 inhibition</w:t>
      </w:r>
      <w:r w:rsidR="00976B94">
        <w:rPr>
          <w:rFonts w:ascii="Arial" w:hAnsi="Arial" w:cs="Arial"/>
          <w:i/>
        </w:rPr>
        <w:t>,</w:t>
      </w:r>
      <w:r w:rsidR="00976B94" w:rsidRPr="00976B94">
        <w:rPr>
          <w:rFonts w:ascii="Arial" w:hAnsi="Arial" w:cs="Arial"/>
          <w:i/>
        </w:rPr>
        <w:t xml:space="preserve"> </w:t>
      </w:r>
      <w:r w:rsidR="00976B94">
        <w:rPr>
          <w:rFonts w:ascii="Arial" w:hAnsi="Arial" w:cs="Arial"/>
          <w:i/>
        </w:rPr>
        <w:t xml:space="preserve">Phytochemicals, </w:t>
      </w:r>
      <w:r w:rsidR="00976B94" w:rsidRPr="00976B94">
        <w:rPr>
          <w:rFonts w:ascii="Arial" w:hAnsi="Arial" w:cs="Arial"/>
          <w:i/>
        </w:rPr>
        <w:t>antiviral drug discovery</w:t>
      </w:r>
      <w:r w:rsidR="00976B94">
        <w:rPr>
          <w:rFonts w:ascii="Arial" w:hAnsi="Arial" w:cs="Arial"/>
          <w:i/>
        </w:rPr>
        <w:t>,</w:t>
      </w:r>
      <w:r w:rsidR="00976B94" w:rsidRPr="00976B94">
        <w:rPr>
          <w:rFonts w:ascii="Arial" w:hAnsi="Arial" w:cs="Arial"/>
          <w:i/>
        </w:rPr>
        <w:t xml:space="preserve"> </w:t>
      </w:r>
      <w:proofErr w:type="spellStart"/>
      <w:r w:rsidR="00976B94" w:rsidRPr="00976B94">
        <w:rPr>
          <w:rFonts w:ascii="Arial" w:hAnsi="Arial" w:cs="Arial"/>
          <w:i/>
        </w:rPr>
        <w:t>Symphoxanthone</w:t>
      </w:r>
      <w:proofErr w:type="spellEnd"/>
      <w:r w:rsidR="00976B94">
        <w:rPr>
          <w:rFonts w:ascii="Arial" w:hAnsi="Arial" w:cs="Arial"/>
          <w:i/>
        </w:rPr>
        <w:t>,</w:t>
      </w:r>
      <w:r w:rsidR="00976B94" w:rsidRPr="00976B94">
        <w:rPr>
          <w:rFonts w:ascii="Arial" w:hAnsi="Arial" w:cs="Arial"/>
          <w:i/>
        </w:rPr>
        <w:t xml:space="preserve"> </w:t>
      </w:r>
      <w:commentRangeStart w:id="1"/>
      <w:proofErr w:type="spellStart"/>
      <w:r w:rsidR="00976B94" w:rsidRPr="00976B94">
        <w:rPr>
          <w:rFonts w:ascii="Arial" w:hAnsi="Arial" w:cs="Arial"/>
          <w:i/>
        </w:rPr>
        <w:t>Celibixanthone</w:t>
      </w:r>
      <w:commentRangeEnd w:id="1"/>
      <w:proofErr w:type="spellEnd"/>
      <w:r w:rsidR="00A8380D">
        <w:rPr>
          <w:rStyle w:val="CommentReference"/>
          <w:rFonts w:ascii="Times New Roman" w:hAnsi="Times New Roman"/>
          <w:lang w:val="nb-NO" w:eastAsia="nb-NO"/>
        </w:rPr>
        <w:commentReference w:id="1"/>
      </w:r>
    </w:p>
    <w:p w14:paraId="551B66D7" w14:textId="77777777" w:rsidR="00F063C4" w:rsidRDefault="00F063C4">
      <w:pPr>
        <w:rPr>
          <w:rFonts w:ascii="Arial" w:hAnsi="Arial" w:cs="Arial"/>
          <w:i/>
        </w:rPr>
      </w:pPr>
      <w:r>
        <w:rPr>
          <w:rFonts w:ascii="Arial" w:hAnsi="Arial" w:cs="Arial"/>
          <w:i/>
        </w:rPr>
        <w:br w:type="page"/>
      </w:r>
    </w:p>
    <w:p w14:paraId="3BC4A86F" w14:textId="20234A2D" w:rsidR="007F7B32" w:rsidRPr="00A41442" w:rsidRDefault="00902823" w:rsidP="00A41442">
      <w:pPr>
        <w:tabs>
          <w:tab w:val="left" w:pos="720"/>
        </w:tabs>
        <w:jc w:val="both"/>
        <w:rPr>
          <w:rFonts w:ascii="Arial" w:hAnsi="Arial" w:cs="Arial"/>
          <w:b/>
          <w:sz w:val="22"/>
          <w:szCs w:val="22"/>
        </w:rPr>
      </w:pPr>
      <w:r w:rsidRPr="00A41442">
        <w:rPr>
          <w:rFonts w:ascii="Arial" w:hAnsi="Arial" w:cs="Arial"/>
          <w:b/>
          <w:sz w:val="22"/>
          <w:szCs w:val="22"/>
        </w:rPr>
        <w:lastRenderedPageBreak/>
        <w:t>1.</w:t>
      </w:r>
      <w:r w:rsidR="00A41442">
        <w:rPr>
          <w:rFonts w:ascii="Arial" w:hAnsi="Arial" w:cs="Arial"/>
          <w:b/>
          <w:sz w:val="22"/>
          <w:szCs w:val="22"/>
        </w:rPr>
        <w:tab/>
      </w:r>
      <w:r w:rsidR="00B01FCD" w:rsidRPr="00A41442">
        <w:rPr>
          <w:rFonts w:ascii="Arial" w:hAnsi="Arial" w:cs="Arial"/>
          <w:b/>
          <w:sz w:val="22"/>
          <w:szCs w:val="22"/>
        </w:rPr>
        <w:t>INTRODUCTION</w:t>
      </w:r>
    </w:p>
    <w:p w14:paraId="708302D3" w14:textId="75CCCD75" w:rsidR="00976B94" w:rsidRPr="00976B94" w:rsidRDefault="00976B94" w:rsidP="00976B94">
      <w:pPr>
        <w:jc w:val="both"/>
        <w:rPr>
          <w:rFonts w:ascii="Arial" w:hAnsi="Arial" w:cs="Arial"/>
        </w:rPr>
      </w:pPr>
      <w:r w:rsidRPr="00976B94">
        <w:rPr>
          <w:rFonts w:ascii="Arial" w:hAnsi="Arial" w:cs="Arial"/>
        </w:rPr>
        <w:t>Coronavirus disease 2019 (COVID-19), caused by the severe acute respiratory syndrome coronavirus 2 (SARS-CoV-2), was first reported in Wuhan, China, in December 2019 and rapidly evolved into a global pandemic within a few years</w:t>
      </w:r>
      <w:r w:rsidR="0008283F">
        <w:rPr>
          <w:rFonts w:ascii="Arial" w:hAnsi="Arial" w:cs="Arial"/>
        </w:rPr>
        <w:fldChar w:fldCharType="begin"/>
      </w:r>
      <w:r w:rsidR="0008283F">
        <w:rPr>
          <w:rFonts w:ascii="Arial" w:hAnsi="Arial" w:cs="Arial"/>
        </w:rPr>
        <w:instrText xml:space="preserve"> ADDIN ZOTERO_ITEM CSL_CITATION {"citationID":"b1iRyNfb","properties":{"formattedCitation":"\\super 1\\nosupersub{}","plainCitation":"1","noteIndex":0},"citationItems":[{"id":31,"uris":["http://zotero.org/users/local/j3TeDIoM/items/TDSNTALF"],"itemData":{"id":31,"type":"article-journal","abstract":"Antiviral treatments targeting the coronavirus disease 2019 are urgently required. We screened a panel of already approved drugs in a cell culture model of severe acute respiratory syndrome coronavirus 2 (SARS-CoV-2) and identiﬁed two new agents having higher antiviral potentials than the drug candidates such as remdesivir and chroloquine in VeroE6/TMPRSS2 cells: the antiinﬂammatory drug cepharanthine and human immunodeﬁciency virus protease inhibitor nelﬁnavir. Cepharanthine inhibited SARS-CoV-2 entry through the blocking of viral binding to target cells, while nelﬁnavir suppressed viral replication partly by protease inhibition. Consistent with their different modes of action, synergistic effect of this combined treatment to limit SARS-CoV-2 proliferation was highlighted. Mathematical modeling in vitro antiviral activity coupled with the calculated total drug concentrations in the lung predicts that nelﬁnavir will shorten the period until viral clearance by 4.9 days and the combining cepharanthine/nelﬁnavir enhanced their predicted efﬁcacy. These results warrant further evaluation of the potential anti-SARS-CoV-2 activity of cepharanthine and nelﬁnavir.","container-title":"iScience","DOI":"10.1016/j.isci.2021.102367","ISSN":"25890042","issue":"4","journalAbbreviation":"iScience","language":"en","page":"102367","source":"DOI.org (Crossref)","title":"Potential anti-COVID-19 agents, cepharanthine and nelfinavir, and their usage for combination treatment","volume":"24","author":[{"family":"Ohashi","given":"Hirofumi"},{"family":"Watashi","given":"Koichi"},{"family":"Saso","given":"Wakana"},{"family":"Shionoya","given":"Kaho"},{"family":"Iwanami","given":"Shoya"},{"family":"Hirokawa","given":"Takatsugu"},{"family":"Shirai","given":"Tsuyoshi"},{"family":"Kanaya","given":"Shigehiko"},{"family":"Ito","given":"Yusuke"},{"family":"Kim","given":"Kwang Su"},{"family":"Nomura","given":"Takao"},{"family":"Suzuki","given":"Tateki"},{"family":"Nishioka","given":"Kazane"},{"family":"Ando","given":"Shuji"},{"family":"Ejima","given":"Keisuke"},{"family":"Koizumi","given":"Yoshiki"},{"family":"Tanaka","given":"Tomohiro"},{"family":"Aoki","given":"Shin"},{"family":"Kuramochi","given":"Kouji"},{"family":"Suzuki","given":"Tadaki"},{"family":"Hashiguchi","given":"Takao"},{"family":"Maenaka","given":"Katsumi"},{"family":"Matano","given":"Tetsuro"},{"family":"Muramatsu","given":"Masamichi"},{"family":"Saijo","given":"Masayuki"},{"family":"Aihara","given":"Kazuyuki"},{"family":"Iwami","given":"Shingo"},{"family":"Takeda","given":"Makoto"},{"family":"McKeating","given":"Jane A."},{"family":"Wakita","given":"Takaji"}],"issued":{"date-parts":[["2021",4]]}}}],"schema":"https://github.com/citation-style-language/schema/raw/master/csl-citation.json"} </w:instrText>
      </w:r>
      <w:r w:rsidR="0008283F">
        <w:rPr>
          <w:rFonts w:ascii="Arial" w:hAnsi="Arial" w:cs="Arial"/>
        </w:rPr>
        <w:fldChar w:fldCharType="separate"/>
      </w:r>
      <w:r w:rsidR="0008283F" w:rsidRPr="0008283F">
        <w:rPr>
          <w:rFonts w:ascii="Arial" w:hAnsi="Arial" w:cs="Arial"/>
          <w:szCs w:val="24"/>
          <w:vertAlign w:val="superscript"/>
        </w:rPr>
        <w:t>1</w:t>
      </w:r>
      <w:r w:rsidR="0008283F">
        <w:rPr>
          <w:rFonts w:ascii="Arial" w:hAnsi="Arial" w:cs="Arial"/>
        </w:rPr>
        <w:fldChar w:fldCharType="end"/>
      </w:r>
      <w:r w:rsidRPr="00976B94">
        <w:rPr>
          <w:rFonts w:ascii="Arial" w:hAnsi="Arial" w:cs="Arial"/>
        </w:rPr>
        <w:t>. According to global epidemiological reports, more than 760 million confirmed cases and approximately 6.8 million deaths were recorded worldwide, highlighting the unprecedented impact of this outbreak. The emergence of multiple variants of concern, including Alpha (UK), Beta (South African), Gamma (Brazilian), Delta (Indian), and Omicron, significantly altered the transmissibility, virulence, and clinical outcomes of the disease. SARS-CoV-2 infection primarily affects the respiratory tract, leading to symptoms ranging from mild respiratory distress to acute respiratory failure. Severe cases are frequently associated with multiorgan dysfunction, including cardiovascular complications, renal impairment, and exacerbation of non-communicable diseases</w:t>
      </w:r>
      <w:r w:rsidR="00455080">
        <w:rPr>
          <w:rFonts w:ascii="Arial" w:hAnsi="Arial" w:cs="Arial"/>
        </w:rPr>
        <w:fldChar w:fldCharType="begin"/>
      </w:r>
      <w:r w:rsidR="00455080">
        <w:rPr>
          <w:rFonts w:ascii="Arial" w:hAnsi="Arial" w:cs="Arial"/>
        </w:rPr>
        <w:instrText xml:space="preserve"> ADDIN ZOTERO_ITEM CSL_CITATION {"citationID":"UraJ0fYp","properties":{"formattedCitation":"\\super 2,3\\nosupersub{}","plainCitation":"2,3","noteIndex":0},"citationItems":[{"id":150,"uris":["http://zotero.org/users/local/j3TeDIoM/items/SWLLNSYF"],"itemData":{"id":150,"type":"article-journal","abstract":"Background: The severe acute respiratory syndrome-2019 has affected more than 190 million people around the world and caused severe crises throughout the globe. Due to rapid mutation in the viral genome, its became important to simultaneously improvise the host immunity while targeting viral proteins to reduce the severity of infection.","container-title":"Journal of Traditional and Complementary Medicine","DOI":"10.1016/j.jtcme.2021.09.001","ISSN":"22254110","issue":"1","journalAbbreviation":"Journal of Traditional and Complementary Medicine","language":"en","page":"90-99","source":"DOI.org (Crossref)","title":"The dual role of phytochemicals on SARS-CoV-2 inhibition by targeting host and viral proteins","volume":"12","author":[{"family":"Singh","given":"Prakrity"},{"family":"Chauhan","given":"Shweta Singh"},{"family":"Pandit","given":"Shraddha"},{"family":"Sinha","given":"Meetali"},{"family":"Gupta","given":"Shristee"},{"family":"Gupta","given":"Anshika"},{"family":"Parthasarathi","given":"Ramakrishnan"}],"issued":{"date-parts":[["2022",1]]}}},{"id":82,"uris":["http://zotero.org/users/local/j3TeDIoM/items/9H525S65"],"itemData":{"id":82,"type":"article-journal","abstract":"Background: In 2003, the first case of severe acute respiratory syndrome coronavirus (SARS-CoV) was recorded. Coronaviruses (CoVs) have caused a major outbreak of human fatal pneumonia. Currently, there is no specific drug or treatment for diseases caused by SARS CoV 2. Computational approach that adopts dynamic models is widely accepted as indispensable tool in drug design but yet to be exploited in covid-19 in Zaria, Nigeria. In this study, steps were taken to advance on the successful achievements in the field of covid-19 drug, with the aid of in silico drug design technique, to create novel inhibitor drug candidates with better activity. In this study, one thousand human immunodeficiency virus (HIV1) antiviral chemical compounds from www.bindingBD.org were docked on the SARS CoV 2 main protease protein data bank identification number 6XBH (PDB ID: 6XBH) and the molecular docking score were ranked in order to identify the compounds with the highest inhibitory effects, and easy selection for future studies.\nResults: The docking studies showed some interesting results. Inhibitors with Index numbers 331, 741, and 819 had the highest binding affinity. Similarly, inhibitors with Index number 441, 847, and 46 had the lowest hydrogen bond energy. Inhibitor with index number 331 was reported with the lowest value (− 48.38kCal/mol). Five new compounds were designed from the selected six (6) compounds with the best binding score giving a total of thirty (30) novel compounds. The low binding energy of inhibitor with index no. 847b is unique, as most of the interaction energies are of H-bond type with amino acids (Thr26, Gly143, Ser144, Cys145, Glu166, Gln189, Hie164, Met49, Thr26, Thr25, Thr190, Asn142, Met165) resulting in an overall negative value (−16.31 kCal/mol) making it the best of all the newly designed inhibitors.\nConclusions: The novel inhibitor is 2-(2-(5-amino-2-((((3-aminobenzyl)oxy)carbonyl)amino)-5-oxopentanamido)-4(2-(tert-butyl)-4-oxo-4-(pentan-3-ylamino) butanamido)-3-hydroxybutyl) benzoic acid. The improvement it has over the parent inhibitor is from the primary amine group attached to meta position of first benzene ring and the carboxyl group attached to the ortho position of the second benzene ring. The molecular dynamics studies also show that the novel inhibitor remains stable after the study. This result makes it a better drug candidate against SARS CoV 2 main protease when compared with the co-crystallized inhibitor or any of the 1000 docked inhibitors.","container-title":"Bulletin of the National Research Centre","DOI":"10.1186/s42269-022-00892-z","ISSN":"2522-8307","issue":"1","journalAbbreviation":"Bull Natl Res Cent","language":"en","page":"210","source":"DOI.org (Crossref)","title":"Computational drug design of novel COVID-19 inhibitor","volume":"46","author":[{"family":"Arthur","given":"David Ebuka"},{"family":"Elegbe","given":"Benjamin Osebi"},{"family":"Aroh","given":"Augustina Oyibo"},{"family":"Soliman","given":"Mahmoud"}],"issued":{"date-parts":[["2022",12]]}}}],"schema":"https://github.com/citation-style-language/schema/raw/master/csl-citation.json"} </w:instrText>
      </w:r>
      <w:r w:rsidR="00455080">
        <w:rPr>
          <w:rFonts w:ascii="Arial" w:hAnsi="Arial" w:cs="Arial"/>
        </w:rPr>
        <w:fldChar w:fldCharType="separate"/>
      </w:r>
      <w:r w:rsidR="00455080" w:rsidRPr="00455080">
        <w:rPr>
          <w:rFonts w:ascii="Arial" w:hAnsi="Arial" w:cs="Arial"/>
          <w:szCs w:val="24"/>
          <w:vertAlign w:val="superscript"/>
        </w:rPr>
        <w:t>2,3</w:t>
      </w:r>
      <w:r w:rsidR="00455080">
        <w:rPr>
          <w:rFonts w:ascii="Arial" w:hAnsi="Arial" w:cs="Arial"/>
        </w:rPr>
        <w:fldChar w:fldCharType="end"/>
      </w:r>
      <w:r w:rsidRPr="00976B94">
        <w:rPr>
          <w:rFonts w:ascii="Arial" w:hAnsi="Arial" w:cs="Arial"/>
        </w:rPr>
        <w:t>.</w:t>
      </w:r>
    </w:p>
    <w:p w14:paraId="6D1040E0" w14:textId="77777777" w:rsidR="00976B94" w:rsidRPr="00976B94" w:rsidRDefault="00976B94" w:rsidP="00976B94">
      <w:pPr>
        <w:jc w:val="both"/>
        <w:rPr>
          <w:rFonts w:ascii="Arial" w:hAnsi="Arial" w:cs="Arial"/>
        </w:rPr>
      </w:pPr>
    </w:p>
    <w:p w14:paraId="2395C4B1" w14:textId="6FD953D9"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1.1.</w:t>
      </w:r>
      <w:r>
        <w:rPr>
          <w:rFonts w:ascii="Arial" w:hAnsi="Arial" w:cs="Arial"/>
          <w:b/>
          <w:sz w:val="22"/>
          <w:szCs w:val="22"/>
        </w:rPr>
        <w:tab/>
      </w:r>
      <w:r w:rsidR="00976B94" w:rsidRPr="00872751">
        <w:rPr>
          <w:rFonts w:ascii="Arial" w:hAnsi="Arial" w:cs="Arial"/>
          <w:b/>
          <w:sz w:val="22"/>
          <w:szCs w:val="22"/>
        </w:rPr>
        <w:t>SARS-CoV-2 Spike Protein</w:t>
      </w:r>
    </w:p>
    <w:p w14:paraId="0C5018C2" w14:textId="78BC3335" w:rsidR="00976B94" w:rsidRPr="00976B94" w:rsidRDefault="00976B94" w:rsidP="00976B94">
      <w:pPr>
        <w:jc w:val="both"/>
        <w:rPr>
          <w:rFonts w:ascii="Arial" w:hAnsi="Arial" w:cs="Arial"/>
        </w:rPr>
      </w:pPr>
      <w:r w:rsidRPr="00976B94">
        <w:rPr>
          <w:rFonts w:ascii="Arial" w:hAnsi="Arial" w:cs="Arial"/>
        </w:rPr>
        <w:t>SARS-CoV-2 is an enveloped, positive-sense single-stranded RNA virus whose genome encodes four major structural proteins: spike (S), membrane (M), envelope (E), and nucleocapsid (N)</w:t>
      </w:r>
      <w:r w:rsidR="00BF7738">
        <w:rPr>
          <w:rFonts w:ascii="Arial" w:hAnsi="Arial" w:cs="Arial"/>
        </w:rPr>
        <w:fldChar w:fldCharType="begin"/>
      </w:r>
      <w:r w:rsidR="00BF7738">
        <w:rPr>
          <w:rFonts w:ascii="Arial" w:hAnsi="Arial" w:cs="Arial"/>
        </w:rPr>
        <w:instrText xml:space="preserve"> ADDIN ZOTERO_ITEM CSL_CITATION {"citationID":"yMpNrs2M","properties":{"formattedCitation":"\\super 4\\nosupersub{}","plainCitation":"4","noteIndex":0},"citationItems":[{"id":115,"uris":["http://zotero.org/users/local/j3TeDIoM/items/P9KQNWYJ"],"itemData":{"id":115,"type":"article-journal","abstract":"Five structural domains in chain A and partial charge distribution in RBD with same orientation as of chain A.\n          , \n            The COVID-19 pandemic poses a severe threat to human health with unprecedented social and economic disruption. Spike (S) glycoprotein in the SARS-CoV-2 virus is pivotal in understanding the virus anatomy, since it initiates the early contact with the ACE2 receptor in the human cell. The subunit S1 in chain A of S-protein has four structural domains: the receptor binding domain (RBD), the n-terminal domain (NTD) and two subdomains (SD1, SD2). We report details of the intra- and inter-molecular binding mechanism of RBD using density functional theory, including electronic structure, interatomic bonding and partial charge distribution. We identify five strong hydrogen bonds and analyze their roles in binding. This provides a pathway to a quantum-chemical understanding of the interaction between the S-protein and the ACE2 receptor with insights into the function of conserved features in the ACE2 receptor binding domain that could inform vaccine and drug development.","container-title":"Physical Chemistry Chemical Physics","DOI":"10.1039/D0CP03145C","ISSN":"1463-9076, 1463-9084","issue":"33","journalAbbreviation":"Phys. Chem. Chem. Phys.","language":"en","page":"18272-18283","source":"DOI.org (Crossref)","title":"Intra- and intermolecular atomic-scale interactions in the receptor binding domain of SARS-CoV-2 spike protein: implication for ACE2 receptor binding","title-short":"Intra- and intermolecular atomic-scale interactions in the receptor binding domain of SARS-CoV-2 spike protein","volume":"22","author":[{"family":"Adhikari","given":"Puja"},{"family":"Li","given":"Neng"},{"family":"Shin","given":"Matthew"},{"family":"Steinmetz","given":"Nicole F."},{"family":"Twarock","given":"Reidun"},{"family":"Podgornik","given":"Rudolf"},{"family":"Ching","given":"Wai-Yim"}],"issued":{"date-parts":[["2020"]]}}}],"schema":"https://github.com/citation-style-language/schema/raw/master/csl-citation.json"}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4</w:t>
      </w:r>
      <w:r w:rsidR="00BF7738">
        <w:rPr>
          <w:rFonts w:ascii="Arial" w:hAnsi="Arial" w:cs="Arial"/>
        </w:rPr>
        <w:fldChar w:fldCharType="end"/>
      </w:r>
      <w:r w:rsidRPr="00976B94">
        <w:rPr>
          <w:rFonts w:ascii="Arial" w:hAnsi="Arial" w:cs="Arial"/>
        </w:rPr>
        <w:t>. Among these, the spike glycoprotein plays a pivotal role in viral infectivity by mediating host cell recognition, attachment, and membrane fusion. The spike protein is a trimeric class I fusion protein composed of two functional subunits, S1 and S2. The S1 subunit is primarily responsible for receptor recognition, whereas the S2 subunit facilitates membrane fusion following receptor engagement</w:t>
      </w:r>
      <w:r w:rsidR="00BF7738">
        <w:rPr>
          <w:rFonts w:ascii="Arial" w:hAnsi="Arial" w:cs="Arial"/>
        </w:rPr>
        <w:fldChar w:fldCharType="begin"/>
      </w:r>
      <w:r w:rsidR="00BF7738">
        <w:rPr>
          <w:rFonts w:ascii="Arial" w:hAnsi="Arial" w:cs="Arial"/>
        </w:rPr>
        <w:instrText xml:space="preserve"> ADDIN ZOTERO_ITEM CSL_CITATION {"citationID":"lKrpLKAb","properties":{"formattedCitation":"\\super 4\\nosupersub{}","plainCitation":"4","noteIndex":0},"citationItems":[{"id":115,"uris":["http://zotero.org/users/local/j3TeDIoM/items/P9KQNWYJ"],"itemData":{"id":115,"type":"article-journal","abstract":"Five structural domains in chain A and partial charge distribution in RBD with same orientation as of chain A.\n          , \n            The COVID-19 pandemic poses a severe threat to human health with unprecedented social and economic disruption. Spike (S) glycoprotein in the SARS-CoV-2 virus is pivotal in understanding the virus anatomy, since it initiates the early contact with the ACE2 receptor in the human cell. The subunit S1 in chain A of S-protein has four structural domains: the receptor binding domain (RBD), the n-terminal domain (NTD) and two subdomains (SD1, SD2). We report details of the intra- and inter-molecular binding mechanism of RBD using density functional theory, including electronic structure, interatomic bonding and partial charge distribution. We identify five strong hydrogen bonds and analyze their roles in binding. This provides a pathway to a quantum-chemical understanding of the interaction between the S-protein and the ACE2 receptor with insights into the function of conserved features in the ACE2 receptor binding domain that could inform vaccine and drug development.","container-title":"Physical Chemistry Chemical Physics","DOI":"10.1039/D0CP03145C","ISSN":"1463-9076, 1463-9084","issue":"33","journalAbbreviation":"Phys. Chem. Chem. Phys.","language":"en","page":"18272-18283","source":"DOI.org (Crossref)","title":"Intra- and intermolecular atomic-scale interactions in the receptor binding domain of SARS-CoV-2 spike protein: implication for ACE2 receptor binding","title-short":"Intra- and intermolecular atomic-scale interactions in the receptor binding domain of SARS-CoV-2 spike protein","volume":"22","author":[{"family":"Adhikari","given":"Puja"},{"family":"Li","given":"Neng"},{"family":"Shin","given":"Matthew"},{"family":"Steinmetz","given":"Nicole F."},{"family":"Twarock","given":"Reidun"},{"family":"Podgornik","given":"Rudolf"},{"family":"Ching","given":"Wai-Yim"}],"issued":{"date-parts":[["2020"]]}}}],"schema":"https://github.com/citation-style-language/schema/raw/master/csl-citation.json"}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4</w:t>
      </w:r>
      <w:r w:rsidR="00BF7738">
        <w:rPr>
          <w:rFonts w:ascii="Arial" w:hAnsi="Arial" w:cs="Arial"/>
        </w:rPr>
        <w:fldChar w:fldCharType="end"/>
      </w:r>
      <w:r w:rsidRPr="00976B94">
        <w:rPr>
          <w:rFonts w:ascii="Arial" w:hAnsi="Arial" w:cs="Arial"/>
        </w:rPr>
        <w:t>.</w:t>
      </w:r>
    </w:p>
    <w:p w14:paraId="60B29143" w14:textId="11AD4980" w:rsidR="00976B94" w:rsidRDefault="00976B94" w:rsidP="00976B94">
      <w:pPr>
        <w:jc w:val="both"/>
        <w:rPr>
          <w:rFonts w:ascii="Arial" w:hAnsi="Arial" w:cs="Arial"/>
        </w:rPr>
      </w:pPr>
      <w:r w:rsidRPr="00976B94">
        <w:rPr>
          <w:rFonts w:ascii="Arial" w:hAnsi="Arial" w:cs="Arial"/>
        </w:rPr>
        <w:t>The S1 subunit spans residues 14</w:t>
      </w:r>
      <w:r w:rsidR="008416DA">
        <w:rPr>
          <w:rFonts w:ascii="Arial" w:hAnsi="Arial" w:cs="Arial"/>
        </w:rPr>
        <w:t>-</w:t>
      </w:r>
      <w:r w:rsidRPr="00976B94">
        <w:rPr>
          <w:rFonts w:ascii="Arial" w:hAnsi="Arial" w:cs="Arial"/>
        </w:rPr>
        <w:t>685 and consists of the N</w:t>
      </w:r>
      <w:r w:rsidR="008416DA">
        <w:rPr>
          <w:rFonts w:ascii="Arial" w:hAnsi="Arial" w:cs="Arial"/>
        </w:rPr>
        <w:t>-</w:t>
      </w:r>
      <w:r w:rsidRPr="00976B94">
        <w:rPr>
          <w:rFonts w:ascii="Arial" w:hAnsi="Arial" w:cs="Arial"/>
        </w:rPr>
        <w:t>terminal domain (NTD; residues 14</w:t>
      </w:r>
      <w:r w:rsidR="008416DA">
        <w:rPr>
          <w:rFonts w:ascii="Arial" w:hAnsi="Arial" w:cs="Arial"/>
        </w:rPr>
        <w:t>-</w:t>
      </w:r>
      <w:r w:rsidRPr="00976B94">
        <w:rPr>
          <w:rFonts w:ascii="Arial" w:hAnsi="Arial" w:cs="Arial"/>
        </w:rPr>
        <w:t>305) and the receptor-binding domain (RBD; residues 319</w:t>
      </w:r>
      <w:r w:rsidR="008416DA">
        <w:rPr>
          <w:rFonts w:ascii="Arial" w:hAnsi="Arial" w:cs="Arial"/>
        </w:rPr>
        <w:t>-</w:t>
      </w:r>
      <w:r w:rsidRPr="00976B94">
        <w:rPr>
          <w:rFonts w:ascii="Arial" w:hAnsi="Arial" w:cs="Arial"/>
        </w:rPr>
        <w:t>541)</w:t>
      </w:r>
      <w:r w:rsidR="00BF7738">
        <w:rPr>
          <w:rFonts w:ascii="Arial" w:hAnsi="Arial" w:cs="Arial"/>
        </w:rPr>
        <w:fldChar w:fldCharType="begin"/>
      </w:r>
      <w:r w:rsidR="00BF7738">
        <w:rPr>
          <w:rFonts w:ascii="Arial" w:hAnsi="Arial" w:cs="Arial"/>
        </w:rPr>
        <w:instrText xml:space="preserve"> ADDIN ZOTERO_ITEM CSL_CITATION {"citationID":"4KV3gWTe","properties":{"formattedCitation":"\\super 5\\nosupersub{}","plainCitation":"5","noteIndex":0},"citationItems":[{"id":100,"uris":["http://zotero.org/users/local/j3TeDIoM/items/WLU6PBBR"],"itemData":{"id":100,"type":"article-journal","container-title":"Acta Pharmacologica Sinica","DOI":"10.1038/s41401-020-0485-4","ISSN":"1671-4083, 1745-7254","issue":"9","journalAbbreviation":"Acta Pharmacol Sin","language":"en","page":"1141-1149","source":"DOI.org (Crossref)","title":"Structural and functional properties of SARS-CoV-2 spike protein: potential antivirus drug development for COVID-19","title-short":"Structural and functional properties of SARS-CoV-2 spike protein","volume":"41","author":[{"family":"Huang","given":"Yuan"},{"family":"Yang","given":"Chan"},{"family":"Xu","given":"Xin-feng"},{"family":"Xu","given":"Wei"},{"family":"Liu","given":"Shu-wen"}],"issued":{"date-parts":[["2020",9]]}}}],"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5</w:t>
      </w:r>
      <w:r w:rsidR="00BF7738">
        <w:rPr>
          <w:rFonts w:ascii="Arial" w:hAnsi="Arial" w:cs="Arial"/>
        </w:rPr>
        <w:fldChar w:fldCharType="end"/>
      </w:r>
      <w:r w:rsidRPr="00976B94">
        <w:rPr>
          <w:rFonts w:ascii="Arial" w:hAnsi="Arial" w:cs="Arial"/>
        </w:rPr>
        <w:t xml:space="preserve">. The RBD is the key region </w:t>
      </w:r>
      <w:r w:rsidR="00800FAB">
        <w:rPr>
          <w:rFonts w:ascii="Arial" w:hAnsi="Arial" w:cs="Arial"/>
        </w:rPr>
        <w:t>that binds</w:t>
      </w:r>
      <w:r w:rsidRPr="00976B94">
        <w:rPr>
          <w:rFonts w:ascii="Arial" w:hAnsi="Arial" w:cs="Arial"/>
        </w:rPr>
        <w:t xml:space="preserve"> to the host angiotensin-converting enzyme 2 (ACE2) receptor. Structurally, the SARS-CoV-2 RBD comprises a twisted</w:t>
      </w:r>
      <w:r w:rsidR="00800FAB">
        <w:rPr>
          <w:rFonts w:ascii="Arial" w:hAnsi="Arial" w:cs="Arial"/>
        </w:rPr>
        <w:t>, five-stranded antiparallel β-sheet</w:t>
      </w:r>
      <w:r w:rsidRPr="00976B94">
        <w:rPr>
          <w:rFonts w:ascii="Arial" w:hAnsi="Arial" w:cs="Arial"/>
        </w:rPr>
        <w:t xml:space="preserve">. Within the RBD, </w:t>
      </w:r>
      <w:r w:rsidR="00800FAB">
        <w:rPr>
          <w:rFonts w:ascii="Arial" w:hAnsi="Arial" w:cs="Arial"/>
        </w:rPr>
        <w:t>a specific region,</w:t>
      </w:r>
      <w:r w:rsidRPr="00976B94">
        <w:rPr>
          <w:rFonts w:ascii="Arial" w:hAnsi="Arial" w:cs="Arial"/>
        </w:rPr>
        <w:t xml:space="preserve"> the receptor-binding motif (RBM), encompassing residues 438</w:t>
      </w:r>
      <w:r w:rsidR="008416DA">
        <w:rPr>
          <w:rFonts w:ascii="Arial" w:hAnsi="Arial" w:cs="Arial"/>
        </w:rPr>
        <w:t>-</w:t>
      </w:r>
      <w:r w:rsidRPr="00976B94">
        <w:rPr>
          <w:rFonts w:ascii="Arial" w:hAnsi="Arial" w:cs="Arial"/>
        </w:rPr>
        <w:t xml:space="preserve">506, directly mediates </w:t>
      </w:r>
      <w:r w:rsidR="00800FAB">
        <w:rPr>
          <w:rFonts w:ascii="Arial" w:hAnsi="Arial" w:cs="Arial"/>
        </w:rPr>
        <w:t>most</w:t>
      </w:r>
      <w:r w:rsidRPr="00976B94">
        <w:rPr>
          <w:rFonts w:ascii="Arial" w:hAnsi="Arial" w:cs="Arial"/>
        </w:rPr>
        <w:t xml:space="preserve"> interactions with ACE2</w:t>
      </w:r>
      <w:r w:rsidR="00BF7738">
        <w:rPr>
          <w:rFonts w:ascii="Arial" w:hAnsi="Arial" w:cs="Arial"/>
        </w:rPr>
        <w:fldChar w:fldCharType="begin"/>
      </w:r>
      <w:r w:rsidR="00BF7738">
        <w:rPr>
          <w:rFonts w:ascii="Arial" w:hAnsi="Arial" w:cs="Arial"/>
        </w:rPr>
        <w:instrText xml:space="preserve"> ADDIN ZOTERO_ITEM CSL_CITATION {"citationID":"GJK5W4Ov","properties":{"formattedCitation":"\\super 5\\nosupersub{}","plainCitation":"5","noteIndex":0},"citationItems":[{"id":100,"uris":["http://zotero.org/users/local/j3TeDIoM/items/WLU6PBBR"],"itemData":{"id":100,"type":"article-journal","container-title":"Acta Pharmacologica Sinica","DOI":"10.1038/s41401-020-0485-4","ISSN":"1671-4083, 1745-7254","issue":"9","journalAbbreviation":"Acta Pharmacol Sin","language":"en","page":"1141-1149","source":"DOI.org (Crossref)","title":"Structural and functional properties of SARS-CoV-2 spike protein: potential antivirus drug development for COVID-19","title-short":"Structural and functional properties of SARS-CoV-2 spike protein","volume":"41","author":[{"family":"Huang","given":"Yuan"},{"family":"Yang","given":"Chan"},{"family":"Xu","given":"Xin-feng"},{"family":"Xu","given":"Wei"},{"family":"Liu","given":"Shu-wen"}],"issued":{"date-parts":[["2020",9]]}}}],"schema":"https://github.com/citation-style-language/schema/raw/master/csl-citation.json"} </w:instrText>
      </w:r>
      <w:r w:rsidR="00BF7738">
        <w:rPr>
          <w:rFonts w:ascii="Arial" w:hAnsi="Arial" w:cs="Arial"/>
        </w:rPr>
        <w:fldChar w:fldCharType="separate"/>
      </w:r>
      <w:r w:rsidR="00BF7738" w:rsidRPr="00BF7738">
        <w:rPr>
          <w:rFonts w:ascii="Arial" w:hAnsi="Arial" w:cs="Arial"/>
          <w:szCs w:val="24"/>
          <w:vertAlign w:val="superscript"/>
        </w:rPr>
        <w:t>5</w:t>
      </w:r>
      <w:r w:rsidR="00BF7738">
        <w:rPr>
          <w:rFonts w:ascii="Arial" w:hAnsi="Arial" w:cs="Arial"/>
        </w:rPr>
        <w:fldChar w:fldCharType="end"/>
      </w:r>
      <w:r w:rsidRPr="00976B94">
        <w:rPr>
          <w:rFonts w:ascii="Arial" w:hAnsi="Arial" w:cs="Arial"/>
        </w:rPr>
        <w:t>.</w:t>
      </w:r>
    </w:p>
    <w:p w14:paraId="1BF0329A" w14:textId="77777777" w:rsidR="00872751" w:rsidRDefault="00872751" w:rsidP="00976B94">
      <w:pPr>
        <w:jc w:val="both"/>
        <w:rPr>
          <w:rFonts w:ascii="Arial" w:hAnsi="Arial" w:cs="Arial"/>
        </w:rPr>
      </w:pPr>
    </w:p>
    <w:p w14:paraId="1CD702D7" w14:textId="77777777" w:rsidR="00872751" w:rsidRPr="00872751" w:rsidRDefault="00872751" w:rsidP="00872751">
      <w:pPr>
        <w:jc w:val="center"/>
        <w:rPr>
          <w:rFonts w:ascii="Arial" w:hAnsi="Arial" w:cs="Arial"/>
        </w:rPr>
      </w:pPr>
      <w:r w:rsidRPr="00872751">
        <w:rPr>
          <w:rFonts w:ascii="Arial" w:hAnsi="Arial" w:cs="Arial"/>
          <w:noProof/>
          <w:lang w:val="en-IN" w:eastAsia="en-IN"/>
        </w:rPr>
        <w:drawing>
          <wp:inline distT="0" distB="0" distL="0" distR="0" wp14:anchorId="04A9B66B" wp14:editId="35DEF5F0">
            <wp:extent cx="3968885" cy="2037677"/>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pike protein&#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3641" cy="2081192"/>
                    </a:xfrm>
                    <a:prstGeom prst="rect">
                      <a:avLst/>
                    </a:prstGeom>
                  </pic:spPr>
                </pic:pic>
              </a:graphicData>
            </a:graphic>
          </wp:inline>
        </w:drawing>
      </w:r>
    </w:p>
    <w:p w14:paraId="7F94A5CD" w14:textId="42591595" w:rsidR="00872751" w:rsidRPr="00872751" w:rsidRDefault="00872751" w:rsidP="00872751">
      <w:pPr>
        <w:autoSpaceDE w:val="0"/>
        <w:autoSpaceDN w:val="0"/>
        <w:adjustRightInd w:val="0"/>
        <w:jc w:val="center"/>
        <w:rPr>
          <w:rFonts w:ascii="Arial" w:hAnsi="Arial" w:cs="Arial"/>
          <w:b/>
          <w:bCs/>
          <w:szCs w:val="22"/>
        </w:rPr>
      </w:pPr>
      <w:r w:rsidRPr="00872751">
        <w:rPr>
          <w:rFonts w:ascii="Arial" w:hAnsi="Arial" w:cs="Arial"/>
          <w:b/>
          <w:bCs/>
          <w:szCs w:val="22"/>
        </w:rPr>
        <w:t>Fig</w:t>
      </w:r>
      <w:r>
        <w:rPr>
          <w:rFonts w:ascii="Arial" w:hAnsi="Arial" w:cs="Arial"/>
          <w:b/>
          <w:bCs/>
          <w:szCs w:val="22"/>
        </w:rPr>
        <w:t>.</w:t>
      </w:r>
      <w:r w:rsidRPr="00872751">
        <w:rPr>
          <w:rFonts w:ascii="Arial" w:hAnsi="Arial" w:cs="Arial"/>
          <w:b/>
          <w:bCs/>
          <w:szCs w:val="22"/>
        </w:rPr>
        <w:t xml:space="preserve"> </w:t>
      </w:r>
      <w:r w:rsidR="003648F5">
        <w:rPr>
          <w:rFonts w:ascii="Arial" w:hAnsi="Arial" w:cs="Arial"/>
          <w:b/>
          <w:bCs/>
          <w:szCs w:val="22"/>
        </w:rPr>
        <w:t>1: The COVID-19 virus and trimeric spike protein</w:t>
      </w:r>
      <w:r w:rsidR="003648F5">
        <w:rPr>
          <w:rFonts w:ascii="Arial" w:hAnsi="Arial" w:cs="Arial"/>
          <w:b/>
          <w:bCs/>
          <w:szCs w:val="22"/>
        </w:rPr>
        <w:fldChar w:fldCharType="begin"/>
      </w:r>
      <w:r w:rsidR="003648F5">
        <w:rPr>
          <w:rFonts w:ascii="Arial" w:hAnsi="Arial" w:cs="Arial"/>
          <w:b/>
          <w:bCs/>
          <w:szCs w:val="22"/>
        </w:rPr>
        <w:instrText xml:space="preserve"> ADDIN ZOTERO_ITEM CSL_CITATION {"citationID":"PvWjzDNN","properties":{"formattedCitation":"\\super 6\\nosupersub{}","plainCitation":"6","noteIndex":0},"citationItems":[{"id":179,"uris":["http://zotero.org/users/local/j3TeDIoM/items/YZ7K4DT9"],"itemData":{"id":179,"type":"article-journal","abstract":"The human coronavirus (HCoV), SARS-CoV-2, caused more than 34 M confirmed infections from which more than 1 M deaths are reported until now (the WHO situation report-154). The current pandemic causes severe socio-economic burden. Due to the importance of understanding of the mode of recognition and viral entry, spike protein shed drug designers as the first look protein target with the first released solved structure on 26 February 2020 (PDB ID: 6VSB). It is proposed that the recognition site for GRP78 is found in SARS-CoV-2 and the immersed human coronaviruses but experimental validation is still required.","container-title":"Frontiers in Pharmacology","DOI":"10.3389/fphar.2020.577467","ISSN":"1663-9812","journalAbbreviation":"Front. Pharmacol.","language":"en","page":"577467","source":"DOI.org (Crossref)","title":"SARS-CoV-2 Spike-Heat Shock Protein A5 (GRP78) Recognition may be Related to the Immersed Human Coronaviruses","volume":"11","author":[{"family":"Elfiky","given":"Abdo A."}],"issued":{"date-parts":[["2020",12,11]]}}}],"schema":"https://github.com/citation-style-language/schema/raw/master/csl-citation.json"} </w:instrText>
      </w:r>
      <w:r w:rsidR="003648F5">
        <w:rPr>
          <w:rFonts w:ascii="Arial" w:hAnsi="Arial" w:cs="Arial"/>
          <w:b/>
          <w:bCs/>
          <w:szCs w:val="22"/>
        </w:rPr>
        <w:fldChar w:fldCharType="separate"/>
      </w:r>
      <w:r w:rsidR="003648F5" w:rsidRPr="003648F5">
        <w:rPr>
          <w:rFonts w:ascii="Arial" w:hAnsi="Arial" w:cs="Arial"/>
          <w:szCs w:val="24"/>
          <w:vertAlign w:val="superscript"/>
        </w:rPr>
        <w:t>6</w:t>
      </w:r>
      <w:r w:rsidR="003648F5">
        <w:rPr>
          <w:rFonts w:ascii="Arial" w:hAnsi="Arial" w:cs="Arial"/>
          <w:b/>
          <w:bCs/>
          <w:szCs w:val="22"/>
        </w:rPr>
        <w:fldChar w:fldCharType="end"/>
      </w:r>
    </w:p>
    <w:p w14:paraId="36EF1DA5" w14:textId="77777777" w:rsidR="00872751" w:rsidRPr="00976B94" w:rsidRDefault="00872751" w:rsidP="00976B94">
      <w:pPr>
        <w:jc w:val="both"/>
        <w:rPr>
          <w:rFonts w:ascii="Arial" w:hAnsi="Arial" w:cs="Arial"/>
        </w:rPr>
      </w:pPr>
    </w:p>
    <w:p w14:paraId="4815E80A" w14:textId="24AFB847" w:rsidR="00976B94" w:rsidRPr="00976B94" w:rsidRDefault="00976B94" w:rsidP="00976B94">
      <w:pPr>
        <w:jc w:val="both"/>
        <w:rPr>
          <w:rFonts w:ascii="Arial" w:hAnsi="Arial" w:cs="Arial"/>
        </w:rPr>
      </w:pPr>
      <w:r w:rsidRPr="00976B94">
        <w:rPr>
          <w:rFonts w:ascii="Arial" w:hAnsi="Arial" w:cs="Arial"/>
        </w:rPr>
        <w:t>Although the RBD is a critical determinant of viral entry and an attractive target for therapeutic intervention, its high mutation rate across emerging variants presents challenges for the development of broad-spectrum antiviral agents. Nevertheless, the spike protein remains a central focus of antiviral drug discovery efforts due to its indispensable role in viral attachment and entry. While the RBD within the S1 subunit governs host recognition, the S2 subunit</w:t>
      </w:r>
      <w:r w:rsidR="00800FAB">
        <w:rPr>
          <w:rFonts w:ascii="Arial" w:hAnsi="Arial" w:cs="Arial"/>
        </w:rPr>
        <w:t xml:space="preserve"> contains the heptad repeat regions HR1 and HR2, which drive</w:t>
      </w:r>
      <w:r w:rsidRPr="00976B94">
        <w:rPr>
          <w:rFonts w:ascii="Arial" w:hAnsi="Arial" w:cs="Arial"/>
        </w:rPr>
        <w:t xml:space="preserve"> membrane fusion</w:t>
      </w:r>
      <w:r w:rsidR="00800FAB">
        <w:rPr>
          <w:rFonts w:ascii="Arial" w:hAnsi="Arial" w:cs="Arial"/>
        </w:rPr>
        <w:t xml:space="preserve"> and enable</w:t>
      </w:r>
      <w:r w:rsidRPr="00976B94">
        <w:rPr>
          <w:rFonts w:ascii="Arial" w:hAnsi="Arial" w:cs="Arial"/>
        </w:rPr>
        <w:t xml:space="preserve"> viral genome release into the host cell</w:t>
      </w:r>
      <w:r w:rsidR="003648F5">
        <w:rPr>
          <w:rFonts w:ascii="Arial" w:hAnsi="Arial" w:cs="Arial"/>
        </w:rPr>
        <w:fldChar w:fldCharType="begin"/>
      </w:r>
      <w:r w:rsidR="003648F5">
        <w:rPr>
          <w:rFonts w:ascii="Arial" w:hAnsi="Arial" w:cs="Arial"/>
        </w:rPr>
        <w:instrText xml:space="preserve"> ADDIN ZOTERO_ITEM CSL_CITATION {"citationID":"O8660JNJ","properties":{"formattedCitation":"\\super 7\\nosupersub{}","plainCitation":"7","noteIndex":0},"citationItems":[{"id":86,"uris":["http://zotero.org/users/local/j3TeDIoM/items/938A5BZG"],"itemData":{"id":86,"type":"article-journal","abstract":"SARS-CoV-2 is a newly emerged coronavirus that causes a respiratory disease with variable severity and fatal consequences. It was ﬁrst reported in Wuhan and subsequently caused a global pandemic. The viral spike protein binds with the ACE2 cell surface receptor for entry, while TMPRSS2 triggers its membrane fusion. In addition, RNA dependent RNA polymerase (RdRp), 3′–5′ exoribonuclease (nsp14), viral proteases, N, and M proteins are important in different stages of viral replication. Accordingly, they are attractive targets for different antiviral therapeutic agents. Although many antiviral agents have been used in different clinical trials and included in different treatment protocols, the mode of action against SARS-CoV-2 is still not fully understood. Different potential repurposed drugs, including, chloroquine, hydroxychloroquine, ivermectin, remdesivir, and favipiravir, were screened in the present study. Molecular docking of these drugs with different SARS-CoV-2 target proteins, including spike and membrane proteins, RdRp, nucleoproteins, viral proteases, and nsp14, was performed. Moreover, the binding afﬁnities of the human ACE-2 receptor and TMPRSS2 to the different drugs were evaluated. Molecular dynamics simulation and MM-PBSA calculation were also conducted. Ivermectin and remdesivir were found to be the most promising drugs. Our results suggest that both these drugs utilize different mechanisms at the entry and post-entry stages and could be considered potential inhibitors of SARS-CoV-2 replication.","container-title":"Frontiers in Microbiology","DOI":"10.3389/fmicb.2020.592908","ISSN":"1664-302X","journalAbbreviation":"Front. Microbiol.","language":"en","page":"592908","source":"DOI.org (Crossref)","title":"Molecular Docking Reveals Ivermectin and Remdesivir as Potential Repurposed Drugs Against SARS-CoV-2","volume":"11","author":[{"family":"Eweas","given":"Ahmad F."},{"family":"Alhossary","given":"Amr A."},{"family":"Abdel-Moneim","given":"Ahmed S."}],"issued":{"date-parts":[["2021",1,25]]}}}],"schema":"https://github.com/citation-style-language/schema/raw/master/csl-citation.json"}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7</w:t>
      </w:r>
      <w:r w:rsidR="003648F5">
        <w:rPr>
          <w:rFonts w:ascii="Arial" w:hAnsi="Arial" w:cs="Arial"/>
        </w:rPr>
        <w:fldChar w:fldCharType="end"/>
      </w:r>
      <w:r w:rsidRPr="00976B94">
        <w:rPr>
          <w:rFonts w:ascii="Arial" w:hAnsi="Arial" w:cs="Arial"/>
        </w:rPr>
        <w:t>.</w:t>
      </w:r>
    </w:p>
    <w:p w14:paraId="0B739BEE" w14:textId="1B4BFF07" w:rsidR="00872751" w:rsidRDefault="00872751">
      <w:pPr>
        <w:rPr>
          <w:rFonts w:ascii="Arial" w:hAnsi="Arial" w:cs="Arial"/>
        </w:rPr>
      </w:pPr>
      <w:r>
        <w:rPr>
          <w:rFonts w:ascii="Arial" w:hAnsi="Arial" w:cs="Arial"/>
        </w:rPr>
        <w:br w:type="page"/>
      </w:r>
    </w:p>
    <w:p w14:paraId="6D31BA32" w14:textId="6EBBB40B"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lastRenderedPageBreak/>
        <w:t>1.2.</w:t>
      </w:r>
      <w:r>
        <w:rPr>
          <w:rFonts w:ascii="Arial" w:hAnsi="Arial" w:cs="Arial"/>
          <w:b/>
          <w:sz w:val="22"/>
          <w:szCs w:val="22"/>
        </w:rPr>
        <w:tab/>
      </w:r>
      <w:r w:rsidR="00976B94" w:rsidRPr="00872751">
        <w:rPr>
          <w:rFonts w:ascii="Arial" w:hAnsi="Arial" w:cs="Arial"/>
          <w:b/>
          <w:sz w:val="22"/>
          <w:szCs w:val="22"/>
        </w:rPr>
        <w:t>Angiotensin-Converting Enzyme 2 (ACE2)</w:t>
      </w:r>
    </w:p>
    <w:p w14:paraId="3441BC09" w14:textId="59A9259B" w:rsidR="00976B94" w:rsidRPr="00976B94" w:rsidRDefault="00976B94" w:rsidP="00976B94">
      <w:pPr>
        <w:jc w:val="both"/>
        <w:rPr>
          <w:rFonts w:ascii="Arial" w:hAnsi="Arial" w:cs="Arial"/>
        </w:rPr>
      </w:pPr>
      <w:r w:rsidRPr="00976B94">
        <w:rPr>
          <w:rFonts w:ascii="Arial" w:hAnsi="Arial" w:cs="Arial"/>
        </w:rPr>
        <w:t>Angiotensin-converting enzyme 2 (ACE2) is a key regulatory component of the renin</w:t>
      </w:r>
      <w:r w:rsidR="008416DA">
        <w:rPr>
          <w:rFonts w:ascii="Arial" w:hAnsi="Arial" w:cs="Arial"/>
        </w:rPr>
        <w:t>-</w:t>
      </w:r>
      <w:r w:rsidRPr="00976B94">
        <w:rPr>
          <w:rFonts w:ascii="Arial" w:hAnsi="Arial" w:cs="Arial"/>
        </w:rPr>
        <w:t>angiotensin</w:t>
      </w:r>
      <w:r w:rsidR="008416DA">
        <w:rPr>
          <w:rFonts w:ascii="Arial" w:hAnsi="Arial" w:cs="Arial"/>
        </w:rPr>
        <w:t>-</w:t>
      </w:r>
      <w:r w:rsidRPr="00976B94">
        <w:rPr>
          <w:rFonts w:ascii="Arial" w:hAnsi="Arial" w:cs="Arial"/>
        </w:rPr>
        <w:t>aldosterone system (RAAS), which plays a critical role in blood pressure regulation, cardiovascular homeostasis, and fluid balance. ACE2 is widely expressed in multiple organs, including the lungs, heart, kidneys, and gastrointestinal tract, thereby explaining the systemic manifestations observed in severe COVID-19 cases</w:t>
      </w:r>
      <w:r w:rsidR="00A51510">
        <w:rPr>
          <w:rFonts w:ascii="Arial" w:hAnsi="Arial" w:cs="Arial"/>
        </w:rPr>
        <w:fldChar w:fldCharType="begin"/>
      </w:r>
      <w:r w:rsidR="003648F5">
        <w:rPr>
          <w:rFonts w:ascii="Arial" w:hAnsi="Arial" w:cs="Arial"/>
        </w:rPr>
        <w:instrText xml:space="preserve"> ADDIN ZOTERO_ITEM CSL_CITATION {"citationID":"huOSOhSZ","properties":{"formattedCitation":"\\super 8\\nosupersub{}","plainCitation":"8","noteIndex":0},"citationItems":[{"id":5,"uris":["http://zotero.org/users/local/j3TeDIoM/items/P6LI77RE"],"itemData":{"id":5,"type":"article-journal","abstract":"Since the onset of the coronavirus pandemic in December 2019, the SARS-CoV-2 virus has accounted for over 6.3 million lives resulting in the demand to develop novel therapeutic approaches to target and treat SARS-CoV2. Improved understanding of viral entry and infection mechanisms has led to identifying different target receptors to mitigate infection in the host. Researchers have been working on identifying and targeting potential therapeutic target receptors utilizing different candidate drugs. Angiotensin-converting enzyme-2 (ACE2) has been known to perform critical functions in maintaining healthy cardiorespiratory function. However, ACE2 also functions as the binding site for the spike protein of SARS-CoV-2, allowing the virus to enter the cells and ensue infection. Therefore, drugs targeting ACE2 receptors can be considered as therapeutic candidates. Strategies targeting the level of ACE2 expression have been investigated and compared to other potential therapeutic targets, such as TMPRSS2, RdRp, and DPP4. This mini review discusses the key therapeutic approaches that target the ACE2 receptor, which is critical to the cellular entry and propagation of the novel SARS-CoV-2. In addition, we summarize the main advantages of ACE2 targeting against alternative approaches for the treatment of COVID-19.","container-title":"Annals of Biomedical Engineering","DOI":"10.1007/s10439-022-03094-w","ISSN":"0090-6964, 1573-9686","issue":"12","journalAbbreviation":"Ann Biomed Eng","language":"en","page":"1734-1749","source":"DOI.org (Crossref)","title":"Advances in Targeting ACE2 for Developing COVID-19 Therapeutics","volume":"50","author":[{"family":"Suvarnapathaki","given":"Sanika"},{"family":"Chauhan","given":"Divya"},{"family":"Nguyen","given":"Angelina"},{"family":"Ramalingam","given":"Murugan"},{"family":"Camci-Unal","given":"Gulden"}],"issued":{"date-parts":[["2022",12]]}}}],"schema":"https://github.com/citation-style-language/schema/raw/master/csl-citation.json"} </w:instrText>
      </w:r>
      <w:r w:rsidR="00A51510">
        <w:rPr>
          <w:rFonts w:ascii="Arial" w:hAnsi="Arial" w:cs="Arial"/>
        </w:rPr>
        <w:fldChar w:fldCharType="separate"/>
      </w:r>
      <w:r w:rsidR="003648F5" w:rsidRPr="003648F5">
        <w:rPr>
          <w:rFonts w:ascii="Arial" w:hAnsi="Arial" w:cs="Arial"/>
          <w:szCs w:val="24"/>
          <w:vertAlign w:val="superscript"/>
        </w:rPr>
        <w:t>8</w:t>
      </w:r>
      <w:r w:rsidR="00A51510">
        <w:rPr>
          <w:rFonts w:ascii="Arial" w:hAnsi="Arial" w:cs="Arial"/>
        </w:rPr>
        <w:fldChar w:fldCharType="end"/>
      </w:r>
      <w:r w:rsidRPr="00976B94">
        <w:rPr>
          <w:rFonts w:ascii="Arial" w:hAnsi="Arial" w:cs="Arial"/>
        </w:rPr>
        <w:t>. Beyond its physiological functions, ACE2 serves as the primary cellular receptor for SARS-CoV-2, facilitating viral attachment and entry.</w:t>
      </w:r>
    </w:p>
    <w:p w14:paraId="58D7700C" w14:textId="77777777" w:rsidR="00976B94" w:rsidRPr="00976B94" w:rsidRDefault="00976B94" w:rsidP="00976B94">
      <w:pPr>
        <w:jc w:val="both"/>
        <w:rPr>
          <w:rFonts w:ascii="Arial" w:hAnsi="Arial" w:cs="Arial"/>
        </w:rPr>
      </w:pPr>
    </w:p>
    <w:p w14:paraId="5BF260D6" w14:textId="2EC424E2"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1.3.</w:t>
      </w:r>
      <w:r>
        <w:rPr>
          <w:rFonts w:ascii="Arial" w:hAnsi="Arial" w:cs="Arial"/>
          <w:b/>
          <w:sz w:val="22"/>
          <w:szCs w:val="22"/>
        </w:rPr>
        <w:tab/>
      </w:r>
      <w:r w:rsidR="00976B94" w:rsidRPr="00872751">
        <w:rPr>
          <w:rFonts w:ascii="Arial" w:hAnsi="Arial" w:cs="Arial"/>
          <w:b/>
          <w:sz w:val="22"/>
          <w:szCs w:val="22"/>
        </w:rPr>
        <w:t>Interaction Between ACE2 and SARS-CoV-2 RBD</w:t>
      </w:r>
    </w:p>
    <w:p w14:paraId="6AD99E64" w14:textId="48CCB329" w:rsidR="00976B94" w:rsidRDefault="00976B94" w:rsidP="00976B94">
      <w:pPr>
        <w:jc w:val="both"/>
        <w:rPr>
          <w:rFonts w:ascii="Arial" w:hAnsi="Arial" w:cs="Arial"/>
        </w:rPr>
      </w:pPr>
      <w:r w:rsidRPr="00976B94">
        <w:rPr>
          <w:rFonts w:ascii="Arial" w:hAnsi="Arial" w:cs="Arial"/>
        </w:rPr>
        <w:t xml:space="preserve">The interaction between the SARS-CoV-2 RBD and the ACE2 receptor is a crucial initial step in viral infection. </w:t>
      </w:r>
      <w:r w:rsidR="00800FAB" w:rsidRPr="00976B94">
        <w:rPr>
          <w:rFonts w:ascii="Arial" w:hAnsi="Arial" w:cs="Arial"/>
        </w:rPr>
        <w:t>The</w:t>
      </w:r>
      <w:r w:rsidRPr="00976B94">
        <w:rPr>
          <w:rFonts w:ascii="Arial" w:hAnsi="Arial" w:cs="Arial"/>
        </w:rPr>
        <w:t xml:space="preserve"> RBD </w:t>
      </w:r>
      <w:r w:rsidR="00800FAB">
        <w:rPr>
          <w:rFonts w:ascii="Arial" w:hAnsi="Arial" w:cs="Arial"/>
        </w:rPr>
        <w:t>predominantly interacts with the N-terminal peptidase domain of ACE2 via</w:t>
      </w:r>
      <w:r w:rsidRPr="00976B94">
        <w:rPr>
          <w:rFonts w:ascii="Arial" w:hAnsi="Arial" w:cs="Arial"/>
        </w:rPr>
        <w:t xml:space="preserve"> a network of intermolecular interactions. Structural studies have identified approximately 13 hydrogen bonds and one salt bridge stabilizing the ACE2</w:t>
      </w:r>
      <w:r w:rsidR="008416DA">
        <w:rPr>
          <w:rFonts w:ascii="Arial" w:hAnsi="Arial" w:cs="Arial"/>
        </w:rPr>
        <w:t>-</w:t>
      </w:r>
      <w:r w:rsidRPr="00976B94">
        <w:rPr>
          <w:rFonts w:ascii="Arial" w:hAnsi="Arial" w:cs="Arial"/>
        </w:rPr>
        <w:t>RBD complex, underscoring the high binding affinity between the viral spike protein and its host receptor</w:t>
      </w:r>
      <w:r w:rsidR="000F5A95">
        <w:rPr>
          <w:rFonts w:ascii="Arial" w:hAnsi="Arial" w:cs="Arial"/>
        </w:rPr>
        <w:fldChar w:fldCharType="begin"/>
      </w:r>
      <w:r w:rsidR="003648F5">
        <w:rPr>
          <w:rFonts w:ascii="Arial" w:hAnsi="Arial" w:cs="Arial"/>
        </w:rPr>
        <w:instrText xml:space="preserve"> ADDIN ZOTERO_ITEM CSL_CITATION {"citationID":"LijAiSBi","properties":{"formattedCitation":"\\super 9\\nosupersub{}","plainCitation":"9","noteIndex":0},"citationItems":[{"id":119,"uris":["http://zotero.org/users/local/j3TeDIoM/items/B3JCTXNN"],"itemData":{"id":119,"type":"article-journal","abstract":"Background Severe Acute Respiratory Syndrome Coronavirus 2 (SARS-CoV-2) has caused millions of infections and deaths worldwide since its discovery in late 2019 in Wuhan, China. The receptor-binding domain (RBD) of the SARSCoV-2 spike protein binds to the human angiotensin-converting enzyme-2 (ACE2) receptor, a critical component of the renin-angiotensin system (RAS) that initiates the viral transmission. Most of the critical mutations found in SARS-CoV-2 are associated with the RBD of the spike protein. These mutations have the potential to reduce the efficacy of vaccines and neutralizing antibodies.\nMethods In this review, the structural details of ACE2, RBD and their interactions are discussed. In addition, some critical mutations of RBD and their impact on ACE2-RBD interactions are also discussed.\nConclusion Preventing the interaction between Spike RBD and ACE2 is considered a viable therapeutic strategy since ACE2 binding by RBD is the first step in virus infection. Because the interactions between the two entities are critical for both viral transmission and therapeutic development, it is essential to understand their interactions in detail.","container-title":"Molecular Biology Reports","DOI":"10.1007/s11033-022-08193-4","ISSN":"0301-4851, 1573-4978","issue":"3","journalAbbreviation":"Mol Biol Rep","language":"en","page":"2713-2721","source":"DOI.org (Crossref)","title":"Interactions of angiotensin-converting enzyme-2 (ACE2) and SARS-CoV-2 spike receptor-binding domain (RBD): a structural perspective","title-short":"Interactions of angiotensin-converting enzyme-2 (ACE2) and SARS-CoV-2 spike receptor-binding domain (RBD)","volume":"50","author":[{"family":"Borkotoky","given":"Subhomoi"},{"family":"Dey","given":"Debajit"},{"family":"Hazarika","given":"Zaved"}],"issued":{"date-parts":[["2023",3]]}}}],"schema":"https://github.com/citation-style-language/schema/raw/master/csl-citation.json"} </w:instrText>
      </w:r>
      <w:r w:rsidR="000F5A95">
        <w:rPr>
          <w:rFonts w:ascii="Arial" w:hAnsi="Arial" w:cs="Arial"/>
        </w:rPr>
        <w:fldChar w:fldCharType="separate"/>
      </w:r>
      <w:r w:rsidR="003648F5" w:rsidRPr="003648F5">
        <w:rPr>
          <w:rFonts w:ascii="Arial" w:hAnsi="Arial" w:cs="Arial"/>
          <w:szCs w:val="24"/>
          <w:vertAlign w:val="superscript"/>
        </w:rPr>
        <w:t>9</w:t>
      </w:r>
      <w:r w:rsidR="000F5A95">
        <w:rPr>
          <w:rFonts w:ascii="Arial" w:hAnsi="Arial" w:cs="Arial"/>
        </w:rPr>
        <w:fldChar w:fldCharType="end"/>
      </w:r>
      <w:r w:rsidRPr="00976B94">
        <w:rPr>
          <w:rFonts w:ascii="Arial" w:hAnsi="Arial" w:cs="Arial"/>
        </w:rPr>
        <w:t>. Disruption of this interaction is therefore considered a promising strategy to prevent viral entry and subsequent infection.</w:t>
      </w:r>
    </w:p>
    <w:p w14:paraId="2487B490" w14:textId="77777777" w:rsidR="00872751" w:rsidRDefault="00872751" w:rsidP="00976B94">
      <w:pPr>
        <w:jc w:val="both"/>
        <w:rPr>
          <w:rFonts w:ascii="Arial" w:hAnsi="Arial" w:cs="Arial"/>
        </w:rPr>
      </w:pPr>
    </w:p>
    <w:p w14:paraId="58F4ED84" w14:textId="77777777" w:rsidR="00872751" w:rsidRPr="00872751" w:rsidRDefault="00872751" w:rsidP="00872751">
      <w:pPr>
        <w:jc w:val="center"/>
        <w:rPr>
          <w:rFonts w:ascii="Arial" w:hAnsi="Arial" w:cs="Arial"/>
        </w:rPr>
      </w:pPr>
      <w:r w:rsidRPr="00872751">
        <w:rPr>
          <w:rFonts w:ascii="Arial" w:hAnsi="Arial" w:cs="Arial"/>
          <w:noProof/>
          <w:lang w:val="en-IN" w:eastAsia="en-IN"/>
        </w:rPr>
        <w:drawing>
          <wp:inline distT="0" distB="0" distL="0" distR="0" wp14:anchorId="4D8BBFE6" wp14:editId="0F57AE5C">
            <wp:extent cx="3803515" cy="3130065"/>
            <wp:effectExtent l="0" t="0" r="6985" b="0"/>
            <wp:docPr id="1176179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29560" cy="3151499"/>
                    </a:xfrm>
                    <a:prstGeom prst="rect">
                      <a:avLst/>
                    </a:prstGeom>
                    <a:noFill/>
                    <a:ln>
                      <a:noFill/>
                    </a:ln>
                  </pic:spPr>
                </pic:pic>
              </a:graphicData>
            </a:graphic>
          </wp:inline>
        </w:drawing>
      </w:r>
    </w:p>
    <w:p w14:paraId="4748C3C9" w14:textId="36C660C0" w:rsidR="00872751" w:rsidRPr="00872751" w:rsidRDefault="00872751" w:rsidP="00872751">
      <w:pPr>
        <w:autoSpaceDE w:val="0"/>
        <w:autoSpaceDN w:val="0"/>
        <w:adjustRightInd w:val="0"/>
        <w:jc w:val="center"/>
        <w:rPr>
          <w:rFonts w:ascii="Arial" w:hAnsi="Arial" w:cs="Arial"/>
          <w:b/>
          <w:bCs/>
          <w:szCs w:val="22"/>
        </w:rPr>
      </w:pPr>
      <w:r w:rsidRPr="00872751">
        <w:rPr>
          <w:rFonts w:ascii="Arial" w:hAnsi="Arial" w:cs="Arial"/>
          <w:b/>
          <w:bCs/>
          <w:szCs w:val="22"/>
        </w:rPr>
        <w:t>Fig</w:t>
      </w:r>
      <w:r w:rsidR="003648F5">
        <w:rPr>
          <w:rFonts w:ascii="Arial" w:hAnsi="Arial" w:cs="Arial"/>
          <w:b/>
          <w:bCs/>
          <w:szCs w:val="22"/>
        </w:rPr>
        <w:t>.</w:t>
      </w:r>
      <w:r w:rsidRPr="00872751">
        <w:rPr>
          <w:rFonts w:ascii="Arial" w:hAnsi="Arial" w:cs="Arial"/>
          <w:b/>
          <w:bCs/>
          <w:szCs w:val="22"/>
        </w:rPr>
        <w:t xml:space="preserve"> 2: The Interactions between Ace-2 enzyme and SARS-CoV-2 RBD</w:t>
      </w:r>
      <w:r w:rsidR="003648F5">
        <w:rPr>
          <w:rFonts w:ascii="Arial" w:hAnsi="Arial" w:cs="Arial"/>
          <w:b/>
          <w:bCs/>
          <w:szCs w:val="22"/>
        </w:rPr>
        <w:fldChar w:fldCharType="begin"/>
      </w:r>
      <w:r w:rsidR="003648F5">
        <w:rPr>
          <w:rFonts w:ascii="Arial" w:hAnsi="Arial" w:cs="Arial"/>
          <w:b/>
          <w:bCs/>
          <w:szCs w:val="22"/>
        </w:rPr>
        <w:instrText xml:space="preserve"> ADDIN ZOTERO_ITEM CSL_CITATION {"citationID":"tNRXRSzR","properties":{"formattedCitation":"\\super 10\\nosupersub{}","plainCitation":"10","noteIndex":0},"citationItems":[{"id":177,"uris":["http://zotero.org/users/local/j3TeDIoM/items/GXZASZHY"],"itemData":{"id":177,"type":"article-journal","abstract":"Abstract\n            SARS-CoV-2 is the novel coronavirus responsible for the outbreak of COVID-19, a disease that has spread to over 100 countries and, as of the 26th July 2020, has infected over 16 million people. Despite the urgent need to find effective therapeutics, research on SARS-CoV-2 has been affected by a lack of suitable animal models. To facilitate the development of medical approaches and novel treatments, we compared the ACE2 receptor, and TMPRSS2 and Furin proteases usage of the SARS-CoV-2 Spike glycoprotein in human and in a panel of animal models, i.e. guinea pig, dog, cat, rat, rabbit, ferret, mouse, hamster and macaque. Here we showed that ACE2, but not TMPRSS2 or Furin, has a higher level of sequence variability in the Spike protein interaction surface, which greatly influences Spike protein binding mode. Using molecular docking simulations we compared the SARS-CoV and SARS-CoV-2 Spike proteins in complex with the ACE2 receptor and showed that the SARS-CoV-2 Spike glycoprotein is compatible to bind the human ACE2 with high specificity. In contrast, TMPRSS2 and Furin are sufficiently similar in the considered hosts not to drive susceptibility differences. Computational analysis of binding modes and protein contacts indicates that macaque, ferrets and hamster are the most suitable models for the study of inhibitory antibodies and small molecules targeting the SARS-CoV-2 Spike protein interaction with ACE2. Since TMPRSS2 and Furin are similar across species, our data also suggest that transgenic animal models expressing human ACE2, such as the hACE2 transgenic mouse, are also likely to be useful models for studies investigating viral entry.","container-title":"Scientific Reports","DOI":"10.1038/s41598-020-72528-z","ISSN":"2045-2322","issue":"1","journalAbbreviation":"Sci Rep","language":"en","page":"15917","source":"DOI.org (Crossref)","title":"Structural and functional modelling of SARS-CoV-2 entry in animal models","volume":"10","author":[{"family":"Brooke","given":"Greg N."},{"family":"Prischi","given":"Filippo"}],"issued":{"date-parts":[["2020",9,28]]}}}],"schema":"https://github.com/citation-style-language/schema/raw/master/csl-citation.json"} </w:instrText>
      </w:r>
      <w:r w:rsidR="003648F5">
        <w:rPr>
          <w:rFonts w:ascii="Arial" w:hAnsi="Arial" w:cs="Arial"/>
          <w:b/>
          <w:bCs/>
          <w:szCs w:val="22"/>
        </w:rPr>
        <w:fldChar w:fldCharType="separate"/>
      </w:r>
      <w:r w:rsidR="003648F5" w:rsidRPr="003648F5">
        <w:rPr>
          <w:rFonts w:ascii="Arial" w:hAnsi="Arial" w:cs="Arial"/>
          <w:szCs w:val="24"/>
          <w:vertAlign w:val="superscript"/>
        </w:rPr>
        <w:t>10</w:t>
      </w:r>
      <w:r w:rsidR="003648F5">
        <w:rPr>
          <w:rFonts w:ascii="Arial" w:hAnsi="Arial" w:cs="Arial"/>
          <w:b/>
          <w:bCs/>
          <w:szCs w:val="22"/>
        </w:rPr>
        <w:fldChar w:fldCharType="end"/>
      </w:r>
    </w:p>
    <w:p w14:paraId="78A986FF" w14:textId="77777777" w:rsidR="00872751" w:rsidRPr="00976B94" w:rsidRDefault="00872751" w:rsidP="00976B94">
      <w:pPr>
        <w:jc w:val="both"/>
        <w:rPr>
          <w:rFonts w:ascii="Arial" w:hAnsi="Arial" w:cs="Arial"/>
        </w:rPr>
      </w:pPr>
    </w:p>
    <w:p w14:paraId="06F589AE" w14:textId="24BBA861" w:rsidR="00976B94" w:rsidRPr="00872751" w:rsidRDefault="00872751" w:rsidP="00872751">
      <w:pPr>
        <w:tabs>
          <w:tab w:val="left" w:pos="720"/>
        </w:tabs>
        <w:jc w:val="both"/>
        <w:rPr>
          <w:rFonts w:ascii="Arial" w:hAnsi="Arial" w:cs="Arial"/>
          <w:b/>
          <w:sz w:val="22"/>
          <w:szCs w:val="22"/>
        </w:rPr>
      </w:pPr>
      <w:r>
        <w:rPr>
          <w:rFonts w:ascii="Arial" w:hAnsi="Arial" w:cs="Arial"/>
          <w:b/>
          <w:sz w:val="22"/>
          <w:szCs w:val="22"/>
        </w:rPr>
        <w:t>1.4.</w:t>
      </w:r>
      <w:r>
        <w:rPr>
          <w:rFonts w:ascii="Arial" w:hAnsi="Arial" w:cs="Arial"/>
          <w:b/>
          <w:sz w:val="22"/>
          <w:szCs w:val="22"/>
        </w:rPr>
        <w:tab/>
      </w:r>
      <w:r w:rsidR="00976B94" w:rsidRPr="00872751">
        <w:rPr>
          <w:rFonts w:ascii="Arial" w:hAnsi="Arial" w:cs="Arial"/>
          <w:b/>
          <w:sz w:val="22"/>
          <w:szCs w:val="22"/>
        </w:rPr>
        <w:t>Natural Products as Antiviral Inhibitors</w:t>
      </w:r>
    </w:p>
    <w:p w14:paraId="51F4B284" w14:textId="2D8886E0" w:rsidR="00976B94" w:rsidRDefault="00976B94" w:rsidP="00976B94">
      <w:pPr>
        <w:jc w:val="both"/>
        <w:rPr>
          <w:rFonts w:ascii="Arial" w:hAnsi="Arial" w:cs="Arial"/>
        </w:rPr>
      </w:pPr>
      <w:r w:rsidRPr="00976B94">
        <w:rPr>
          <w:rFonts w:ascii="Arial" w:hAnsi="Arial" w:cs="Arial"/>
        </w:rPr>
        <w:t>Natural products and phytochemicals have long been recognized as valuable sources of antiviral agents due to their structural diversity and favorable safety profiles. Several SARS-CoV-2 targets, including the spike protein and viral polymerases, have been explored using plant-derived compounds.</w:t>
      </w:r>
      <w:r w:rsidR="003648F5">
        <w:rPr>
          <w:rFonts w:ascii="Arial" w:hAnsi="Arial" w:cs="Arial"/>
        </w:rPr>
        <w:fldChar w:fldCharType="begin"/>
      </w:r>
      <w:r w:rsidR="003648F5">
        <w:rPr>
          <w:rFonts w:ascii="Arial" w:hAnsi="Arial" w:cs="Arial"/>
        </w:rPr>
        <w:instrText xml:space="preserve"> ADDIN ZOTERO_ITEM CSL_CITATION {"citationID":"VGxmleeY","properties":{"formattedCitation":"\\super 11\\nosupersub{}","plainCitation":"11","noteIndex":0},"citationItems":[{"id":181,"uris":["http://zotero.org/users/local/j3TeDIoM/items/GIU7SKHD"],"itemData":{"id":181,"type":"article-journal","container-title":"The American Journal of Medicine","DOI":"10.1016/j.amjmed.2021.07.035","ISSN":"00029343","issue":"1","journalAbbreviation":"The American Journal of Medicine","language":"en","page":"7-9","source":"DOI.org (Crossref)","title":"Updates on Hydroxychloroquine in Prevention and Treatment of COVID-19","volume":"135","author":[{"family":"Hennekens","given":"Charles H."},{"family":"Rane","given":"Manas"},{"family":"Solano","given":"Joshua"},{"family":"Alter","given":"Scott"},{"family":"Johnson","given":"Heather"},{"family":"Krishnaswamy","given":"Shiv"},{"family":"Shih","given":"Richard"},{"family":"Maki","given":"Dennis"},{"family":"DeMets","given":"David L."}],"issued":{"date-parts":[["2022",1]]}}}],"schema":"https://github.com/citation-style-language/schema/raw/master/csl-citation.json"}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11</w:t>
      </w:r>
      <w:r w:rsidR="003648F5">
        <w:rPr>
          <w:rFonts w:ascii="Arial" w:hAnsi="Arial" w:cs="Arial"/>
        </w:rPr>
        <w:fldChar w:fldCharType="end"/>
      </w:r>
      <w:r w:rsidRPr="00976B94">
        <w:rPr>
          <w:rFonts w:ascii="Arial" w:hAnsi="Arial" w:cs="Arial"/>
        </w:rPr>
        <w:t>Repurposed drugs such as hydroxychloroquine have been reported to interfere with viral binding to ACE2</w:t>
      </w:r>
      <w:r w:rsidR="00800FAB">
        <w:rPr>
          <w:rFonts w:ascii="Arial" w:hAnsi="Arial" w:cs="Arial"/>
        </w:rPr>
        <w:t>. At the same time,</w:t>
      </w:r>
      <w:r w:rsidRPr="00976B94">
        <w:rPr>
          <w:rFonts w:ascii="Arial" w:hAnsi="Arial" w:cs="Arial"/>
        </w:rPr>
        <w:t xml:space="preserve"> other agents, including remdesivir, nirmatrelvir, Paxlovid, and ivermectin, have demonstrated inhibitory effects against different stages of the viral life cycle</w:t>
      </w:r>
      <w:r w:rsidR="007607BD">
        <w:rPr>
          <w:rFonts w:ascii="Arial" w:hAnsi="Arial" w:cs="Arial"/>
        </w:rPr>
        <w:fldChar w:fldCharType="begin"/>
      </w:r>
      <w:r w:rsidR="003648F5">
        <w:rPr>
          <w:rFonts w:ascii="Arial" w:hAnsi="Arial" w:cs="Arial"/>
        </w:rPr>
        <w:instrText xml:space="preserve"> ADDIN ZOTERO_ITEM CSL_CITATION {"citationID":"QQkYFCFh","properties":{"formattedCitation":"\\super 12\\nosupersub{}","plainCitation":"12","noteIndex":0},"citationItems":[{"id":126,"uris":["http://zotero.org/users/local/j3TeDIoM/items/NYN37RH4"],"itemData":{"id":126,"type":"article-journal","abstract":"SARS-CoV-2 is a newly emerged coronavirus that causes a respiratory disease with variable severity and fatal consequences. It was ﬁrst reported in Wuhan and subsequently caused a global pandemic. The viral spike protein binds with the ACE2 cell surface receptor for entry, while TMPRSS2 triggers its membrane fusion. In addition, RNA dependent RNA polymerase (RdRp), 3′–5′ exoribonuclease (nsp14), viral proteases, N, and M proteins are important in different stages of viral replication. Accordingly, they are attractive targets for different antiviral therapeutic agents. Although many antiviral agents have been used in different clinical trials and included in different treatment protocols, the mode of action against SARS-CoV-2 is still not fully understood. Different potential repurposed drugs, including, chloroquine, hydroxychloroquine, ivermectin, remdesivir, and favipiravir, were screened in the present study. Molecular docking of these drugs with different SARS-CoV-2 target proteins, including spike and membrane proteins, RdRp, nucleoproteins, viral proteases, and nsp14, was performed. Moreover, the binding afﬁnities of the human ACE-2 receptor and TMPRSS2 to the different drugs were evaluated. Molecular dynamics simulation and MM-PBSA calculation were also conducted. Ivermectin and remdesivir were found to be the most promising drugs. Our results suggest that both these drugs utilize different mechanisms at the entry and post-entry stages and could be considered potential inhibitors of SARS-CoV-2 replication.","container-title":"Frontiers in Microbiology","DOI":"10.3389/fmicb.2020.592908","ISSN":"1664-302X","journalAbbreviation":"Front. Microbiol.","language":"en","page":"592908","source":"DOI.org (Crossref)","title":"Molecular Docking Reveals Ivermectin and Remdesivir as Potential Repurposed Drugs Against SARS-CoV-2","volume":"11","author":[{"family":"Eweas","given":"Ahmad F."},{"family":"Alhossary","given":"Amr A."},{"family":"Abdel-Moneim","given":"Ahmed S."}],"issued":{"date-parts":[["2021",1,25]]}}}],"schema":"https://github.com/citation-style-language/schema/raw/master/csl-citation.json"} </w:instrText>
      </w:r>
      <w:r w:rsidR="007607BD">
        <w:rPr>
          <w:rFonts w:ascii="Arial" w:hAnsi="Arial" w:cs="Arial"/>
        </w:rPr>
        <w:fldChar w:fldCharType="separate"/>
      </w:r>
      <w:r w:rsidR="003648F5" w:rsidRPr="003648F5">
        <w:rPr>
          <w:rFonts w:ascii="Arial" w:hAnsi="Arial" w:cs="Arial"/>
          <w:szCs w:val="24"/>
          <w:vertAlign w:val="superscript"/>
        </w:rPr>
        <w:t>12</w:t>
      </w:r>
      <w:r w:rsidR="007607BD">
        <w:rPr>
          <w:rFonts w:ascii="Arial" w:hAnsi="Arial" w:cs="Arial"/>
        </w:rPr>
        <w:fldChar w:fldCharType="end"/>
      </w:r>
      <w:r w:rsidRPr="00976B94">
        <w:rPr>
          <w:rFonts w:ascii="Arial" w:hAnsi="Arial" w:cs="Arial"/>
        </w:rPr>
        <w:t>. These findings highlight the potential of natural and repurposed compounds as alternative therapeutic strategies for COVID-19 and warrant further investigation through structure-based computational approaches.</w:t>
      </w:r>
    </w:p>
    <w:p w14:paraId="1FFC13D0" w14:textId="0EB6CD43" w:rsidR="00872751" w:rsidRDefault="00872751">
      <w:pPr>
        <w:rPr>
          <w:rFonts w:ascii="Arial" w:hAnsi="Arial" w:cs="Arial"/>
        </w:rPr>
      </w:pPr>
      <w:r>
        <w:rPr>
          <w:rFonts w:ascii="Arial" w:hAnsi="Arial" w:cs="Arial"/>
        </w:rPr>
        <w:br w:type="page"/>
      </w:r>
    </w:p>
    <w:p w14:paraId="4F92D2BA" w14:textId="6F0E718F"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lastRenderedPageBreak/>
        <w:t>2.</w:t>
      </w:r>
      <w:r>
        <w:rPr>
          <w:rFonts w:ascii="Arial" w:hAnsi="Arial" w:cs="Arial"/>
          <w:b/>
          <w:sz w:val="22"/>
          <w:szCs w:val="22"/>
        </w:rPr>
        <w:tab/>
      </w:r>
      <w:r w:rsidRPr="00872751">
        <w:rPr>
          <w:rFonts w:ascii="Arial" w:hAnsi="Arial" w:cs="Arial"/>
          <w:b/>
          <w:sz w:val="22"/>
          <w:szCs w:val="22"/>
        </w:rPr>
        <w:t>Methodology</w:t>
      </w:r>
    </w:p>
    <w:p w14:paraId="7A8FB18C" w14:textId="77777777" w:rsidR="00872751" w:rsidRDefault="00872751" w:rsidP="00872751">
      <w:pPr>
        <w:tabs>
          <w:tab w:val="left" w:pos="720"/>
        </w:tabs>
        <w:jc w:val="both"/>
        <w:rPr>
          <w:rFonts w:ascii="Arial" w:hAnsi="Arial" w:cs="Arial"/>
          <w:b/>
          <w:sz w:val="22"/>
          <w:szCs w:val="22"/>
        </w:rPr>
      </w:pPr>
    </w:p>
    <w:p w14:paraId="4EAB09ED" w14:textId="07D7BD8E"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2.1.</w:t>
      </w:r>
      <w:r>
        <w:rPr>
          <w:rFonts w:ascii="Arial" w:hAnsi="Arial" w:cs="Arial"/>
          <w:b/>
          <w:sz w:val="22"/>
          <w:szCs w:val="22"/>
        </w:rPr>
        <w:tab/>
      </w:r>
      <w:r w:rsidRPr="00872751">
        <w:rPr>
          <w:rFonts w:ascii="Arial" w:hAnsi="Arial" w:cs="Arial"/>
          <w:b/>
          <w:sz w:val="22"/>
          <w:szCs w:val="22"/>
        </w:rPr>
        <w:t>Ligand Preparation</w:t>
      </w:r>
    </w:p>
    <w:p w14:paraId="6DE3BBCD" w14:textId="7854C247" w:rsidR="00872751" w:rsidRPr="00872751" w:rsidRDefault="00872751" w:rsidP="00872751">
      <w:pPr>
        <w:jc w:val="both"/>
        <w:rPr>
          <w:rFonts w:ascii="Arial" w:hAnsi="Arial" w:cs="Arial"/>
        </w:rPr>
      </w:pPr>
      <w:r w:rsidRPr="00872751">
        <w:rPr>
          <w:rFonts w:ascii="Arial" w:hAnsi="Arial" w:cs="Arial"/>
        </w:rPr>
        <w:t>The X-ray crystal structure of the SARS-CoV-2 spike protein complexed with the human angiotensin-converting enzyme 2 (ACE2) receptor (PDB ID: 6M0J) was retrieved from the Protein Data Bank</w:t>
      </w:r>
      <w:r w:rsidR="003648F5">
        <w:rPr>
          <w:rFonts w:ascii="Arial" w:hAnsi="Arial" w:cs="Arial"/>
        </w:rPr>
        <w:fldChar w:fldCharType="begin"/>
      </w:r>
      <w:r w:rsidR="003648F5">
        <w:rPr>
          <w:rFonts w:ascii="Arial" w:hAnsi="Arial" w:cs="Arial"/>
        </w:rPr>
        <w:instrText xml:space="preserve"> ADDIN ZOTERO_ITEM CSL_CITATION {"citationID":"KYYWHa20","properties":{"formattedCitation":"\\super 13\\nosupersub{}","plainCitation":"13","noteIndex":0},"citationItems":[{"id":183,"uris":["http://zotero.org/users/local/j3TeDIoM/items/TXLPPJHW"],"itemData":{"id":183,"type":"article-journal","abstract":"The Spike (S) protein of the SARS-CoV-2 virus that causes the COVID-19 disease is considered the most important target for vaccine, drug and therapeutic research as it attaches and binds to the ACE2 receptor of the host cells and allows the entry of this virus. Analysis and classiﬁcation of newly determined S protein structures for SARS-CoV-2 are critical to properly understand their functional, evolutionary and architectural relatedness to already known protein structures. In this paper, ﬁrst, the comparative analysis of SARS-CoV-2 S protein structures is performed. Through comparative analysis, the S protein structures in the PDB (protein data bank) database are compared and analyzed not only with each other but with the structures of other viruses for various parameters. Second, the S protein structures in PDB are classiﬁed into different variants, and the associated published literature is studied to investigate what kind of therapeutics (antibodies, T-cell receptors and small molecules) are used on the structures. This is the ﬁrst study that classiﬁes the S protein structures of the SARS-CoV-2 in PDB into various variants, and the obtained comparative analysis results could be beneﬁcial to the research community, in general, and to crystallographers and health workers, in particular.","container-title":"COVID","DOI":"10.3390/covid3040034","ISSN":"2673-8112","issue":"4","journalAbbreviation":"COVID","language":"en","page":"452-471","source":"DOI.org (Crossref)","title":"Comparative Analysis and Classification of SARS-CoV-2 Spike Protein Structures in PDB","volume":"3","author":[{"family":"Aslam","given":"Memoona"},{"family":"Nawaz","given":"M. Saqib"},{"family":"Fournier-Viger","given":"Philippe"},{"family":"Li","given":"Wenjin"}],"issued":{"date-parts":[["2023",3,29]]}}}],"schema":"https://github.com/citation-style-language/schema/raw/master/csl-citation.json"}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13</w:t>
      </w:r>
      <w:r w:rsidR="003648F5">
        <w:rPr>
          <w:rFonts w:ascii="Arial" w:hAnsi="Arial" w:cs="Arial"/>
        </w:rPr>
        <w:fldChar w:fldCharType="end"/>
      </w:r>
      <w:r w:rsidRPr="00872751">
        <w:rPr>
          <w:rFonts w:ascii="Arial" w:hAnsi="Arial" w:cs="Arial"/>
        </w:rPr>
        <w:t xml:space="preserve">. The original structure contains both the ACE2 receptor and the viral receptor-binding domain (RBD). </w:t>
      </w:r>
      <w:r w:rsidR="00800FAB">
        <w:rPr>
          <w:rFonts w:ascii="Arial" w:hAnsi="Arial" w:cs="Arial"/>
        </w:rPr>
        <w:t>Before</w:t>
      </w:r>
      <w:r w:rsidRPr="00872751">
        <w:rPr>
          <w:rFonts w:ascii="Arial" w:hAnsi="Arial" w:cs="Arial"/>
        </w:rPr>
        <w:t xml:space="preserve"> docking, all crystallographic water molecules, heteroatoms, ligands, and non-protein residues, including N-acetylglucosamine (NAG), were removed using UCSF Chimera to obtain a clean protein structure suitable for molecular modeling.</w:t>
      </w:r>
    </w:p>
    <w:p w14:paraId="5D50D5F1" w14:textId="2CC41FED" w:rsidR="00872751" w:rsidRPr="00872751" w:rsidRDefault="00872751" w:rsidP="00872751">
      <w:pPr>
        <w:jc w:val="both"/>
        <w:rPr>
          <w:rFonts w:ascii="Arial" w:hAnsi="Arial" w:cs="Arial"/>
        </w:rPr>
      </w:pPr>
      <w:r w:rsidRPr="00872751">
        <w:rPr>
          <w:rFonts w:ascii="Arial" w:hAnsi="Arial" w:cs="Arial"/>
        </w:rPr>
        <w:t>A library of phytochemicals was compiled from the Sri Lankan Flora database (https://science.cmb.ac.lk/tools/slflora/), which comprises approximately 200 natural compounds native to or endemic to Sri Lanka. The two-dimensional structures of these compounds were retrieved and subsequently geometry-optimized using Gaussian 09W employing the CBS-QB3 composite method</w:t>
      </w:r>
      <w:r w:rsidR="00804D47">
        <w:rPr>
          <w:rFonts w:ascii="Arial" w:hAnsi="Arial" w:cs="Arial"/>
        </w:rPr>
        <w:fldChar w:fldCharType="begin"/>
      </w:r>
      <w:r w:rsidR="003648F5">
        <w:rPr>
          <w:rFonts w:ascii="Arial" w:hAnsi="Arial" w:cs="Arial"/>
        </w:rPr>
        <w:instrText xml:space="preserve"> ADDIN ZOTERO_ITEM CSL_CITATION {"citationID":"NVqnVTcC","properties":{"formattedCitation":"\\super 14\\nosupersub{}","plainCitation":"14","noteIndex":0},"citationItems":[{"id":157,"uris":["http://zotero.org/users/local/j3TeDIoM/items/PLWXS59R"],"itemData":{"id":157,"type":"article-journal","abstract":"The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804D47">
        <w:rPr>
          <w:rFonts w:ascii="Arial" w:hAnsi="Arial" w:cs="Arial"/>
        </w:rPr>
        <w:fldChar w:fldCharType="separate"/>
      </w:r>
      <w:r w:rsidR="003648F5" w:rsidRPr="003648F5">
        <w:rPr>
          <w:rFonts w:ascii="Arial" w:hAnsi="Arial" w:cs="Arial"/>
          <w:szCs w:val="24"/>
          <w:vertAlign w:val="superscript"/>
        </w:rPr>
        <w:t>14</w:t>
      </w:r>
      <w:r w:rsidR="00804D47">
        <w:rPr>
          <w:rFonts w:ascii="Arial" w:hAnsi="Arial" w:cs="Arial"/>
        </w:rPr>
        <w:fldChar w:fldCharType="end"/>
      </w:r>
      <w:r w:rsidRPr="00872751">
        <w:rPr>
          <w:rFonts w:ascii="Arial" w:hAnsi="Arial" w:cs="Arial"/>
        </w:rPr>
        <w:t>. The optimized structures were converted into Protein Data Bank (PDB) format using Avogadro and imported into the Schrödinger Maestro 12.5 molecular modeling environment for further processing.</w:t>
      </w:r>
    </w:p>
    <w:p w14:paraId="1F24F089" w14:textId="77777777" w:rsidR="00872751" w:rsidRPr="00872751" w:rsidRDefault="00872751" w:rsidP="00872751">
      <w:pPr>
        <w:jc w:val="both"/>
        <w:rPr>
          <w:rFonts w:ascii="Arial" w:hAnsi="Arial" w:cs="Arial"/>
        </w:rPr>
      </w:pPr>
      <w:r w:rsidRPr="00872751">
        <w:rPr>
          <w:rFonts w:ascii="Arial" w:hAnsi="Arial" w:cs="Arial"/>
        </w:rPr>
        <w:t xml:space="preserve">Ligand preparation was carried out using the </w:t>
      </w:r>
      <w:proofErr w:type="spellStart"/>
      <w:r w:rsidRPr="00872751">
        <w:rPr>
          <w:rFonts w:ascii="Arial" w:hAnsi="Arial" w:cs="Arial"/>
        </w:rPr>
        <w:t>LigPrep</w:t>
      </w:r>
      <w:proofErr w:type="spellEnd"/>
      <w:r w:rsidRPr="00872751">
        <w:rPr>
          <w:rFonts w:ascii="Arial" w:hAnsi="Arial" w:cs="Arial"/>
        </w:rPr>
        <w:t xml:space="preserve"> module in Maestro, which included energy minimization, generation of possible stereoisomers, assignment of appropriate protonation states, and optimization of molecular geometries. In addition, physicochemical and pharmacokinetic properties of the ligands were evaluated using the </w:t>
      </w:r>
      <w:proofErr w:type="spellStart"/>
      <w:r w:rsidRPr="00872751">
        <w:rPr>
          <w:rFonts w:ascii="Arial" w:hAnsi="Arial" w:cs="Arial"/>
        </w:rPr>
        <w:t>QikProp</w:t>
      </w:r>
      <w:proofErr w:type="spellEnd"/>
      <w:r w:rsidRPr="00872751">
        <w:rPr>
          <w:rFonts w:ascii="Arial" w:hAnsi="Arial" w:cs="Arial"/>
        </w:rPr>
        <w:t xml:space="preserve"> module to assess their drug-likeness and suitability as potential inhibitors.</w:t>
      </w:r>
    </w:p>
    <w:p w14:paraId="672C713D" w14:textId="77777777" w:rsidR="00872751" w:rsidRPr="00872751" w:rsidRDefault="00872751" w:rsidP="00872751">
      <w:pPr>
        <w:jc w:val="both"/>
        <w:rPr>
          <w:rFonts w:ascii="Arial" w:hAnsi="Arial" w:cs="Arial"/>
        </w:rPr>
      </w:pPr>
    </w:p>
    <w:p w14:paraId="2F0122B7" w14:textId="40777546"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2.2.</w:t>
      </w:r>
      <w:r>
        <w:rPr>
          <w:rFonts w:ascii="Arial" w:hAnsi="Arial" w:cs="Arial"/>
          <w:b/>
          <w:sz w:val="22"/>
          <w:szCs w:val="22"/>
        </w:rPr>
        <w:tab/>
      </w:r>
      <w:r w:rsidRPr="00872751">
        <w:rPr>
          <w:rFonts w:ascii="Arial" w:hAnsi="Arial" w:cs="Arial"/>
          <w:b/>
          <w:sz w:val="22"/>
          <w:szCs w:val="22"/>
        </w:rPr>
        <w:t>Protein Preparation</w:t>
      </w:r>
    </w:p>
    <w:p w14:paraId="0DD1AA56" w14:textId="77777777" w:rsidR="00872751" w:rsidRPr="00872751" w:rsidRDefault="00872751" w:rsidP="00872751">
      <w:pPr>
        <w:jc w:val="both"/>
        <w:rPr>
          <w:rFonts w:ascii="Arial" w:hAnsi="Arial" w:cs="Arial"/>
        </w:rPr>
      </w:pPr>
      <w:r w:rsidRPr="00872751">
        <w:rPr>
          <w:rFonts w:ascii="Arial" w:hAnsi="Arial" w:cs="Arial"/>
        </w:rPr>
        <w:t>Protein preparation was performed using the Protein Preparation Wizard (</w:t>
      </w:r>
      <w:proofErr w:type="spellStart"/>
      <w:r w:rsidRPr="00872751">
        <w:rPr>
          <w:rFonts w:ascii="Arial" w:hAnsi="Arial" w:cs="Arial"/>
        </w:rPr>
        <w:t>PrepWizard</w:t>
      </w:r>
      <w:proofErr w:type="spellEnd"/>
      <w:r w:rsidRPr="00872751">
        <w:rPr>
          <w:rFonts w:ascii="Arial" w:hAnsi="Arial" w:cs="Arial"/>
        </w:rPr>
        <w:t>) in the Schrödinger Maestro suite. The cleaned 6M0J structure was imported into Maestro, and the ACE2 receptor was isolated for docking studies by removing the SARS-CoV-2 RBD where required. During preparation, hydrogen atoms were added, bond orders were assigned, disulfide bonds were created, and missing side chains and loops were repaired using the Prime module.</w:t>
      </w:r>
    </w:p>
    <w:p w14:paraId="3BCF65E2" w14:textId="77777777" w:rsidR="00872751" w:rsidRPr="00872751" w:rsidRDefault="00872751" w:rsidP="00872751">
      <w:pPr>
        <w:jc w:val="both"/>
        <w:rPr>
          <w:rFonts w:ascii="Arial" w:hAnsi="Arial" w:cs="Arial"/>
        </w:rPr>
      </w:pPr>
      <w:r w:rsidRPr="00872751">
        <w:rPr>
          <w:rFonts w:ascii="Arial" w:hAnsi="Arial" w:cs="Arial"/>
        </w:rPr>
        <w:t>Crystallographic water molecules beyond 5.0 Å from the protein surface were removed, and the protein structure was optimized at physiological pH (7.0 ± 2.0). Steric clashes and unfavorable hydrogen-bonding networks were resolved through restrained energy minimization, resulting in a properly optimized receptor structure suitable for molecular docking studies.</w:t>
      </w:r>
    </w:p>
    <w:p w14:paraId="1E847036" w14:textId="77777777" w:rsidR="00872751" w:rsidRPr="00872751" w:rsidRDefault="00872751" w:rsidP="00872751">
      <w:pPr>
        <w:jc w:val="both"/>
        <w:rPr>
          <w:rFonts w:ascii="Arial" w:hAnsi="Arial" w:cs="Arial"/>
        </w:rPr>
      </w:pPr>
    </w:p>
    <w:p w14:paraId="59D18AAD" w14:textId="58971391"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2.3.</w:t>
      </w:r>
      <w:r>
        <w:rPr>
          <w:rFonts w:ascii="Arial" w:hAnsi="Arial" w:cs="Arial"/>
          <w:b/>
          <w:sz w:val="22"/>
          <w:szCs w:val="22"/>
        </w:rPr>
        <w:tab/>
      </w:r>
      <w:r w:rsidRPr="00872751">
        <w:rPr>
          <w:rFonts w:ascii="Arial" w:hAnsi="Arial" w:cs="Arial"/>
          <w:b/>
          <w:sz w:val="22"/>
          <w:szCs w:val="22"/>
        </w:rPr>
        <w:t>Molecular Docking</w:t>
      </w:r>
    </w:p>
    <w:p w14:paraId="6B4CF3F9" w14:textId="558396E1" w:rsidR="00872751" w:rsidRPr="00872751" w:rsidRDefault="00872751" w:rsidP="00872751">
      <w:pPr>
        <w:jc w:val="both"/>
        <w:rPr>
          <w:rFonts w:ascii="Arial" w:hAnsi="Arial" w:cs="Arial"/>
        </w:rPr>
      </w:pPr>
      <w:r w:rsidRPr="00872751">
        <w:rPr>
          <w:rFonts w:ascii="Arial" w:hAnsi="Arial" w:cs="Arial"/>
        </w:rPr>
        <w:t xml:space="preserve">Molecular docking was performed using the Glide module of </w:t>
      </w:r>
      <w:commentRangeStart w:id="2"/>
      <w:r w:rsidRPr="00872751">
        <w:rPr>
          <w:rFonts w:ascii="Arial" w:hAnsi="Arial" w:cs="Arial"/>
        </w:rPr>
        <w:t>Schrödinger</w:t>
      </w:r>
      <w:commentRangeEnd w:id="2"/>
      <w:r w:rsidR="00215408">
        <w:rPr>
          <w:rStyle w:val="CommentReference"/>
          <w:rFonts w:ascii="Times New Roman" w:hAnsi="Times New Roman"/>
          <w:lang w:val="nb-NO" w:eastAsia="nb-NO"/>
        </w:rPr>
        <w:commentReference w:id="2"/>
      </w:r>
      <w:r w:rsidRPr="00872751">
        <w:rPr>
          <w:rFonts w:ascii="Arial" w:hAnsi="Arial" w:cs="Arial"/>
        </w:rPr>
        <w:t xml:space="preserve">. </w:t>
      </w:r>
      <w:r w:rsidR="00800FAB">
        <w:rPr>
          <w:rFonts w:ascii="Arial" w:hAnsi="Arial" w:cs="Arial"/>
        </w:rPr>
        <w:t>Before</w:t>
      </w:r>
      <w:r w:rsidRPr="00872751">
        <w:rPr>
          <w:rFonts w:ascii="Arial" w:hAnsi="Arial" w:cs="Arial"/>
        </w:rPr>
        <w:t xml:space="preserve"> docking, the binding site of the ACE2 receptor was identified based on reported interaction residues involved in ACE2</w:t>
      </w:r>
      <w:r w:rsidR="008416DA">
        <w:rPr>
          <w:rFonts w:ascii="Arial" w:hAnsi="Arial" w:cs="Arial"/>
        </w:rPr>
        <w:t>-</w:t>
      </w:r>
      <w:r w:rsidRPr="00872751">
        <w:rPr>
          <w:rFonts w:ascii="Arial" w:hAnsi="Arial" w:cs="Arial"/>
        </w:rPr>
        <w:t xml:space="preserve">RBD recognition, as described in previous structural studies. A receptor grid was generated around the active binding region using defined Cartesian coordinates (x, y, </w:t>
      </w:r>
      <w:commentRangeStart w:id="3"/>
      <w:r w:rsidRPr="00872751">
        <w:rPr>
          <w:rFonts w:ascii="Arial" w:hAnsi="Arial" w:cs="Arial"/>
        </w:rPr>
        <w:t>z</w:t>
      </w:r>
      <w:commentRangeEnd w:id="3"/>
      <w:r w:rsidR="00215408">
        <w:rPr>
          <w:rStyle w:val="CommentReference"/>
          <w:rFonts w:ascii="Times New Roman" w:hAnsi="Times New Roman"/>
          <w:lang w:val="nb-NO" w:eastAsia="nb-NO"/>
        </w:rPr>
        <w:commentReference w:id="3"/>
      </w:r>
      <w:r w:rsidRPr="00872751">
        <w:rPr>
          <w:rFonts w:ascii="Arial" w:hAnsi="Arial" w:cs="Arial"/>
        </w:rPr>
        <w:t>)</w:t>
      </w:r>
      <w:r w:rsidR="00800FAB">
        <w:rPr>
          <w:rFonts w:ascii="Arial" w:hAnsi="Arial" w:cs="Arial"/>
        </w:rPr>
        <w:t>,</w:t>
      </w:r>
      <w:r w:rsidRPr="00872751">
        <w:rPr>
          <w:rFonts w:ascii="Arial" w:hAnsi="Arial" w:cs="Arial"/>
        </w:rPr>
        <w:t xml:space="preserve"> large enough to accommodate ligand flexibility during docking.</w:t>
      </w:r>
    </w:p>
    <w:p w14:paraId="4E8F720B" w14:textId="47BD9939" w:rsidR="00872751" w:rsidRPr="00872751" w:rsidRDefault="00872751" w:rsidP="00872751">
      <w:pPr>
        <w:jc w:val="both"/>
        <w:rPr>
          <w:rFonts w:ascii="Arial" w:hAnsi="Arial" w:cs="Arial"/>
        </w:rPr>
      </w:pPr>
      <w:r w:rsidRPr="00872751">
        <w:rPr>
          <w:rFonts w:ascii="Arial" w:hAnsi="Arial" w:cs="Arial"/>
        </w:rPr>
        <w:t xml:space="preserve">Docking simulations were conducted </w:t>
      </w:r>
      <w:r w:rsidR="00800FAB">
        <w:rPr>
          <w:rFonts w:ascii="Arial" w:hAnsi="Arial" w:cs="Arial"/>
        </w:rPr>
        <w:t xml:space="preserve">hierarchically: High-Throughput Virtual Screening (HTVS) for initial screening, followed by Standard Precision (SP) </w:t>
      </w:r>
      <w:r w:rsidRPr="00872751">
        <w:rPr>
          <w:rFonts w:ascii="Arial" w:hAnsi="Arial" w:cs="Arial"/>
        </w:rPr>
        <w:t>and Extra Precision (XP) docking for refined binding analysis. Docking scores were used to rank ligand binding affinities, where more negative scores indicated stronger predicted interactions between the ligand and the receptor</w:t>
      </w:r>
      <w:r w:rsidR="003648F5">
        <w:rPr>
          <w:rFonts w:ascii="Arial" w:hAnsi="Arial" w:cs="Arial"/>
        </w:rPr>
        <w:fldChar w:fldCharType="begin"/>
      </w:r>
      <w:r w:rsidR="003648F5">
        <w:rPr>
          <w:rFonts w:ascii="Arial" w:hAnsi="Arial" w:cs="Arial"/>
        </w:rPr>
        <w:instrText xml:space="preserve"> ADDIN ZOTERO_ITEM CSL_CITATION {"citationID":"XdCSdk9i","properties":{"formattedCitation":"\\super 15\\nosupersub{}","plainCitation":"15","noteIndex":0},"citationItems":[{"id":92,"uris":["http://zotero.org/users/local/j3TeDIoM/items/AUJCW3VU"],"itemData":{"id":92,"type":"article-journal","abstract":"Severe Acute Respiratory Syndrome Coronavirus-2 (SARS-CoV-2) is considered the etiological agent of the disease that caused the COVID-19 pandemic, and for which there is currently no effective treatment. This pandemic has shown that the rapid identification of therapeutic compounds is critical (when a new virus with high transmissibility occurs) to prevent or reduce as much as possible the loss of human lives. To meet the urgent need for drugs, many strategies were applied for the discovery, respectively the identification of potential therapies / drugs for SARS-CoV-2. Molecular docking and virtual screening are two of the in silico tools/techniques that provided the identification of few SARS-CoV-2 inhibitors, removing ineffective or less effective drugs and thus preventing the loss of resources such as time and additional costs. The main target of this review is to provide a comprehensive overview of how in-silico tools have been used in the crisis management of anti-SARS-CoV-2 drugs, especially in virtual screening of substances used in the treatment of SARS-CoV-2 infection and analysis of compounds with known action on structurally similar proteins from other viruses; also, completions were added to the way in which these methods came to meet the requirements of biomedical research in the field. Moreover, the importance and impact of the topic approached for researchers was highlighted by conducting an extensive bibliometric analysis.","container-title":"Biomedicine &amp; Pharmacotherapy","DOI":"10.1016/j.biopha.2022.113432","ISSN":"07533322","journalAbbreviation":"Biomedicine &amp; Pharmacotherapy","language":"en","page":"113432","source":"DOI.org (Crossref)","title":"Virtual screening of substances used in the treatment of SARS-CoV-2 infection and analysis of compounds with known action on structurally similar proteins from other viruses","volume":"153","author":[{"family":"Negru","given":"Paul Andrei"},{"family":"Miculas","given":"Denisa Claudia"},{"family":"Behl","given":"Tapan"},{"family":"Bungau","given":"Alexa Florina"},{"family":"Marin","given":"Ruxandra-Cristina"},{"family":"Bungau","given":"Simona Gabriela"}],"issued":{"date-parts":[["2022",9]]}}}],"schema":"https://github.com/citation-style-language/schema/raw/master/csl-citation.json"}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15</w:t>
      </w:r>
      <w:r w:rsidR="003648F5">
        <w:rPr>
          <w:rFonts w:ascii="Arial" w:hAnsi="Arial" w:cs="Arial"/>
        </w:rPr>
        <w:fldChar w:fldCharType="end"/>
      </w:r>
      <w:r w:rsidRPr="00872751">
        <w:rPr>
          <w:rFonts w:ascii="Arial" w:hAnsi="Arial" w:cs="Arial"/>
        </w:rPr>
        <w:t>.</w:t>
      </w:r>
      <w:r w:rsidR="003648F5" w:rsidRPr="00872751">
        <w:rPr>
          <w:rFonts w:ascii="Arial" w:hAnsi="Arial" w:cs="Arial"/>
        </w:rPr>
        <w:t xml:space="preserve"> </w:t>
      </w:r>
    </w:p>
    <w:p w14:paraId="7016E6C3" w14:textId="77777777" w:rsidR="00872751" w:rsidRPr="00872751" w:rsidRDefault="00872751" w:rsidP="00872751">
      <w:pPr>
        <w:jc w:val="both"/>
        <w:rPr>
          <w:rFonts w:ascii="Arial" w:hAnsi="Arial" w:cs="Arial"/>
        </w:rPr>
      </w:pPr>
    </w:p>
    <w:p w14:paraId="399FC4B8" w14:textId="40B42347" w:rsidR="00872751" w:rsidRPr="00872751" w:rsidRDefault="00872751" w:rsidP="00872751">
      <w:pPr>
        <w:tabs>
          <w:tab w:val="left" w:pos="720"/>
        </w:tabs>
        <w:jc w:val="both"/>
        <w:rPr>
          <w:rFonts w:ascii="Arial" w:hAnsi="Arial" w:cs="Arial"/>
          <w:b/>
          <w:sz w:val="22"/>
          <w:szCs w:val="22"/>
        </w:rPr>
      </w:pPr>
      <w:r>
        <w:rPr>
          <w:rFonts w:ascii="Arial" w:hAnsi="Arial" w:cs="Arial"/>
          <w:b/>
          <w:sz w:val="22"/>
          <w:szCs w:val="22"/>
        </w:rPr>
        <w:t>2.4.</w:t>
      </w:r>
      <w:r>
        <w:rPr>
          <w:rFonts w:ascii="Arial" w:hAnsi="Arial" w:cs="Arial"/>
          <w:b/>
          <w:sz w:val="22"/>
          <w:szCs w:val="22"/>
        </w:rPr>
        <w:tab/>
      </w:r>
      <w:r w:rsidRPr="00872751">
        <w:rPr>
          <w:rFonts w:ascii="Arial" w:hAnsi="Arial" w:cs="Arial"/>
          <w:b/>
          <w:sz w:val="22"/>
          <w:szCs w:val="22"/>
        </w:rPr>
        <w:t>Molecular Dynamics Simulation</w:t>
      </w:r>
    </w:p>
    <w:p w14:paraId="67E920E6" w14:textId="6F2528FF" w:rsidR="00872751" w:rsidRPr="00872751" w:rsidRDefault="00872751" w:rsidP="00872751">
      <w:pPr>
        <w:jc w:val="both"/>
        <w:rPr>
          <w:rFonts w:ascii="Arial" w:hAnsi="Arial" w:cs="Arial"/>
        </w:rPr>
      </w:pPr>
      <w:r w:rsidRPr="00872751">
        <w:rPr>
          <w:rFonts w:ascii="Arial" w:hAnsi="Arial" w:cs="Arial"/>
        </w:rPr>
        <w:t xml:space="preserve">Molecular dynamics (MD) simulations were performed using GROMACS version 4.5.6. The GROMOS53a6 united-atom force field was applied to the ACE2 protein, while force field parameters for the selected ligands were obtained from the Automated Topology Builder (ATB) server. </w:t>
      </w:r>
      <w:r w:rsidR="00800FAB">
        <w:rPr>
          <w:rFonts w:ascii="Arial" w:hAnsi="Arial" w:cs="Arial"/>
        </w:rPr>
        <w:t>Before</w:t>
      </w:r>
      <w:r w:rsidRPr="00872751">
        <w:rPr>
          <w:rFonts w:ascii="Arial" w:hAnsi="Arial" w:cs="Arial"/>
        </w:rPr>
        <w:t xml:space="preserve"> simulation, ionizable residues were assigned appropriate protonation </w:t>
      </w:r>
      <w:r w:rsidRPr="00872751">
        <w:rPr>
          <w:rFonts w:ascii="Arial" w:hAnsi="Arial" w:cs="Arial"/>
        </w:rPr>
        <w:lastRenderedPageBreak/>
        <w:t>states: lysine, arginine, and histidine residues were protonated, whereas aspartic acid and glutamic acid residues were deprotonated.</w:t>
      </w:r>
      <w:r w:rsidR="003648F5">
        <w:rPr>
          <w:rFonts w:ascii="Arial" w:hAnsi="Arial" w:cs="Arial"/>
        </w:rPr>
        <w:fldChar w:fldCharType="begin"/>
      </w:r>
      <w:r w:rsidR="003648F5">
        <w:rPr>
          <w:rFonts w:ascii="Arial" w:hAnsi="Arial" w:cs="Arial"/>
        </w:rPr>
        <w:instrText xml:space="preserve"> ADDIN ZOTERO_ITEM CSL_CITATION {"citationID":"JTbbM04y","properties":{"formattedCitation":"\\super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p>
    <w:p w14:paraId="1641273E" w14:textId="6E301D76" w:rsidR="00872751" w:rsidRPr="00872751" w:rsidRDefault="00872751" w:rsidP="00872751">
      <w:pPr>
        <w:jc w:val="both"/>
        <w:rPr>
          <w:rFonts w:ascii="Arial" w:hAnsi="Arial" w:cs="Arial"/>
        </w:rPr>
      </w:pPr>
      <w:r w:rsidRPr="00872751">
        <w:rPr>
          <w:rFonts w:ascii="Arial" w:hAnsi="Arial" w:cs="Arial"/>
        </w:rPr>
        <w:t>The ACE2</w:t>
      </w:r>
      <w:r w:rsidR="008416DA">
        <w:rPr>
          <w:rFonts w:ascii="Arial" w:hAnsi="Arial" w:cs="Arial"/>
        </w:rPr>
        <w:t>-</w:t>
      </w:r>
      <w:r w:rsidRPr="00872751">
        <w:rPr>
          <w:rFonts w:ascii="Arial" w:hAnsi="Arial" w:cs="Arial"/>
        </w:rPr>
        <w:t>ligand complex was placed at the center of a cubic simulation box with dimensions of 9.0 × 9.0 × 9.0 nm³</w:t>
      </w:r>
      <w:r w:rsidR="00F776A4">
        <w:rPr>
          <w:rFonts w:ascii="Arial" w:hAnsi="Arial" w:cs="Arial"/>
        </w:rPr>
        <w:t>, and the system was solvated with</w:t>
      </w:r>
      <w:r w:rsidRPr="00872751">
        <w:rPr>
          <w:rFonts w:ascii="Arial" w:hAnsi="Arial" w:cs="Arial"/>
        </w:rPr>
        <w:t xml:space="preserve"> approximately 37,000 SPC/E water molecules. System neutrality was achieved by adding Na</w:t>
      </w:r>
      <w:r w:rsidRPr="00872751">
        <w:rPr>
          <w:rFonts w:ascii="Cambria Math" w:hAnsi="Cambria Math" w:cs="Cambria Math"/>
        </w:rPr>
        <w:t>⁺</w:t>
      </w:r>
      <w:r w:rsidRPr="00872751">
        <w:rPr>
          <w:rFonts w:ascii="Arial" w:hAnsi="Arial" w:cs="Arial"/>
        </w:rPr>
        <w:t xml:space="preserve"> counterions to compensate for the net negative charge arising from </w:t>
      </w:r>
      <w:r w:rsidR="00F776A4">
        <w:rPr>
          <w:rFonts w:ascii="Arial" w:hAnsi="Arial" w:cs="Arial"/>
        </w:rPr>
        <w:t>protonation states of residues</w:t>
      </w:r>
      <w:r w:rsidRPr="00872751">
        <w:rPr>
          <w:rFonts w:ascii="Arial" w:hAnsi="Arial" w:cs="Arial"/>
        </w:rPr>
        <w:t>.</w:t>
      </w:r>
    </w:p>
    <w:p w14:paraId="1411F5B2" w14:textId="4318D9D9" w:rsidR="00872751" w:rsidRPr="00872751" w:rsidRDefault="00872751" w:rsidP="00872751">
      <w:pPr>
        <w:jc w:val="both"/>
        <w:rPr>
          <w:rFonts w:ascii="Arial" w:hAnsi="Arial" w:cs="Arial"/>
        </w:rPr>
      </w:pPr>
      <w:r w:rsidRPr="00872751">
        <w:rPr>
          <w:rFonts w:ascii="Arial" w:hAnsi="Arial" w:cs="Arial"/>
        </w:rPr>
        <w:t xml:space="preserve">Electrostatic interactions were treated using the particle mesh Ewald (PME) method, with a short-range cutoff of 1.2 nm for both electrostatic and van der Waals interactions. Energy minimization was performed in three stages (em01, em02, and em03) using the steepest descent algorithm, followed by 100 </w:t>
      </w:r>
      <w:proofErr w:type="spellStart"/>
      <w:r w:rsidRPr="00872751">
        <w:rPr>
          <w:rFonts w:ascii="Arial" w:hAnsi="Arial" w:cs="Arial"/>
        </w:rPr>
        <w:t>ps</w:t>
      </w:r>
      <w:proofErr w:type="spellEnd"/>
      <w:r w:rsidRPr="00872751">
        <w:rPr>
          <w:rFonts w:ascii="Arial" w:hAnsi="Arial" w:cs="Arial"/>
        </w:rPr>
        <w:t xml:space="preserve"> of equilibration under NVT and NPT ensembles. Temperature and pressure were maintained at 300 K and 1 bar, respectively.</w:t>
      </w:r>
      <w:r w:rsidR="00804D47">
        <w:rPr>
          <w:rFonts w:ascii="Arial" w:hAnsi="Arial" w:cs="Arial"/>
        </w:rPr>
        <w:fldChar w:fldCharType="begin"/>
      </w:r>
      <w:r w:rsidR="003648F5">
        <w:rPr>
          <w:rFonts w:ascii="Arial" w:hAnsi="Arial" w:cs="Arial"/>
        </w:rPr>
        <w:instrText xml:space="preserve"> ADDIN ZOTERO_ITEM CSL_CITATION {"citationID":"sE4iK8EQ","properties":{"formattedCitation":"\\super 14\\nosupersub{}","plainCitation":"14","noteIndex":0},"citationItems":[{"id":157,"uris":["http://zotero.org/users/local/j3TeDIoM/items/PLWXS59R"],"itemData":{"id":157,"type":"article-journal","abstract":"The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804D47">
        <w:rPr>
          <w:rFonts w:ascii="Arial" w:hAnsi="Arial" w:cs="Arial"/>
        </w:rPr>
        <w:fldChar w:fldCharType="separate"/>
      </w:r>
      <w:r w:rsidR="003648F5" w:rsidRPr="003648F5">
        <w:rPr>
          <w:rFonts w:ascii="Arial" w:hAnsi="Arial" w:cs="Arial"/>
          <w:szCs w:val="24"/>
          <w:vertAlign w:val="superscript"/>
        </w:rPr>
        <w:t>14</w:t>
      </w:r>
      <w:r w:rsidR="00804D47">
        <w:rPr>
          <w:rFonts w:ascii="Arial" w:hAnsi="Arial" w:cs="Arial"/>
        </w:rPr>
        <w:fldChar w:fldCharType="end"/>
      </w:r>
    </w:p>
    <w:p w14:paraId="7850D926" w14:textId="00F64005" w:rsidR="00872751" w:rsidRDefault="00872751" w:rsidP="00872751">
      <w:pPr>
        <w:jc w:val="both"/>
        <w:rPr>
          <w:rFonts w:ascii="Arial" w:hAnsi="Arial" w:cs="Arial"/>
        </w:rPr>
      </w:pPr>
      <w:r w:rsidRPr="00872751">
        <w:rPr>
          <w:rFonts w:ascii="Arial" w:hAnsi="Arial" w:cs="Arial"/>
        </w:rPr>
        <w:t xml:space="preserve">Production MD simulations were carried out for 100 ns using the leap-frog integration algorithm with a time step of 1 fs. Trajectories were saved at 1 </w:t>
      </w:r>
      <w:proofErr w:type="spellStart"/>
      <w:r w:rsidRPr="00872751">
        <w:rPr>
          <w:rFonts w:ascii="Arial" w:hAnsi="Arial" w:cs="Arial"/>
        </w:rPr>
        <w:t>ps</w:t>
      </w:r>
      <w:proofErr w:type="spellEnd"/>
      <w:r w:rsidRPr="00872751">
        <w:rPr>
          <w:rFonts w:ascii="Arial" w:hAnsi="Arial" w:cs="Arial"/>
        </w:rPr>
        <w:t xml:space="preserve"> intervals for subsequent analysis, including structural stability and conformational dynamics of the ACE2</w:t>
      </w:r>
      <w:r w:rsidR="008416DA">
        <w:rPr>
          <w:rFonts w:ascii="Arial" w:hAnsi="Arial" w:cs="Arial"/>
        </w:rPr>
        <w:t>-</w:t>
      </w:r>
      <w:r w:rsidRPr="00872751">
        <w:rPr>
          <w:rFonts w:ascii="Arial" w:hAnsi="Arial" w:cs="Arial"/>
        </w:rPr>
        <w:t>ligand complexes.</w:t>
      </w:r>
    </w:p>
    <w:p w14:paraId="44E93197" w14:textId="025A1149" w:rsidR="00800FAB" w:rsidRDefault="00800FAB">
      <w:pPr>
        <w:rPr>
          <w:rFonts w:ascii="Arial" w:hAnsi="Arial" w:cs="Arial"/>
        </w:rPr>
      </w:pPr>
      <w:r>
        <w:rPr>
          <w:rFonts w:ascii="Arial" w:hAnsi="Arial" w:cs="Arial"/>
        </w:rPr>
        <w:br w:type="page"/>
      </w:r>
    </w:p>
    <w:p w14:paraId="003D66C5" w14:textId="34D08C03" w:rsidR="00F776A4" w:rsidRDefault="00F776A4" w:rsidP="00F776A4">
      <w:pPr>
        <w:tabs>
          <w:tab w:val="left" w:pos="720"/>
        </w:tabs>
        <w:jc w:val="both"/>
        <w:rPr>
          <w:rFonts w:ascii="Arial" w:hAnsi="Arial" w:cs="Arial"/>
          <w:b/>
          <w:sz w:val="22"/>
          <w:szCs w:val="22"/>
        </w:rPr>
      </w:pPr>
      <w:r>
        <w:rPr>
          <w:rFonts w:ascii="Arial" w:hAnsi="Arial" w:cs="Arial"/>
          <w:b/>
          <w:sz w:val="22"/>
          <w:szCs w:val="22"/>
        </w:rPr>
        <w:lastRenderedPageBreak/>
        <w:t>3</w:t>
      </w:r>
      <w:r w:rsidRPr="00F776A4">
        <w:rPr>
          <w:rFonts w:ascii="Arial" w:hAnsi="Arial" w:cs="Arial"/>
          <w:b/>
          <w:sz w:val="22"/>
          <w:szCs w:val="22"/>
        </w:rPr>
        <w:t>.</w:t>
      </w:r>
      <w:r>
        <w:rPr>
          <w:rFonts w:ascii="Arial" w:hAnsi="Arial" w:cs="Arial"/>
          <w:b/>
          <w:sz w:val="22"/>
          <w:szCs w:val="22"/>
        </w:rPr>
        <w:tab/>
      </w:r>
      <w:r w:rsidRPr="00F776A4">
        <w:rPr>
          <w:rFonts w:ascii="Arial" w:hAnsi="Arial" w:cs="Arial"/>
          <w:b/>
          <w:sz w:val="22"/>
          <w:szCs w:val="22"/>
        </w:rPr>
        <w:t>Results and Discussion</w:t>
      </w:r>
    </w:p>
    <w:p w14:paraId="7211C73B" w14:textId="77777777" w:rsidR="00F776A4" w:rsidRPr="00F776A4" w:rsidRDefault="00F776A4" w:rsidP="00F776A4">
      <w:pPr>
        <w:tabs>
          <w:tab w:val="left" w:pos="720"/>
        </w:tabs>
        <w:jc w:val="both"/>
        <w:rPr>
          <w:rFonts w:ascii="Arial" w:hAnsi="Arial" w:cs="Arial"/>
          <w:b/>
          <w:sz w:val="22"/>
          <w:szCs w:val="22"/>
        </w:rPr>
      </w:pPr>
    </w:p>
    <w:p w14:paraId="4E9C4E62" w14:textId="2A2A53AC" w:rsidR="00F776A4" w:rsidRPr="00F776A4" w:rsidRDefault="00F776A4" w:rsidP="00F776A4">
      <w:pPr>
        <w:tabs>
          <w:tab w:val="left" w:pos="720"/>
        </w:tabs>
        <w:jc w:val="both"/>
        <w:rPr>
          <w:rFonts w:ascii="Arial" w:hAnsi="Arial" w:cs="Arial"/>
          <w:b/>
          <w:sz w:val="22"/>
          <w:szCs w:val="22"/>
        </w:rPr>
      </w:pPr>
      <w:r>
        <w:rPr>
          <w:rFonts w:ascii="Arial" w:hAnsi="Arial" w:cs="Arial"/>
          <w:b/>
          <w:sz w:val="22"/>
          <w:szCs w:val="22"/>
        </w:rPr>
        <w:t>3</w:t>
      </w:r>
      <w:r w:rsidRPr="00F776A4">
        <w:rPr>
          <w:rFonts w:ascii="Arial" w:hAnsi="Arial" w:cs="Arial"/>
          <w:b/>
          <w:sz w:val="22"/>
          <w:szCs w:val="22"/>
        </w:rPr>
        <w:t>.1</w:t>
      </w:r>
      <w:r>
        <w:rPr>
          <w:rFonts w:ascii="Arial" w:hAnsi="Arial" w:cs="Arial"/>
          <w:b/>
          <w:sz w:val="22"/>
          <w:szCs w:val="22"/>
        </w:rPr>
        <w:t>.</w:t>
      </w:r>
      <w:r>
        <w:rPr>
          <w:rFonts w:ascii="Arial" w:hAnsi="Arial" w:cs="Arial"/>
          <w:b/>
          <w:sz w:val="22"/>
          <w:szCs w:val="22"/>
        </w:rPr>
        <w:tab/>
      </w:r>
      <w:r w:rsidRPr="00F776A4">
        <w:rPr>
          <w:rFonts w:ascii="Arial" w:hAnsi="Arial" w:cs="Arial"/>
          <w:b/>
          <w:sz w:val="22"/>
          <w:szCs w:val="22"/>
        </w:rPr>
        <w:t>ADMET Profile Analysis</w:t>
      </w:r>
    </w:p>
    <w:p w14:paraId="5E250B2E" w14:textId="69A27CE6" w:rsidR="00F776A4" w:rsidRPr="00F776A4" w:rsidRDefault="00F776A4" w:rsidP="00F776A4">
      <w:pPr>
        <w:jc w:val="both"/>
        <w:rPr>
          <w:rFonts w:ascii="Arial" w:hAnsi="Arial" w:cs="Arial"/>
        </w:rPr>
      </w:pPr>
      <w:r w:rsidRPr="00F776A4">
        <w:rPr>
          <w:rFonts w:ascii="Arial" w:hAnsi="Arial" w:cs="Arial"/>
        </w:rPr>
        <w:t xml:space="preserve">A library of 200 phytochemicals derived from the Sri Lankan Flora database was subjected to virtual screening against the ACE2 enzyme using the Glide workflow. </w:t>
      </w:r>
      <w:r w:rsidR="00800FAB">
        <w:rPr>
          <w:rFonts w:ascii="Arial" w:hAnsi="Arial" w:cs="Arial"/>
        </w:rPr>
        <w:t>Before</w:t>
      </w:r>
      <w:r w:rsidRPr="00F776A4">
        <w:rPr>
          <w:rFonts w:ascii="Arial" w:hAnsi="Arial" w:cs="Arial"/>
        </w:rPr>
        <w:t xml:space="preserve"> docking, all compounds were evaluated for their absorption, distribution, metabolism, excretion, and toxicity (</w:t>
      </w:r>
      <w:commentRangeStart w:id="4"/>
      <w:r w:rsidRPr="00F776A4">
        <w:rPr>
          <w:rFonts w:ascii="Arial" w:hAnsi="Arial" w:cs="Arial"/>
        </w:rPr>
        <w:t>ADMET</w:t>
      </w:r>
      <w:commentRangeEnd w:id="4"/>
      <w:r w:rsidR="00C87D8F">
        <w:rPr>
          <w:rStyle w:val="CommentReference"/>
          <w:rFonts w:ascii="Times New Roman" w:hAnsi="Times New Roman"/>
          <w:lang w:val="nb-NO" w:eastAsia="nb-NO"/>
        </w:rPr>
        <w:commentReference w:id="4"/>
      </w:r>
      <w:bookmarkStart w:id="5" w:name="_GoBack"/>
      <w:bookmarkEnd w:id="5"/>
      <w:r w:rsidRPr="00F776A4">
        <w:rPr>
          <w:rFonts w:ascii="Arial" w:hAnsi="Arial" w:cs="Arial"/>
        </w:rPr>
        <w:t xml:space="preserve">) properties using the </w:t>
      </w:r>
      <w:proofErr w:type="spellStart"/>
      <w:r w:rsidRPr="00F776A4">
        <w:rPr>
          <w:rFonts w:ascii="Arial" w:hAnsi="Arial" w:cs="Arial"/>
        </w:rPr>
        <w:t>QikProp</w:t>
      </w:r>
      <w:proofErr w:type="spellEnd"/>
      <w:r w:rsidRPr="00F776A4">
        <w:rPr>
          <w:rFonts w:ascii="Arial" w:hAnsi="Arial" w:cs="Arial"/>
        </w:rPr>
        <w:t xml:space="preserve"> module. </w:t>
      </w:r>
      <w:proofErr w:type="spellStart"/>
      <w:r w:rsidRPr="00F776A4">
        <w:rPr>
          <w:rFonts w:ascii="Arial" w:hAnsi="Arial" w:cs="Arial"/>
        </w:rPr>
        <w:t>QikProp</w:t>
      </w:r>
      <w:proofErr w:type="spellEnd"/>
      <w:r w:rsidRPr="00F776A4">
        <w:rPr>
          <w:rFonts w:ascii="Arial" w:hAnsi="Arial" w:cs="Arial"/>
        </w:rPr>
        <w:t xml:space="preserve"> generates 44 </w:t>
      </w:r>
      <w:r w:rsidR="00800FAB">
        <w:rPr>
          <w:rFonts w:ascii="Arial" w:hAnsi="Arial" w:cs="Arial"/>
        </w:rPr>
        <w:t xml:space="preserve">physicochemical descriptors, among which </w:t>
      </w:r>
      <w:r w:rsidR="00800FAB" w:rsidRPr="00F776A4">
        <w:rPr>
          <w:rFonts w:ascii="Arial" w:hAnsi="Arial" w:cs="Arial"/>
        </w:rPr>
        <w:t>key</w:t>
      </w:r>
      <w:r w:rsidRPr="00F776A4">
        <w:rPr>
          <w:rFonts w:ascii="Arial" w:hAnsi="Arial" w:cs="Arial"/>
        </w:rPr>
        <w:t xml:space="preserve"> parameters associated with Lipinski’s rule of five and the rule of three were considered to assess drug-likeness</w:t>
      </w:r>
      <w:r w:rsidR="003648F5">
        <w:rPr>
          <w:rFonts w:ascii="Arial" w:hAnsi="Arial" w:cs="Arial"/>
        </w:rPr>
        <w:fldChar w:fldCharType="begin"/>
      </w:r>
      <w:r w:rsidR="003648F5">
        <w:rPr>
          <w:rFonts w:ascii="Arial" w:hAnsi="Arial" w:cs="Arial"/>
        </w:rPr>
        <w:instrText xml:space="preserve"> ADDIN ZOTERO_ITEM CSL_CITATION {"citationID":"URmVXfUm","properties":{"formattedCitation":"\\super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w:t>
      </w:r>
    </w:p>
    <w:p w14:paraId="5BC198D9" w14:textId="77777777" w:rsidR="00F776A4" w:rsidRDefault="00F776A4" w:rsidP="00F776A4">
      <w:pPr>
        <w:jc w:val="both"/>
        <w:rPr>
          <w:rFonts w:ascii="Arial" w:hAnsi="Arial" w:cs="Arial"/>
        </w:rPr>
      </w:pPr>
      <w:r w:rsidRPr="00F776A4">
        <w:rPr>
          <w:rFonts w:ascii="Arial" w:hAnsi="Arial" w:cs="Arial"/>
        </w:rPr>
        <w:t>Only compounds satisfying these criteria without violations were retained for further analysis, as compliance with these rules is generally associated with favorable oral bioavailability and pharmacokinetic profiles. Based on ADMET screening, a subset of phytochemicals demonstrated acceptable molecular weight, lipophilicity (QPlogP), hydrogen bond donor and acceptor counts, aqueous solubility (</w:t>
      </w:r>
      <w:proofErr w:type="spellStart"/>
      <w:r w:rsidRPr="00F776A4">
        <w:rPr>
          <w:rFonts w:ascii="Arial" w:hAnsi="Arial" w:cs="Arial"/>
        </w:rPr>
        <w:t>QPlogS</w:t>
      </w:r>
      <w:proofErr w:type="spellEnd"/>
      <w:r w:rsidRPr="00F776A4">
        <w:rPr>
          <w:rFonts w:ascii="Arial" w:hAnsi="Arial" w:cs="Arial"/>
        </w:rPr>
        <w:t>), and Caco-2 cell permeability (</w:t>
      </w:r>
      <w:proofErr w:type="spellStart"/>
      <w:r w:rsidRPr="00F776A4">
        <w:rPr>
          <w:rFonts w:ascii="Arial" w:hAnsi="Arial" w:cs="Arial"/>
        </w:rPr>
        <w:t>QPPCaco</w:t>
      </w:r>
      <w:proofErr w:type="spellEnd"/>
      <w:r w:rsidRPr="00F776A4">
        <w:rPr>
          <w:rFonts w:ascii="Arial" w:hAnsi="Arial" w:cs="Arial"/>
        </w:rPr>
        <w:t>). Among these, NP#0157 (</w:t>
      </w:r>
      <w:proofErr w:type="spellStart"/>
      <w:r w:rsidRPr="00F776A4">
        <w:rPr>
          <w:rFonts w:ascii="Arial" w:hAnsi="Arial" w:cs="Arial"/>
        </w:rPr>
        <w:t>Celibixanthone</w:t>
      </w:r>
      <w:proofErr w:type="spellEnd"/>
      <w:r w:rsidRPr="00F776A4">
        <w:rPr>
          <w:rFonts w:ascii="Arial" w:hAnsi="Arial" w:cs="Arial"/>
        </w:rPr>
        <w:t>) and NP#0158 (</w:t>
      </w:r>
      <w:proofErr w:type="spellStart"/>
      <w:r w:rsidRPr="00F776A4">
        <w:rPr>
          <w:rFonts w:ascii="Arial" w:hAnsi="Arial" w:cs="Arial"/>
        </w:rPr>
        <w:t>Symphoxanthone</w:t>
      </w:r>
      <w:proofErr w:type="spellEnd"/>
      <w:r w:rsidRPr="00F776A4">
        <w:rPr>
          <w:rFonts w:ascii="Arial" w:hAnsi="Arial" w:cs="Arial"/>
        </w:rPr>
        <w:t xml:space="preserve">) exhibited physicochemical properties consistent with drug-like behavior and were therefore prioritized for subsequent docking and simulation </w:t>
      </w:r>
      <w:commentRangeStart w:id="6"/>
      <w:r w:rsidRPr="00F776A4">
        <w:rPr>
          <w:rFonts w:ascii="Arial" w:hAnsi="Arial" w:cs="Arial"/>
        </w:rPr>
        <w:t>studies</w:t>
      </w:r>
      <w:commentRangeEnd w:id="6"/>
      <w:r w:rsidR="00F272CA">
        <w:rPr>
          <w:rStyle w:val="CommentReference"/>
          <w:rFonts w:ascii="Times New Roman" w:hAnsi="Times New Roman"/>
          <w:lang w:val="nb-NO" w:eastAsia="nb-NO"/>
        </w:rPr>
        <w:commentReference w:id="6"/>
      </w:r>
      <w:r w:rsidRPr="00F776A4">
        <w:rPr>
          <w:rFonts w:ascii="Arial" w:hAnsi="Arial" w:cs="Arial"/>
        </w:rPr>
        <w:t>.</w:t>
      </w:r>
    </w:p>
    <w:p w14:paraId="0FA9F096" w14:textId="77777777" w:rsidR="00F776A4" w:rsidRDefault="00F776A4" w:rsidP="00F776A4">
      <w:pPr>
        <w:jc w:val="both"/>
        <w:rPr>
          <w:rFonts w:ascii="Arial" w:hAnsi="Arial" w:cs="Arial"/>
        </w:rPr>
      </w:pPr>
    </w:p>
    <w:p w14:paraId="61A449B1" w14:textId="6A9F549C" w:rsidR="00F776A4" w:rsidRPr="00F776A4" w:rsidRDefault="00F776A4" w:rsidP="00F776A4">
      <w:pPr>
        <w:jc w:val="both"/>
        <w:rPr>
          <w:rFonts w:ascii="Arial" w:hAnsi="Arial" w:cs="Arial"/>
        </w:rPr>
      </w:pPr>
      <w:r>
        <w:rPr>
          <w:rFonts w:ascii="Arial" w:hAnsi="Arial" w:cs="Arial"/>
        </w:rPr>
        <w:t xml:space="preserve">Table 1. </w:t>
      </w:r>
      <w:r w:rsidR="00800FAB">
        <w:rPr>
          <w:rFonts w:ascii="Arial" w:hAnsi="Arial" w:cs="Arial"/>
        </w:rPr>
        <w:t>Drug-like</w:t>
      </w:r>
      <w:r>
        <w:rPr>
          <w:rFonts w:ascii="Arial" w:hAnsi="Arial" w:cs="Arial"/>
        </w:rPr>
        <w:t xml:space="preserve"> properties and their scores of </w:t>
      </w:r>
      <w:r w:rsidR="00800FAB">
        <w:rPr>
          <w:rFonts w:ascii="Arial" w:hAnsi="Arial" w:cs="Arial"/>
        </w:rPr>
        <w:t xml:space="preserve">the </w:t>
      </w:r>
      <w:r>
        <w:rPr>
          <w:rFonts w:ascii="Arial" w:hAnsi="Arial" w:cs="Arial"/>
        </w:rPr>
        <w:t>best candidates</w:t>
      </w:r>
    </w:p>
    <w:tbl>
      <w:tblPr>
        <w:tblW w:w="5000" w:type="pct"/>
        <w:jc w:val="center"/>
        <w:tblLook w:val="04A0" w:firstRow="1" w:lastRow="0" w:firstColumn="1" w:lastColumn="0" w:noHBand="0" w:noVBand="1"/>
      </w:tblPr>
      <w:tblGrid>
        <w:gridCol w:w="1050"/>
        <w:gridCol w:w="1218"/>
        <w:gridCol w:w="932"/>
        <w:gridCol w:w="919"/>
        <w:gridCol w:w="865"/>
        <w:gridCol w:w="762"/>
        <w:gridCol w:w="1098"/>
        <w:gridCol w:w="1344"/>
      </w:tblGrid>
      <w:tr w:rsidR="00F776A4" w:rsidRPr="006F209E" w14:paraId="6DEAB9C6" w14:textId="77777777" w:rsidTr="00F776A4">
        <w:trPr>
          <w:trHeight w:val="277"/>
          <w:jc w:val="center"/>
        </w:trPr>
        <w:tc>
          <w:tcPr>
            <w:tcW w:w="579" w:type="pct"/>
            <w:vMerge w:val="restart"/>
            <w:tcBorders>
              <w:top w:val="single" w:sz="8" w:space="0" w:color="auto"/>
              <w:left w:val="single" w:sz="8" w:space="0" w:color="auto"/>
              <w:bottom w:val="single" w:sz="8" w:space="0" w:color="000000"/>
              <w:right w:val="single" w:sz="8" w:space="0" w:color="auto"/>
            </w:tcBorders>
            <w:vAlign w:val="center"/>
            <w:hideMark/>
          </w:tcPr>
          <w:p w14:paraId="38EF0F97" w14:textId="77777777" w:rsidR="00F776A4" w:rsidRPr="00F776A4" w:rsidRDefault="00F776A4" w:rsidP="00F776A4">
            <w:pPr>
              <w:jc w:val="both"/>
              <w:rPr>
                <w:rFonts w:ascii="Arial" w:hAnsi="Arial" w:cs="Arial"/>
              </w:rPr>
            </w:pPr>
            <w:r w:rsidRPr="00F776A4">
              <w:rPr>
                <w:rFonts w:ascii="Arial" w:hAnsi="Arial" w:cs="Arial"/>
              </w:rPr>
              <w:t>ID</w:t>
            </w:r>
          </w:p>
        </w:tc>
        <w:tc>
          <w:tcPr>
            <w:tcW w:w="753" w:type="pct"/>
            <w:vMerge w:val="restart"/>
            <w:tcBorders>
              <w:top w:val="single" w:sz="8" w:space="0" w:color="auto"/>
              <w:left w:val="single" w:sz="8" w:space="0" w:color="auto"/>
              <w:bottom w:val="single" w:sz="8" w:space="0" w:color="000000"/>
              <w:right w:val="single" w:sz="8" w:space="0" w:color="auto"/>
            </w:tcBorders>
            <w:vAlign w:val="center"/>
            <w:hideMark/>
          </w:tcPr>
          <w:p w14:paraId="4635E90D" w14:textId="77777777" w:rsidR="00F776A4" w:rsidRPr="00F776A4" w:rsidRDefault="00F776A4" w:rsidP="00F776A4">
            <w:pPr>
              <w:jc w:val="both"/>
              <w:rPr>
                <w:rFonts w:ascii="Arial" w:hAnsi="Arial" w:cs="Arial"/>
              </w:rPr>
            </w:pPr>
            <w:proofErr w:type="spellStart"/>
            <w:r w:rsidRPr="00F776A4">
              <w:rPr>
                <w:rFonts w:ascii="Arial" w:hAnsi="Arial" w:cs="Arial"/>
              </w:rPr>
              <w:t>mol_MW</w:t>
            </w:r>
            <w:proofErr w:type="spellEnd"/>
          </w:p>
        </w:tc>
        <w:tc>
          <w:tcPr>
            <w:tcW w:w="578" w:type="pct"/>
            <w:tcBorders>
              <w:top w:val="single" w:sz="8" w:space="0" w:color="auto"/>
              <w:left w:val="nil"/>
              <w:bottom w:val="nil"/>
              <w:right w:val="single" w:sz="8" w:space="0" w:color="auto"/>
            </w:tcBorders>
            <w:vAlign w:val="center"/>
            <w:hideMark/>
          </w:tcPr>
          <w:p w14:paraId="1D3A5F5B" w14:textId="77777777" w:rsidR="00F776A4" w:rsidRPr="00F776A4" w:rsidRDefault="00F776A4" w:rsidP="00F776A4">
            <w:pPr>
              <w:jc w:val="both"/>
              <w:rPr>
                <w:rFonts w:ascii="Arial" w:hAnsi="Arial" w:cs="Arial"/>
              </w:rPr>
            </w:pPr>
            <w:proofErr w:type="spellStart"/>
            <w:r w:rsidRPr="00F776A4">
              <w:rPr>
                <w:rFonts w:ascii="Arial" w:hAnsi="Arial" w:cs="Arial"/>
              </w:rPr>
              <w:t>QPlog</w:t>
            </w:r>
            <w:proofErr w:type="spellEnd"/>
          </w:p>
        </w:tc>
        <w:tc>
          <w:tcPr>
            <w:tcW w:w="570" w:type="pct"/>
            <w:tcBorders>
              <w:top w:val="single" w:sz="8" w:space="0" w:color="auto"/>
              <w:left w:val="nil"/>
              <w:bottom w:val="nil"/>
              <w:right w:val="single" w:sz="8" w:space="0" w:color="auto"/>
            </w:tcBorders>
            <w:vAlign w:val="center"/>
            <w:hideMark/>
          </w:tcPr>
          <w:p w14:paraId="6368F269" w14:textId="77777777" w:rsidR="00F776A4" w:rsidRPr="00F776A4" w:rsidRDefault="00F776A4" w:rsidP="00F776A4">
            <w:pPr>
              <w:jc w:val="both"/>
              <w:rPr>
                <w:rFonts w:ascii="Arial" w:hAnsi="Arial" w:cs="Arial"/>
              </w:rPr>
            </w:pPr>
            <w:r w:rsidRPr="00F776A4">
              <w:rPr>
                <w:rFonts w:ascii="Arial" w:hAnsi="Arial" w:cs="Arial"/>
              </w:rPr>
              <w:t>Donor</w:t>
            </w:r>
          </w:p>
        </w:tc>
        <w:tc>
          <w:tcPr>
            <w:tcW w:w="537" w:type="pct"/>
            <w:tcBorders>
              <w:top w:val="single" w:sz="8" w:space="0" w:color="auto"/>
              <w:left w:val="nil"/>
              <w:bottom w:val="nil"/>
              <w:right w:val="single" w:sz="8" w:space="0" w:color="auto"/>
            </w:tcBorders>
            <w:vAlign w:val="center"/>
            <w:hideMark/>
          </w:tcPr>
          <w:p w14:paraId="4C288381" w14:textId="77777777" w:rsidR="00F776A4" w:rsidRPr="00F776A4" w:rsidRDefault="00F776A4" w:rsidP="00F776A4">
            <w:pPr>
              <w:jc w:val="both"/>
              <w:rPr>
                <w:rFonts w:ascii="Arial" w:hAnsi="Arial" w:cs="Arial"/>
              </w:rPr>
            </w:pPr>
            <w:proofErr w:type="spellStart"/>
            <w:r w:rsidRPr="00F776A4">
              <w:rPr>
                <w:rFonts w:ascii="Arial" w:hAnsi="Arial" w:cs="Arial"/>
              </w:rPr>
              <w:t>Accpt</w:t>
            </w:r>
            <w:proofErr w:type="spellEnd"/>
          </w:p>
        </w:tc>
        <w:tc>
          <w:tcPr>
            <w:tcW w:w="474" w:type="pct"/>
            <w:vMerge w:val="restart"/>
            <w:tcBorders>
              <w:top w:val="single" w:sz="8" w:space="0" w:color="auto"/>
              <w:left w:val="single" w:sz="8" w:space="0" w:color="auto"/>
              <w:bottom w:val="single" w:sz="8" w:space="0" w:color="000000"/>
              <w:right w:val="single" w:sz="8" w:space="0" w:color="auto"/>
            </w:tcBorders>
            <w:vAlign w:val="center"/>
            <w:hideMark/>
          </w:tcPr>
          <w:p w14:paraId="4949D224" w14:textId="77777777" w:rsidR="00F776A4" w:rsidRPr="00F776A4" w:rsidRDefault="00F776A4" w:rsidP="00F776A4">
            <w:pPr>
              <w:jc w:val="both"/>
              <w:rPr>
                <w:rFonts w:ascii="Arial" w:hAnsi="Arial" w:cs="Arial"/>
              </w:rPr>
            </w:pPr>
            <w:r w:rsidRPr="00F776A4">
              <w:rPr>
                <w:rFonts w:ascii="Arial" w:hAnsi="Arial" w:cs="Arial"/>
              </w:rPr>
              <w:t>N+O</w:t>
            </w:r>
          </w:p>
        </w:tc>
        <w:tc>
          <w:tcPr>
            <w:tcW w:w="679" w:type="pct"/>
            <w:vMerge w:val="restart"/>
            <w:tcBorders>
              <w:top w:val="single" w:sz="8" w:space="0" w:color="auto"/>
              <w:left w:val="single" w:sz="8" w:space="0" w:color="auto"/>
              <w:bottom w:val="single" w:sz="8" w:space="0" w:color="000000"/>
              <w:right w:val="single" w:sz="8" w:space="0" w:color="auto"/>
            </w:tcBorders>
            <w:vAlign w:val="center"/>
            <w:hideMark/>
          </w:tcPr>
          <w:p w14:paraId="300F8698" w14:textId="77777777" w:rsidR="00F776A4" w:rsidRPr="00F776A4" w:rsidRDefault="00F776A4" w:rsidP="00F776A4">
            <w:pPr>
              <w:jc w:val="both"/>
              <w:rPr>
                <w:rFonts w:ascii="Arial" w:hAnsi="Arial" w:cs="Arial"/>
              </w:rPr>
            </w:pPr>
            <w:proofErr w:type="spellStart"/>
            <w:r w:rsidRPr="00F776A4">
              <w:rPr>
                <w:rFonts w:ascii="Arial" w:hAnsi="Arial" w:cs="Arial"/>
              </w:rPr>
              <w:t>QPlogS</w:t>
            </w:r>
            <w:proofErr w:type="spellEnd"/>
          </w:p>
        </w:tc>
        <w:tc>
          <w:tcPr>
            <w:tcW w:w="829" w:type="pct"/>
            <w:vMerge w:val="restart"/>
            <w:tcBorders>
              <w:top w:val="single" w:sz="8" w:space="0" w:color="auto"/>
              <w:left w:val="single" w:sz="8" w:space="0" w:color="auto"/>
              <w:bottom w:val="single" w:sz="8" w:space="0" w:color="000000"/>
              <w:right w:val="single" w:sz="8" w:space="0" w:color="auto"/>
            </w:tcBorders>
            <w:vAlign w:val="center"/>
            <w:hideMark/>
          </w:tcPr>
          <w:p w14:paraId="5EAB550D" w14:textId="77777777" w:rsidR="00F776A4" w:rsidRPr="00F776A4" w:rsidRDefault="00F776A4" w:rsidP="00F776A4">
            <w:pPr>
              <w:jc w:val="both"/>
              <w:rPr>
                <w:rFonts w:ascii="Arial" w:hAnsi="Arial" w:cs="Arial"/>
              </w:rPr>
            </w:pPr>
            <w:proofErr w:type="spellStart"/>
            <w:r w:rsidRPr="00F776A4">
              <w:rPr>
                <w:rFonts w:ascii="Arial" w:hAnsi="Arial" w:cs="Arial"/>
              </w:rPr>
              <w:t>QPPCaco</w:t>
            </w:r>
            <w:proofErr w:type="spellEnd"/>
          </w:p>
        </w:tc>
      </w:tr>
      <w:tr w:rsidR="00F776A4" w:rsidRPr="006F209E" w14:paraId="01F57268" w14:textId="77777777" w:rsidTr="00F776A4">
        <w:trPr>
          <w:trHeight w:val="287"/>
          <w:jc w:val="center"/>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60E5C9E7" w14:textId="77777777" w:rsidR="00F776A4" w:rsidRPr="00F776A4" w:rsidRDefault="00F776A4" w:rsidP="00F776A4">
            <w:pPr>
              <w:jc w:val="both"/>
              <w:rPr>
                <w:rFonts w:ascii="Arial" w:hAnsi="Arial" w:cs="Arial"/>
              </w:rPr>
            </w:pPr>
          </w:p>
        </w:tc>
        <w:tc>
          <w:tcPr>
            <w:tcW w:w="753" w:type="pct"/>
            <w:vMerge/>
            <w:tcBorders>
              <w:top w:val="single" w:sz="8" w:space="0" w:color="auto"/>
              <w:left w:val="single" w:sz="8" w:space="0" w:color="auto"/>
              <w:bottom w:val="single" w:sz="8" w:space="0" w:color="000000"/>
              <w:right w:val="single" w:sz="8" w:space="0" w:color="auto"/>
            </w:tcBorders>
            <w:vAlign w:val="center"/>
            <w:hideMark/>
          </w:tcPr>
          <w:p w14:paraId="6A7F8F30" w14:textId="77777777" w:rsidR="00F776A4" w:rsidRPr="00F776A4" w:rsidRDefault="00F776A4" w:rsidP="00F776A4">
            <w:pPr>
              <w:jc w:val="both"/>
              <w:rPr>
                <w:rFonts w:ascii="Arial" w:hAnsi="Arial" w:cs="Arial"/>
              </w:rPr>
            </w:pPr>
          </w:p>
        </w:tc>
        <w:tc>
          <w:tcPr>
            <w:tcW w:w="578" w:type="pct"/>
            <w:tcBorders>
              <w:top w:val="nil"/>
              <w:left w:val="nil"/>
              <w:bottom w:val="single" w:sz="8" w:space="0" w:color="auto"/>
              <w:right w:val="single" w:sz="8" w:space="0" w:color="auto"/>
            </w:tcBorders>
            <w:vAlign w:val="center"/>
            <w:hideMark/>
          </w:tcPr>
          <w:p w14:paraId="3AA51056" w14:textId="77777777" w:rsidR="00F776A4" w:rsidRPr="00F776A4" w:rsidRDefault="00F776A4" w:rsidP="00F776A4">
            <w:pPr>
              <w:jc w:val="both"/>
              <w:rPr>
                <w:rFonts w:ascii="Arial" w:hAnsi="Arial" w:cs="Arial"/>
              </w:rPr>
            </w:pPr>
            <w:r w:rsidRPr="00F776A4">
              <w:rPr>
                <w:rFonts w:ascii="Arial" w:hAnsi="Arial" w:cs="Arial"/>
              </w:rPr>
              <w:t>Po/w</w:t>
            </w:r>
          </w:p>
        </w:tc>
        <w:tc>
          <w:tcPr>
            <w:tcW w:w="570" w:type="pct"/>
            <w:tcBorders>
              <w:top w:val="nil"/>
              <w:left w:val="nil"/>
              <w:bottom w:val="single" w:sz="8" w:space="0" w:color="auto"/>
              <w:right w:val="single" w:sz="8" w:space="0" w:color="auto"/>
            </w:tcBorders>
            <w:vAlign w:val="center"/>
            <w:hideMark/>
          </w:tcPr>
          <w:p w14:paraId="69707C4C" w14:textId="77777777" w:rsidR="00F776A4" w:rsidRPr="00F776A4" w:rsidRDefault="00F776A4" w:rsidP="00F776A4">
            <w:pPr>
              <w:jc w:val="both"/>
              <w:rPr>
                <w:rFonts w:ascii="Arial" w:hAnsi="Arial" w:cs="Arial"/>
              </w:rPr>
            </w:pPr>
            <w:r w:rsidRPr="00F776A4">
              <w:rPr>
                <w:rFonts w:ascii="Arial" w:hAnsi="Arial" w:cs="Arial"/>
              </w:rPr>
              <w:t>HB</w:t>
            </w:r>
          </w:p>
        </w:tc>
        <w:tc>
          <w:tcPr>
            <w:tcW w:w="537" w:type="pct"/>
            <w:tcBorders>
              <w:top w:val="nil"/>
              <w:left w:val="nil"/>
              <w:bottom w:val="single" w:sz="8" w:space="0" w:color="auto"/>
              <w:right w:val="single" w:sz="8" w:space="0" w:color="auto"/>
            </w:tcBorders>
            <w:vAlign w:val="center"/>
            <w:hideMark/>
          </w:tcPr>
          <w:p w14:paraId="1B5D4D46" w14:textId="77777777" w:rsidR="00F776A4" w:rsidRPr="00F776A4" w:rsidRDefault="00F776A4" w:rsidP="00F776A4">
            <w:pPr>
              <w:jc w:val="both"/>
              <w:rPr>
                <w:rFonts w:ascii="Arial" w:hAnsi="Arial" w:cs="Arial"/>
              </w:rPr>
            </w:pPr>
            <w:r w:rsidRPr="00F776A4">
              <w:rPr>
                <w:rFonts w:ascii="Arial" w:hAnsi="Arial" w:cs="Arial"/>
              </w:rPr>
              <w:t>HB</w:t>
            </w:r>
          </w:p>
        </w:tc>
        <w:tc>
          <w:tcPr>
            <w:tcW w:w="474" w:type="pct"/>
            <w:vMerge/>
            <w:tcBorders>
              <w:top w:val="single" w:sz="8" w:space="0" w:color="auto"/>
              <w:left w:val="single" w:sz="8" w:space="0" w:color="auto"/>
              <w:bottom w:val="single" w:sz="8" w:space="0" w:color="000000"/>
              <w:right w:val="single" w:sz="8" w:space="0" w:color="auto"/>
            </w:tcBorders>
            <w:vAlign w:val="center"/>
            <w:hideMark/>
          </w:tcPr>
          <w:p w14:paraId="656A2BDA" w14:textId="77777777" w:rsidR="00F776A4" w:rsidRPr="00F776A4" w:rsidRDefault="00F776A4" w:rsidP="00F776A4">
            <w:pPr>
              <w:jc w:val="both"/>
              <w:rPr>
                <w:rFonts w:ascii="Arial" w:hAnsi="Arial" w:cs="Arial"/>
              </w:rPr>
            </w:pPr>
          </w:p>
        </w:tc>
        <w:tc>
          <w:tcPr>
            <w:tcW w:w="679" w:type="pct"/>
            <w:vMerge/>
            <w:tcBorders>
              <w:top w:val="single" w:sz="8" w:space="0" w:color="auto"/>
              <w:left w:val="single" w:sz="8" w:space="0" w:color="auto"/>
              <w:bottom w:val="single" w:sz="8" w:space="0" w:color="000000"/>
              <w:right w:val="single" w:sz="8" w:space="0" w:color="auto"/>
            </w:tcBorders>
            <w:vAlign w:val="center"/>
            <w:hideMark/>
          </w:tcPr>
          <w:p w14:paraId="35213797" w14:textId="77777777" w:rsidR="00F776A4" w:rsidRPr="00F776A4" w:rsidRDefault="00F776A4" w:rsidP="00F776A4">
            <w:pPr>
              <w:jc w:val="both"/>
              <w:rPr>
                <w:rFonts w:ascii="Arial" w:hAnsi="Arial" w:cs="Arial"/>
              </w:rPr>
            </w:pPr>
          </w:p>
        </w:tc>
        <w:tc>
          <w:tcPr>
            <w:tcW w:w="829" w:type="pct"/>
            <w:vMerge/>
            <w:tcBorders>
              <w:top w:val="single" w:sz="8" w:space="0" w:color="auto"/>
              <w:left w:val="single" w:sz="8" w:space="0" w:color="auto"/>
              <w:bottom w:val="single" w:sz="8" w:space="0" w:color="000000"/>
              <w:right w:val="single" w:sz="8" w:space="0" w:color="auto"/>
            </w:tcBorders>
            <w:vAlign w:val="center"/>
            <w:hideMark/>
          </w:tcPr>
          <w:p w14:paraId="565E7D30" w14:textId="77777777" w:rsidR="00F776A4" w:rsidRPr="00F776A4" w:rsidRDefault="00F776A4" w:rsidP="00F776A4">
            <w:pPr>
              <w:jc w:val="both"/>
              <w:rPr>
                <w:rFonts w:ascii="Arial" w:hAnsi="Arial" w:cs="Arial"/>
              </w:rPr>
            </w:pPr>
          </w:p>
        </w:tc>
      </w:tr>
      <w:tr w:rsidR="00F776A4" w:rsidRPr="006F209E" w14:paraId="14281810" w14:textId="77777777" w:rsidTr="00F776A4">
        <w:trPr>
          <w:trHeight w:val="287"/>
          <w:jc w:val="center"/>
        </w:trPr>
        <w:tc>
          <w:tcPr>
            <w:tcW w:w="579" w:type="pct"/>
            <w:tcBorders>
              <w:top w:val="nil"/>
              <w:left w:val="single" w:sz="8" w:space="0" w:color="auto"/>
              <w:bottom w:val="single" w:sz="8" w:space="0" w:color="auto"/>
              <w:right w:val="single" w:sz="8" w:space="0" w:color="auto"/>
            </w:tcBorders>
            <w:vAlign w:val="center"/>
            <w:hideMark/>
          </w:tcPr>
          <w:p w14:paraId="4032BCB3" w14:textId="78C41C1B" w:rsidR="00F776A4" w:rsidRPr="00F776A4" w:rsidRDefault="00F776A4" w:rsidP="00F776A4">
            <w:pPr>
              <w:jc w:val="both"/>
              <w:rPr>
                <w:rFonts w:ascii="Arial" w:hAnsi="Arial" w:cs="Arial"/>
              </w:rPr>
            </w:pPr>
            <w:r w:rsidRPr="00F776A4">
              <w:rPr>
                <w:rFonts w:ascii="Arial" w:hAnsi="Arial" w:cs="Arial"/>
              </w:rPr>
              <w:t>NP#0157</w:t>
            </w:r>
          </w:p>
        </w:tc>
        <w:tc>
          <w:tcPr>
            <w:tcW w:w="753" w:type="pct"/>
            <w:tcBorders>
              <w:top w:val="nil"/>
              <w:left w:val="nil"/>
              <w:bottom w:val="single" w:sz="8" w:space="0" w:color="auto"/>
              <w:right w:val="single" w:sz="8" w:space="0" w:color="auto"/>
            </w:tcBorders>
            <w:vAlign w:val="center"/>
            <w:hideMark/>
          </w:tcPr>
          <w:p w14:paraId="757DEC5A" w14:textId="77777777" w:rsidR="00F776A4" w:rsidRPr="00F776A4" w:rsidRDefault="00F776A4" w:rsidP="00F776A4">
            <w:pPr>
              <w:jc w:val="both"/>
              <w:rPr>
                <w:rFonts w:ascii="Arial" w:hAnsi="Arial" w:cs="Arial"/>
              </w:rPr>
            </w:pPr>
            <w:r w:rsidRPr="00F776A4">
              <w:rPr>
                <w:rFonts w:ascii="Arial" w:hAnsi="Arial" w:cs="Arial"/>
              </w:rPr>
              <w:t>358.47</w:t>
            </w:r>
          </w:p>
        </w:tc>
        <w:tc>
          <w:tcPr>
            <w:tcW w:w="578" w:type="pct"/>
            <w:tcBorders>
              <w:top w:val="nil"/>
              <w:left w:val="nil"/>
              <w:bottom w:val="single" w:sz="8" w:space="0" w:color="auto"/>
              <w:right w:val="single" w:sz="8" w:space="0" w:color="auto"/>
            </w:tcBorders>
            <w:vAlign w:val="center"/>
            <w:hideMark/>
          </w:tcPr>
          <w:p w14:paraId="7AE13AEB" w14:textId="77777777" w:rsidR="00F776A4" w:rsidRPr="00F776A4" w:rsidRDefault="00F776A4" w:rsidP="00F776A4">
            <w:pPr>
              <w:jc w:val="both"/>
              <w:rPr>
                <w:rFonts w:ascii="Arial" w:hAnsi="Arial" w:cs="Arial"/>
              </w:rPr>
            </w:pPr>
            <w:r w:rsidRPr="00F776A4">
              <w:rPr>
                <w:rFonts w:ascii="Arial" w:hAnsi="Arial" w:cs="Arial"/>
              </w:rPr>
              <w:t>0.47</w:t>
            </w:r>
          </w:p>
        </w:tc>
        <w:tc>
          <w:tcPr>
            <w:tcW w:w="570" w:type="pct"/>
            <w:tcBorders>
              <w:top w:val="nil"/>
              <w:left w:val="nil"/>
              <w:bottom w:val="single" w:sz="8" w:space="0" w:color="auto"/>
              <w:right w:val="single" w:sz="8" w:space="0" w:color="auto"/>
            </w:tcBorders>
            <w:vAlign w:val="center"/>
            <w:hideMark/>
          </w:tcPr>
          <w:p w14:paraId="2D9E3DE3" w14:textId="77777777" w:rsidR="00F776A4" w:rsidRPr="00F776A4" w:rsidRDefault="00F776A4" w:rsidP="00F776A4">
            <w:pPr>
              <w:jc w:val="both"/>
              <w:rPr>
                <w:rFonts w:ascii="Arial" w:hAnsi="Arial" w:cs="Arial"/>
              </w:rPr>
            </w:pPr>
            <w:r w:rsidRPr="00F776A4">
              <w:rPr>
                <w:rFonts w:ascii="Arial" w:hAnsi="Arial" w:cs="Arial"/>
              </w:rPr>
              <w:t>4</w:t>
            </w:r>
          </w:p>
        </w:tc>
        <w:tc>
          <w:tcPr>
            <w:tcW w:w="537" w:type="pct"/>
            <w:tcBorders>
              <w:top w:val="nil"/>
              <w:left w:val="nil"/>
              <w:bottom w:val="single" w:sz="8" w:space="0" w:color="auto"/>
              <w:right w:val="single" w:sz="8" w:space="0" w:color="auto"/>
            </w:tcBorders>
            <w:vAlign w:val="center"/>
            <w:hideMark/>
          </w:tcPr>
          <w:p w14:paraId="2AB8F253" w14:textId="77777777" w:rsidR="00F776A4" w:rsidRPr="00F776A4" w:rsidRDefault="00F776A4" w:rsidP="00F776A4">
            <w:pPr>
              <w:jc w:val="both"/>
              <w:rPr>
                <w:rFonts w:ascii="Arial" w:hAnsi="Arial" w:cs="Arial"/>
              </w:rPr>
            </w:pPr>
            <w:r w:rsidRPr="00F776A4">
              <w:rPr>
                <w:rFonts w:ascii="Arial" w:hAnsi="Arial" w:cs="Arial"/>
              </w:rPr>
              <w:t>10.2</w:t>
            </w:r>
          </w:p>
        </w:tc>
        <w:tc>
          <w:tcPr>
            <w:tcW w:w="474" w:type="pct"/>
            <w:tcBorders>
              <w:top w:val="nil"/>
              <w:left w:val="nil"/>
              <w:bottom w:val="single" w:sz="8" w:space="0" w:color="auto"/>
              <w:right w:val="single" w:sz="8" w:space="0" w:color="auto"/>
            </w:tcBorders>
            <w:vAlign w:val="center"/>
            <w:hideMark/>
          </w:tcPr>
          <w:p w14:paraId="14353139" w14:textId="77777777" w:rsidR="00F776A4" w:rsidRPr="00F776A4" w:rsidRDefault="00F776A4" w:rsidP="00F776A4">
            <w:pPr>
              <w:jc w:val="both"/>
              <w:rPr>
                <w:rFonts w:ascii="Arial" w:hAnsi="Arial" w:cs="Arial"/>
              </w:rPr>
            </w:pPr>
            <w:r w:rsidRPr="00F776A4">
              <w:rPr>
                <w:rFonts w:ascii="Arial" w:hAnsi="Arial" w:cs="Arial"/>
              </w:rPr>
              <w:t>6</w:t>
            </w:r>
          </w:p>
        </w:tc>
        <w:tc>
          <w:tcPr>
            <w:tcW w:w="679" w:type="pct"/>
            <w:tcBorders>
              <w:top w:val="nil"/>
              <w:left w:val="nil"/>
              <w:bottom w:val="single" w:sz="8" w:space="0" w:color="auto"/>
              <w:right w:val="single" w:sz="8" w:space="0" w:color="auto"/>
            </w:tcBorders>
            <w:vAlign w:val="center"/>
            <w:hideMark/>
          </w:tcPr>
          <w:p w14:paraId="57AE0DBB" w14:textId="77777777" w:rsidR="00F776A4" w:rsidRPr="00F776A4" w:rsidRDefault="00F776A4" w:rsidP="00F776A4">
            <w:pPr>
              <w:jc w:val="both"/>
              <w:rPr>
                <w:rFonts w:ascii="Arial" w:hAnsi="Arial" w:cs="Arial"/>
              </w:rPr>
            </w:pPr>
            <w:r w:rsidRPr="00F776A4">
              <w:rPr>
                <w:rFonts w:ascii="Arial" w:hAnsi="Arial" w:cs="Arial"/>
              </w:rPr>
              <w:t>-1.02</w:t>
            </w:r>
          </w:p>
        </w:tc>
        <w:tc>
          <w:tcPr>
            <w:tcW w:w="829" w:type="pct"/>
            <w:tcBorders>
              <w:top w:val="nil"/>
              <w:left w:val="nil"/>
              <w:bottom w:val="single" w:sz="8" w:space="0" w:color="auto"/>
              <w:right w:val="single" w:sz="8" w:space="0" w:color="auto"/>
            </w:tcBorders>
            <w:vAlign w:val="center"/>
            <w:hideMark/>
          </w:tcPr>
          <w:p w14:paraId="4B519759" w14:textId="77777777" w:rsidR="00F776A4" w:rsidRPr="00F776A4" w:rsidRDefault="00F776A4" w:rsidP="00F776A4">
            <w:pPr>
              <w:jc w:val="both"/>
              <w:rPr>
                <w:rFonts w:ascii="Arial" w:hAnsi="Arial" w:cs="Arial"/>
              </w:rPr>
            </w:pPr>
            <w:r w:rsidRPr="00F776A4">
              <w:rPr>
                <w:rFonts w:ascii="Arial" w:hAnsi="Arial" w:cs="Arial"/>
              </w:rPr>
              <w:t>698.02</w:t>
            </w:r>
          </w:p>
        </w:tc>
      </w:tr>
      <w:tr w:rsidR="00F776A4" w:rsidRPr="006F209E" w14:paraId="1A712D66" w14:textId="77777777" w:rsidTr="00F776A4">
        <w:trPr>
          <w:trHeight w:val="287"/>
          <w:jc w:val="center"/>
        </w:trPr>
        <w:tc>
          <w:tcPr>
            <w:tcW w:w="579" w:type="pct"/>
            <w:tcBorders>
              <w:top w:val="nil"/>
              <w:left w:val="single" w:sz="8" w:space="0" w:color="auto"/>
              <w:bottom w:val="single" w:sz="8" w:space="0" w:color="auto"/>
              <w:right w:val="single" w:sz="8" w:space="0" w:color="auto"/>
            </w:tcBorders>
            <w:vAlign w:val="center"/>
            <w:hideMark/>
          </w:tcPr>
          <w:p w14:paraId="612FD269" w14:textId="582ACD8B" w:rsidR="00F776A4" w:rsidRPr="00F776A4" w:rsidRDefault="00F776A4" w:rsidP="00F776A4">
            <w:pPr>
              <w:jc w:val="both"/>
              <w:rPr>
                <w:rFonts w:ascii="Arial" w:hAnsi="Arial" w:cs="Arial"/>
              </w:rPr>
            </w:pPr>
            <w:r w:rsidRPr="00F776A4">
              <w:rPr>
                <w:rFonts w:ascii="Arial" w:hAnsi="Arial" w:cs="Arial"/>
              </w:rPr>
              <w:t>NP#015</w:t>
            </w:r>
            <w:r>
              <w:rPr>
                <w:rFonts w:ascii="Arial" w:hAnsi="Arial" w:cs="Arial"/>
              </w:rPr>
              <w:t>8</w:t>
            </w:r>
          </w:p>
        </w:tc>
        <w:tc>
          <w:tcPr>
            <w:tcW w:w="753" w:type="pct"/>
            <w:tcBorders>
              <w:top w:val="nil"/>
              <w:left w:val="nil"/>
              <w:bottom w:val="single" w:sz="8" w:space="0" w:color="auto"/>
              <w:right w:val="single" w:sz="8" w:space="0" w:color="auto"/>
            </w:tcBorders>
            <w:vAlign w:val="center"/>
            <w:hideMark/>
          </w:tcPr>
          <w:p w14:paraId="02A7F39E" w14:textId="77777777" w:rsidR="00F776A4" w:rsidRPr="00F776A4" w:rsidRDefault="00F776A4" w:rsidP="00F776A4">
            <w:pPr>
              <w:jc w:val="both"/>
              <w:rPr>
                <w:rFonts w:ascii="Arial" w:hAnsi="Arial" w:cs="Arial"/>
              </w:rPr>
            </w:pPr>
            <w:r w:rsidRPr="00F776A4">
              <w:rPr>
                <w:rFonts w:ascii="Arial" w:hAnsi="Arial" w:cs="Arial"/>
              </w:rPr>
              <w:t>344.44</w:t>
            </w:r>
          </w:p>
        </w:tc>
        <w:tc>
          <w:tcPr>
            <w:tcW w:w="578" w:type="pct"/>
            <w:tcBorders>
              <w:top w:val="nil"/>
              <w:left w:val="nil"/>
              <w:bottom w:val="single" w:sz="8" w:space="0" w:color="auto"/>
              <w:right w:val="single" w:sz="8" w:space="0" w:color="auto"/>
            </w:tcBorders>
            <w:vAlign w:val="center"/>
            <w:hideMark/>
          </w:tcPr>
          <w:p w14:paraId="0039B657" w14:textId="77777777" w:rsidR="00F776A4" w:rsidRPr="00F776A4" w:rsidRDefault="00F776A4" w:rsidP="00F776A4">
            <w:pPr>
              <w:jc w:val="both"/>
              <w:rPr>
                <w:rFonts w:ascii="Arial" w:hAnsi="Arial" w:cs="Arial"/>
              </w:rPr>
            </w:pPr>
            <w:r w:rsidRPr="00F776A4">
              <w:rPr>
                <w:rFonts w:ascii="Arial" w:hAnsi="Arial" w:cs="Arial"/>
              </w:rPr>
              <w:t>-0.28</w:t>
            </w:r>
          </w:p>
        </w:tc>
        <w:tc>
          <w:tcPr>
            <w:tcW w:w="570" w:type="pct"/>
            <w:tcBorders>
              <w:top w:val="nil"/>
              <w:left w:val="nil"/>
              <w:bottom w:val="single" w:sz="8" w:space="0" w:color="auto"/>
              <w:right w:val="single" w:sz="8" w:space="0" w:color="auto"/>
            </w:tcBorders>
            <w:vAlign w:val="center"/>
            <w:hideMark/>
          </w:tcPr>
          <w:p w14:paraId="4114D517" w14:textId="77777777" w:rsidR="00F776A4" w:rsidRPr="00F776A4" w:rsidRDefault="00F776A4" w:rsidP="00F776A4">
            <w:pPr>
              <w:jc w:val="both"/>
              <w:rPr>
                <w:rFonts w:ascii="Arial" w:hAnsi="Arial" w:cs="Arial"/>
              </w:rPr>
            </w:pPr>
            <w:r w:rsidRPr="00F776A4">
              <w:rPr>
                <w:rFonts w:ascii="Arial" w:hAnsi="Arial" w:cs="Arial"/>
              </w:rPr>
              <w:t>5</w:t>
            </w:r>
          </w:p>
        </w:tc>
        <w:tc>
          <w:tcPr>
            <w:tcW w:w="537" w:type="pct"/>
            <w:tcBorders>
              <w:top w:val="nil"/>
              <w:left w:val="nil"/>
              <w:bottom w:val="single" w:sz="8" w:space="0" w:color="auto"/>
              <w:right w:val="single" w:sz="8" w:space="0" w:color="auto"/>
            </w:tcBorders>
            <w:vAlign w:val="center"/>
            <w:hideMark/>
          </w:tcPr>
          <w:p w14:paraId="573FA7A5" w14:textId="77777777" w:rsidR="00F776A4" w:rsidRPr="00F776A4" w:rsidRDefault="00F776A4" w:rsidP="00F776A4">
            <w:pPr>
              <w:jc w:val="both"/>
              <w:rPr>
                <w:rFonts w:ascii="Arial" w:hAnsi="Arial" w:cs="Arial"/>
              </w:rPr>
            </w:pPr>
            <w:r w:rsidRPr="00F776A4">
              <w:rPr>
                <w:rFonts w:ascii="Arial" w:hAnsi="Arial" w:cs="Arial"/>
              </w:rPr>
              <w:t>10.2</w:t>
            </w:r>
          </w:p>
        </w:tc>
        <w:tc>
          <w:tcPr>
            <w:tcW w:w="474" w:type="pct"/>
            <w:tcBorders>
              <w:top w:val="nil"/>
              <w:left w:val="nil"/>
              <w:bottom w:val="single" w:sz="8" w:space="0" w:color="auto"/>
              <w:right w:val="single" w:sz="8" w:space="0" w:color="auto"/>
            </w:tcBorders>
            <w:vAlign w:val="center"/>
            <w:hideMark/>
          </w:tcPr>
          <w:p w14:paraId="400F3BC9" w14:textId="77777777" w:rsidR="00F776A4" w:rsidRPr="00F776A4" w:rsidRDefault="00F776A4" w:rsidP="00F776A4">
            <w:pPr>
              <w:jc w:val="both"/>
              <w:rPr>
                <w:rFonts w:ascii="Arial" w:hAnsi="Arial" w:cs="Arial"/>
              </w:rPr>
            </w:pPr>
            <w:r w:rsidRPr="00F776A4">
              <w:rPr>
                <w:rFonts w:ascii="Arial" w:hAnsi="Arial" w:cs="Arial"/>
              </w:rPr>
              <w:t>6</w:t>
            </w:r>
          </w:p>
        </w:tc>
        <w:tc>
          <w:tcPr>
            <w:tcW w:w="679" w:type="pct"/>
            <w:tcBorders>
              <w:top w:val="nil"/>
              <w:left w:val="nil"/>
              <w:bottom w:val="single" w:sz="8" w:space="0" w:color="auto"/>
              <w:right w:val="single" w:sz="8" w:space="0" w:color="auto"/>
            </w:tcBorders>
            <w:vAlign w:val="center"/>
            <w:hideMark/>
          </w:tcPr>
          <w:p w14:paraId="23755581" w14:textId="77777777" w:rsidR="00F776A4" w:rsidRPr="00F776A4" w:rsidRDefault="00F776A4" w:rsidP="00F776A4">
            <w:pPr>
              <w:jc w:val="both"/>
              <w:rPr>
                <w:rFonts w:ascii="Arial" w:hAnsi="Arial" w:cs="Arial"/>
              </w:rPr>
            </w:pPr>
            <w:r w:rsidRPr="00F776A4">
              <w:rPr>
                <w:rFonts w:ascii="Arial" w:hAnsi="Arial" w:cs="Arial"/>
              </w:rPr>
              <w:t>-1.41</w:t>
            </w:r>
          </w:p>
        </w:tc>
        <w:tc>
          <w:tcPr>
            <w:tcW w:w="829" w:type="pct"/>
            <w:tcBorders>
              <w:top w:val="nil"/>
              <w:left w:val="nil"/>
              <w:bottom w:val="single" w:sz="8" w:space="0" w:color="auto"/>
              <w:right w:val="single" w:sz="8" w:space="0" w:color="auto"/>
            </w:tcBorders>
            <w:vAlign w:val="center"/>
            <w:hideMark/>
          </w:tcPr>
          <w:p w14:paraId="675DF447" w14:textId="77777777" w:rsidR="00F776A4" w:rsidRPr="00F776A4" w:rsidRDefault="00F776A4" w:rsidP="00F776A4">
            <w:pPr>
              <w:jc w:val="both"/>
              <w:rPr>
                <w:rFonts w:ascii="Arial" w:hAnsi="Arial" w:cs="Arial"/>
              </w:rPr>
            </w:pPr>
            <w:r w:rsidRPr="00F776A4">
              <w:rPr>
                <w:rFonts w:ascii="Arial" w:hAnsi="Arial" w:cs="Arial"/>
              </w:rPr>
              <w:t>154.13</w:t>
            </w:r>
          </w:p>
        </w:tc>
      </w:tr>
    </w:tbl>
    <w:p w14:paraId="2D1191F4" w14:textId="77777777" w:rsidR="00F776A4" w:rsidRDefault="00F776A4" w:rsidP="00F776A4">
      <w:pPr>
        <w:jc w:val="both"/>
        <w:rPr>
          <w:rFonts w:ascii="Arial" w:hAnsi="Arial" w:cs="Arial"/>
        </w:rPr>
      </w:pPr>
    </w:p>
    <w:p w14:paraId="59823639" w14:textId="2B73BCA6" w:rsidR="00D830A9" w:rsidRDefault="00D830A9" w:rsidP="00D830A9">
      <w:pPr>
        <w:jc w:val="center"/>
        <w:rPr>
          <w:rFonts w:ascii="Arial" w:hAnsi="Arial" w:cs="Arial"/>
        </w:rPr>
      </w:pPr>
      <w:r>
        <w:rPr>
          <w:bCs/>
          <w:noProof/>
          <w:lang w:val="en-IN" w:eastAsia="en-IN"/>
        </w:rPr>
        <w:drawing>
          <wp:inline distT="0" distB="0" distL="0" distR="0" wp14:anchorId="7C8907E4" wp14:editId="25A99E4E">
            <wp:extent cx="1828800" cy="1651080"/>
            <wp:effectExtent l="0" t="0" r="0" b="6350"/>
            <wp:docPr id="12272132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651080"/>
                    </a:xfrm>
                    <a:prstGeom prst="rect">
                      <a:avLst/>
                    </a:prstGeom>
                    <a:noFill/>
                    <a:ln>
                      <a:noFill/>
                    </a:ln>
                  </pic:spPr>
                </pic:pic>
              </a:graphicData>
            </a:graphic>
          </wp:inline>
        </w:drawing>
      </w:r>
      <w:r>
        <w:rPr>
          <w:rFonts w:ascii="Arial" w:hAnsi="Arial" w:cs="Arial"/>
        </w:rPr>
        <w:t xml:space="preserve">       </w:t>
      </w:r>
      <w:r>
        <w:rPr>
          <w:bCs/>
          <w:noProof/>
          <w:lang w:val="en-IN" w:eastAsia="en-IN"/>
        </w:rPr>
        <w:drawing>
          <wp:inline distT="0" distB="0" distL="0" distR="0" wp14:anchorId="4376A612" wp14:editId="095B52EA">
            <wp:extent cx="1828800" cy="1415084"/>
            <wp:effectExtent l="0" t="0" r="0" b="0"/>
            <wp:docPr id="1603196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415084"/>
                    </a:xfrm>
                    <a:prstGeom prst="rect">
                      <a:avLst/>
                    </a:prstGeom>
                    <a:noFill/>
                    <a:ln>
                      <a:noFill/>
                    </a:ln>
                  </pic:spPr>
                </pic:pic>
              </a:graphicData>
            </a:graphic>
          </wp:inline>
        </w:drawing>
      </w:r>
    </w:p>
    <w:p w14:paraId="529D828D" w14:textId="4078CFCF" w:rsidR="00D830A9" w:rsidRPr="00D830A9" w:rsidRDefault="00D830A9" w:rsidP="00D830A9">
      <w:pPr>
        <w:tabs>
          <w:tab w:val="left" w:pos="5760"/>
        </w:tabs>
        <w:ind w:left="2430"/>
        <w:jc w:val="both"/>
        <w:rPr>
          <w:rFonts w:ascii="Arial" w:hAnsi="Arial" w:cs="Arial"/>
        </w:rPr>
      </w:pPr>
      <w:r w:rsidRPr="00D830A9">
        <w:rPr>
          <w:rFonts w:ascii="Arial" w:hAnsi="Arial" w:cs="Arial"/>
        </w:rPr>
        <w:t>(a)</w:t>
      </w:r>
      <w:r w:rsidRPr="00D830A9">
        <w:rPr>
          <w:rFonts w:ascii="Arial" w:hAnsi="Arial" w:cs="Arial"/>
        </w:rPr>
        <w:tab/>
        <w:t>(b)</w:t>
      </w:r>
    </w:p>
    <w:p w14:paraId="7485A22B" w14:textId="004BC5ED" w:rsidR="00D830A9" w:rsidRPr="00D830A9" w:rsidRDefault="00D830A9" w:rsidP="00D830A9">
      <w:pPr>
        <w:autoSpaceDE w:val="0"/>
        <w:autoSpaceDN w:val="0"/>
        <w:adjustRightInd w:val="0"/>
        <w:jc w:val="center"/>
        <w:rPr>
          <w:rFonts w:ascii="Arial" w:hAnsi="Arial" w:cs="Arial"/>
          <w:b/>
          <w:bCs/>
          <w:szCs w:val="22"/>
        </w:rPr>
      </w:pPr>
      <w:r>
        <w:rPr>
          <w:rFonts w:ascii="Arial" w:hAnsi="Arial" w:cs="Arial"/>
          <w:b/>
          <w:bCs/>
          <w:szCs w:val="22"/>
        </w:rPr>
        <w:t xml:space="preserve">Fig. 3: </w:t>
      </w:r>
      <w:r w:rsidRPr="00D830A9">
        <w:rPr>
          <w:rFonts w:ascii="Arial" w:hAnsi="Arial" w:cs="Arial"/>
          <w:b/>
          <w:bCs/>
          <w:szCs w:val="22"/>
        </w:rPr>
        <w:t xml:space="preserve">Structure of </w:t>
      </w:r>
      <w:r>
        <w:rPr>
          <w:rFonts w:ascii="Arial" w:hAnsi="Arial" w:cs="Arial"/>
          <w:b/>
          <w:bCs/>
          <w:szCs w:val="22"/>
        </w:rPr>
        <w:t xml:space="preserve">(a) </w:t>
      </w:r>
      <w:proofErr w:type="spellStart"/>
      <w:r w:rsidRPr="00D830A9">
        <w:rPr>
          <w:rFonts w:ascii="Arial" w:hAnsi="Arial" w:cs="Arial"/>
          <w:b/>
          <w:bCs/>
          <w:szCs w:val="22"/>
        </w:rPr>
        <w:t>Celibixanthone</w:t>
      </w:r>
      <w:proofErr w:type="spellEnd"/>
      <w:r w:rsidRPr="00D830A9">
        <w:rPr>
          <w:rFonts w:ascii="Arial" w:hAnsi="Arial" w:cs="Arial"/>
          <w:b/>
          <w:bCs/>
          <w:szCs w:val="22"/>
        </w:rPr>
        <w:t xml:space="preserve"> (NP#0157), and (b) </w:t>
      </w:r>
      <w:proofErr w:type="spellStart"/>
      <w:r w:rsidRPr="00D830A9">
        <w:rPr>
          <w:rFonts w:ascii="Arial" w:hAnsi="Arial" w:cs="Arial"/>
          <w:b/>
          <w:bCs/>
          <w:szCs w:val="22"/>
        </w:rPr>
        <w:t>Symphoxanthone</w:t>
      </w:r>
      <w:proofErr w:type="spellEnd"/>
      <w:r w:rsidRPr="00D830A9">
        <w:rPr>
          <w:rFonts w:ascii="Arial" w:hAnsi="Arial" w:cs="Arial"/>
          <w:b/>
          <w:bCs/>
          <w:szCs w:val="22"/>
        </w:rPr>
        <w:t xml:space="preserve"> (NP#0158)</w:t>
      </w:r>
    </w:p>
    <w:p w14:paraId="4AFF9629" w14:textId="77777777" w:rsidR="00D830A9" w:rsidRPr="00F776A4" w:rsidRDefault="00D830A9" w:rsidP="00D830A9">
      <w:pPr>
        <w:autoSpaceDE w:val="0"/>
        <w:autoSpaceDN w:val="0"/>
        <w:adjustRightInd w:val="0"/>
        <w:jc w:val="both"/>
        <w:rPr>
          <w:rFonts w:ascii="Arial" w:hAnsi="Arial" w:cs="Arial"/>
        </w:rPr>
      </w:pPr>
    </w:p>
    <w:p w14:paraId="1618FE4E" w14:textId="6B54AF15" w:rsidR="00F776A4" w:rsidRPr="00F776A4" w:rsidRDefault="00F776A4" w:rsidP="00F776A4">
      <w:pPr>
        <w:tabs>
          <w:tab w:val="left" w:pos="720"/>
        </w:tabs>
        <w:jc w:val="both"/>
        <w:rPr>
          <w:rFonts w:ascii="Arial" w:hAnsi="Arial" w:cs="Arial"/>
          <w:b/>
          <w:sz w:val="22"/>
          <w:szCs w:val="22"/>
        </w:rPr>
      </w:pPr>
      <w:r>
        <w:rPr>
          <w:rFonts w:ascii="Arial" w:hAnsi="Arial" w:cs="Arial"/>
          <w:b/>
          <w:sz w:val="22"/>
          <w:szCs w:val="22"/>
        </w:rPr>
        <w:t>3</w:t>
      </w:r>
      <w:r w:rsidRPr="00F776A4">
        <w:rPr>
          <w:rFonts w:ascii="Arial" w:hAnsi="Arial" w:cs="Arial"/>
          <w:b/>
          <w:sz w:val="22"/>
          <w:szCs w:val="22"/>
        </w:rPr>
        <w:t>.2</w:t>
      </w:r>
      <w:r>
        <w:rPr>
          <w:rFonts w:ascii="Arial" w:hAnsi="Arial" w:cs="Arial"/>
          <w:b/>
          <w:sz w:val="22"/>
          <w:szCs w:val="22"/>
        </w:rPr>
        <w:t>.</w:t>
      </w:r>
      <w:r>
        <w:rPr>
          <w:rFonts w:ascii="Arial" w:hAnsi="Arial" w:cs="Arial"/>
          <w:b/>
          <w:sz w:val="22"/>
          <w:szCs w:val="22"/>
        </w:rPr>
        <w:tab/>
      </w:r>
      <w:r w:rsidRPr="00F776A4">
        <w:rPr>
          <w:rFonts w:ascii="Arial" w:hAnsi="Arial" w:cs="Arial"/>
          <w:b/>
          <w:sz w:val="22"/>
          <w:szCs w:val="22"/>
        </w:rPr>
        <w:t>Molecular Docking and MM-GBSA Binding Free Energy Analysis</w:t>
      </w:r>
    </w:p>
    <w:p w14:paraId="6537D02F" w14:textId="5D035A7C" w:rsidR="00F776A4" w:rsidRDefault="00F776A4" w:rsidP="00F776A4">
      <w:pPr>
        <w:jc w:val="both"/>
        <w:rPr>
          <w:rFonts w:ascii="Arial" w:hAnsi="Arial" w:cs="Arial"/>
        </w:rPr>
      </w:pPr>
      <w:r w:rsidRPr="00F776A4">
        <w:rPr>
          <w:rFonts w:ascii="Arial" w:hAnsi="Arial" w:cs="Arial"/>
        </w:rPr>
        <w:t xml:space="preserve">The shortlisted compounds were prepared using the </w:t>
      </w:r>
      <w:proofErr w:type="spellStart"/>
      <w:r w:rsidRPr="00F776A4">
        <w:rPr>
          <w:rFonts w:ascii="Arial" w:hAnsi="Arial" w:cs="Arial"/>
        </w:rPr>
        <w:t>LigPrep</w:t>
      </w:r>
      <w:proofErr w:type="spellEnd"/>
      <w:r w:rsidRPr="00F776A4">
        <w:rPr>
          <w:rFonts w:ascii="Arial" w:hAnsi="Arial" w:cs="Arial"/>
        </w:rPr>
        <w:t xml:space="preserve"> module, and their protonation states were optimized within a physiological pH range (7.0 ± 2.0). Initial molecular docking was performed using the standard precision (SP) protocol, and the top-ranking compounds were subsequently subjected to extra precision (XP) docking for refined binding evaluation. From the XP docking results, approximately 25</w:t>
      </w:r>
      <w:r w:rsidR="008416DA">
        <w:rPr>
          <w:rFonts w:ascii="Arial" w:hAnsi="Arial" w:cs="Arial"/>
        </w:rPr>
        <w:t>-</w:t>
      </w:r>
      <w:r w:rsidRPr="00F776A4">
        <w:rPr>
          <w:rFonts w:ascii="Arial" w:hAnsi="Arial" w:cs="Arial"/>
        </w:rPr>
        <w:t>30 top-scoring ligands were selected for MM-GBSA binding free energy calculations</w:t>
      </w:r>
      <w:r w:rsidR="003648F5">
        <w:rPr>
          <w:rFonts w:ascii="Arial" w:hAnsi="Arial" w:cs="Arial"/>
        </w:rPr>
        <w:fldChar w:fldCharType="begin"/>
      </w:r>
      <w:r w:rsidR="003648F5">
        <w:rPr>
          <w:rFonts w:ascii="Arial" w:hAnsi="Arial" w:cs="Arial"/>
        </w:rPr>
        <w:instrText xml:space="preserve"> ADDIN ZOTERO_ITEM CSL_CITATION {"citationID":"eJOAhcv6","properties":{"formattedCitation":"\\super 17\\nosupersub{}","plainCitation":"17","noteIndex":0},"citationItems":[{"id":81,"uris":["http://zotero.org/users/local/j3TeDIoM/items/IAS3EQZZ"],"itemData":{"id":81,"type":"article-journal","abstract":"Thus far, in 2021, 219 countries with over 175 million people have been infected by severe acute respiratory syndrome coronavirus 2 (SARS-CoV-2). SARS-CoV-2 is a positive sense, single-stranded RNA virus, and is the causal agent for coronavirus disease (COVID-19). Due to the urgency of the situation, virtual screening as a computational modeling method offers a fast and effective modality of identifying drugs that may be effective against SARS-CoV-2. There has been an overwhelming abundance of molecular docking against SARS-CoV-2 in the last year. Due to the massive volume of computational studies, this systematic review has been created to evaluate and summarize the ﬁndings of existing studies. Herein, we report on computational articles of drugs which target, (1) viral protease, (2) Spike protein-ACE 2 interaction, (3) RNA-dependent RNA polymerase, and (4) other proteins and nonstructural proteins of SARS-CoV-2. Based on the studies presented, there are 55 identiﬁed natural or drug compounds with potential anti-viral activity. The next step is to show anti-viral activity in vitro and translation to determine effectiveness into human clinical trials.","container-title":"Biologics","DOI":"10.3390/biologics1020007","ISSN":"2673-8449","issue":"2","journalAbbreviation":"Biologics","language":"en","page":"111-128","source":"DOI.org (Crossref)","title":"Computational Chemistry to Repurposing Drugs for the Control of COVID-19","volume":"1","author":[{"family":"Hassanzadeganroudsari","given":"Majid"},{"family":"Ahmadi","given":"Amir"},{"family":"Rashidi","given":"Niloufar"},{"family":"Hossain","given":"Md"},{"family":"Habib","given":"Amanda"},{"family":"Apostolopoulos","given":"Vasso"}],"issued":{"date-parts":[["2021",7,15]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17</w:t>
      </w:r>
      <w:r w:rsidR="003648F5">
        <w:rPr>
          <w:rFonts w:ascii="Arial" w:hAnsi="Arial" w:cs="Arial"/>
        </w:rPr>
        <w:fldChar w:fldCharType="end"/>
      </w:r>
      <w:r w:rsidRPr="00F776A4">
        <w:rPr>
          <w:rFonts w:ascii="Arial" w:hAnsi="Arial" w:cs="Arial"/>
        </w:rPr>
        <w:t>.</w:t>
      </w:r>
    </w:p>
    <w:p w14:paraId="1AC574F3" w14:textId="7DCA9C93" w:rsidR="001665A4" w:rsidRDefault="001665A4">
      <w:pPr>
        <w:rPr>
          <w:rFonts w:ascii="Arial" w:hAnsi="Arial" w:cs="Arial"/>
        </w:rPr>
      </w:pPr>
      <w:r>
        <w:rPr>
          <w:rFonts w:ascii="Arial" w:hAnsi="Arial" w:cs="Arial"/>
        </w:rPr>
        <w:br w:type="page"/>
      </w:r>
    </w:p>
    <w:p w14:paraId="1D7D6602" w14:textId="40B4FC5C" w:rsidR="007F37B3" w:rsidRDefault="003648F5">
      <w:pPr>
        <w:rPr>
          <w:rFonts w:ascii="Arial" w:hAnsi="Arial" w:cs="Arial"/>
        </w:rPr>
      </w:pPr>
      <w:r>
        <w:lastRenderedPageBreak/>
        <w:t>Table 2. SP Docking</w:t>
      </w:r>
      <w:r>
        <w:rPr>
          <w:rFonts w:ascii="Arial" w:hAnsi="Arial" w:cs="Arial"/>
        </w:rPr>
        <w:t xml:space="preserve"> </w:t>
      </w:r>
      <w:r w:rsidR="00EE6E4C">
        <w:rPr>
          <w:rFonts w:ascii="Arial" w:hAnsi="Arial" w:cs="Arial"/>
        </w:rPr>
        <w:t>scores of the top ligands with reference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420"/>
        <w:gridCol w:w="1177"/>
        <w:gridCol w:w="866"/>
        <w:gridCol w:w="866"/>
        <w:gridCol w:w="867"/>
        <w:gridCol w:w="895"/>
      </w:tblGrid>
      <w:tr w:rsidR="007F37B3" w:rsidRPr="001F5577" w14:paraId="7994BDF3" w14:textId="77777777" w:rsidTr="004A52EB">
        <w:trPr>
          <w:trHeight w:val="20"/>
        </w:trPr>
        <w:tc>
          <w:tcPr>
            <w:tcW w:w="1285" w:type="pct"/>
            <w:noWrap/>
            <w:vAlign w:val="center"/>
            <w:hideMark/>
          </w:tcPr>
          <w:p w14:paraId="0688BB6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Title</w:t>
            </w:r>
          </w:p>
        </w:tc>
        <w:tc>
          <w:tcPr>
            <w:tcW w:w="866" w:type="pct"/>
            <w:noWrap/>
            <w:vAlign w:val="center"/>
            <w:hideMark/>
          </w:tcPr>
          <w:p w14:paraId="468AEC89"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D</w:t>
            </w:r>
            <w:r w:rsidRPr="001F5577">
              <w:rPr>
                <w:rFonts w:ascii="Arial" w:hAnsi="Arial" w:cs="Arial"/>
                <w:sz w:val="19"/>
                <w:szCs w:val="19"/>
              </w:rPr>
              <w:t>ocking score</w:t>
            </w:r>
          </w:p>
        </w:tc>
        <w:tc>
          <w:tcPr>
            <w:tcW w:w="718" w:type="pct"/>
            <w:noWrap/>
            <w:vAlign w:val="center"/>
            <w:hideMark/>
          </w:tcPr>
          <w:p w14:paraId="5AA1167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G</w:t>
            </w:r>
            <w:r w:rsidRPr="001F5577">
              <w:rPr>
                <w:rFonts w:ascii="Arial" w:hAnsi="Arial" w:cs="Arial"/>
                <w:sz w:val="19"/>
                <w:szCs w:val="19"/>
              </w:rPr>
              <w:t>lide score</w:t>
            </w:r>
          </w:p>
        </w:tc>
        <w:tc>
          <w:tcPr>
            <w:tcW w:w="528" w:type="pct"/>
            <w:noWrap/>
            <w:vAlign w:val="center"/>
            <w:hideMark/>
          </w:tcPr>
          <w:p w14:paraId="70E8A7A1"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vdw</w:t>
            </w:r>
            <w:proofErr w:type="spellEnd"/>
          </w:p>
        </w:tc>
        <w:tc>
          <w:tcPr>
            <w:tcW w:w="528" w:type="pct"/>
            <w:noWrap/>
            <w:vAlign w:val="center"/>
            <w:hideMark/>
          </w:tcPr>
          <w:p w14:paraId="2873ACBF"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coul</w:t>
            </w:r>
            <w:proofErr w:type="spellEnd"/>
          </w:p>
        </w:tc>
        <w:tc>
          <w:tcPr>
            <w:tcW w:w="529" w:type="pct"/>
            <w:noWrap/>
            <w:vAlign w:val="center"/>
            <w:hideMark/>
          </w:tcPr>
          <w:p w14:paraId="78B6EC88" w14:textId="77777777" w:rsidR="007F37B3" w:rsidRPr="001F5577" w:rsidRDefault="007F37B3" w:rsidP="004A52EB">
            <w:pPr>
              <w:spacing w:before="60" w:after="60"/>
              <w:jc w:val="center"/>
              <w:rPr>
                <w:rFonts w:ascii="Arial" w:hAnsi="Arial" w:cs="Arial"/>
                <w:sz w:val="19"/>
                <w:szCs w:val="19"/>
              </w:rPr>
            </w:pPr>
            <w:proofErr w:type="spellStart"/>
            <w:r w:rsidRPr="001F5577">
              <w:rPr>
                <w:rFonts w:ascii="Arial" w:hAnsi="Arial" w:cs="Arial"/>
                <w:sz w:val="19"/>
                <w:szCs w:val="19"/>
              </w:rPr>
              <w:t>E</w:t>
            </w:r>
            <w:r w:rsidRPr="001F5577">
              <w:rPr>
                <w:rFonts w:ascii="Arial" w:hAnsi="Arial" w:cs="Arial"/>
                <w:sz w:val="19"/>
                <w:szCs w:val="19"/>
                <w:vertAlign w:val="subscript"/>
              </w:rPr>
              <w:t>mode</w:t>
            </w:r>
            <w:r w:rsidRPr="00BC1AE9">
              <w:rPr>
                <w:rFonts w:ascii="Arial" w:hAnsi="Arial" w:cs="Arial"/>
                <w:sz w:val="19"/>
                <w:szCs w:val="19"/>
                <w:vertAlign w:val="subscript"/>
              </w:rPr>
              <w:t>l</w:t>
            </w:r>
            <w:proofErr w:type="spellEnd"/>
          </w:p>
        </w:tc>
        <w:tc>
          <w:tcPr>
            <w:tcW w:w="546" w:type="pct"/>
            <w:noWrap/>
            <w:vAlign w:val="center"/>
            <w:hideMark/>
          </w:tcPr>
          <w:p w14:paraId="1C9D12B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Energy</w:t>
            </w:r>
          </w:p>
          <w:p w14:paraId="50E4EE3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(kJ/mol)</w:t>
            </w:r>
          </w:p>
        </w:tc>
      </w:tr>
      <w:tr w:rsidR="007F37B3" w:rsidRPr="001F5577" w14:paraId="638952FB" w14:textId="77777777" w:rsidTr="004A52EB">
        <w:trPr>
          <w:trHeight w:val="20"/>
        </w:trPr>
        <w:tc>
          <w:tcPr>
            <w:tcW w:w="1285" w:type="pct"/>
            <w:noWrap/>
            <w:vAlign w:val="center"/>
            <w:hideMark/>
          </w:tcPr>
          <w:p w14:paraId="5A481607"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commentRangeStart w:id="7"/>
            <w:r>
              <w:rPr>
                <w:rFonts w:ascii="Arial" w:hAnsi="Arial" w:cs="Arial"/>
              </w:rPr>
              <w:t>0</w:t>
            </w:r>
            <w:r w:rsidRPr="001F5577">
              <w:rPr>
                <w:rFonts w:ascii="Arial" w:hAnsi="Arial" w:cs="Arial"/>
                <w:sz w:val="19"/>
                <w:szCs w:val="19"/>
              </w:rPr>
              <w:t>155</w:t>
            </w:r>
            <w:commentRangeEnd w:id="7"/>
            <w:r w:rsidR="00F272CA">
              <w:rPr>
                <w:rStyle w:val="CommentReference"/>
                <w:rFonts w:ascii="Times New Roman" w:hAnsi="Times New Roman"/>
                <w:lang w:val="nb-NO" w:eastAsia="nb-NO"/>
              </w:rPr>
              <w:commentReference w:id="7"/>
            </w:r>
          </w:p>
        </w:tc>
        <w:tc>
          <w:tcPr>
            <w:tcW w:w="866" w:type="pct"/>
            <w:noWrap/>
            <w:vAlign w:val="center"/>
            <w:hideMark/>
          </w:tcPr>
          <w:p w14:paraId="1A81E309"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-3.35</w:t>
            </w:r>
          </w:p>
        </w:tc>
        <w:tc>
          <w:tcPr>
            <w:tcW w:w="718" w:type="pct"/>
            <w:noWrap/>
            <w:vAlign w:val="center"/>
            <w:hideMark/>
          </w:tcPr>
          <w:p w14:paraId="03EF979B"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-3.35</w:t>
            </w:r>
          </w:p>
        </w:tc>
        <w:tc>
          <w:tcPr>
            <w:tcW w:w="528" w:type="pct"/>
            <w:noWrap/>
            <w:vAlign w:val="center"/>
            <w:hideMark/>
          </w:tcPr>
          <w:p w14:paraId="1997C5CA"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-16.52</w:t>
            </w:r>
          </w:p>
        </w:tc>
        <w:tc>
          <w:tcPr>
            <w:tcW w:w="528" w:type="pct"/>
            <w:noWrap/>
            <w:vAlign w:val="center"/>
            <w:hideMark/>
          </w:tcPr>
          <w:p w14:paraId="6E8B9DD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w:t>
            </w:r>
            <w:r>
              <w:rPr>
                <w:rFonts w:ascii="Arial" w:hAnsi="Arial" w:cs="Arial"/>
                <w:sz w:val="19"/>
                <w:szCs w:val="19"/>
              </w:rPr>
              <w:t>0.00</w:t>
            </w:r>
          </w:p>
        </w:tc>
        <w:tc>
          <w:tcPr>
            <w:tcW w:w="529" w:type="pct"/>
            <w:noWrap/>
            <w:vAlign w:val="center"/>
            <w:hideMark/>
          </w:tcPr>
          <w:p w14:paraId="7D340C0F"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-31.77</w:t>
            </w:r>
          </w:p>
        </w:tc>
        <w:tc>
          <w:tcPr>
            <w:tcW w:w="546" w:type="pct"/>
            <w:noWrap/>
            <w:vAlign w:val="center"/>
            <w:hideMark/>
          </w:tcPr>
          <w:p w14:paraId="50BFA77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-26.53</w:t>
            </w:r>
          </w:p>
        </w:tc>
      </w:tr>
      <w:tr w:rsidR="007F37B3" w:rsidRPr="001F5577" w14:paraId="368D7614" w14:textId="77777777" w:rsidTr="004A52EB">
        <w:trPr>
          <w:trHeight w:val="20"/>
        </w:trPr>
        <w:tc>
          <w:tcPr>
            <w:tcW w:w="1285" w:type="pct"/>
            <w:noWrap/>
            <w:vAlign w:val="center"/>
            <w:hideMark/>
          </w:tcPr>
          <w:p w14:paraId="26414898"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sidRPr="001F5577">
              <w:rPr>
                <w:rFonts w:ascii="Arial" w:hAnsi="Arial" w:cs="Arial"/>
                <w:sz w:val="19"/>
                <w:szCs w:val="19"/>
              </w:rPr>
              <w:t>0157</w:t>
            </w:r>
          </w:p>
        </w:tc>
        <w:tc>
          <w:tcPr>
            <w:tcW w:w="866" w:type="pct"/>
            <w:noWrap/>
            <w:vAlign w:val="center"/>
            <w:hideMark/>
          </w:tcPr>
          <w:p w14:paraId="318AA7CA" w14:textId="77777777" w:rsidR="007F37B3" w:rsidRPr="00A8380D" w:rsidRDefault="007F37B3" w:rsidP="004A52EB">
            <w:pPr>
              <w:spacing w:before="60" w:after="60"/>
              <w:jc w:val="center"/>
              <w:rPr>
                <w:rFonts w:ascii="Arial" w:hAnsi="Arial" w:cs="Arial"/>
                <w:sz w:val="19"/>
                <w:szCs w:val="19"/>
                <w:highlight w:val="yellow"/>
              </w:rPr>
            </w:pPr>
            <w:r w:rsidRPr="00A8380D">
              <w:rPr>
                <w:rFonts w:ascii="Arial" w:hAnsi="Arial" w:cs="Arial"/>
                <w:sz w:val="19"/>
                <w:szCs w:val="19"/>
                <w:highlight w:val="yellow"/>
              </w:rPr>
              <w:t>-2.88</w:t>
            </w:r>
          </w:p>
        </w:tc>
        <w:tc>
          <w:tcPr>
            <w:tcW w:w="718" w:type="pct"/>
            <w:noWrap/>
            <w:vAlign w:val="center"/>
            <w:hideMark/>
          </w:tcPr>
          <w:p w14:paraId="2F53CF8B"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-2.88</w:t>
            </w:r>
          </w:p>
        </w:tc>
        <w:tc>
          <w:tcPr>
            <w:tcW w:w="528" w:type="pct"/>
            <w:noWrap/>
            <w:vAlign w:val="center"/>
            <w:hideMark/>
          </w:tcPr>
          <w:p w14:paraId="3D4DD532"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-17.44</w:t>
            </w:r>
          </w:p>
        </w:tc>
        <w:tc>
          <w:tcPr>
            <w:tcW w:w="528" w:type="pct"/>
            <w:noWrap/>
            <w:vAlign w:val="center"/>
            <w:hideMark/>
          </w:tcPr>
          <w:p w14:paraId="6DF8C6DD"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-5.62</w:t>
            </w:r>
          </w:p>
        </w:tc>
        <w:tc>
          <w:tcPr>
            <w:tcW w:w="529" w:type="pct"/>
            <w:noWrap/>
            <w:vAlign w:val="center"/>
            <w:hideMark/>
          </w:tcPr>
          <w:p w14:paraId="7BF1F51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-23.61</w:t>
            </w:r>
          </w:p>
        </w:tc>
        <w:tc>
          <w:tcPr>
            <w:tcW w:w="546" w:type="pct"/>
            <w:noWrap/>
            <w:vAlign w:val="center"/>
            <w:hideMark/>
          </w:tcPr>
          <w:p w14:paraId="0C551183"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-23.06</w:t>
            </w:r>
          </w:p>
        </w:tc>
      </w:tr>
      <w:tr w:rsidR="007F37B3" w:rsidRPr="001F5577" w14:paraId="78078C5E" w14:textId="77777777" w:rsidTr="004A52EB">
        <w:trPr>
          <w:trHeight w:val="20"/>
        </w:trPr>
        <w:tc>
          <w:tcPr>
            <w:tcW w:w="1285" w:type="pct"/>
            <w:noWrap/>
            <w:vAlign w:val="center"/>
            <w:hideMark/>
          </w:tcPr>
          <w:p w14:paraId="6BF7AC8A" w14:textId="77777777" w:rsidR="007F37B3" w:rsidRPr="001F5577" w:rsidRDefault="007F37B3" w:rsidP="004A52EB">
            <w:pPr>
              <w:spacing w:before="60" w:after="60"/>
              <w:jc w:val="both"/>
              <w:rPr>
                <w:rFonts w:ascii="Arial" w:hAnsi="Arial" w:cs="Arial"/>
                <w:sz w:val="19"/>
                <w:szCs w:val="19"/>
              </w:rPr>
            </w:pPr>
            <w:r w:rsidRPr="00F776A4">
              <w:rPr>
                <w:rFonts w:ascii="Arial" w:hAnsi="Arial" w:cs="Arial"/>
              </w:rPr>
              <w:t>NP#</w:t>
            </w:r>
            <w:r w:rsidRPr="001F5577">
              <w:rPr>
                <w:rFonts w:ascii="Arial" w:hAnsi="Arial" w:cs="Arial"/>
                <w:sz w:val="19"/>
                <w:szCs w:val="19"/>
              </w:rPr>
              <w:t>0158</w:t>
            </w:r>
          </w:p>
        </w:tc>
        <w:tc>
          <w:tcPr>
            <w:tcW w:w="866" w:type="pct"/>
            <w:noWrap/>
            <w:vAlign w:val="center"/>
            <w:hideMark/>
          </w:tcPr>
          <w:p w14:paraId="17A30AB8" w14:textId="77777777" w:rsidR="007F37B3" w:rsidRPr="00A8380D" w:rsidRDefault="007F37B3" w:rsidP="004A52EB">
            <w:pPr>
              <w:spacing w:before="60" w:after="60"/>
              <w:jc w:val="center"/>
              <w:rPr>
                <w:rFonts w:ascii="Arial" w:hAnsi="Arial" w:cs="Arial"/>
                <w:sz w:val="19"/>
                <w:szCs w:val="19"/>
                <w:highlight w:val="yellow"/>
              </w:rPr>
            </w:pPr>
            <w:r w:rsidRPr="00A8380D">
              <w:rPr>
                <w:rFonts w:ascii="Arial" w:hAnsi="Arial" w:cs="Arial"/>
                <w:sz w:val="19"/>
                <w:szCs w:val="19"/>
                <w:highlight w:val="yellow"/>
              </w:rPr>
              <w:t>-3.30</w:t>
            </w:r>
          </w:p>
        </w:tc>
        <w:tc>
          <w:tcPr>
            <w:tcW w:w="718" w:type="pct"/>
            <w:noWrap/>
            <w:vAlign w:val="center"/>
            <w:hideMark/>
          </w:tcPr>
          <w:p w14:paraId="64DEED90"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w:t>
            </w:r>
            <w:r>
              <w:rPr>
                <w:rFonts w:ascii="Arial" w:hAnsi="Arial" w:cs="Arial"/>
                <w:sz w:val="19"/>
                <w:szCs w:val="19"/>
              </w:rPr>
              <w:t>30</w:t>
            </w:r>
          </w:p>
        </w:tc>
        <w:tc>
          <w:tcPr>
            <w:tcW w:w="528" w:type="pct"/>
            <w:noWrap/>
            <w:vAlign w:val="center"/>
            <w:hideMark/>
          </w:tcPr>
          <w:p w14:paraId="574C9A68"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-13.24</w:t>
            </w:r>
          </w:p>
        </w:tc>
        <w:tc>
          <w:tcPr>
            <w:tcW w:w="528" w:type="pct"/>
            <w:noWrap/>
            <w:vAlign w:val="center"/>
            <w:hideMark/>
          </w:tcPr>
          <w:p w14:paraId="30CC739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-10.81</w:t>
            </w:r>
          </w:p>
        </w:tc>
        <w:tc>
          <w:tcPr>
            <w:tcW w:w="529" w:type="pct"/>
            <w:noWrap/>
            <w:vAlign w:val="center"/>
            <w:hideMark/>
          </w:tcPr>
          <w:p w14:paraId="2E7BC366"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-29.29</w:t>
            </w:r>
          </w:p>
        </w:tc>
        <w:tc>
          <w:tcPr>
            <w:tcW w:w="546" w:type="pct"/>
            <w:noWrap/>
            <w:vAlign w:val="center"/>
            <w:hideMark/>
          </w:tcPr>
          <w:p w14:paraId="5D03DB79"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-24.05</w:t>
            </w:r>
          </w:p>
        </w:tc>
      </w:tr>
      <w:tr w:rsidR="007F37B3" w:rsidRPr="001F5577" w14:paraId="39ACAFCD" w14:textId="77777777" w:rsidTr="004A52EB">
        <w:trPr>
          <w:trHeight w:val="20"/>
        </w:trPr>
        <w:tc>
          <w:tcPr>
            <w:tcW w:w="1285" w:type="pct"/>
            <w:noWrap/>
            <w:vAlign w:val="center"/>
            <w:hideMark/>
          </w:tcPr>
          <w:p w14:paraId="54A0E310"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hydroxychloroquine</w:t>
            </w:r>
          </w:p>
        </w:tc>
        <w:tc>
          <w:tcPr>
            <w:tcW w:w="866" w:type="pct"/>
            <w:noWrap/>
            <w:vAlign w:val="center"/>
            <w:hideMark/>
          </w:tcPr>
          <w:p w14:paraId="3B33D2D3"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-2.6</w:t>
            </w:r>
            <w:r>
              <w:rPr>
                <w:rFonts w:ascii="Arial" w:hAnsi="Arial" w:cs="Arial"/>
                <w:sz w:val="19"/>
                <w:szCs w:val="19"/>
              </w:rPr>
              <w:t>8</w:t>
            </w:r>
          </w:p>
        </w:tc>
        <w:tc>
          <w:tcPr>
            <w:tcW w:w="718" w:type="pct"/>
            <w:noWrap/>
            <w:vAlign w:val="center"/>
            <w:hideMark/>
          </w:tcPr>
          <w:p w14:paraId="4E2BC5B6"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-2.68</w:t>
            </w:r>
          </w:p>
        </w:tc>
        <w:tc>
          <w:tcPr>
            <w:tcW w:w="528" w:type="pct"/>
            <w:noWrap/>
            <w:vAlign w:val="center"/>
            <w:hideMark/>
          </w:tcPr>
          <w:p w14:paraId="004CC7E3"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-18.48</w:t>
            </w:r>
          </w:p>
        </w:tc>
        <w:tc>
          <w:tcPr>
            <w:tcW w:w="528" w:type="pct"/>
            <w:noWrap/>
            <w:vAlign w:val="center"/>
            <w:hideMark/>
          </w:tcPr>
          <w:p w14:paraId="1C9D111B"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-7.65</w:t>
            </w:r>
          </w:p>
        </w:tc>
        <w:tc>
          <w:tcPr>
            <w:tcW w:w="529" w:type="pct"/>
            <w:noWrap/>
            <w:vAlign w:val="center"/>
            <w:hideMark/>
          </w:tcPr>
          <w:p w14:paraId="50A5F0C8"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-28.47</w:t>
            </w:r>
          </w:p>
        </w:tc>
        <w:tc>
          <w:tcPr>
            <w:tcW w:w="546" w:type="pct"/>
            <w:noWrap/>
            <w:vAlign w:val="center"/>
            <w:hideMark/>
          </w:tcPr>
          <w:p w14:paraId="091304D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-26.13</w:t>
            </w:r>
          </w:p>
        </w:tc>
      </w:tr>
      <w:tr w:rsidR="007F37B3" w:rsidRPr="001F5577" w14:paraId="70C77184" w14:textId="77777777" w:rsidTr="004A52EB">
        <w:trPr>
          <w:trHeight w:val="20"/>
        </w:trPr>
        <w:tc>
          <w:tcPr>
            <w:tcW w:w="1285" w:type="pct"/>
            <w:noWrap/>
            <w:vAlign w:val="center"/>
            <w:hideMark/>
          </w:tcPr>
          <w:p w14:paraId="30E11833"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nelfinavir</w:t>
            </w:r>
          </w:p>
        </w:tc>
        <w:tc>
          <w:tcPr>
            <w:tcW w:w="866" w:type="pct"/>
            <w:noWrap/>
            <w:vAlign w:val="center"/>
            <w:hideMark/>
          </w:tcPr>
          <w:p w14:paraId="466A365E"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-3.6</w:t>
            </w:r>
            <w:r>
              <w:rPr>
                <w:rFonts w:ascii="Arial" w:hAnsi="Arial" w:cs="Arial"/>
                <w:sz w:val="19"/>
                <w:szCs w:val="19"/>
              </w:rPr>
              <w:t>2</w:t>
            </w:r>
          </w:p>
        </w:tc>
        <w:tc>
          <w:tcPr>
            <w:tcW w:w="718" w:type="pct"/>
            <w:noWrap/>
            <w:vAlign w:val="center"/>
            <w:hideMark/>
          </w:tcPr>
          <w:p w14:paraId="73B485D1"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-3.62</w:t>
            </w:r>
          </w:p>
        </w:tc>
        <w:tc>
          <w:tcPr>
            <w:tcW w:w="528" w:type="pct"/>
            <w:noWrap/>
            <w:vAlign w:val="center"/>
            <w:hideMark/>
          </w:tcPr>
          <w:p w14:paraId="6F7EA2AD"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-22.77</w:t>
            </w:r>
          </w:p>
        </w:tc>
        <w:tc>
          <w:tcPr>
            <w:tcW w:w="528" w:type="pct"/>
            <w:noWrap/>
            <w:vAlign w:val="center"/>
            <w:hideMark/>
          </w:tcPr>
          <w:p w14:paraId="6833BB8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-11.50</w:t>
            </w:r>
          </w:p>
        </w:tc>
        <w:tc>
          <w:tcPr>
            <w:tcW w:w="529" w:type="pct"/>
            <w:noWrap/>
            <w:vAlign w:val="center"/>
            <w:hideMark/>
          </w:tcPr>
          <w:p w14:paraId="23AD6363"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-39.27</w:t>
            </w:r>
          </w:p>
        </w:tc>
        <w:tc>
          <w:tcPr>
            <w:tcW w:w="546" w:type="pct"/>
            <w:noWrap/>
            <w:vAlign w:val="center"/>
            <w:hideMark/>
          </w:tcPr>
          <w:p w14:paraId="4DCA9BCA"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-34.27</w:t>
            </w:r>
          </w:p>
        </w:tc>
      </w:tr>
      <w:tr w:rsidR="007F37B3" w:rsidRPr="001F5577" w14:paraId="0FF72CB4" w14:textId="77777777" w:rsidTr="004A52EB">
        <w:trPr>
          <w:trHeight w:val="20"/>
        </w:trPr>
        <w:tc>
          <w:tcPr>
            <w:tcW w:w="1285" w:type="pct"/>
            <w:noWrap/>
            <w:vAlign w:val="center"/>
            <w:hideMark/>
          </w:tcPr>
          <w:p w14:paraId="2E5ACCB1" w14:textId="77777777" w:rsidR="007F37B3" w:rsidRPr="001F5577" w:rsidRDefault="007F37B3" w:rsidP="004A52EB">
            <w:pPr>
              <w:spacing w:before="60" w:after="60"/>
              <w:jc w:val="both"/>
              <w:rPr>
                <w:rFonts w:ascii="Arial" w:hAnsi="Arial" w:cs="Arial"/>
                <w:sz w:val="19"/>
                <w:szCs w:val="19"/>
              </w:rPr>
            </w:pPr>
            <w:r w:rsidRPr="001F5577">
              <w:rPr>
                <w:rFonts w:ascii="Arial" w:hAnsi="Arial" w:cs="Arial"/>
                <w:sz w:val="19"/>
                <w:szCs w:val="19"/>
              </w:rPr>
              <w:t>Nirmatrelvir (Paxlovid)</w:t>
            </w:r>
          </w:p>
        </w:tc>
        <w:tc>
          <w:tcPr>
            <w:tcW w:w="866" w:type="pct"/>
            <w:noWrap/>
            <w:vAlign w:val="center"/>
            <w:hideMark/>
          </w:tcPr>
          <w:p w14:paraId="6C6B5FF7" w14:textId="77777777" w:rsidR="007F37B3" w:rsidRPr="001F5577" w:rsidRDefault="007F37B3" w:rsidP="004A52EB">
            <w:pPr>
              <w:spacing w:before="60" w:after="60"/>
              <w:jc w:val="center"/>
              <w:rPr>
                <w:rFonts w:ascii="Arial" w:hAnsi="Arial" w:cs="Arial"/>
                <w:sz w:val="19"/>
                <w:szCs w:val="19"/>
              </w:rPr>
            </w:pPr>
            <w:r w:rsidRPr="001F5577">
              <w:rPr>
                <w:rFonts w:ascii="Arial" w:hAnsi="Arial" w:cs="Arial"/>
                <w:sz w:val="19"/>
                <w:szCs w:val="19"/>
              </w:rPr>
              <w:t>-3.0</w:t>
            </w:r>
            <w:r>
              <w:rPr>
                <w:rFonts w:ascii="Arial" w:hAnsi="Arial" w:cs="Arial"/>
                <w:sz w:val="19"/>
                <w:szCs w:val="19"/>
              </w:rPr>
              <w:t>9</w:t>
            </w:r>
          </w:p>
        </w:tc>
        <w:tc>
          <w:tcPr>
            <w:tcW w:w="718" w:type="pct"/>
            <w:noWrap/>
            <w:vAlign w:val="center"/>
            <w:hideMark/>
          </w:tcPr>
          <w:p w14:paraId="6E4D7360"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-3.09</w:t>
            </w:r>
          </w:p>
        </w:tc>
        <w:tc>
          <w:tcPr>
            <w:tcW w:w="528" w:type="pct"/>
            <w:noWrap/>
            <w:vAlign w:val="center"/>
            <w:hideMark/>
          </w:tcPr>
          <w:p w14:paraId="2C501267"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-18.31</w:t>
            </w:r>
          </w:p>
        </w:tc>
        <w:tc>
          <w:tcPr>
            <w:tcW w:w="528" w:type="pct"/>
            <w:noWrap/>
            <w:vAlign w:val="center"/>
            <w:hideMark/>
          </w:tcPr>
          <w:p w14:paraId="16DEBBE2"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-9.83</w:t>
            </w:r>
          </w:p>
        </w:tc>
        <w:tc>
          <w:tcPr>
            <w:tcW w:w="529" w:type="pct"/>
            <w:noWrap/>
            <w:vAlign w:val="center"/>
            <w:hideMark/>
          </w:tcPr>
          <w:p w14:paraId="79DA84FF"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-27.77</w:t>
            </w:r>
          </w:p>
        </w:tc>
        <w:tc>
          <w:tcPr>
            <w:tcW w:w="546" w:type="pct"/>
            <w:noWrap/>
            <w:vAlign w:val="center"/>
            <w:hideMark/>
          </w:tcPr>
          <w:p w14:paraId="4F2D17CF" w14:textId="77777777" w:rsidR="007F37B3" w:rsidRPr="001F5577" w:rsidRDefault="007F37B3" w:rsidP="004A52EB">
            <w:pPr>
              <w:spacing w:before="60" w:after="60"/>
              <w:jc w:val="center"/>
              <w:rPr>
                <w:rFonts w:ascii="Arial" w:hAnsi="Arial" w:cs="Arial"/>
                <w:sz w:val="19"/>
                <w:szCs w:val="19"/>
              </w:rPr>
            </w:pPr>
            <w:r>
              <w:rPr>
                <w:rFonts w:ascii="Arial" w:hAnsi="Arial" w:cs="Arial"/>
                <w:sz w:val="19"/>
                <w:szCs w:val="19"/>
              </w:rPr>
              <w:t>-28.14</w:t>
            </w:r>
          </w:p>
        </w:tc>
      </w:tr>
    </w:tbl>
    <w:p w14:paraId="3DFD19AE" w14:textId="77777777" w:rsidR="007F37B3" w:rsidRDefault="007F37B3">
      <w:pPr>
        <w:rPr>
          <w:rFonts w:ascii="Arial" w:hAnsi="Arial" w:cs="Arial"/>
        </w:rPr>
      </w:pPr>
    </w:p>
    <w:p w14:paraId="45084B22" w14:textId="5A2D4242" w:rsidR="00F776A4" w:rsidRDefault="00F776A4" w:rsidP="00F776A4">
      <w:pPr>
        <w:jc w:val="both"/>
        <w:rPr>
          <w:rFonts w:ascii="Arial" w:hAnsi="Arial" w:cs="Arial"/>
        </w:rPr>
      </w:pPr>
      <w:r w:rsidRPr="00F776A4">
        <w:rPr>
          <w:rFonts w:ascii="Arial" w:hAnsi="Arial" w:cs="Arial"/>
        </w:rPr>
        <w:t>While docking scores provide a preliminary estimate of binding affinity, they do not fully capture the thermodynamic stability of the protein</w:t>
      </w:r>
      <w:r w:rsidR="008416DA">
        <w:rPr>
          <w:rFonts w:ascii="Arial" w:hAnsi="Arial" w:cs="Arial"/>
        </w:rPr>
        <w:t>-</w:t>
      </w:r>
      <w:r w:rsidRPr="00F776A4">
        <w:rPr>
          <w:rFonts w:ascii="Arial" w:hAnsi="Arial" w:cs="Arial"/>
        </w:rPr>
        <w:t xml:space="preserve">ligand complex. Therefore, MM-GBSA calculations were employed to estimate the </w:t>
      </w:r>
      <w:r w:rsidR="00800FAB">
        <w:rPr>
          <w:rFonts w:ascii="Arial" w:hAnsi="Arial" w:cs="Arial"/>
        </w:rPr>
        <w:t>binding Gibbs free energy, with more negative values indicating stronger,</w:t>
      </w:r>
      <w:r w:rsidR="00FA36AC">
        <w:rPr>
          <w:rFonts w:ascii="Arial" w:hAnsi="Arial" w:cs="Arial"/>
        </w:rPr>
        <w:t xml:space="preserve"> more stable interactions. </w:t>
      </w:r>
      <w:r w:rsidRPr="00F776A4">
        <w:rPr>
          <w:rFonts w:ascii="Arial" w:hAnsi="Arial" w:cs="Arial"/>
        </w:rPr>
        <w:t xml:space="preserve">The XP docking scores of the selected ligands ranged </w:t>
      </w:r>
      <w:r w:rsidR="00FA36AC">
        <w:rPr>
          <w:rFonts w:ascii="Arial" w:hAnsi="Arial" w:cs="Arial"/>
        </w:rPr>
        <w:t xml:space="preserve">from approximately −5.3 to −3.5 as per the table 3 </w:t>
      </w:r>
      <w:r w:rsidRPr="00F776A4">
        <w:rPr>
          <w:rFonts w:ascii="Arial" w:hAnsi="Arial" w:cs="Arial"/>
        </w:rPr>
        <w:t>with reference inhibitors such as nelfinavir, hydroxychloroquine, and nirmatrelvir showing comparable binding scores.</w:t>
      </w:r>
      <w:r w:rsidR="00FA36AC" w:rsidRPr="00FA36AC">
        <w:rPr>
          <w:rFonts w:ascii="Arial" w:hAnsi="Arial" w:cs="Arial"/>
        </w:rPr>
        <w:t xml:space="preserve"> </w:t>
      </w:r>
      <w:r w:rsidR="00FA36AC" w:rsidRPr="00F776A4">
        <w:rPr>
          <w:rFonts w:ascii="Arial" w:hAnsi="Arial" w:cs="Arial"/>
        </w:rPr>
        <w:t>Notably, NP#0157 (</w:t>
      </w:r>
      <w:proofErr w:type="spellStart"/>
      <w:r w:rsidR="00FA36AC" w:rsidRPr="00F776A4">
        <w:rPr>
          <w:rFonts w:ascii="Arial" w:hAnsi="Arial" w:cs="Arial"/>
        </w:rPr>
        <w:t>Celibixanthone</w:t>
      </w:r>
      <w:proofErr w:type="spellEnd"/>
      <w:r w:rsidR="00FA36AC" w:rsidRPr="00F776A4">
        <w:rPr>
          <w:rFonts w:ascii="Arial" w:hAnsi="Arial" w:cs="Arial"/>
        </w:rPr>
        <w:t>) and NP#0158 (</w:t>
      </w:r>
      <w:proofErr w:type="spellStart"/>
      <w:r w:rsidR="00FA36AC" w:rsidRPr="00F776A4">
        <w:rPr>
          <w:rFonts w:ascii="Arial" w:hAnsi="Arial" w:cs="Arial"/>
        </w:rPr>
        <w:t>Symphoxanthone</w:t>
      </w:r>
      <w:proofErr w:type="spellEnd"/>
      <w:r w:rsidR="00FA36AC" w:rsidRPr="00F776A4">
        <w:rPr>
          <w:rFonts w:ascii="Arial" w:hAnsi="Arial" w:cs="Arial"/>
        </w:rPr>
        <w:t xml:space="preserve">) demonstrated XP docking scores superior to or comparable with those of the reference </w:t>
      </w:r>
      <w:commentRangeStart w:id="8"/>
      <w:r w:rsidR="00FA36AC" w:rsidRPr="00F776A4">
        <w:rPr>
          <w:rFonts w:ascii="Arial" w:hAnsi="Arial" w:cs="Arial"/>
        </w:rPr>
        <w:t>drugs</w:t>
      </w:r>
      <w:commentRangeEnd w:id="8"/>
      <w:r w:rsidR="003402E5">
        <w:rPr>
          <w:rStyle w:val="CommentReference"/>
          <w:rFonts w:ascii="Times New Roman" w:hAnsi="Times New Roman"/>
          <w:lang w:val="nb-NO" w:eastAsia="nb-NO"/>
        </w:rPr>
        <w:commentReference w:id="8"/>
      </w:r>
      <w:r w:rsidR="00FA36AC" w:rsidRPr="00F776A4">
        <w:rPr>
          <w:rFonts w:ascii="Arial" w:hAnsi="Arial" w:cs="Arial"/>
        </w:rPr>
        <w:t>.</w:t>
      </w:r>
    </w:p>
    <w:p w14:paraId="63301B21" w14:textId="77777777" w:rsidR="001F5577" w:rsidRDefault="001F5577" w:rsidP="00F776A4">
      <w:pPr>
        <w:jc w:val="both"/>
        <w:rPr>
          <w:rFonts w:ascii="Arial" w:hAnsi="Arial" w:cs="Arial"/>
        </w:rPr>
      </w:pPr>
    </w:p>
    <w:p w14:paraId="3ED89F08" w14:textId="4BC8C688" w:rsidR="003A4408" w:rsidRDefault="003A4408" w:rsidP="003A4408">
      <w:r>
        <w:t>Table 3. XP Docking</w:t>
      </w:r>
      <w:r w:rsidR="001771CB">
        <w:t xml:space="preserve"> </w:t>
      </w:r>
      <w:r w:rsidR="001771CB">
        <w:rPr>
          <w:rFonts w:ascii="Arial" w:hAnsi="Arial" w:cs="Arial"/>
        </w:rPr>
        <w:t>scores of the top ligands with reference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466"/>
        <w:gridCol w:w="1177"/>
        <w:gridCol w:w="864"/>
        <w:gridCol w:w="755"/>
        <w:gridCol w:w="861"/>
        <w:gridCol w:w="899"/>
      </w:tblGrid>
      <w:tr w:rsidR="00BC1AE9" w:rsidRPr="00BC1AE9" w14:paraId="5E108DA8" w14:textId="77777777" w:rsidTr="003A4408">
        <w:trPr>
          <w:trHeight w:val="20"/>
        </w:trPr>
        <w:tc>
          <w:tcPr>
            <w:tcW w:w="1328" w:type="pct"/>
            <w:noWrap/>
            <w:vAlign w:val="center"/>
            <w:hideMark/>
          </w:tcPr>
          <w:p w14:paraId="15CD8051" w14:textId="77777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Title</w:t>
            </w:r>
          </w:p>
        </w:tc>
        <w:tc>
          <w:tcPr>
            <w:tcW w:w="894" w:type="pct"/>
            <w:noWrap/>
            <w:vAlign w:val="center"/>
            <w:hideMark/>
          </w:tcPr>
          <w:p w14:paraId="07C05B1A" w14:textId="7199C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Docking score</w:t>
            </w:r>
          </w:p>
        </w:tc>
        <w:tc>
          <w:tcPr>
            <w:tcW w:w="718" w:type="pct"/>
            <w:noWrap/>
            <w:vAlign w:val="center"/>
            <w:hideMark/>
          </w:tcPr>
          <w:p w14:paraId="7973A658" w14:textId="0E715919"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Glide score</w:t>
            </w:r>
          </w:p>
        </w:tc>
        <w:tc>
          <w:tcPr>
            <w:tcW w:w="527" w:type="pct"/>
            <w:noWrap/>
            <w:vAlign w:val="center"/>
            <w:hideMark/>
          </w:tcPr>
          <w:p w14:paraId="64C17D1F" w14:textId="5CDCA8AD"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vdw</w:t>
            </w:r>
            <w:proofErr w:type="spellEnd"/>
          </w:p>
        </w:tc>
        <w:tc>
          <w:tcPr>
            <w:tcW w:w="460" w:type="pct"/>
            <w:noWrap/>
            <w:vAlign w:val="center"/>
            <w:hideMark/>
          </w:tcPr>
          <w:p w14:paraId="6DE9F18A" w14:textId="4A1A5820"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coul</w:t>
            </w:r>
            <w:proofErr w:type="spellEnd"/>
          </w:p>
        </w:tc>
        <w:tc>
          <w:tcPr>
            <w:tcW w:w="525" w:type="pct"/>
            <w:noWrap/>
            <w:vAlign w:val="center"/>
            <w:hideMark/>
          </w:tcPr>
          <w:p w14:paraId="42E42ED2" w14:textId="4115B9A8" w:rsidR="00BC1AE9" w:rsidRPr="00BC1AE9" w:rsidRDefault="00BC1AE9" w:rsidP="00BC1AE9">
            <w:pPr>
              <w:spacing w:before="60" w:after="60"/>
              <w:jc w:val="center"/>
              <w:rPr>
                <w:rFonts w:ascii="Arial" w:hAnsi="Arial" w:cs="Arial"/>
                <w:sz w:val="19"/>
                <w:szCs w:val="19"/>
              </w:rPr>
            </w:pPr>
            <w:proofErr w:type="spellStart"/>
            <w:r w:rsidRPr="00BC1AE9">
              <w:rPr>
                <w:rFonts w:ascii="Arial" w:hAnsi="Arial" w:cs="Arial"/>
                <w:sz w:val="19"/>
                <w:szCs w:val="19"/>
              </w:rPr>
              <w:t>E</w:t>
            </w:r>
            <w:r w:rsidRPr="00BC1AE9">
              <w:rPr>
                <w:rFonts w:ascii="Arial" w:hAnsi="Arial" w:cs="Arial"/>
                <w:sz w:val="19"/>
                <w:szCs w:val="19"/>
                <w:vertAlign w:val="subscript"/>
              </w:rPr>
              <w:t>mode</w:t>
            </w:r>
            <w:r w:rsidRPr="00BC1AE9">
              <w:rPr>
                <w:rFonts w:ascii="Arial" w:hAnsi="Arial" w:cs="Arial"/>
                <w:sz w:val="19"/>
                <w:szCs w:val="19"/>
              </w:rPr>
              <w:t>l</w:t>
            </w:r>
            <w:proofErr w:type="spellEnd"/>
          </w:p>
        </w:tc>
        <w:tc>
          <w:tcPr>
            <w:tcW w:w="548" w:type="pct"/>
            <w:noWrap/>
            <w:vAlign w:val="center"/>
            <w:hideMark/>
          </w:tcPr>
          <w:p w14:paraId="2EC31038" w14:textId="77777777"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Energy</w:t>
            </w:r>
          </w:p>
          <w:p w14:paraId="46E51983" w14:textId="3F68B3B6" w:rsidR="00BC1AE9" w:rsidRPr="00BC1AE9" w:rsidRDefault="00BC1AE9" w:rsidP="00BC1AE9">
            <w:pPr>
              <w:spacing w:before="60" w:after="60"/>
              <w:jc w:val="center"/>
              <w:rPr>
                <w:rFonts w:ascii="Arial" w:hAnsi="Arial" w:cs="Arial"/>
                <w:sz w:val="19"/>
                <w:szCs w:val="19"/>
              </w:rPr>
            </w:pPr>
            <w:r w:rsidRPr="00BC1AE9">
              <w:rPr>
                <w:rFonts w:ascii="Arial" w:hAnsi="Arial" w:cs="Arial"/>
                <w:sz w:val="19"/>
                <w:szCs w:val="19"/>
              </w:rPr>
              <w:t>(kJ/mol)</w:t>
            </w:r>
          </w:p>
        </w:tc>
      </w:tr>
      <w:tr w:rsidR="00BC1AE9" w:rsidRPr="00BC1AE9" w14:paraId="4D808855" w14:textId="77777777" w:rsidTr="003A4408">
        <w:trPr>
          <w:trHeight w:val="20"/>
        </w:trPr>
        <w:tc>
          <w:tcPr>
            <w:tcW w:w="1328" w:type="pct"/>
            <w:noWrap/>
            <w:vAlign w:val="center"/>
            <w:hideMark/>
          </w:tcPr>
          <w:p w14:paraId="486B9CCC" w14:textId="2440795F"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0155</w:t>
            </w:r>
          </w:p>
        </w:tc>
        <w:tc>
          <w:tcPr>
            <w:tcW w:w="894" w:type="pct"/>
            <w:noWrap/>
            <w:vAlign w:val="center"/>
            <w:hideMark/>
          </w:tcPr>
          <w:p w14:paraId="636B14BA" w14:textId="29DD861B"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718" w:type="pct"/>
            <w:noWrap/>
            <w:vAlign w:val="center"/>
            <w:hideMark/>
          </w:tcPr>
          <w:p w14:paraId="1E06FC83" w14:textId="25B0E31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527" w:type="pct"/>
            <w:noWrap/>
            <w:vAlign w:val="center"/>
            <w:hideMark/>
          </w:tcPr>
          <w:p w14:paraId="0D11F85F" w14:textId="12D0481E" w:rsidR="001F5577" w:rsidRPr="00BC1AE9" w:rsidRDefault="003648F5" w:rsidP="00BC1AE9">
            <w:pPr>
              <w:spacing w:before="60" w:after="60"/>
              <w:jc w:val="center"/>
              <w:rPr>
                <w:rFonts w:ascii="Arial" w:hAnsi="Arial" w:cs="Arial"/>
                <w:sz w:val="19"/>
                <w:szCs w:val="19"/>
              </w:rPr>
            </w:pPr>
            <w:r>
              <w:rPr>
                <w:rFonts w:ascii="Arial" w:hAnsi="Arial" w:cs="Arial"/>
                <w:sz w:val="19"/>
                <w:szCs w:val="19"/>
              </w:rPr>
              <w:t>-11.92</w:t>
            </w:r>
          </w:p>
        </w:tc>
        <w:tc>
          <w:tcPr>
            <w:tcW w:w="460" w:type="pct"/>
            <w:noWrap/>
            <w:vAlign w:val="center"/>
            <w:hideMark/>
          </w:tcPr>
          <w:p w14:paraId="057212A2"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-13.76</w:t>
            </w:r>
          </w:p>
        </w:tc>
        <w:tc>
          <w:tcPr>
            <w:tcW w:w="525" w:type="pct"/>
            <w:noWrap/>
            <w:vAlign w:val="center"/>
            <w:hideMark/>
          </w:tcPr>
          <w:p w14:paraId="04417439" w14:textId="2FB2B9E3" w:rsidR="001F5577" w:rsidRPr="00BC1AE9" w:rsidRDefault="003648F5" w:rsidP="00BC1AE9">
            <w:pPr>
              <w:spacing w:before="60" w:after="60"/>
              <w:jc w:val="center"/>
              <w:rPr>
                <w:rFonts w:ascii="Arial" w:hAnsi="Arial" w:cs="Arial"/>
                <w:sz w:val="19"/>
                <w:szCs w:val="19"/>
              </w:rPr>
            </w:pPr>
            <w:r>
              <w:rPr>
                <w:rFonts w:ascii="Arial" w:hAnsi="Arial" w:cs="Arial"/>
                <w:sz w:val="19"/>
                <w:szCs w:val="19"/>
              </w:rPr>
              <w:t>-33.25</w:t>
            </w:r>
          </w:p>
        </w:tc>
        <w:tc>
          <w:tcPr>
            <w:tcW w:w="548" w:type="pct"/>
            <w:noWrap/>
            <w:vAlign w:val="center"/>
            <w:hideMark/>
          </w:tcPr>
          <w:p w14:paraId="5E1457FE" w14:textId="7AF054ED"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-25.68</w:t>
            </w:r>
          </w:p>
        </w:tc>
      </w:tr>
      <w:tr w:rsidR="00BC1AE9" w:rsidRPr="00BC1AE9" w14:paraId="04824436" w14:textId="77777777" w:rsidTr="003A4408">
        <w:trPr>
          <w:trHeight w:val="20"/>
        </w:trPr>
        <w:tc>
          <w:tcPr>
            <w:tcW w:w="1328" w:type="pct"/>
            <w:noWrap/>
            <w:vAlign w:val="center"/>
            <w:hideMark/>
          </w:tcPr>
          <w:p w14:paraId="56FB15A5" w14:textId="6339EEE4"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0157</w:t>
            </w:r>
          </w:p>
        </w:tc>
        <w:tc>
          <w:tcPr>
            <w:tcW w:w="894" w:type="pct"/>
            <w:noWrap/>
            <w:vAlign w:val="center"/>
            <w:hideMark/>
          </w:tcPr>
          <w:p w14:paraId="797A42F0" w14:textId="074DD381" w:rsidR="001F5577" w:rsidRPr="00A8380D" w:rsidRDefault="003648F5" w:rsidP="00BC1AE9">
            <w:pPr>
              <w:spacing w:before="60" w:after="60"/>
              <w:jc w:val="center"/>
              <w:rPr>
                <w:rFonts w:ascii="Arial" w:hAnsi="Arial" w:cs="Arial"/>
                <w:sz w:val="19"/>
                <w:szCs w:val="19"/>
                <w:highlight w:val="yellow"/>
              </w:rPr>
            </w:pPr>
            <w:r w:rsidRPr="00A8380D">
              <w:rPr>
                <w:rFonts w:ascii="Arial" w:hAnsi="Arial" w:cs="Arial"/>
                <w:sz w:val="19"/>
                <w:szCs w:val="19"/>
                <w:highlight w:val="yellow"/>
              </w:rPr>
              <w:t>-5.34</w:t>
            </w:r>
          </w:p>
        </w:tc>
        <w:tc>
          <w:tcPr>
            <w:tcW w:w="718" w:type="pct"/>
            <w:noWrap/>
            <w:vAlign w:val="center"/>
            <w:hideMark/>
          </w:tcPr>
          <w:p w14:paraId="6266F5E2" w14:textId="2753EF1B" w:rsidR="001F5577" w:rsidRPr="00BC1AE9" w:rsidRDefault="003648F5" w:rsidP="00BC1AE9">
            <w:pPr>
              <w:spacing w:before="60" w:after="60"/>
              <w:jc w:val="center"/>
              <w:rPr>
                <w:rFonts w:ascii="Arial" w:hAnsi="Arial" w:cs="Arial"/>
                <w:sz w:val="19"/>
                <w:szCs w:val="19"/>
              </w:rPr>
            </w:pPr>
            <w:r>
              <w:rPr>
                <w:rFonts w:ascii="Arial" w:hAnsi="Arial" w:cs="Arial"/>
                <w:sz w:val="19"/>
                <w:szCs w:val="19"/>
              </w:rPr>
              <w:t>-5.34</w:t>
            </w:r>
          </w:p>
        </w:tc>
        <w:tc>
          <w:tcPr>
            <w:tcW w:w="527" w:type="pct"/>
            <w:noWrap/>
            <w:vAlign w:val="center"/>
            <w:hideMark/>
          </w:tcPr>
          <w:p w14:paraId="22F3D351" w14:textId="19F0411E" w:rsidR="001F5577" w:rsidRPr="00BC1AE9" w:rsidRDefault="003648F5" w:rsidP="00BC1AE9">
            <w:pPr>
              <w:spacing w:before="60" w:after="60"/>
              <w:jc w:val="center"/>
              <w:rPr>
                <w:rFonts w:ascii="Arial" w:hAnsi="Arial" w:cs="Arial"/>
                <w:sz w:val="19"/>
                <w:szCs w:val="19"/>
              </w:rPr>
            </w:pPr>
            <w:r>
              <w:rPr>
                <w:rFonts w:ascii="Arial" w:hAnsi="Arial" w:cs="Arial"/>
                <w:sz w:val="19"/>
                <w:szCs w:val="19"/>
              </w:rPr>
              <w:t>-15.97</w:t>
            </w:r>
          </w:p>
        </w:tc>
        <w:tc>
          <w:tcPr>
            <w:tcW w:w="460" w:type="pct"/>
            <w:noWrap/>
            <w:vAlign w:val="center"/>
            <w:hideMark/>
          </w:tcPr>
          <w:p w14:paraId="7EFE99B2" w14:textId="238ACA47" w:rsidR="001F5577" w:rsidRPr="00BC1AE9" w:rsidRDefault="003648F5" w:rsidP="00BC1AE9">
            <w:pPr>
              <w:spacing w:before="60" w:after="60"/>
              <w:jc w:val="center"/>
              <w:rPr>
                <w:rFonts w:ascii="Arial" w:hAnsi="Arial" w:cs="Arial"/>
                <w:sz w:val="19"/>
                <w:szCs w:val="19"/>
              </w:rPr>
            </w:pPr>
            <w:r>
              <w:rPr>
                <w:rFonts w:ascii="Arial" w:hAnsi="Arial" w:cs="Arial"/>
                <w:sz w:val="19"/>
                <w:szCs w:val="19"/>
              </w:rPr>
              <w:t>-9.04</w:t>
            </w:r>
          </w:p>
        </w:tc>
        <w:tc>
          <w:tcPr>
            <w:tcW w:w="525" w:type="pct"/>
            <w:noWrap/>
            <w:vAlign w:val="center"/>
            <w:hideMark/>
          </w:tcPr>
          <w:p w14:paraId="085B489D" w14:textId="58D7F458" w:rsidR="001F5577" w:rsidRPr="00BC1AE9" w:rsidRDefault="003648F5" w:rsidP="00BC1AE9">
            <w:pPr>
              <w:spacing w:before="60" w:after="60"/>
              <w:jc w:val="center"/>
              <w:rPr>
                <w:rFonts w:ascii="Arial" w:hAnsi="Arial" w:cs="Arial"/>
                <w:sz w:val="19"/>
                <w:szCs w:val="19"/>
              </w:rPr>
            </w:pPr>
            <w:r>
              <w:rPr>
                <w:rFonts w:ascii="Arial" w:hAnsi="Arial" w:cs="Arial"/>
                <w:sz w:val="19"/>
                <w:szCs w:val="19"/>
              </w:rPr>
              <w:t>-31.47</w:t>
            </w:r>
          </w:p>
        </w:tc>
        <w:tc>
          <w:tcPr>
            <w:tcW w:w="548" w:type="pct"/>
            <w:noWrap/>
            <w:vAlign w:val="center"/>
            <w:hideMark/>
          </w:tcPr>
          <w:p w14:paraId="30FD67C2" w14:textId="677B876A"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-25.01</w:t>
            </w:r>
          </w:p>
        </w:tc>
      </w:tr>
      <w:tr w:rsidR="00BC1AE9" w:rsidRPr="00BC1AE9" w14:paraId="29F0F74A" w14:textId="77777777" w:rsidTr="003A4408">
        <w:trPr>
          <w:trHeight w:val="20"/>
        </w:trPr>
        <w:tc>
          <w:tcPr>
            <w:tcW w:w="1328" w:type="pct"/>
            <w:noWrap/>
            <w:vAlign w:val="center"/>
            <w:hideMark/>
          </w:tcPr>
          <w:p w14:paraId="147F9114" w14:textId="184E8E1E" w:rsidR="001F5577" w:rsidRPr="00BC1AE9" w:rsidRDefault="00DE5FA4" w:rsidP="00BC1AE9">
            <w:pPr>
              <w:spacing w:before="60" w:after="60"/>
              <w:jc w:val="both"/>
              <w:rPr>
                <w:rFonts w:ascii="Arial" w:hAnsi="Arial" w:cs="Arial"/>
                <w:sz w:val="19"/>
                <w:szCs w:val="19"/>
              </w:rPr>
            </w:pPr>
            <w:r w:rsidRPr="00F776A4">
              <w:rPr>
                <w:rFonts w:ascii="Arial" w:hAnsi="Arial" w:cs="Arial"/>
              </w:rPr>
              <w:t>NP#</w:t>
            </w:r>
            <w:r w:rsidR="001F5577" w:rsidRPr="00BC1AE9">
              <w:rPr>
                <w:rFonts w:ascii="Arial" w:hAnsi="Arial" w:cs="Arial"/>
                <w:sz w:val="19"/>
                <w:szCs w:val="19"/>
              </w:rPr>
              <w:t>0158</w:t>
            </w:r>
          </w:p>
        </w:tc>
        <w:tc>
          <w:tcPr>
            <w:tcW w:w="894" w:type="pct"/>
            <w:noWrap/>
            <w:vAlign w:val="center"/>
            <w:hideMark/>
          </w:tcPr>
          <w:p w14:paraId="7CED6E59" w14:textId="30ACFF19" w:rsidR="001F5577" w:rsidRPr="00A8380D" w:rsidRDefault="003648F5" w:rsidP="00BC1AE9">
            <w:pPr>
              <w:spacing w:before="60" w:after="60"/>
              <w:jc w:val="center"/>
              <w:rPr>
                <w:rFonts w:ascii="Arial" w:hAnsi="Arial" w:cs="Arial"/>
                <w:sz w:val="19"/>
                <w:szCs w:val="19"/>
                <w:highlight w:val="yellow"/>
              </w:rPr>
            </w:pPr>
            <w:r w:rsidRPr="00A8380D">
              <w:rPr>
                <w:rFonts w:ascii="Arial" w:hAnsi="Arial" w:cs="Arial"/>
                <w:sz w:val="19"/>
                <w:szCs w:val="19"/>
                <w:highlight w:val="yellow"/>
              </w:rPr>
              <w:t>-4.37</w:t>
            </w:r>
          </w:p>
        </w:tc>
        <w:tc>
          <w:tcPr>
            <w:tcW w:w="718" w:type="pct"/>
            <w:noWrap/>
            <w:vAlign w:val="center"/>
            <w:hideMark/>
          </w:tcPr>
          <w:p w14:paraId="3BAF547A" w14:textId="420845F5" w:rsidR="001F5577" w:rsidRPr="00BC1AE9" w:rsidRDefault="003648F5" w:rsidP="00BC1AE9">
            <w:pPr>
              <w:spacing w:before="60" w:after="60"/>
              <w:jc w:val="center"/>
              <w:rPr>
                <w:rFonts w:ascii="Arial" w:hAnsi="Arial" w:cs="Arial"/>
                <w:sz w:val="19"/>
                <w:szCs w:val="19"/>
              </w:rPr>
            </w:pPr>
            <w:r>
              <w:rPr>
                <w:rFonts w:ascii="Arial" w:hAnsi="Arial" w:cs="Arial"/>
                <w:sz w:val="19"/>
                <w:szCs w:val="19"/>
              </w:rPr>
              <w:t>-4.37</w:t>
            </w:r>
          </w:p>
        </w:tc>
        <w:tc>
          <w:tcPr>
            <w:tcW w:w="527" w:type="pct"/>
            <w:noWrap/>
            <w:vAlign w:val="center"/>
            <w:hideMark/>
          </w:tcPr>
          <w:p w14:paraId="5048A7CF" w14:textId="0CF5FB98" w:rsidR="001F5577" w:rsidRPr="00BC1AE9" w:rsidRDefault="003648F5" w:rsidP="00BC1AE9">
            <w:pPr>
              <w:spacing w:before="60" w:after="60"/>
              <w:jc w:val="center"/>
              <w:rPr>
                <w:rFonts w:ascii="Arial" w:hAnsi="Arial" w:cs="Arial"/>
                <w:sz w:val="19"/>
                <w:szCs w:val="19"/>
              </w:rPr>
            </w:pPr>
            <w:r>
              <w:rPr>
                <w:rFonts w:ascii="Arial" w:hAnsi="Arial" w:cs="Arial"/>
                <w:sz w:val="19"/>
                <w:szCs w:val="19"/>
              </w:rPr>
              <w:t>-14.01</w:t>
            </w:r>
          </w:p>
        </w:tc>
        <w:tc>
          <w:tcPr>
            <w:tcW w:w="460" w:type="pct"/>
            <w:noWrap/>
            <w:vAlign w:val="center"/>
            <w:hideMark/>
          </w:tcPr>
          <w:p w14:paraId="0E5A81B9" w14:textId="7D3C5A5A" w:rsidR="001F5577" w:rsidRPr="00BC1AE9" w:rsidRDefault="003648F5" w:rsidP="00BC1AE9">
            <w:pPr>
              <w:spacing w:before="60" w:after="60"/>
              <w:jc w:val="center"/>
              <w:rPr>
                <w:rFonts w:ascii="Arial" w:hAnsi="Arial" w:cs="Arial"/>
                <w:sz w:val="19"/>
                <w:szCs w:val="19"/>
              </w:rPr>
            </w:pPr>
            <w:r>
              <w:rPr>
                <w:rFonts w:ascii="Arial" w:hAnsi="Arial" w:cs="Arial"/>
                <w:sz w:val="19"/>
                <w:szCs w:val="19"/>
              </w:rPr>
              <w:t>-7.64</w:t>
            </w:r>
          </w:p>
        </w:tc>
        <w:tc>
          <w:tcPr>
            <w:tcW w:w="525" w:type="pct"/>
            <w:noWrap/>
            <w:vAlign w:val="center"/>
            <w:hideMark/>
          </w:tcPr>
          <w:p w14:paraId="412F61A9" w14:textId="0E0B6B7A" w:rsidR="001F5577" w:rsidRPr="00BC1AE9" w:rsidRDefault="003648F5" w:rsidP="00BC1AE9">
            <w:pPr>
              <w:spacing w:before="60" w:after="60"/>
              <w:jc w:val="center"/>
              <w:rPr>
                <w:rFonts w:ascii="Arial" w:hAnsi="Arial" w:cs="Arial"/>
                <w:sz w:val="19"/>
                <w:szCs w:val="19"/>
              </w:rPr>
            </w:pPr>
            <w:r>
              <w:rPr>
                <w:rFonts w:ascii="Arial" w:hAnsi="Arial" w:cs="Arial"/>
                <w:sz w:val="19"/>
                <w:szCs w:val="19"/>
              </w:rPr>
              <w:t>-25.79</w:t>
            </w:r>
          </w:p>
        </w:tc>
        <w:tc>
          <w:tcPr>
            <w:tcW w:w="548" w:type="pct"/>
            <w:noWrap/>
            <w:vAlign w:val="center"/>
            <w:hideMark/>
          </w:tcPr>
          <w:p w14:paraId="51C266DC" w14:textId="69F12FC1" w:rsidR="001F5577" w:rsidRPr="00BC1AE9" w:rsidRDefault="003648F5" w:rsidP="00BC1AE9">
            <w:pPr>
              <w:spacing w:before="60" w:after="60"/>
              <w:jc w:val="center"/>
              <w:rPr>
                <w:rFonts w:ascii="Arial" w:hAnsi="Arial" w:cs="Arial"/>
                <w:sz w:val="19"/>
                <w:szCs w:val="19"/>
              </w:rPr>
            </w:pPr>
            <w:r>
              <w:rPr>
                <w:rFonts w:ascii="Arial" w:hAnsi="Arial" w:cs="Arial"/>
                <w:sz w:val="19"/>
                <w:szCs w:val="19"/>
              </w:rPr>
              <w:t>-21.64</w:t>
            </w:r>
          </w:p>
        </w:tc>
      </w:tr>
      <w:tr w:rsidR="00BC1AE9" w:rsidRPr="00BC1AE9" w14:paraId="585D32C8" w14:textId="77777777" w:rsidTr="003A4408">
        <w:trPr>
          <w:trHeight w:val="20"/>
        </w:trPr>
        <w:tc>
          <w:tcPr>
            <w:tcW w:w="1328" w:type="pct"/>
            <w:noWrap/>
            <w:vAlign w:val="center"/>
            <w:hideMark/>
          </w:tcPr>
          <w:p w14:paraId="1C4BA4E8"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hydroxychloroquine</w:t>
            </w:r>
          </w:p>
        </w:tc>
        <w:tc>
          <w:tcPr>
            <w:tcW w:w="894" w:type="pct"/>
            <w:noWrap/>
            <w:vAlign w:val="center"/>
            <w:hideMark/>
          </w:tcPr>
          <w:p w14:paraId="1D0215A6"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-2.28</w:t>
            </w:r>
          </w:p>
        </w:tc>
        <w:tc>
          <w:tcPr>
            <w:tcW w:w="718" w:type="pct"/>
            <w:noWrap/>
            <w:vAlign w:val="center"/>
            <w:hideMark/>
          </w:tcPr>
          <w:p w14:paraId="74055213"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-2.28</w:t>
            </w:r>
          </w:p>
        </w:tc>
        <w:tc>
          <w:tcPr>
            <w:tcW w:w="527" w:type="pct"/>
            <w:noWrap/>
            <w:vAlign w:val="center"/>
            <w:hideMark/>
          </w:tcPr>
          <w:p w14:paraId="0B2A9BC4" w14:textId="4904F2E9" w:rsidR="001F5577" w:rsidRPr="00BC1AE9" w:rsidRDefault="003648F5" w:rsidP="00BC1AE9">
            <w:pPr>
              <w:spacing w:before="60" w:after="60"/>
              <w:jc w:val="center"/>
              <w:rPr>
                <w:rFonts w:ascii="Arial" w:hAnsi="Arial" w:cs="Arial"/>
                <w:sz w:val="19"/>
                <w:szCs w:val="19"/>
              </w:rPr>
            </w:pPr>
            <w:r>
              <w:rPr>
                <w:rFonts w:ascii="Arial" w:hAnsi="Arial" w:cs="Arial"/>
                <w:sz w:val="19"/>
                <w:szCs w:val="19"/>
              </w:rPr>
              <w:t>-18.51</w:t>
            </w:r>
          </w:p>
        </w:tc>
        <w:tc>
          <w:tcPr>
            <w:tcW w:w="460" w:type="pct"/>
            <w:noWrap/>
            <w:vAlign w:val="center"/>
            <w:hideMark/>
          </w:tcPr>
          <w:p w14:paraId="7CA6613A"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-8.15</w:t>
            </w:r>
          </w:p>
        </w:tc>
        <w:tc>
          <w:tcPr>
            <w:tcW w:w="525" w:type="pct"/>
            <w:noWrap/>
            <w:vAlign w:val="center"/>
            <w:hideMark/>
          </w:tcPr>
          <w:p w14:paraId="15ECE2A9" w14:textId="5A92FF89" w:rsidR="001F5577" w:rsidRPr="00BC1AE9" w:rsidRDefault="003648F5" w:rsidP="00BC1AE9">
            <w:pPr>
              <w:spacing w:before="60" w:after="60"/>
              <w:jc w:val="center"/>
              <w:rPr>
                <w:rFonts w:ascii="Arial" w:hAnsi="Arial" w:cs="Arial"/>
                <w:sz w:val="19"/>
                <w:szCs w:val="19"/>
              </w:rPr>
            </w:pPr>
            <w:r>
              <w:rPr>
                <w:rFonts w:ascii="Arial" w:hAnsi="Arial" w:cs="Arial"/>
                <w:sz w:val="19"/>
                <w:szCs w:val="19"/>
              </w:rPr>
              <w:t>-29.87</w:t>
            </w:r>
          </w:p>
        </w:tc>
        <w:tc>
          <w:tcPr>
            <w:tcW w:w="548" w:type="pct"/>
            <w:noWrap/>
            <w:vAlign w:val="center"/>
            <w:hideMark/>
          </w:tcPr>
          <w:p w14:paraId="3BC03926" w14:textId="7C6A91C6" w:rsidR="001F5577" w:rsidRPr="00BC1AE9" w:rsidRDefault="003648F5" w:rsidP="00BC1AE9">
            <w:pPr>
              <w:spacing w:before="60" w:after="60"/>
              <w:jc w:val="center"/>
              <w:rPr>
                <w:rFonts w:ascii="Arial" w:hAnsi="Arial" w:cs="Arial"/>
                <w:sz w:val="19"/>
                <w:szCs w:val="19"/>
              </w:rPr>
            </w:pPr>
            <w:r>
              <w:rPr>
                <w:rFonts w:ascii="Arial" w:hAnsi="Arial" w:cs="Arial"/>
                <w:sz w:val="19"/>
                <w:szCs w:val="19"/>
              </w:rPr>
              <w:t>-26.66</w:t>
            </w:r>
          </w:p>
        </w:tc>
      </w:tr>
      <w:tr w:rsidR="00BC1AE9" w:rsidRPr="00BC1AE9" w14:paraId="08769399" w14:textId="77777777" w:rsidTr="003A4408">
        <w:trPr>
          <w:trHeight w:val="20"/>
        </w:trPr>
        <w:tc>
          <w:tcPr>
            <w:tcW w:w="1328" w:type="pct"/>
            <w:noWrap/>
            <w:vAlign w:val="center"/>
            <w:hideMark/>
          </w:tcPr>
          <w:p w14:paraId="0A72038B"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Nelfinavir</w:t>
            </w:r>
          </w:p>
        </w:tc>
        <w:tc>
          <w:tcPr>
            <w:tcW w:w="894" w:type="pct"/>
            <w:noWrap/>
            <w:vAlign w:val="center"/>
            <w:hideMark/>
          </w:tcPr>
          <w:p w14:paraId="52FE99A7" w14:textId="53A0623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718" w:type="pct"/>
            <w:noWrap/>
            <w:vAlign w:val="center"/>
            <w:hideMark/>
          </w:tcPr>
          <w:p w14:paraId="0C597151" w14:textId="030A65A2" w:rsidR="001F5577" w:rsidRPr="00BC1AE9" w:rsidRDefault="003648F5" w:rsidP="00BC1AE9">
            <w:pPr>
              <w:spacing w:before="60" w:after="60"/>
              <w:jc w:val="center"/>
              <w:rPr>
                <w:rFonts w:ascii="Arial" w:hAnsi="Arial" w:cs="Arial"/>
                <w:sz w:val="19"/>
                <w:szCs w:val="19"/>
              </w:rPr>
            </w:pPr>
            <w:r>
              <w:rPr>
                <w:rFonts w:ascii="Arial" w:hAnsi="Arial" w:cs="Arial"/>
                <w:sz w:val="19"/>
                <w:szCs w:val="19"/>
              </w:rPr>
              <w:t>-4.24</w:t>
            </w:r>
          </w:p>
        </w:tc>
        <w:tc>
          <w:tcPr>
            <w:tcW w:w="527" w:type="pct"/>
            <w:noWrap/>
            <w:vAlign w:val="center"/>
            <w:hideMark/>
          </w:tcPr>
          <w:p w14:paraId="5E5CD524" w14:textId="13FBF7EA" w:rsidR="001F5577" w:rsidRPr="00BC1AE9" w:rsidRDefault="003648F5" w:rsidP="00BC1AE9">
            <w:pPr>
              <w:spacing w:before="60" w:after="60"/>
              <w:jc w:val="center"/>
              <w:rPr>
                <w:rFonts w:ascii="Arial" w:hAnsi="Arial" w:cs="Arial"/>
                <w:sz w:val="19"/>
                <w:szCs w:val="19"/>
              </w:rPr>
            </w:pPr>
            <w:r>
              <w:rPr>
                <w:rFonts w:ascii="Arial" w:hAnsi="Arial" w:cs="Arial"/>
                <w:sz w:val="19"/>
                <w:szCs w:val="19"/>
              </w:rPr>
              <w:t>-30.24</w:t>
            </w:r>
          </w:p>
        </w:tc>
        <w:tc>
          <w:tcPr>
            <w:tcW w:w="460" w:type="pct"/>
            <w:noWrap/>
            <w:vAlign w:val="center"/>
            <w:hideMark/>
          </w:tcPr>
          <w:p w14:paraId="2A69A012" w14:textId="68CC192A" w:rsidR="001F5577" w:rsidRPr="00BC1AE9" w:rsidRDefault="003648F5" w:rsidP="00BC1AE9">
            <w:pPr>
              <w:spacing w:before="60" w:after="60"/>
              <w:jc w:val="center"/>
              <w:rPr>
                <w:rFonts w:ascii="Arial" w:hAnsi="Arial" w:cs="Arial"/>
                <w:sz w:val="19"/>
                <w:szCs w:val="19"/>
              </w:rPr>
            </w:pPr>
            <w:r>
              <w:rPr>
                <w:rFonts w:ascii="Arial" w:hAnsi="Arial" w:cs="Arial"/>
                <w:sz w:val="19"/>
                <w:szCs w:val="19"/>
              </w:rPr>
              <w:t>-6.74</w:t>
            </w:r>
          </w:p>
        </w:tc>
        <w:tc>
          <w:tcPr>
            <w:tcW w:w="525" w:type="pct"/>
            <w:noWrap/>
            <w:vAlign w:val="center"/>
            <w:hideMark/>
          </w:tcPr>
          <w:p w14:paraId="312E8BC9" w14:textId="0C5F47C6" w:rsidR="001F5577" w:rsidRPr="00BC1AE9" w:rsidRDefault="003648F5" w:rsidP="00BC1AE9">
            <w:pPr>
              <w:spacing w:before="60" w:after="60"/>
              <w:jc w:val="center"/>
              <w:rPr>
                <w:rFonts w:ascii="Arial" w:hAnsi="Arial" w:cs="Arial"/>
                <w:sz w:val="19"/>
                <w:szCs w:val="19"/>
              </w:rPr>
            </w:pPr>
            <w:r>
              <w:rPr>
                <w:rFonts w:ascii="Arial" w:hAnsi="Arial" w:cs="Arial"/>
                <w:sz w:val="19"/>
                <w:szCs w:val="19"/>
              </w:rPr>
              <w:t>-50.96</w:t>
            </w:r>
          </w:p>
        </w:tc>
        <w:tc>
          <w:tcPr>
            <w:tcW w:w="548" w:type="pct"/>
            <w:noWrap/>
            <w:vAlign w:val="center"/>
            <w:hideMark/>
          </w:tcPr>
          <w:p w14:paraId="61B56F2A" w14:textId="5A3DC5D2" w:rsidR="001F5577" w:rsidRPr="00BC1AE9" w:rsidRDefault="003648F5" w:rsidP="00BC1AE9">
            <w:pPr>
              <w:spacing w:before="60" w:after="60"/>
              <w:jc w:val="center"/>
              <w:rPr>
                <w:rFonts w:ascii="Arial" w:hAnsi="Arial" w:cs="Arial"/>
                <w:sz w:val="19"/>
                <w:szCs w:val="19"/>
              </w:rPr>
            </w:pPr>
            <w:r>
              <w:rPr>
                <w:rFonts w:ascii="Arial" w:hAnsi="Arial" w:cs="Arial"/>
                <w:sz w:val="19"/>
                <w:szCs w:val="19"/>
              </w:rPr>
              <w:t>-36.98</w:t>
            </w:r>
          </w:p>
        </w:tc>
      </w:tr>
      <w:tr w:rsidR="00BC1AE9" w:rsidRPr="00BC1AE9" w14:paraId="715E3418" w14:textId="77777777" w:rsidTr="003A4408">
        <w:trPr>
          <w:trHeight w:val="20"/>
        </w:trPr>
        <w:tc>
          <w:tcPr>
            <w:tcW w:w="1328" w:type="pct"/>
            <w:noWrap/>
            <w:vAlign w:val="center"/>
            <w:hideMark/>
          </w:tcPr>
          <w:p w14:paraId="4809194B" w14:textId="77777777" w:rsidR="001F5577" w:rsidRPr="00BC1AE9" w:rsidRDefault="001F5577" w:rsidP="00BC1AE9">
            <w:pPr>
              <w:spacing w:before="60" w:after="60"/>
              <w:jc w:val="both"/>
              <w:rPr>
                <w:rFonts w:ascii="Arial" w:hAnsi="Arial" w:cs="Arial"/>
                <w:sz w:val="19"/>
                <w:szCs w:val="19"/>
              </w:rPr>
            </w:pPr>
            <w:r w:rsidRPr="00BC1AE9">
              <w:rPr>
                <w:rFonts w:ascii="Arial" w:hAnsi="Arial" w:cs="Arial"/>
                <w:sz w:val="19"/>
                <w:szCs w:val="19"/>
              </w:rPr>
              <w:t>Nirmatrelvir (Paxlovid)</w:t>
            </w:r>
          </w:p>
        </w:tc>
        <w:tc>
          <w:tcPr>
            <w:tcW w:w="894" w:type="pct"/>
            <w:noWrap/>
            <w:vAlign w:val="center"/>
            <w:hideMark/>
          </w:tcPr>
          <w:p w14:paraId="201C1B61"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-3.55</w:t>
            </w:r>
          </w:p>
        </w:tc>
        <w:tc>
          <w:tcPr>
            <w:tcW w:w="718" w:type="pct"/>
            <w:noWrap/>
            <w:vAlign w:val="center"/>
            <w:hideMark/>
          </w:tcPr>
          <w:p w14:paraId="71531680"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-3.55</w:t>
            </w:r>
          </w:p>
        </w:tc>
        <w:tc>
          <w:tcPr>
            <w:tcW w:w="527" w:type="pct"/>
            <w:noWrap/>
            <w:vAlign w:val="center"/>
            <w:hideMark/>
          </w:tcPr>
          <w:p w14:paraId="1B932A88" w14:textId="13FAB01D" w:rsidR="001F5577" w:rsidRPr="00BC1AE9" w:rsidRDefault="003648F5" w:rsidP="00BC1AE9">
            <w:pPr>
              <w:spacing w:before="60" w:after="60"/>
              <w:jc w:val="center"/>
              <w:rPr>
                <w:rFonts w:ascii="Arial" w:hAnsi="Arial" w:cs="Arial"/>
                <w:sz w:val="19"/>
                <w:szCs w:val="19"/>
              </w:rPr>
            </w:pPr>
            <w:r>
              <w:rPr>
                <w:rFonts w:ascii="Arial" w:hAnsi="Arial" w:cs="Arial"/>
                <w:sz w:val="19"/>
                <w:szCs w:val="19"/>
              </w:rPr>
              <w:t>-10.38</w:t>
            </w:r>
          </w:p>
        </w:tc>
        <w:tc>
          <w:tcPr>
            <w:tcW w:w="460" w:type="pct"/>
            <w:noWrap/>
            <w:vAlign w:val="center"/>
            <w:hideMark/>
          </w:tcPr>
          <w:p w14:paraId="77D36AF6" w14:textId="77777777" w:rsidR="001F5577" w:rsidRPr="00BC1AE9" w:rsidRDefault="001F5577" w:rsidP="00BC1AE9">
            <w:pPr>
              <w:spacing w:before="60" w:after="60"/>
              <w:jc w:val="center"/>
              <w:rPr>
                <w:rFonts w:ascii="Arial" w:hAnsi="Arial" w:cs="Arial"/>
                <w:sz w:val="19"/>
                <w:szCs w:val="19"/>
              </w:rPr>
            </w:pPr>
            <w:r w:rsidRPr="00BC1AE9">
              <w:rPr>
                <w:rFonts w:ascii="Arial" w:hAnsi="Arial" w:cs="Arial"/>
                <w:sz w:val="19"/>
                <w:szCs w:val="19"/>
              </w:rPr>
              <w:t>-21.88</w:t>
            </w:r>
          </w:p>
        </w:tc>
        <w:tc>
          <w:tcPr>
            <w:tcW w:w="525" w:type="pct"/>
            <w:noWrap/>
            <w:vAlign w:val="center"/>
            <w:hideMark/>
          </w:tcPr>
          <w:p w14:paraId="04BB4B1E" w14:textId="2B5E7968" w:rsidR="001F5577" w:rsidRPr="00BC1AE9" w:rsidRDefault="003648F5" w:rsidP="00BC1AE9">
            <w:pPr>
              <w:spacing w:before="60" w:after="60"/>
              <w:jc w:val="center"/>
              <w:rPr>
                <w:rFonts w:ascii="Arial" w:hAnsi="Arial" w:cs="Arial"/>
                <w:sz w:val="19"/>
                <w:szCs w:val="19"/>
              </w:rPr>
            </w:pPr>
            <w:r>
              <w:rPr>
                <w:rFonts w:ascii="Arial" w:hAnsi="Arial" w:cs="Arial"/>
                <w:sz w:val="19"/>
                <w:szCs w:val="19"/>
              </w:rPr>
              <w:t>-30.43</w:t>
            </w:r>
          </w:p>
        </w:tc>
        <w:tc>
          <w:tcPr>
            <w:tcW w:w="548" w:type="pct"/>
            <w:noWrap/>
            <w:vAlign w:val="center"/>
            <w:hideMark/>
          </w:tcPr>
          <w:p w14:paraId="203D792B" w14:textId="02A0A89D" w:rsidR="001F5577" w:rsidRPr="00BC1AE9" w:rsidRDefault="003648F5" w:rsidP="00BC1AE9">
            <w:pPr>
              <w:spacing w:before="60" w:after="60"/>
              <w:jc w:val="center"/>
              <w:rPr>
                <w:rFonts w:ascii="Arial" w:hAnsi="Arial" w:cs="Arial"/>
                <w:sz w:val="19"/>
                <w:szCs w:val="19"/>
              </w:rPr>
            </w:pPr>
            <w:r>
              <w:rPr>
                <w:rFonts w:ascii="Arial" w:hAnsi="Arial" w:cs="Arial"/>
                <w:sz w:val="19"/>
                <w:szCs w:val="19"/>
              </w:rPr>
              <w:t>-32.26</w:t>
            </w:r>
          </w:p>
        </w:tc>
      </w:tr>
    </w:tbl>
    <w:p w14:paraId="0C5A2107" w14:textId="77777777" w:rsidR="003648F5" w:rsidRDefault="003648F5" w:rsidP="003648F5">
      <w:pPr>
        <w:rPr>
          <w:rFonts w:ascii="Arial" w:hAnsi="Arial" w:cs="Arial"/>
          <w:sz w:val="19"/>
          <w:szCs w:val="19"/>
        </w:rPr>
      </w:pPr>
    </w:p>
    <w:p w14:paraId="3CE97381" w14:textId="4871EB11" w:rsidR="003648F5" w:rsidRPr="003648F5" w:rsidRDefault="00F776A4" w:rsidP="003648F5">
      <w:pPr>
        <w:rPr>
          <w:rFonts w:ascii="Arial" w:hAnsi="Arial" w:cs="Arial"/>
          <w:sz w:val="19"/>
          <w:szCs w:val="19"/>
        </w:rPr>
      </w:pPr>
      <w:r w:rsidRPr="00F776A4">
        <w:rPr>
          <w:rFonts w:ascii="Arial" w:hAnsi="Arial" w:cs="Arial"/>
        </w:rPr>
        <w:t>MM-GBSA analysis further supported these findings, with binding free energies ranging from −29.18 to −6.04 kcal mol</w:t>
      </w:r>
      <w:r w:rsidRPr="00F776A4">
        <w:rPr>
          <w:rFonts w:ascii="Cambria Math" w:hAnsi="Cambria Math" w:cs="Cambria Math"/>
        </w:rPr>
        <w:t>⁻</w:t>
      </w:r>
      <w:r w:rsidRPr="00F776A4">
        <w:rPr>
          <w:rFonts w:ascii="Arial" w:hAnsi="Arial" w:cs="Arial"/>
        </w:rPr>
        <w:t>¹ among the top-ranked ligands</w:t>
      </w:r>
      <w:r w:rsidR="00FA36AC">
        <w:rPr>
          <w:rFonts w:ascii="Arial" w:hAnsi="Arial" w:cs="Arial"/>
        </w:rPr>
        <w:t xml:space="preserve"> as per the table 4</w:t>
      </w:r>
      <w:r w:rsidRPr="00F776A4">
        <w:rPr>
          <w:rFonts w:ascii="Arial" w:hAnsi="Arial" w:cs="Arial"/>
        </w:rPr>
        <w:t xml:space="preserve">. NP#0157 exhibited the most favorable binding free energy, followed by NP#0158, </w:t>
      </w:r>
      <w:r w:rsidR="00800FAB">
        <w:rPr>
          <w:rFonts w:ascii="Arial" w:hAnsi="Arial" w:cs="Arial"/>
        </w:rPr>
        <w:t>suggesting a stable,</w:t>
      </w:r>
      <w:r w:rsidRPr="00F776A4">
        <w:rPr>
          <w:rFonts w:ascii="Arial" w:hAnsi="Arial" w:cs="Arial"/>
        </w:rPr>
        <w:t xml:space="preserve"> energetically favorable interaction with the ACE2 receptor. These results </w:t>
      </w:r>
      <w:r w:rsidR="00800FAB">
        <w:rPr>
          <w:rFonts w:ascii="Arial" w:hAnsi="Arial" w:cs="Arial"/>
        </w:rPr>
        <w:t>indicate</w:t>
      </w:r>
      <w:r w:rsidRPr="00F776A4">
        <w:rPr>
          <w:rFonts w:ascii="Arial" w:hAnsi="Arial" w:cs="Arial"/>
        </w:rPr>
        <w:t xml:space="preserve"> that the selected phytochemicals </w:t>
      </w:r>
      <w:r w:rsidR="00800FAB">
        <w:rPr>
          <w:rFonts w:ascii="Arial" w:hAnsi="Arial" w:cs="Arial"/>
        </w:rPr>
        <w:t xml:space="preserve">exhibit binding affinities comparable to those of </w:t>
      </w:r>
      <w:r w:rsidRPr="00F776A4">
        <w:rPr>
          <w:rFonts w:ascii="Arial" w:hAnsi="Arial" w:cs="Arial"/>
        </w:rPr>
        <w:t>FDA-approved reference inhibitors.</w:t>
      </w:r>
    </w:p>
    <w:p w14:paraId="7CD42C45" w14:textId="73122305" w:rsidR="001665A4" w:rsidRDefault="001665A4">
      <w:pPr>
        <w:rPr>
          <w:rFonts w:ascii="Arial" w:hAnsi="Arial" w:cs="Arial"/>
        </w:rPr>
      </w:pPr>
      <w:r>
        <w:rPr>
          <w:rFonts w:ascii="Arial" w:hAnsi="Arial" w:cs="Arial"/>
        </w:rPr>
        <w:br w:type="page"/>
      </w:r>
    </w:p>
    <w:p w14:paraId="63050F5C" w14:textId="29D9A481" w:rsidR="00F776A4" w:rsidRPr="00F776A4" w:rsidRDefault="003648F5" w:rsidP="00F776A4">
      <w:pPr>
        <w:jc w:val="both"/>
        <w:rPr>
          <w:rFonts w:ascii="Arial" w:hAnsi="Arial" w:cs="Arial"/>
        </w:rPr>
      </w:pPr>
      <w:r>
        <w:lastRenderedPageBreak/>
        <w:t>Table 4. MMGBSA</w:t>
      </w:r>
      <w:r w:rsidR="001771CB">
        <w:t xml:space="preserve"> </w:t>
      </w:r>
      <w:r w:rsidR="001771CB">
        <w:rPr>
          <w:rFonts w:ascii="Arial" w:hAnsi="Arial" w:cs="Arial"/>
        </w:rPr>
        <w:t>scores of the top ligands with reference compounds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719"/>
        <w:gridCol w:w="723"/>
        <w:gridCol w:w="654"/>
        <w:gridCol w:w="784"/>
        <w:gridCol w:w="809"/>
        <w:gridCol w:w="971"/>
        <w:gridCol w:w="920"/>
        <w:gridCol w:w="809"/>
      </w:tblGrid>
      <w:tr w:rsidR="003648F5" w:rsidRPr="003A4408" w14:paraId="69179523" w14:textId="77777777" w:rsidTr="003648F5">
        <w:trPr>
          <w:trHeight w:val="278"/>
        </w:trPr>
        <w:tc>
          <w:tcPr>
            <w:tcW w:w="1139" w:type="pct"/>
            <w:vMerge w:val="restart"/>
            <w:noWrap/>
            <w:vAlign w:val="center"/>
            <w:hideMark/>
          </w:tcPr>
          <w:p w14:paraId="6DE36355"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Title</w:t>
            </w:r>
          </w:p>
        </w:tc>
        <w:tc>
          <w:tcPr>
            <w:tcW w:w="434" w:type="pct"/>
            <w:vMerge w:val="restart"/>
            <w:noWrap/>
            <w:vAlign w:val="center"/>
            <w:hideMark/>
          </w:tcPr>
          <w:p w14:paraId="47669C1B"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Glide Score</w:t>
            </w:r>
          </w:p>
        </w:tc>
        <w:tc>
          <w:tcPr>
            <w:tcW w:w="437" w:type="pct"/>
            <w:vMerge w:val="restart"/>
            <w:noWrap/>
            <w:vAlign w:val="center"/>
            <w:hideMark/>
          </w:tcPr>
          <w:p w14:paraId="467F84C3" w14:textId="77777777" w:rsidR="003648F5" w:rsidRPr="003A4408" w:rsidRDefault="003648F5" w:rsidP="0032186C">
            <w:pPr>
              <w:spacing w:before="60" w:after="60"/>
              <w:jc w:val="center"/>
              <w:rPr>
                <w:rFonts w:ascii="Arial" w:hAnsi="Arial" w:cs="Arial"/>
                <w:sz w:val="19"/>
                <w:szCs w:val="19"/>
              </w:rPr>
            </w:pPr>
            <w:proofErr w:type="spellStart"/>
            <w:r w:rsidRPr="003A4408">
              <w:rPr>
                <w:rFonts w:ascii="Arial" w:hAnsi="Arial" w:cs="Arial"/>
                <w:sz w:val="19"/>
                <w:szCs w:val="19"/>
              </w:rPr>
              <w:t>E</w:t>
            </w:r>
            <w:r w:rsidRPr="003A4408">
              <w:rPr>
                <w:rFonts w:ascii="Arial" w:hAnsi="Arial" w:cs="Arial"/>
                <w:sz w:val="19"/>
                <w:szCs w:val="19"/>
                <w:vertAlign w:val="subscript"/>
              </w:rPr>
              <w:t>lipo</w:t>
            </w:r>
            <w:proofErr w:type="spellEnd"/>
          </w:p>
        </w:tc>
        <w:tc>
          <w:tcPr>
            <w:tcW w:w="395" w:type="pct"/>
            <w:vMerge w:val="restart"/>
            <w:noWrap/>
            <w:vAlign w:val="center"/>
            <w:hideMark/>
          </w:tcPr>
          <w:p w14:paraId="2514F539"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 xml:space="preserve">E </w:t>
            </w:r>
            <w:proofErr w:type="spellStart"/>
            <w:r w:rsidRPr="003A4408">
              <w:rPr>
                <w:rFonts w:ascii="Arial" w:hAnsi="Arial" w:cs="Arial"/>
                <w:sz w:val="19"/>
                <w:szCs w:val="19"/>
              </w:rPr>
              <w:t>h</w:t>
            </w:r>
            <w:r w:rsidRPr="003A4408">
              <w:rPr>
                <w:rFonts w:ascii="Arial" w:hAnsi="Arial" w:cs="Arial"/>
                <w:sz w:val="19"/>
                <w:szCs w:val="19"/>
                <w:vertAlign w:val="subscript"/>
              </w:rPr>
              <w:t>bond</w:t>
            </w:r>
            <w:proofErr w:type="spellEnd"/>
          </w:p>
        </w:tc>
        <w:tc>
          <w:tcPr>
            <w:tcW w:w="474" w:type="pct"/>
            <w:vMerge w:val="restart"/>
            <w:noWrap/>
            <w:vAlign w:val="center"/>
            <w:hideMark/>
          </w:tcPr>
          <w:p w14:paraId="30105104" w14:textId="77777777" w:rsidR="003648F5" w:rsidRPr="003A4408" w:rsidRDefault="003648F5" w:rsidP="0032186C">
            <w:pPr>
              <w:spacing w:before="60" w:after="60"/>
              <w:jc w:val="center"/>
              <w:rPr>
                <w:rFonts w:ascii="Arial" w:hAnsi="Arial" w:cs="Arial"/>
                <w:sz w:val="19"/>
                <w:szCs w:val="19"/>
              </w:rPr>
            </w:pPr>
            <w:proofErr w:type="spellStart"/>
            <w:r w:rsidRPr="003A4408">
              <w:rPr>
                <w:rFonts w:ascii="Arial" w:hAnsi="Arial" w:cs="Arial"/>
                <w:sz w:val="19"/>
                <w:szCs w:val="19"/>
              </w:rPr>
              <w:t>E</w:t>
            </w:r>
            <w:r w:rsidRPr="003A4408">
              <w:rPr>
                <w:rFonts w:ascii="Arial" w:hAnsi="Arial" w:cs="Arial"/>
                <w:sz w:val="19"/>
                <w:szCs w:val="19"/>
                <w:vertAlign w:val="subscript"/>
              </w:rPr>
              <w:t>model</w:t>
            </w:r>
            <w:proofErr w:type="spellEnd"/>
          </w:p>
        </w:tc>
        <w:tc>
          <w:tcPr>
            <w:tcW w:w="489" w:type="pct"/>
            <w:vMerge w:val="restart"/>
            <w:noWrap/>
            <w:vAlign w:val="center"/>
            <w:hideMark/>
          </w:tcPr>
          <w:p w14:paraId="7D00E0F7"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glide energy</w:t>
            </w:r>
          </w:p>
        </w:tc>
        <w:tc>
          <w:tcPr>
            <w:tcW w:w="587" w:type="pct"/>
            <w:vMerge w:val="restart"/>
            <w:vAlign w:val="center"/>
            <w:hideMark/>
          </w:tcPr>
          <w:p w14:paraId="25C34DC2"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Prime Solv</w:t>
            </w:r>
          </w:p>
        </w:tc>
        <w:tc>
          <w:tcPr>
            <w:tcW w:w="556" w:type="pct"/>
            <w:vMerge w:val="restart"/>
            <w:vAlign w:val="center"/>
            <w:hideMark/>
          </w:tcPr>
          <w:p w14:paraId="508ABFDA"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Prime H bond</w:t>
            </w:r>
          </w:p>
        </w:tc>
        <w:tc>
          <w:tcPr>
            <w:tcW w:w="489" w:type="pct"/>
            <w:vMerge w:val="restart"/>
            <w:noWrap/>
            <w:vAlign w:val="center"/>
            <w:hideMark/>
          </w:tcPr>
          <w:p w14:paraId="75EEE6C2" w14:textId="77777777" w:rsidR="003648F5" w:rsidRPr="003A4408" w:rsidRDefault="003648F5" w:rsidP="0032186C">
            <w:pPr>
              <w:spacing w:before="60" w:after="60"/>
              <w:jc w:val="center"/>
              <w:rPr>
                <w:rFonts w:ascii="Arial" w:hAnsi="Arial" w:cs="Arial"/>
                <w:sz w:val="19"/>
                <w:szCs w:val="19"/>
              </w:rPr>
            </w:pPr>
            <w:r w:rsidRPr="003A4408">
              <w:rPr>
                <w:rFonts w:ascii="Arial" w:hAnsi="Arial" w:cs="Arial"/>
                <w:sz w:val="19"/>
                <w:szCs w:val="19"/>
              </w:rPr>
              <w:t>MM-GBSA</w:t>
            </w:r>
          </w:p>
        </w:tc>
      </w:tr>
      <w:tr w:rsidR="003648F5" w:rsidRPr="003A4408" w14:paraId="40941608" w14:textId="77777777" w:rsidTr="003648F5">
        <w:trPr>
          <w:trHeight w:val="338"/>
        </w:trPr>
        <w:tc>
          <w:tcPr>
            <w:tcW w:w="1139" w:type="pct"/>
            <w:vMerge/>
            <w:vAlign w:val="center"/>
            <w:hideMark/>
          </w:tcPr>
          <w:p w14:paraId="48C158E0" w14:textId="77777777" w:rsidR="003648F5" w:rsidRPr="003A4408" w:rsidRDefault="003648F5" w:rsidP="0032186C">
            <w:pPr>
              <w:spacing w:before="60" w:after="60"/>
              <w:jc w:val="both"/>
              <w:rPr>
                <w:rFonts w:ascii="Arial" w:hAnsi="Arial" w:cs="Arial"/>
                <w:sz w:val="19"/>
                <w:szCs w:val="19"/>
              </w:rPr>
            </w:pPr>
          </w:p>
        </w:tc>
        <w:tc>
          <w:tcPr>
            <w:tcW w:w="434" w:type="pct"/>
            <w:vMerge/>
            <w:vAlign w:val="center"/>
            <w:hideMark/>
          </w:tcPr>
          <w:p w14:paraId="3C7B5833" w14:textId="77777777" w:rsidR="003648F5" w:rsidRPr="003A4408" w:rsidRDefault="003648F5" w:rsidP="0032186C">
            <w:pPr>
              <w:spacing w:before="60" w:after="60"/>
              <w:jc w:val="both"/>
              <w:rPr>
                <w:rFonts w:ascii="Arial" w:hAnsi="Arial" w:cs="Arial"/>
                <w:sz w:val="19"/>
                <w:szCs w:val="19"/>
              </w:rPr>
            </w:pPr>
          </w:p>
        </w:tc>
        <w:tc>
          <w:tcPr>
            <w:tcW w:w="437" w:type="pct"/>
            <w:vMerge/>
            <w:vAlign w:val="center"/>
            <w:hideMark/>
          </w:tcPr>
          <w:p w14:paraId="62F379A9" w14:textId="77777777" w:rsidR="003648F5" w:rsidRPr="003A4408" w:rsidRDefault="003648F5" w:rsidP="0032186C">
            <w:pPr>
              <w:spacing w:before="60" w:after="60"/>
              <w:jc w:val="both"/>
              <w:rPr>
                <w:rFonts w:ascii="Arial" w:hAnsi="Arial" w:cs="Arial"/>
                <w:sz w:val="19"/>
                <w:szCs w:val="19"/>
              </w:rPr>
            </w:pPr>
          </w:p>
        </w:tc>
        <w:tc>
          <w:tcPr>
            <w:tcW w:w="395" w:type="pct"/>
            <w:vMerge/>
            <w:vAlign w:val="center"/>
            <w:hideMark/>
          </w:tcPr>
          <w:p w14:paraId="318F4022" w14:textId="77777777" w:rsidR="003648F5" w:rsidRPr="003A4408" w:rsidRDefault="003648F5" w:rsidP="0032186C">
            <w:pPr>
              <w:spacing w:before="60" w:after="60"/>
              <w:jc w:val="both"/>
              <w:rPr>
                <w:rFonts w:ascii="Arial" w:hAnsi="Arial" w:cs="Arial"/>
                <w:sz w:val="19"/>
                <w:szCs w:val="19"/>
              </w:rPr>
            </w:pPr>
          </w:p>
        </w:tc>
        <w:tc>
          <w:tcPr>
            <w:tcW w:w="474" w:type="pct"/>
            <w:vMerge/>
            <w:vAlign w:val="center"/>
            <w:hideMark/>
          </w:tcPr>
          <w:p w14:paraId="5F9C15DE"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01FFC45D" w14:textId="77777777" w:rsidR="003648F5" w:rsidRPr="003A4408" w:rsidRDefault="003648F5" w:rsidP="0032186C">
            <w:pPr>
              <w:spacing w:before="60" w:after="60"/>
              <w:jc w:val="both"/>
              <w:rPr>
                <w:rFonts w:ascii="Arial" w:hAnsi="Arial" w:cs="Arial"/>
                <w:sz w:val="19"/>
                <w:szCs w:val="19"/>
              </w:rPr>
            </w:pPr>
          </w:p>
        </w:tc>
        <w:tc>
          <w:tcPr>
            <w:tcW w:w="587" w:type="pct"/>
            <w:vMerge/>
            <w:vAlign w:val="center"/>
            <w:hideMark/>
          </w:tcPr>
          <w:p w14:paraId="4C1CC7AD" w14:textId="77777777" w:rsidR="003648F5" w:rsidRPr="003A4408" w:rsidRDefault="003648F5" w:rsidP="0032186C">
            <w:pPr>
              <w:spacing w:before="60" w:after="60"/>
              <w:jc w:val="both"/>
              <w:rPr>
                <w:rFonts w:ascii="Arial" w:hAnsi="Arial" w:cs="Arial"/>
                <w:sz w:val="19"/>
                <w:szCs w:val="19"/>
              </w:rPr>
            </w:pPr>
          </w:p>
        </w:tc>
        <w:tc>
          <w:tcPr>
            <w:tcW w:w="556" w:type="pct"/>
            <w:vMerge/>
            <w:vAlign w:val="center"/>
            <w:hideMark/>
          </w:tcPr>
          <w:p w14:paraId="072511EB"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342D153A" w14:textId="77777777" w:rsidR="003648F5" w:rsidRPr="003A4408" w:rsidRDefault="003648F5" w:rsidP="0032186C">
            <w:pPr>
              <w:spacing w:before="60" w:after="60"/>
              <w:jc w:val="both"/>
              <w:rPr>
                <w:rFonts w:ascii="Arial" w:hAnsi="Arial" w:cs="Arial"/>
                <w:sz w:val="19"/>
                <w:szCs w:val="19"/>
              </w:rPr>
            </w:pPr>
          </w:p>
        </w:tc>
      </w:tr>
      <w:tr w:rsidR="003648F5" w:rsidRPr="003A4408" w14:paraId="69DDF29B" w14:textId="77777777" w:rsidTr="003648F5">
        <w:trPr>
          <w:trHeight w:val="338"/>
        </w:trPr>
        <w:tc>
          <w:tcPr>
            <w:tcW w:w="1139" w:type="pct"/>
            <w:vMerge/>
            <w:vAlign w:val="center"/>
            <w:hideMark/>
          </w:tcPr>
          <w:p w14:paraId="0C1E0115" w14:textId="77777777" w:rsidR="003648F5" w:rsidRPr="003A4408" w:rsidRDefault="003648F5" w:rsidP="0032186C">
            <w:pPr>
              <w:spacing w:before="60" w:after="60"/>
              <w:jc w:val="both"/>
              <w:rPr>
                <w:rFonts w:ascii="Arial" w:hAnsi="Arial" w:cs="Arial"/>
                <w:sz w:val="19"/>
                <w:szCs w:val="19"/>
              </w:rPr>
            </w:pPr>
          </w:p>
        </w:tc>
        <w:tc>
          <w:tcPr>
            <w:tcW w:w="434" w:type="pct"/>
            <w:vMerge/>
            <w:vAlign w:val="center"/>
            <w:hideMark/>
          </w:tcPr>
          <w:p w14:paraId="761C43BD" w14:textId="77777777" w:rsidR="003648F5" w:rsidRPr="003A4408" w:rsidRDefault="003648F5" w:rsidP="0032186C">
            <w:pPr>
              <w:spacing w:before="60" w:after="60"/>
              <w:jc w:val="both"/>
              <w:rPr>
                <w:rFonts w:ascii="Arial" w:hAnsi="Arial" w:cs="Arial"/>
                <w:sz w:val="19"/>
                <w:szCs w:val="19"/>
              </w:rPr>
            </w:pPr>
          </w:p>
        </w:tc>
        <w:tc>
          <w:tcPr>
            <w:tcW w:w="437" w:type="pct"/>
            <w:vMerge/>
            <w:vAlign w:val="center"/>
            <w:hideMark/>
          </w:tcPr>
          <w:p w14:paraId="355FA3F2" w14:textId="77777777" w:rsidR="003648F5" w:rsidRPr="003A4408" w:rsidRDefault="003648F5" w:rsidP="0032186C">
            <w:pPr>
              <w:spacing w:before="60" w:after="60"/>
              <w:jc w:val="both"/>
              <w:rPr>
                <w:rFonts w:ascii="Arial" w:hAnsi="Arial" w:cs="Arial"/>
                <w:sz w:val="19"/>
                <w:szCs w:val="19"/>
              </w:rPr>
            </w:pPr>
          </w:p>
        </w:tc>
        <w:tc>
          <w:tcPr>
            <w:tcW w:w="395" w:type="pct"/>
            <w:vMerge/>
            <w:vAlign w:val="center"/>
            <w:hideMark/>
          </w:tcPr>
          <w:p w14:paraId="31213F2D" w14:textId="77777777" w:rsidR="003648F5" w:rsidRPr="003A4408" w:rsidRDefault="003648F5" w:rsidP="0032186C">
            <w:pPr>
              <w:spacing w:before="60" w:after="60"/>
              <w:jc w:val="both"/>
              <w:rPr>
                <w:rFonts w:ascii="Arial" w:hAnsi="Arial" w:cs="Arial"/>
                <w:sz w:val="19"/>
                <w:szCs w:val="19"/>
              </w:rPr>
            </w:pPr>
          </w:p>
        </w:tc>
        <w:tc>
          <w:tcPr>
            <w:tcW w:w="474" w:type="pct"/>
            <w:vMerge/>
            <w:vAlign w:val="center"/>
            <w:hideMark/>
          </w:tcPr>
          <w:p w14:paraId="63816707"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765A74E5" w14:textId="77777777" w:rsidR="003648F5" w:rsidRPr="003A4408" w:rsidRDefault="003648F5" w:rsidP="0032186C">
            <w:pPr>
              <w:spacing w:before="60" w:after="60"/>
              <w:jc w:val="both"/>
              <w:rPr>
                <w:rFonts w:ascii="Arial" w:hAnsi="Arial" w:cs="Arial"/>
                <w:sz w:val="19"/>
                <w:szCs w:val="19"/>
              </w:rPr>
            </w:pPr>
          </w:p>
        </w:tc>
        <w:tc>
          <w:tcPr>
            <w:tcW w:w="587" w:type="pct"/>
            <w:vMerge/>
            <w:vAlign w:val="center"/>
            <w:hideMark/>
          </w:tcPr>
          <w:p w14:paraId="074370FA" w14:textId="77777777" w:rsidR="003648F5" w:rsidRPr="003A4408" w:rsidRDefault="003648F5" w:rsidP="0032186C">
            <w:pPr>
              <w:spacing w:before="60" w:after="60"/>
              <w:jc w:val="both"/>
              <w:rPr>
                <w:rFonts w:ascii="Arial" w:hAnsi="Arial" w:cs="Arial"/>
                <w:sz w:val="19"/>
                <w:szCs w:val="19"/>
              </w:rPr>
            </w:pPr>
          </w:p>
        </w:tc>
        <w:tc>
          <w:tcPr>
            <w:tcW w:w="556" w:type="pct"/>
            <w:vMerge/>
            <w:vAlign w:val="center"/>
            <w:hideMark/>
          </w:tcPr>
          <w:p w14:paraId="4151DCFE" w14:textId="77777777" w:rsidR="003648F5" w:rsidRPr="003A4408" w:rsidRDefault="003648F5" w:rsidP="0032186C">
            <w:pPr>
              <w:spacing w:before="60" w:after="60"/>
              <w:jc w:val="both"/>
              <w:rPr>
                <w:rFonts w:ascii="Arial" w:hAnsi="Arial" w:cs="Arial"/>
                <w:sz w:val="19"/>
                <w:szCs w:val="19"/>
              </w:rPr>
            </w:pPr>
          </w:p>
        </w:tc>
        <w:tc>
          <w:tcPr>
            <w:tcW w:w="489" w:type="pct"/>
            <w:vMerge/>
            <w:vAlign w:val="center"/>
            <w:hideMark/>
          </w:tcPr>
          <w:p w14:paraId="7C97E29F" w14:textId="77777777" w:rsidR="003648F5" w:rsidRPr="003A4408" w:rsidRDefault="003648F5" w:rsidP="0032186C">
            <w:pPr>
              <w:spacing w:before="60" w:after="60"/>
              <w:jc w:val="both"/>
              <w:rPr>
                <w:rFonts w:ascii="Arial" w:hAnsi="Arial" w:cs="Arial"/>
                <w:sz w:val="19"/>
                <w:szCs w:val="19"/>
              </w:rPr>
            </w:pPr>
          </w:p>
        </w:tc>
      </w:tr>
      <w:tr w:rsidR="003648F5" w:rsidRPr="003A4408" w14:paraId="0961246C" w14:textId="77777777" w:rsidTr="003648F5">
        <w:trPr>
          <w:trHeight w:val="20"/>
        </w:trPr>
        <w:tc>
          <w:tcPr>
            <w:tcW w:w="1139" w:type="pct"/>
            <w:noWrap/>
            <w:vAlign w:val="center"/>
            <w:hideMark/>
          </w:tcPr>
          <w:p w14:paraId="02B12677" w14:textId="77777777" w:rsidR="003648F5" w:rsidRPr="00A8380D" w:rsidRDefault="003648F5" w:rsidP="0032186C">
            <w:pPr>
              <w:spacing w:before="60" w:after="60"/>
              <w:jc w:val="both"/>
              <w:rPr>
                <w:rFonts w:ascii="Arial" w:hAnsi="Arial" w:cs="Arial"/>
                <w:sz w:val="19"/>
                <w:szCs w:val="19"/>
                <w:highlight w:val="yellow"/>
              </w:rPr>
            </w:pPr>
            <w:r w:rsidRPr="00A8380D">
              <w:rPr>
                <w:rFonts w:ascii="Arial" w:hAnsi="Arial" w:cs="Arial"/>
                <w:highlight w:val="yellow"/>
              </w:rPr>
              <w:t>NP#</w:t>
            </w:r>
            <w:r w:rsidRPr="00A8380D">
              <w:rPr>
                <w:rFonts w:ascii="Arial" w:hAnsi="Arial" w:cs="Arial"/>
                <w:sz w:val="19"/>
                <w:szCs w:val="19"/>
                <w:highlight w:val="yellow"/>
              </w:rPr>
              <w:t>0155o</w:t>
            </w:r>
          </w:p>
        </w:tc>
        <w:tc>
          <w:tcPr>
            <w:tcW w:w="434" w:type="pct"/>
            <w:noWrap/>
            <w:vAlign w:val="center"/>
            <w:hideMark/>
          </w:tcPr>
          <w:p w14:paraId="611D43E6" w14:textId="7BBDE798" w:rsidR="003648F5" w:rsidRPr="003A4408" w:rsidRDefault="003648F5" w:rsidP="0032186C">
            <w:pPr>
              <w:spacing w:before="60" w:after="60"/>
              <w:jc w:val="both"/>
              <w:rPr>
                <w:rFonts w:ascii="Arial" w:hAnsi="Arial" w:cs="Arial"/>
                <w:sz w:val="19"/>
                <w:szCs w:val="19"/>
              </w:rPr>
            </w:pPr>
            <w:r>
              <w:rPr>
                <w:rFonts w:ascii="Arial" w:hAnsi="Arial" w:cs="Arial"/>
                <w:sz w:val="19"/>
                <w:szCs w:val="19"/>
              </w:rPr>
              <w:t>-4.24</w:t>
            </w:r>
          </w:p>
        </w:tc>
        <w:tc>
          <w:tcPr>
            <w:tcW w:w="437" w:type="pct"/>
            <w:noWrap/>
            <w:vAlign w:val="center"/>
            <w:hideMark/>
          </w:tcPr>
          <w:p w14:paraId="3AC2AFE4" w14:textId="5349989A" w:rsidR="003648F5" w:rsidRPr="003A4408" w:rsidRDefault="003648F5" w:rsidP="0032186C">
            <w:pPr>
              <w:spacing w:before="60" w:after="60"/>
              <w:jc w:val="both"/>
              <w:rPr>
                <w:rFonts w:ascii="Arial" w:hAnsi="Arial" w:cs="Arial"/>
                <w:sz w:val="19"/>
                <w:szCs w:val="19"/>
              </w:rPr>
            </w:pPr>
            <w:r>
              <w:rPr>
                <w:rFonts w:ascii="Arial" w:hAnsi="Arial" w:cs="Arial"/>
                <w:sz w:val="19"/>
                <w:szCs w:val="19"/>
              </w:rPr>
              <w:t>-0.29</w:t>
            </w:r>
          </w:p>
        </w:tc>
        <w:tc>
          <w:tcPr>
            <w:tcW w:w="395" w:type="pct"/>
            <w:noWrap/>
            <w:vAlign w:val="center"/>
            <w:hideMark/>
          </w:tcPr>
          <w:p w14:paraId="59E2866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624C2A89" w14:textId="5D8D8B12" w:rsidR="003648F5" w:rsidRPr="003A4408" w:rsidRDefault="003648F5" w:rsidP="0032186C">
            <w:pPr>
              <w:spacing w:before="60" w:after="60"/>
              <w:jc w:val="both"/>
              <w:rPr>
                <w:rFonts w:ascii="Arial" w:hAnsi="Arial" w:cs="Arial"/>
                <w:sz w:val="19"/>
                <w:szCs w:val="19"/>
              </w:rPr>
            </w:pPr>
            <w:r>
              <w:rPr>
                <w:rFonts w:ascii="Arial" w:hAnsi="Arial" w:cs="Arial"/>
                <w:sz w:val="19"/>
                <w:szCs w:val="19"/>
              </w:rPr>
              <w:t>-33.24</w:t>
            </w:r>
          </w:p>
        </w:tc>
        <w:tc>
          <w:tcPr>
            <w:tcW w:w="489" w:type="pct"/>
            <w:noWrap/>
            <w:vAlign w:val="center"/>
            <w:hideMark/>
          </w:tcPr>
          <w:p w14:paraId="1F08BE49" w14:textId="1908C970" w:rsidR="003648F5" w:rsidRPr="003A4408" w:rsidRDefault="003648F5" w:rsidP="0032186C">
            <w:pPr>
              <w:spacing w:before="60" w:after="60"/>
              <w:jc w:val="both"/>
              <w:rPr>
                <w:rFonts w:ascii="Arial" w:hAnsi="Arial" w:cs="Arial"/>
                <w:sz w:val="19"/>
                <w:szCs w:val="19"/>
              </w:rPr>
            </w:pPr>
            <w:r>
              <w:rPr>
                <w:rFonts w:ascii="Arial" w:hAnsi="Arial" w:cs="Arial"/>
                <w:sz w:val="19"/>
                <w:szCs w:val="19"/>
              </w:rPr>
              <w:t>-25.68</w:t>
            </w:r>
          </w:p>
        </w:tc>
        <w:tc>
          <w:tcPr>
            <w:tcW w:w="587" w:type="pct"/>
            <w:noWrap/>
            <w:vAlign w:val="bottom"/>
            <w:hideMark/>
          </w:tcPr>
          <w:p w14:paraId="2D78BB4E"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-4765.38</w:t>
            </w:r>
          </w:p>
        </w:tc>
        <w:tc>
          <w:tcPr>
            <w:tcW w:w="556" w:type="pct"/>
            <w:noWrap/>
            <w:vAlign w:val="bottom"/>
            <w:hideMark/>
          </w:tcPr>
          <w:p w14:paraId="0BB66F7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-467.18</w:t>
            </w:r>
          </w:p>
        </w:tc>
        <w:tc>
          <w:tcPr>
            <w:tcW w:w="489" w:type="pct"/>
            <w:noWrap/>
            <w:vAlign w:val="bottom"/>
            <w:hideMark/>
          </w:tcPr>
          <w:p w14:paraId="70DDD5D4"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-20.35</w:t>
            </w:r>
          </w:p>
        </w:tc>
      </w:tr>
      <w:tr w:rsidR="003648F5" w:rsidRPr="003A4408" w14:paraId="332DEE0E" w14:textId="77777777" w:rsidTr="003648F5">
        <w:trPr>
          <w:trHeight w:val="20"/>
        </w:trPr>
        <w:tc>
          <w:tcPr>
            <w:tcW w:w="1139" w:type="pct"/>
            <w:noWrap/>
            <w:vAlign w:val="center"/>
            <w:hideMark/>
          </w:tcPr>
          <w:p w14:paraId="6EBF0731" w14:textId="77777777" w:rsidR="003648F5" w:rsidRPr="00A8380D" w:rsidRDefault="003648F5" w:rsidP="0032186C">
            <w:pPr>
              <w:spacing w:before="60" w:after="60"/>
              <w:jc w:val="both"/>
              <w:rPr>
                <w:rFonts w:ascii="Arial" w:hAnsi="Arial" w:cs="Arial"/>
                <w:sz w:val="19"/>
                <w:szCs w:val="19"/>
                <w:highlight w:val="yellow"/>
              </w:rPr>
            </w:pPr>
            <w:r w:rsidRPr="00A8380D">
              <w:rPr>
                <w:rFonts w:ascii="Arial" w:hAnsi="Arial" w:cs="Arial"/>
                <w:highlight w:val="yellow"/>
              </w:rPr>
              <w:t>NP#</w:t>
            </w:r>
            <w:r w:rsidRPr="00A8380D">
              <w:rPr>
                <w:rFonts w:ascii="Arial" w:hAnsi="Arial" w:cs="Arial"/>
                <w:sz w:val="19"/>
                <w:szCs w:val="19"/>
                <w:highlight w:val="yellow"/>
              </w:rPr>
              <w:t>0157o</w:t>
            </w:r>
          </w:p>
        </w:tc>
        <w:tc>
          <w:tcPr>
            <w:tcW w:w="434" w:type="pct"/>
            <w:noWrap/>
            <w:vAlign w:val="center"/>
            <w:hideMark/>
          </w:tcPr>
          <w:p w14:paraId="3183D957" w14:textId="41CFE332" w:rsidR="003648F5" w:rsidRPr="003A4408" w:rsidRDefault="003648F5" w:rsidP="0032186C">
            <w:pPr>
              <w:spacing w:before="60" w:after="60"/>
              <w:jc w:val="both"/>
              <w:rPr>
                <w:rFonts w:ascii="Arial" w:hAnsi="Arial" w:cs="Arial"/>
                <w:sz w:val="19"/>
                <w:szCs w:val="19"/>
              </w:rPr>
            </w:pPr>
            <w:r>
              <w:rPr>
                <w:rFonts w:ascii="Arial" w:hAnsi="Arial" w:cs="Arial"/>
                <w:sz w:val="19"/>
                <w:szCs w:val="19"/>
              </w:rPr>
              <w:t>-5.34</w:t>
            </w:r>
          </w:p>
        </w:tc>
        <w:tc>
          <w:tcPr>
            <w:tcW w:w="437" w:type="pct"/>
            <w:noWrap/>
            <w:vAlign w:val="center"/>
            <w:hideMark/>
          </w:tcPr>
          <w:p w14:paraId="2A359FDF" w14:textId="6E9FDF1A" w:rsidR="003648F5" w:rsidRPr="003A4408" w:rsidRDefault="003648F5" w:rsidP="0032186C">
            <w:pPr>
              <w:spacing w:before="60" w:after="60"/>
              <w:jc w:val="both"/>
              <w:rPr>
                <w:rFonts w:ascii="Arial" w:hAnsi="Arial" w:cs="Arial"/>
                <w:sz w:val="19"/>
                <w:szCs w:val="19"/>
              </w:rPr>
            </w:pPr>
            <w:r>
              <w:rPr>
                <w:rFonts w:ascii="Arial" w:hAnsi="Arial" w:cs="Arial"/>
                <w:sz w:val="19"/>
                <w:szCs w:val="19"/>
              </w:rPr>
              <w:t>-0.50</w:t>
            </w:r>
          </w:p>
        </w:tc>
        <w:tc>
          <w:tcPr>
            <w:tcW w:w="395" w:type="pct"/>
            <w:noWrap/>
            <w:vAlign w:val="center"/>
            <w:hideMark/>
          </w:tcPr>
          <w:p w14:paraId="6642E98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3004DC3F" w14:textId="0D2FD8B6" w:rsidR="003648F5" w:rsidRPr="003A4408" w:rsidRDefault="003648F5" w:rsidP="0032186C">
            <w:pPr>
              <w:spacing w:before="60" w:after="60"/>
              <w:jc w:val="both"/>
              <w:rPr>
                <w:rFonts w:ascii="Arial" w:hAnsi="Arial" w:cs="Arial"/>
                <w:sz w:val="19"/>
                <w:szCs w:val="19"/>
              </w:rPr>
            </w:pPr>
            <w:r>
              <w:rPr>
                <w:rFonts w:ascii="Arial" w:hAnsi="Arial" w:cs="Arial"/>
                <w:sz w:val="19"/>
                <w:szCs w:val="19"/>
              </w:rPr>
              <w:t>-31.47</w:t>
            </w:r>
          </w:p>
        </w:tc>
        <w:tc>
          <w:tcPr>
            <w:tcW w:w="489" w:type="pct"/>
            <w:noWrap/>
            <w:vAlign w:val="center"/>
            <w:hideMark/>
          </w:tcPr>
          <w:p w14:paraId="45822352" w14:textId="2153715A" w:rsidR="003648F5" w:rsidRPr="003A4408" w:rsidRDefault="003648F5" w:rsidP="0032186C">
            <w:pPr>
              <w:spacing w:before="60" w:after="60"/>
              <w:jc w:val="both"/>
              <w:rPr>
                <w:rFonts w:ascii="Arial" w:hAnsi="Arial" w:cs="Arial"/>
                <w:sz w:val="19"/>
                <w:szCs w:val="19"/>
              </w:rPr>
            </w:pPr>
            <w:r>
              <w:rPr>
                <w:rFonts w:ascii="Arial" w:hAnsi="Arial" w:cs="Arial"/>
                <w:sz w:val="19"/>
                <w:szCs w:val="19"/>
              </w:rPr>
              <w:t>-25.01</w:t>
            </w:r>
          </w:p>
        </w:tc>
        <w:tc>
          <w:tcPr>
            <w:tcW w:w="587" w:type="pct"/>
            <w:noWrap/>
            <w:vAlign w:val="bottom"/>
            <w:hideMark/>
          </w:tcPr>
          <w:p w14:paraId="2C91D0BD" w14:textId="4D48E6F8"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-4740</w:t>
            </w:r>
            <w:r w:rsidR="00FA36AC">
              <w:rPr>
                <w:rFonts w:ascii="Arial" w:hAnsi="Arial" w:cs="Arial"/>
                <w:sz w:val="19"/>
                <w:szCs w:val="19"/>
              </w:rPr>
              <w:t>.00</w:t>
            </w:r>
          </w:p>
        </w:tc>
        <w:tc>
          <w:tcPr>
            <w:tcW w:w="556" w:type="pct"/>
            <w:noWrap/>
            <w:vAlign w:val="bottom"/>
            <w:hideMark/>
          </w:tcPr>
          <w:p w14:paraId="7101B53A" w14:textId="4BBC24AA"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-466.1</w:t>
            </w:r>
            <w:r>
              <w:rPr>
                <w:rFonts w:ascii="Arial" w:hAnsi="Arial" w:cs="Arial"/>
                <w:sz w:val="19"/>
                <w:szCs w:val="19"/>
              </w:rPr>
              <w:t>0</w:t>
            </w:r>
          </w:p>
        </w:tc>
        <w:tc>
          <w:tcPr>
            <w:tcW w:w="489" w:type="pct"/>
            <w:noWrap/>
            <w:vAlign w:val="bottom"/>
            <w:hideMark/>
          </w:tcPr>
          <w:p w14:paraId="699278B7"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-29.18</w:t>
            </w:r>
          </w:p>
        </w:tc>
      </w:tr>
      <w:tr w:rsidR="003648F5" w:rsidRPr="003A4408" w14:paraId="7A517992" w14:textId="77777777" w:rsidTr="003648F5">
        <w:trPr>
          <w:trHeight w:val="20"/>
        </w:trPr>
        <w:tc>
          <w:tcPr>
            <w:tcW w:w="1139" w:type="pct"/>
            <w:noWrap/>
            <w:vAlign w:val="center"/>
            <w:hideMark/>
          </w:tcPr>
          <w:p w14:paraId="0412664E" w14:textId="77777777" w:rsidR="003648F5" w:rsidRPr="00A8380D" w:rsidRDefault="003648F5" w:rsidP="0032186C">
            <w:pPr>
              <w:spacing w:before="60" w:after="60"/>
              <w:jc w:val="both"/>
              <w:rPr>
                <w:rFonts w:ascii="Arial" w:hAnsi="Arial" w:cs="Arial"/>
                <w:sz w:val="19"/>
                <w:szCs w:val="19"/>
                <w:highlight w:val="yellow"/>
              </w:rPr>
            </w:pPr>
            <w:commentRangeStart w:id="9"/>
            <w:r w:rsidRPr="00A8380D">
              <w:rPr>
                <w:rFonts w:ascii="Arial" w:hAnsi="Arial" w:cs="Arial"/>
                <w:highlight w:val="yellow"/>
              </w:rPr>
              <w:t>NP#</w:t>
            </w:r>
            <w:r w:rsidRPr="00A8380D">
              <w:rPr>
                <w:rFonts w:ascii="Arial" w:hAnsi="Arial" w:cs="Arial"/>
                <w:sz w:val="19"/>
                <w:szCs w:val="19"/>
                <w:highlight w:val="yellow"/>
              </w:rPr>
              <w:t>0158o</w:t>
            </w:r>
            <w:commentRangeEnd w:id="9"/>
            <w:r w:rsidR="00A8380D" w:rsidRPr="00A8380D">
              <w:rPr>
                <w:rStyle w:val="CommentReference"/>
                <w:rFonts w:ascii="Times New Roman" w:hAnsi="Times New Roman"/>
                <w:highlight w:val="yellow"/>
                <w:lang w:val="nb-NO" w:eastAsia="nb-NO"/>
              </w:rPr>
              <w:commentReference w:id="9"/>
            </w:r>
          </w:p>
        </w:tc>
        <w:tc>
          <w:tcPr>
            <w:tcW w:w="434" w:type="pct"/>
            <w:noWrap/>
            <w:vAlign w:val="center"/>
            <w:hideMark/>
          </w:tcPr>
          <w:p w14:paraId="50EB824C" w14:textId="4B9949C5" w:rsidR="003648F5" w:rsidRPr="003A4408" w:rsidRDefault="003648F5" w:rsidP="0032186C">
            <w:pPr>
              <w:spacing w:before="60" w:after="60"/>
              <w:jc w:val="both"/>
              <w:rPr>
                <w:rFonts w:ascii="Arial" w:hAnsi="Arial" w:cs="Arial"/>
                <w:sz w:val="19"/>
                <w:szCs w:val="19"/>
              </w:rPr>
            </w:pPr>
            <w:r>
              <w:rPr>
                <w:rFonts w:ascii="Arial" w:hAnsi="Arial" w:cs="Arial"/>
                <w:sz w:val="19"/>
                <w:szCs w:val="19"/>
              </w:rPr>
              <w:t>-4.37</w:t>
            </w:r>
          </w:p>
        </w:tc>
        <w:tc>
          <w:tcPr>
            <w:tcW w:w="437" w:type="pct"/>
            <w:noWrap/>
            <w:vAlign w:val="center"/>
            <w:hideMark/>
          </w:tcPr>
          <w:p w14:paraId="75F26DC8" w14:textId="2E4ABA0C" w:rsidR="003648F5" w:rsidRPr="003A4408" w:rsidRDefault="003648F5" w:rsidP="0032186C">
            <w:pPr>
              <w:spacing w:before="60" w:after="60"/>
              <w:jc w:val="both"/>
              <w:rPr>
                <w:rFonts w:ascii="Arial" w:hAnsi="Arial" w:cs="Arial"/>
                <w:sz w:val="19"/>
                <w:szCs w:val="19"/>
              </w:rPr>
            </w:pPr>
            <w:r>
              <w:rPr>
                <w:rFonts w:ascii="Arial" w:hAnsi="Arial" w:cs="Arial"/>
                <w:sz w:val="19"/>
                <w:szCs w:val="19"/>
              </w:rPr>
              <w:t>-0.11</w:t>
            </w:r>
          </w:p>
        </w:tc>
        <w:tc>
          <w:tcPr>
            <w:tcW w:w="395" w:type="pct"/>
            <w:noWrap/>
            <w:vAlign w:val="center"/>
            <w:hideMark/>
          </w:tcPr>
          <w:p w14:paraId="706A792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0</w:t>
            </w:r>
          </w:p>
        </w:tc>
        <w:tc>
          <w:tcPr>
            <w:tcW w:w="474" w:type="pct"/>
            <w:noWrap/>
            <w:vAlign w:val="center"/>
            <w:hideMark/>
          </w:tcPr>
          <w:p w14:paraId="3FB5E159" w14:textId="6F0695CF" w:rsidR="003648F5" w:rsidRPr="003A4408" w:rsidRDefault="003648F5" w:rsidP="0032186C">
            <w:pPr>
              <w:spacing w:before="60" w:after="60"/>
              <w:jc w:val="both"/>
              <w:rPr>
                <w:rFonts w:ascii="Arial" w:hAnsi="Arial" w:cs="Arial"/>
                <w:sz w:val="19"/>
                <w:szCs w:val="19"/>
              </w:rPr>
            </w:pPr>
            <w:r>
              <w:rPr>
                <w:rFonts w:ascii="Arial" w:hAnsi="Arial" w:cs="Arial"/>
                <w:sz w:val="19"/>
                <w:szCs w:val="19"/>
              </w:rPr>
              <w:t>-25.79</w:t>
            </w:r>
          </w:p>
        </w:tc>
        <w:tc>
          <w:tcPr>
            <w:tcW w:w="489" w:type="pct"/>
            <w:noWrap/>
            <w:vAlign w:val="center"/>
            <w:hideMark/>
          </w:tcPr>
          <w:p w14:paraId="3F92DEA3" w14:textId="6B4002CD" w:rsidR="003648F5" w:rsidRPr="003A4408" w:rsidRDefault="003648F5" w:rsidP="0032186C">
            <w:pPr>
              <w:spacing w:before="60" w:after="60"/>
              <w:jc w:val="both"/>
              <w:rPr>
                <w:rFonts w:ascii="Arial" w:hAnsi="Arial" w:cs="Arial"/>
                <w:sz w:val="19"/>
                <w:szCs w:val="19"/>
              </w:rPr>
            </w:pPr>
            <w:r>
              <w:rPr>
                <w:rFonts w:ascii="Arial" w:hAnsi="Arial" w:cs="Arial"/>
                <w:sz w:val="19"/>
                <w:szCs w:val="19"/>
              </w:rPr>
              <w:t>-21.64</w:t>
            </w:r>
          </w:p>
        </w:tc>
        <w:tc>
          <w:tcPr>
            <w:tcW w:w="587" w:type="pct"/>
            <w:noWrap/>
            <w:vAlign w:val="bottom"/>
            <w:hideMark/>
          </w:tcPr>
          <w:p w14:paraId="0073DBC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-4761.45</w:t>
            </w:r>
          </w:p>
        </w:tc>
        <w:tc>
          <w:tcPr>
            <w:tcW w:w="556" w:type="pct"/>
            <w:noWrap/>
            <w:vAlign w:val="bottom"/>
            <w:hideMark/>
          </w:tcPr>
          <w:p w14:paraId="77C201A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-467.28</w:t>
            </w:r>
          </w:p>
        </w:tc>
        <w:tc>
          <w:tcPr>
            <w:tcW w:w="489" w:type="pct"/>
            <w:noWrap/>
            <w:vAlign w:val="bottom"/>
            <w:hideMark/>
          </w:tcPr>
          <w:p w14:paraId="68C5761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-22.89</w:t>
            </w:r>
          </w:p>
        </w:tc>
      </w:tr>
      <w:tr w:rsidR="003648F5" w:rsidRPr="003A4408" w14:paraId="01C4126F" w14:textId="77777777" w:rsidTr="003648F5">
        <w:trPr>
          <w:trHeight w:val="20"/>
        </w:trPr>
        <w:tc>
          <w:tcPr>
            <w:tcW w:w="1139" w:type="pct"/>
            <w:noWrap/>
            <w:vAlign w:val="center"/>
            <w:hideMark/>
          </w:tcPr>
          <w:p w14:paraId="22B1CEFA"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hydroxychloroquine</w:t>
            </w:r>
          </w:p>
        </w:tc>
        <w:tc>
          <w:tcPr>
            <w:tcW w:w="434" w:type="pct"/>
            <w:noWrap/>
            <w:vAlign w:val="center"/>
            <w:hideMark/>
          </w:tcPr>
          <w:p w14:paraId="1A5E06E4"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-2.28</w:t>
            </w:r>
          </w:p>
        </w:tc>
        <w:tc>
          <w:tcPr>
            <w:tcW w:w="437" w:type="pct"/>
            <w:noWrap/>
            <w:vAlign w:val="center"/>
            <w:hideMark/>
          </w:tcPr>
          <w:p w14:paraId="243B29E7" w14:textId="68EB3652" w:rsidR="003648F5" w:rsidRPr="003A4408" w:rsidRDefault="003648F5" w:rsidP="0032186C">
            <w:pPr>
              <w:spacing w:before="60" w:after="60"/>
              <w:jc w:val="both"/>
              <w:rPr>
                <w:rFonts w:ascii="Arial" w:hAnsi="Arial" w:cs="Arial"/>
                <w:sz w:val="19"/>
                <w:szCs w:val="19"/>
              </w:rPr>
            </w:pPr>
            <w:r>
              <w:rPr>
                <w:rFonts w:ascii="Arial" w:hAnsi="Arial" w:cs="Arial"/>
                <w:sz w:val="19"/>
                <w:szCs w:val="19"/>
              </w:rPr>
              <w:t>-0.21</w:t>
            </w:r>
          </w:p>
        </w:tc>
        <w:tc>
          <w:tcPr>
            <w:tcW w:w="395" w:type="pct"/>
            <w:noWrap/>
            <w:vAlign w:val="center"/>
            <w:hideMark/>
          </w:tcPr>
          <w:p w14:paraId="0CC34AED" w14:textId="270550F3" w:rsidR="003648F5" w:rsidRPr="003A4408" w:rsidRDefault="003648F5" w:rsidP="0032186C">
            <w:pPr>
              <w:spacing w:before="60" w:after="60"/>
              <w:jc w:val="both"/>
              <w:rPr>
                <w:rFonts w:ascii="Arial" w:hAnsi="Arial" w:cs="Arial"/>
                <w:sz w:val="19"/>
                <w:szCs w:val="19"/>
              </w:rPr>
            </w:pPr>
            <w:r>
              <w:rPr>
                <w:rFonts w:ascii="Arial" w:hAnsi="Arial" w:cs="Arial"/>
                <w:sz w:val="19"/>
                <w:szCs w:val="19"/>
              </w:rPr>
              <w:t>-0.46</w:t>
            </w:r>
          </w:p>
        </w:tc>
        <w:tc>
          <w:tcPr>
            <w:tcW w:w="474" w:type="pct"/>
            <w:noWrap/>
            <w:vAlign w:val="center"/>
            <w:hideMark/>
          </w:tcPr>
          <w:p w14:paraId="3B1E2EEE" w14:textId="1A648466"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w:t>
            </w:r>
            <w:r>
              <w:rPr>
                <w:rFonts w:ascii="Arial" w:hAnsi="Arial" w:cs="Arial"/>
                <w:sz w:val="19"/>
                <w:szCs w:val="19"/>
              </w:rPr>
              <w:t>29.87</w:t>
            </w:r>
          </w:p>
        </w:tc>
        <w:tc>
          <w:tcPr>
            <w:tcW w:w="489" w:type="pct"/>
            <w:noWrap/>
            <w:vAlign w:val="center"/>
            <w:hideMark/>
          </w:tcPr>
          <w:p w14:paraId="0FFB2938" w14:textId="6C6A64B6" w:rsidR="003648F5" w:rsidRPr="003A4408" w:rsidRDefault="003648F5" w:rsidP="0032186C">
            <w:pPr>
              <w:spacing w:before="60" w:after="60"/>
              <w:jc w:val="both"/>
              <w:rPr>
                <w:rFonts w:ascii="Arial" w:hAnsi="Arial" w:cs="Arial"/>
                <w:sz w:val="19"/>
                <w:szCs w:val="19"/>
              </w:rPr>
            </w:pPr>
            <w:r>
              <w:rPr>
                <w:rFonts w:ascii="Arial" w:hAnsi="Arial" w:cs="Arial"/>
                <w:sz w:val="19"/>
                <w:szCs w:val="19"/>
              </w:rPr>
              <w:t>-26.66</w:t>
            </w:r>
          </w:p>
        </w:tc>
        <w:tc>
          <w:tcPr>
            <w:tcW w:w="587" w:type="pct"/>
            <w:noWrap/>
            <w:vAlign w:val="bottom"/>
            <w:hideMark/>
          </w:tcPr>
          <w:p w14:paraId="31690B22"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-4753.96</w:t>
            </w:r>
          </w:p>
        </w:tc>
        <w:tc>
          <w:tcPr>
            <w:tcW w:w="556" w:type="pct"/>
            <w:noWrap/>
            <w:vAlign w:val="bottom"/>
            <w:hideMark/>
          </w:tcPr>
          <w:p w14:paraId="25DCDD43"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-466.48</w:t>
            </w:r>
          </w:p>
        </w:tc>
        <w:tc>
          <w:tcPr>
            <w:tcW w:w="489" w:type="pct"/>
            <w:noWrap/>
            <w:vAlign w:val="bottom"/>
            <w:hideMark/>
          </w:tcPr>
          <w:p w14:paraId="252118E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-18.74</w:t>
            </w:r>
          </w:p>
        </w:tc>
      </w:tr>
      <w:tr w:rsidR="003648F5" w:rsidRPr="003A4408" w14:paraId="34096F7D" w14:textId="77777777" w:rsidTr="003648F5">
        <w:trPr>
          <w:trHeight w:val="20"/>
        </w:trPr>
        <w:tc>
          <w:tcPr>
            <w:tcW w:w="1139" w:type="pct"/>
            <w:noWrap/>
            <w:vAlign w:val="center"/>
            <w:hideMark/>
          </w:tcPr>
          <w:p w14:paraId="5A03E39F"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nelfinavir</w:t>
            </w:r>
          </w:p>
        </w:tc>
        <w:tc>
          <w:tcPr>
            <w:tcW w:w="434" w:type="pct"/>
            <w:noWrap/>
            <w:vAlign w:val="center"/>
            <w:hideMark/>
          </w:tcPr>
          <w:p w14:paraId="6240268D" w14:textId="59E79E42" w:rsidR="003648F5" w:rsidRPr="003A4408" w:rsidRDefault="003648F5" w:rsidP="0032186C">
            <w:pPr>
              <w:spacing w:before="60" w:after="60"/>
              <w:jc w:val="both"/>
              <w:rPr>
                <w:rFonts w:ascii="Arial" w:hAnsi="Arial" w:cs="Arial"/>
                <w:sz w:val="19"/>
                <w:szCs w:val="19"/>
              </w:rPr>
            </w:pPr>
            <w:r>
              <w:rPr>
                <w:rFonts w:ascii="Arial" w:hAnsi="Arial" w:cs="Arial"/>
                <w:sz w:val="19"/>
                <w:szCs w:val="19"/>
              </w:rPr>
              <w:t>-4.24</w:t>
            </w:r>
          </w:p>
        </w:tc>
        <w:tc>
          <w:tcPr>
            <w:tcW w:w="437" w:type="pct"/>
            <w:noWrap/>
            <w:vAlign w:val="center"/>
            <w:hideMark/>
          </w:tcPr>
          <w:p w14:paraId="5213CD42" w14:textId="353DFD46" w:rsidR="003648F5" w:rsidRPr="003A4408" w:rsidRDefault="003648F5" w:rsidP="0032186C">
            <w:pPr>
              <w:spacing w:before="60" w:after="60"/>
              <w:jc w:val="both"/>
              <w:rPr>
                <w:rFonts w:ascii="Arial" w:hAnsi="Arial" w:cs="Arial"/>
                <w:sz w:val="19"/>
                <w:szCs w:val="19"/>
              </w:rPr>
            </w:pPr>
            <w:r>
              <w:rPr>
                <w:rFonts w:ascii="Arial" w:hAnsi="Arial" w:cs="Arial"/>
                <w:sz w:val="19"/>
                <w:szCs w:val="19"/>
              </w:rPr>
              <w:t>-0.79</w:t>
            </w:r>
          </w:p>
        </w:tc>
        <w:tc>
          <w:tcPr>
            <w:tcW w:w="395" w:type="pct"/>
            <w:noWrap/>
            <w:vAlign w:val="center"/>
            <w:hideMark/>
          </w:tcPr>
          <w:p w14:paraId="5CB6353E" w14:textId="0B0B976B" w:rsidR="003648F5" w:rsidRPr="003A4408" w:rsidRDefault="003648F5" w:rsidP="0032186C">
            <w:pPr>
              <w:spacing w:before="60" w:after="60"/>
              <w:jc w:val="both"/>
              <w:rPr>
                <w:rFonts w:ascii="Arial" w:hAnsi="Arial" w:cs="Arial"/>
                <w:sz w:val="19"/>
                <w:szCs w:val="19"/>
              </w:rPr>
            </w:pPr>
            <w:r>
              <w:rPr>
                <w:rFonts w:ascii="Arial" w:hAnsi="Arial" w:cs="Arial"/>
                <w:sz w:val="19"/>
                <w:szCs w:val="19"/>
              </w:rPr>
              <w:t>-0.44</w:t>
            </w:r>
          </w:p>
        </w:tc>
        <w:tc>
          <w:tcPr>
            <w:tcW w:w="474" w:type="pct"/>
            <w:noWrap/>
            <w:vAlign w:val="center"/>
            <w:hideMark/>
          </w:tcPr>
          <w:p w14:paraId="55256450" w14:textId="1EF87F0B" w:rsidR="003648F5" w:rsidRPr="003A4408" w:rsidRDefault="003648F5" w:rsidP="0032186C">
            <w:pPr>
              <w:spacing w:before="60" w:after="60"/>
              <w:jc w:val="both"/>
              <w:rPr>
                <w:rFonts w:ascii="Arial" w:hAnsi="Arial" w:cs="Arial"/>
                <w:sz w:val="19"/>
                <w:szCs w:val="19"/>
              </w:rPr>
            </w:pPr>
            <w:r>
              <w:rPr>
                <w:rFonts w:ascii="Arial" w:hAnsi="Arial" w:cs="Arial"/>
                <w:sz w:val="19"/>
                <w:szCs w:val="19"/>
              </w:rPr>
              <w:t>-50.96</w:t>
            </w:r>
          </w:p>
        </w:tc>
        <w:tc>
          <w:tcPr>
            <w:tcW w:w="489" w:type="pct"/>
            <w:noWrap/>
            <w:vAlign w:val="center"/>
            <w:hideMark/>
          </w:tcPr>
          <w:p w14:paraId="16863445" w14:textId="3A2D70F4" w:rsidR="003648F5" w:rsidRPr="003A4408" w:rsidRDefault="003648F5" w:rsidP="0032186C">
            <w:pPr>
              <w:spacing w:before="60" w:after="60"/>
              <w:jc w:val="both"/>
              <w:rPr>
                <w:rFonts w:ascii="Arial" w:hAnsi="Arial" w:cs="Arial"/>
                <w:sz w:val="19"/>
                <w:szCs w:val="19"/>
              </w:rPr>
            </w:pPr>
            <w:r>
              <w:rPr>
                <w:rFonts w:ascii="Arial" w:hAnsi="Arial" w:cs="Arial"/>
                <w:sz w:val="19"/>
                <w:szCs w:val="19"/>
              </w:rPr>
              <w:t>-36.98</w:t>
            </w:r>
          </w:p>
        </w:tc>
        <w:tc>
          <w:tcPr>
            <w:tcW w:w="587" w:type="pct"/>
            <w:noWrap/>
            <w:vAlign w:val="bottom"/>
            <w:hideMark/>
          </w:tcPr>
          <w:p w14:paraId="3590016D"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-474.31</w:t>
            </w:r>
          </w:p>
        </w:tc>
        <w:tc>
          <w:tcPr>
            <w:tcW w:w="556" w:type="pct"/>
            <w:noWrap/>
            <w:vAlign w:val="bottom"/>
            <w:hideMark/>
          </w:tcPr>
          <w:p w14:paraId="70937B93"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-466.68</w:t>
            </w:r>
          </w:p>
        </w:tc>
        <w:tc>
          <w:tcPr>
            <w:tcW w:w="489" w:type="pct"/>
            <w:noWrap/>
            <w:vAlign w:val="bottom"/>
            <w:hideMark/>
          </w:tcPr>
          <w:p w14:paraId="64F8B375"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-27.86</w:t>
            </w:r>
          </w:p>
        </w:tc>
      </w:tr>
      <w:tr w:rsidR="003648F5" w:rsidRPr="003A4408" w14:paraId="26308A70" w14:textId="77777777" w:rsidTr="003648F5">
        <w:trPr>
          <w:trHeight w:val="20"/>
        </w:trPr>
        <w:tc>
          <w:tcPr>
            <w:tcW w:w="1139" w:type="pct"/>
            <w:noWrap/>
            <w:vAlign w:val="center"/>
            <w:hideMark/>
          </w:tcPr>
          <w:p w14:paraId="6906DC09"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Nirmatrelvir (Paxlovid)</w:t>
            </w:r>
          </w:p>
        </w:tc>
        <w:tc>
          <w:tcPr>
            <w:tcW w:w="434" w:type="pct"/>
            <w:noWrap/>
            <w:vAlign w:val="center"/>
            <w:hideMark/>
          </w:tcPr>
          <w:p w14:paraId="47342600"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-3.55</w:t>
            </w:r>
          </w:p>
        </w:tc>
        <w:tc>
          <w:tcPr>
            <w:tcW w:w="437" w:type="pct"/>
            <w:noWrap/>
            <w:vAlign w:val="center"/>
            <w:hideMark/>
          </w:tcPr>
          <w:p w14:paraId="36A2BAF2" w14:textId="0248630C" w:rsidR="003648F5" w:rsidRPr="003A4408" w:rsidRDefault="00FA36AC" w:rsidP="0032186C">
            <w:pPr>
              <w:spacing w:before="60" w:after="60"/>
              <w:jc w:val="both"/>
              <w:rPr>
                <w:rFonts w:ascii="Arial" w:hAnsi="Arial" w:cs="Arial"/>
                <w:sz w:val="19"/>
                <w:szCs w:val="19"/>
              </w:rPr>
            </w:pPr>
            <w:r>
              <w:rPr>
                <w:rFonts w:ascii="Arial" w:hAnsi="Arial" w:cs="Arial"/>
                <w:sz w:val="19"/>
                <w:szCs w:val="19"/>
              </w:rPr>
              <w:t>-0.31</w:t>
            </w:r>
          </w:p>
        </w:tc>
        <w:tc>
          <w:tcPr>
            <w:tcW w:w="395" w:type="pct"/>
            <w:noWrap/>
            <w:vAlign w:val="center"/>
            <w:hideMark/>
          </w:tcPr>
          <w:p w14:paraId="1BEAB3CD" w14:textId="3170E7D0" w:rsidR="003648F5" w:rsidRPr="003A4408" w:rsidRDefault="00FA36AC" w:rsidP="0032186C">
            <w:pPr>
              <w:spacing w:before="60" w:after="60"/>
              <w:jc w:val="both"/>
              <w:rPr>
                <w:rFonts w:ascii="Arial" w:hAnsi="Arial" w:cs="Arial"/>
                <w:sz w:val="19"/>
                <w:szCs w:val="19"/>
              </w:rPr>
            </w:pPr>
            <w:r>
              <w:rPr>
                <w:rFonts w:ascii="Arial" w:hAnsi="Arial" w:cs="Arial"/>
                <w:sz w:val="19"/>
                <w:szCs w:val="19"/>
              </w:rPr>
              <w:t>-0.53</w:t>
            </w:r>
          </w:p>
        </w:tc>
        <w:tc>
          <w:tcPr>
            <w:tcW w:w="474" w:type="pct"/>
            <w:noWrap/>
            <w:vAlign w:val="center"/>
            <w:hideMark/>
          </w:tcPr>
          <w:p w14:paraId="160089CE" w14:textId="44878B64"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-30.42</w:t>
            </w:r>
          </w:p>
        </w:tc>
        <w:tc>
          <w:tcPr>
            <w:tcW w:w="489" w:type="pct"/>
            <w:noWrap/>
            <w:vAlign w:val="center"/>
            <w:hideMark/>
          </w:tcPr>
          <w:p w14:paraId="2DB35E82" w14:textId="6907E38B"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-32.26</w:t>
            </w:r>
          </w:p>
        </w:tc>
        <w:tc>
          <w:tcPr>
            <w:tcW w:w="587" w:type="pct"/>
            <w:noWrap/>
            <w:vAlign w:val="bottom"/>
            <w:hideMark/>
          </w:tcPr>
          <w:p w14:paraId="553D5D5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-4751.07</w:t>
            </w:r>
          </w:p>
        </w:tc>
        <w:tc>
          <w:tcPr>
            <w:tcW w:w="556" w:type="pct"/>
            <w:noWrap/>
            <w:vAlign w:val="bottom"/>
            <w:hideMark/>
          </w:tcPr>
          <w:p w14:paraId="2E31E03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-468.42</w:t>
            </w:r>
          </w:p>
        </w:tc>
        <w:tc>
          <w:tcPr>
            <w:tcW w:w="489" w:type="pct"/>
            <w:noWrap/>
            <w:vAlign w:val="bottom"/>
            <w:hideMark/>
          </w:tcPr>
          <w:p w14:paraId="4A7283A1" w14:textId="77777777" w:rsidR="003648F5" w:rsidRPr="003A4408" w:rsidRDefault="003648F5" w:rsidP="0032186C">
            <w:pPr>
              <w:spacing w:before="60" w:after="60"/>
              <w:jc w:val="both"/>
              <w:rPr>
                <w:rFonts w:ascii="Arial" w:hAnsi="Arial" w:cs="Arial"/>
                <w:sz w:val="19"/>
                <w:szCs w:val="19"/>
              </w:rPr>
            </w:pPr>
            <w:r w:rsidRPr="003A4408">
              <w:rPr>
                <w:rFonts w:ascii="Arial" w:hAnsi="Arial" w:cs="Arial"/>
                <w:sz w:val="19"/>
                <w:szCs w:val="19"/>
              </w:rPr>
              <w:t>-22.22</w:t>
            </w:r>
          </w:p>
        </w:tc>
      </w:tr>
    </w:tbl>
    <w:p w14:paraId="542B1955" w14:textId="77777777" w:rsidR="00F776A4" w:rsidRPr="00F776A4" w:rsidRDefault="00F776A4" w:rsidP="00F776A4">
      <w:pPr>
        <w:jc w:val="both"/>
        <w:rPr>
          <w:rFonts w:ascii="Arial" w:hAnsi="Arial" w:cs="Arial"/>
        </w:rPr>
      </w:pPr>
    </w:p>
    <w:p w14:paraId="4E7107D0" w14:textId="49B38EF8" w:rsidR="003648F5" w:rsidRDefault="003648F5" w:rsidP="00BC1AE9">
      <w:pPr>
        <w:tabs>
          <w:tab w:val="left" w:pos="720"/>
        </w:tabs>
        <w:jc w:val="both"/>
        <w:rPr>
          <w:rFonts w:ascii="Arial" w:hAnsi="Arial" w:cs="Arial"/>
          <w:b/>
          <w:sz w:val="22"/>
          <w:szCs w:val="22"/>
        </w:rPr>
      </w:pPr>
    </w:p>
    <w:p w14:paraId="1477B4B6" w14:textId="3C240F70" w:rsidR="00F776A4" w:rsidRPr="00BC1AE9" w:rsidRDefault="00BC1AE9" w:rsidP="00BC1AE9">
      <w:pPr>
        <w:tabs>
          <w:tab w:val="left" w:pos="720"/>
        </w:tabs>
        <w:jc w:val="both"/>
        <w:rPr>
          <w:rFonts w:ascii="Arial" w:hAnsi="Arial" w:cs="Arial"/>
          <w:b/>
          <w:sz w:val="22"/>
          <w:szCs w:val="22"/>
        </w:rPr>
      </w:pPr>
      <w:r>
        <w:rPr>
          <w:rFonts w:ascii="Arial" w:hAnsi="Arial" w:cs="Arial"/>
          <w:b/>
          <w:sz w:val="22"/>
          <w:szCs w:val="22"/>
        </w:rPr>
        <w:t>3</w:t>
      </w:r>
      <w:r w:rsidR="00F776A4" w:rsidRPr="00BC1AE9">
        <w:rPr>
          <w:rFonts w:ascii="Arial" w:hAnsi="Arial" w:cs="Arial"/>
          <w:b/>
          <w:sz w:val="22"/>
          <w:szCs w:val="22"/>
        </w:rPr>
        <w:t>.3</w:t>
      </w:r>
      <w:r>
        <w:rPr>
          <w:rFonts w:ascii="Arial" w:hAnsi="Arial" w:cs="Arial"/>
          <w:b/>
          <w:sz w:val="22"/>
          <w:szCs w:val="22"/>
        </w:rPr>
        <w:t>.</w:t>
      </w:r>
      <w:r>
        <w:rPr>
          <w:rFonts w:ascii="Arial" w:hAnsi="Arial" w:cs="Arial"/>
          <w:b/>
          <w:sz w:val="22"/>
          <w:szCs w:val="22"/>
        </w:rPr>
        <w:tab/>
      </w:r>
      <w:r w:rsidR="00F776A4" w:rsidRPr="00BC1AE9">
        <w:rPr>
          <w:rFonts w:ascii="Arial" w:hAnsi="Arial" w:cs="Arial"/>
          <w:b/>
          <w:sz w:val="22"/>
          <w:szCs w:val="22"/>
        </w:rPr>
        <w:t>Molecular Dynamics Simulation Analysis</w:t>
      </w:r>
    </w:p>
    <w:p w14:paraId="28DADB39" w14:textId="2E1E20ED" w:rsidR="00F776A4" w:rsidRPr="00F776A4" w:rsidRDefault="00F776A4" w:rsidP="00F776A4">
      <w:pPr>
        <w:jc w:val="both"/>
        <w:rPr>
          <w:rFonts w:ascii="Arial" w:hAnsi="Arial" w:cs="Arial"/>
        </w:rPr>
      </w:pPr>
      <w:r w:rsidRPr="00F776A4">
        <w:rPr>
          <w:rFonts w:ascii="Arial" w:hAnsi="Arial" w:cs="Arial"/>
        </w:rPr>
        <w:t xml:space="preserve">Molecular dynamics (MD) simulations were performed </w:t>
      </w:r>
      <w:r w:rsidR="00800FAB">
        <w:rPr>
          <w:rFonts w:ascii="Arial" w:hAnsi="Arial" w:cs="Arial"/>
        </w:rPr>
        <w:t>to evaluate further</w:t>
      </w:r>
      <w:r w:rsidRPr="00F776A4">
        <w:rPr>
          <w:rFonts w:ascii="Arial" w:hAnsi="Arial" w:cs="Arial"/>
        </w:rPr>
        <w:t xml:space="preserve"> the dynamic stability and conformational behavior of the ACE2</w:t>
      </w:r>
      <w:r w:rsidR="008416DA">
        <w:rPr>
          <w:rFonts w:ascii="Arial" w:hAnsi="Arial" w:cs="Arial"/>
        </w:rPr>
        <w:t>-</w:t>
      </w:r>
      <w:r w:rsidRPr="00F776A4">
        <w:rPr>
          <w:rFonts w:ascii="Arial" w:hAnsi="Arial" w:cs="Arial"/>
        </w:rPr>
        <w:t>ligand complexes. The top-performing phytochemicals, NP#0157 and NP#0158, were compared with hydroxychloroquine as a reference compound. Several structural parameters, including root mean square deviation (RMSD), root mean square fluctuation (RMSF), and radius of gyration (</w:t>
      </w:r>
      <w:proofErr w:type="spellStart"/>
      <w:r w:rsidRPr="00F776A4">
        <w:rPr>
          <w:rFonts w:ascii="Arial" w:hAnsi="Arial" w:cs="Arial"/>
        </w:rPr>
        <w:t>Rg</w:t>
      </w:r>
      <w:proofErr w:type="spellEnd"/>
      <w:r w:rsidRPr="00F776A4">
        <w:rPr>
          <w:rFonts w:ascii="Arial" w:hAnsi="Arial" w:cs="Arial"/>
        </w:rPr>
        <w:t>), were analyzed over a 100 ns simulation period.</w:t>
      </w:r>
    </w:p>
    <w:p w14:paraId="6F18EE86" w14:textId="77777777" w:rsidR="00F776A4" w:rsidRPr="00F776A4" w:rsidRDefault="00F776A4" w:rsidP="00F776A4">
      <w:pPr>
        <w:jc w:val="both"/>
        <w:rPr>
          <w:rFonts w:ascii="Arial" w:hAnsi="Arial" w:cs="Arial"/>
        </w:rPr>
      </w:pPr>
    </w:p>
    <w:p w14:paraId="2A837C33" w14:textId="6A5ECFAF" w:rsidR="00F776A4" w:rsidRPr="003A4408" w:rsidRDefault="003A4408" w:rsidP="003A4408">
      <w:pPr>
        <w:tabs>
          <w:tab w:val="left" w:pos="720"/>
        </w:tabs>
        <w:jc w:val="both"/>
        <w:rPr>
          <w:rFonts w:ascii="Arial" w:hAnsi="Arial" w:cs="Arial"/>
          <w:b/>
        </w:rPr>
      </w:pPr>
      <w:r>
        <w:rPr>
          <w:rFonts w:ascii="Arial" w:hAnsi="Arial" w:cs="Arial"/>
          <w:b/>
        </w:rPr>
        <w:t>3</w:t>
      </w:r>
      <w:r w:rsidR="00F776A4" w:rsidRPr="003A4408">
        <w:rPr>
          <w:rFonts w:ascii="Arial" w:hAnsi="Arial" w:cs="Arial"/>
          <w:b/>
        </w:rPr>
        <w:t>.3.1 Root Mean Square Deviation (RMSD)</w:t>
      </w:r>
    </w:p>
    <w:p w14:paraId="6F5D3F9E" w14:textId="436B1FA2" w:rsidR="00F776A4" w:rsidRDefault="00F776A4" w:rsidP="00F776A4">
      <w:pPr>
        <w:jc w:val="both"/>
        <w:rPr>
          <w:rFonts w:ascii="Arial" w:hAnsi="Arial" w:cs="Arial"/>
        </w:rPr>
      </w:pPr>
      <w:r w:rsidRPr="00F776A4">
        <w:rPr>
          <w:rFonts w:ascii="Arial" w:hAnsi="Arial" w:cs="Arial"/>
        </w:rPr>
        <w:t>RMSD analysis of the protein backbone was conducted to assess the overall structural stability of the ACE2</w:t>
      </w:r>
      <w:r w:rsidR="008416DA">
        <w:rPr>
          <w:rFonts w:ascii="Arial" w:hAnsi="Arial" w:cs="Arial"/>
        </w:rPr>
        <w:t>-</w:t>
      </w:r>
      <w:r w:rsidRPr="00F776A4">
        <w:rPr>
          <w:rFonts w:ascii="Arial" w:hAnsi="Arial" w:cs="Arial"/>
        </w:rPr>
        <w:t>ligand complexes relative to their initial conformations. All simulated systems displayed a similar RMSD profile, characterized by an initial equilibration phase followed by stable trajectories throughout the remainder of the simulation. Minor fluctuations were observed during the early stages (approximately 5</w:t>
      </w:r>
      <w:r w:rsidR="008416DA">
        <w:rPr>
          <w:rFonts w:ascii="Arial" w:hAnsi="Arial" w:cs="Arial"/>
        </w:rPr>
        <w:t>-</w:t>
      </w:r>
      <w:r w:rsidRPr="00F776A4">
        <w:rPr>
          <w:rFonts w:ascii="Arial" w:hAnsi="Arial" w:cs="Arial"/>
        </w:rPr>
        <w:t>35 ns), after which the RMSD values stabilized, indicating convergence of the systems</w:t>
      </w:r>
      <w:r w:rsidR="003648F5">
        <w:rPr>
          <w:rFonts w:ascii="Arial" w:hAnsi="Arial" w:cs="Arial"/>
        </w:rPr>
        <w:fldChar w:fldCharType="begin"/>
      </w:r>
      <w:r w:rsidR="003648F5">
        <w:rPr>
          <w:rFonts w:ascii="Arial" w:hAnsi="Arial" w:cs="Arial"/>
        </w:rPr>
        <w:instrText xml:space="preserve"> ADDIN ZOTERO_ITEM CSL_CITATION {"citationID":"wBopNWQl","properties":{"formattedCitation":"\\super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w:t>
      </w:r>
    </w:p>
    <w:p w14:paraId="4F89E89B" w14:textId="77777777" w:rsidR="003A4408" w:rsidRDefault="003A4408" w:rsidP="00F776A4">
      <w:pPr>
        <w:jc w:val="both"/>
        <w:rPr>
          <w:rFonts w:ascii="Arial" w:hAnsi="Arial" w:cs="Arial"/>
        </w:rPr>
      </w:pPr>
    </w:p>
    <w:p w14:paraId="5B18968E" w14:textId="62434523" w:rsidR="003A4408" w:rsidRDefault="003A4408" w:rsidP="00F776A4">
      <w:pPr>
        <w:jc w:val="both"/>
        <w:rPr>
          <w:rFonts w:ascii="Arial" w:hAnsi="Arial" w:cs="Arial"/>
        </w:rPr>
      </w:pPr>
      <w:r>
        <w:rPr>
          <w:noProof/>
          <w:lang w:val="en-IN" w:eastAsia="en-IN"/>
        </w:rPr>
        <w:drawing>
          <wp:inline distT="0" distB="0" distL="0" distR="0" wp14:anchorId="458DF3AE" wp14:editId="7BC5A04F">
            <wp:extent cx="2560320" cy="1973240"/>
            <wp:effectExtent l="0" t="0" r="0" b="8255"/>
            <wp:docPr id="5" name="Picture 4" descr="F:\final thesis images for 157 dock\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final thesis images for 157 dock\RMSD.png"/>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60320" cy="1973240"/>
                    </a:xfrm>
                    <a:prstGeom prst="rect">
                      <a:avLst/>
                    </a:prstGeom>
                    <a:noFill/>
                    <a:ln>
                      <a:noFill/>
                    </a:ln>
                  </pic:spPr>
                </pic:pic>
              </a:graphicData>
            </a:graphic>
          </wp:inline>
        </w:drawing>
      </w:r>
      <w:r>
        <w:rPr>
          <w:noProof/>
          <w:lang w:val="en-IN" w:eastAsia="en-IN"/>
        </w:rPr>
        <w:drawing>
          <wp:inline distT="0" distB="0" distL="0" distR="0" wp14:anchorId="49C03218" wp14:editId="3B58A1EF">
            <wp:extent cx="2560320" cy="1973240"/>
            <wp:effectExtent l="0" t="0" r="0" b="8255"/>
            <wp:docPr id="6" name="Picture 5" descr="F:\final thesis images for 158 dock\Screenshot from 2025-05-17 11-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final thesis images for 158 dock\Screenshot from 2025-05-17 11-37-28.png"/>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r="5911"/>
                    <a:stretch>
                      <a:fillRect/>
                    </a:stretch>
                  </pic:blipFill>
                  <pic:spPr bwMode="auto">
                    <a:xfrm>
                      <a:off x="0" y="0"/>
                      <a:ext cx="2560320" cy="1973240"/>
                    </a:xfrm>
                    <a:prstGeom prst="rect">
                      <a:avLst/>
                    </a:prstGeom>
                    <a:noFill/>
                    <a:ln>
                      <a:noFill/>
                    </a:ln>
                    <a:extLst>
                      <a:ext uri="{53640926-AAD7-44D8-BBD7-CCE9431645EC}">
                        <a14:shadowObscured xmlns:a14="http://schemas.microsoft.com/office/drawing/2010/main"/>
                      </a:ext>
                    </a:extLst>
                  </pic:spPr>
                </pic:pic>
              </a:graphicData>
            </a:graphic>
          </wp:inline>
        </w:drawing>
      </w:r>
    </w:p>
    <w:p w14:paraId="17A58762" w14:textId="08FC76F6" w:rsidR="003A4408" w:rsidRDefault="003A4408" w:rsidP="003A4408">
      <w:pPr>
        <w:tabs>
          <w:tab w:val="left" w:pos="6120"/>
        </w:tabs>
        <w:ind w:left="1980"/>
        <w:jc w:val="both"/>
        <w:rPr>
          <w:rFonts w:ascii="Arial" w:hAnsi="Arial" w:cs="Arial"/>
        </w:rPr>
      </w:pPr>
      <w:r>
        <w:rPr>
          <w:rFonts w:ascii="Arial" w:hAnsi="Arial" w:cs="Arial"/>
        </w:rPr>
        <w:t>(a)</w:t>
      </w:r>
      <w:r>
        <w:rPr>
          <w:rFonts w:ascii="Arial" w:hAnsi="Arial" w:cs="Arial"/>
        </w:rPr>
        <w:tab/>
        <w:t>(b)</w:t>
      </w:r>
    </w:p>
    <w:p w14:paraId="47C75F37" w14:textId="3867B8ED" w:rsidR="003A4408" w:rsidRDefault="003A4408" w:rsidP="003A4408">
      <w:pPr>
        <w:jc w:val="center"/>
        <w:rPr>
          <w:rFonts w:ascii="Arial" w:hAnsi="Arial" w:cs="Arial"/>
        </w:rPr>
      </w:pPr>
      <w:r>
        <w:rPr>
          <w:noProof/>
          <w:lang w:val="en-IN" w:eastAsia="en-IN"/>
        </w:rPr>
        <w:lastRenderedPageBreak/>
        <w:drawing>
          <wp:inline distT="0" distB="0" distL="0" distR="0" wp14:anchorId="7E2E2A78" wp14:editId="3EA5D735">
            <wp:extent cx="2560320" cy="1973240"/>
            <wp:effectExtent l="0" t="0" r="0" b="8255"/>
            <wp:docPr id="7" name="Picture 6" descr="F:\final thesis images for hcq dock\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final thesis images for hcq dock\RMSD.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320" cy="1973240"/>
                    </a:xfrm>
                    <a:prstGeom prst="rect">
                      <a:avLst/>
                    </a:prstGeom>
                    <a:noFill/>
                    <a:ln>
                      <a:noFill/>
                    </a:ln>
                  </pic:spPr>
                </pic:pic>
              </a:graphicData>
            </a:graphic>
          </wp:inline>
        </w:drawing>
      </w:r>
    </w:p>
    <w:p w14:paraId="572D0A7C" w14:textId="37F3D76A" w:rsidR="003A4408" w:rsidRPr="003A4408" w:rsidRDefault="003A4408" w:rsidP="003A4408">
      <w:pPr>
        <w:tabs>
          <w:tab w:val="left" w:pos="6120"/>
        </w:tabs>
        <w:jc w:val="center"/>
        <w:rPr>
          <w:rFonts w:ascii="Arial" w:hAnsi="Arial" w:cs="Arial"/>
        </w:rPr>
      </w:pPr>
      <w:r w:rsidRPr="003A4408">
        <w:rPr>
          <w:rFonts w:ascii="Arial" w:hAnsi="Arial" w:cs="Arial"/>
        </w:rPr>
        <w:t>(c)</w:t>
      </w:r>
    </w:p>
    <w:p w14:paraId="1C221986" w14:textId="08AE1AC6" w:rsidR="003A4408" w:rsidRPr="003A4408" w:rsidRDefault="003A4408" w:rsidP="00D830A9">
      <w:pPr>
        <w:autoSpaceDE w:val="0"/>
        <w:autoSpaceDN w:val="0"/>
        <w:adjustRightInd w:val="0"/>
        <w:jc w:val="center"/>
        <w:rPr>
          <w:rFonts w:ascii="Arial" w:hAnsi="Arial" w:cs="Arial"/>
          <w:b/>
          <w:bCs/>
          <w:szCs w:val="22"/>
        </w:rPr>
      </w:pPr>
      <w:r w:rsidRPr="003A4408">
        <w:rPr>
          <w:rFonts w:ascii="Arial" w:hAnsi="Arial" w:cs="Arial"/>
          <w:b/>
          <w:bCs/>
          <w:szCs w:val="22"/>
        </w:rPr>
        <w:t>Fig</w:t>
      </w:r>
      <w:r>
        <w:rPr>
          <w:rFonts w:ascii="Arial" w:hAnsi="Arial" w:cs="Arial"/>
          <w:b/>
          <w:bCs/>
          <w:szCs w:val="22"/>
        </w:rPr>
        <w:t xml:space="preserve">. </w:t>
      </w:r>
      <w:r w:rsidR="00D830A9">
        <w:rPr>
          <w:rFonts w:ascii="Arial" w:hAnsi="Arial" w:cs="Arial"/>
          <w:b/>
          <w:bCs/>
          <w:szCs w:val="22"/>
        </w:rPr>
        <w:t>4</w:t>
      </w:r>
      <w:r w:rsidRPr="003A4408">
        <w:rPr>
          <w:rFonts w:ascii="Arial" w:hAnsi="Arial" w:cs="Arial"/>
          <w:b/>
          <w:bCs/>
          <w:szCs w:val="22"/>
        </w:rPr>
        <w:t xml:space="preserve">: </w:t>
      </w:r>
      <w:r w:rsidR="007F37B3" w:rsidRPr="007F37B3">
        <w:rPr>
          <w:rFonts w:ascii="Arial" w:hAnsi="Arial" w:cs="Arial"/>
          <w:b/>
          <w:bCs/>
          <w:szCs w:val="22"/>
        </w:rPr>
        <w:t xml:space="preserve">Backbone RMSD of ACE2 with </w:t>
      </w:r>
      <w:r w:rsidR="008A31F1">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sidR="008A31F1">
        <w:rPr>
          <w:rFonts w:ascii="Arial" w:hAnsi="Arial" w:cs="Arial"/>
          <w:b/>
          <w:bCs/>
          <w:szCs w:val="22"/>
        </w:rPr>
        <w:t xml:space="preserve">, (b) </w:t>
      </w:r>
      <w:proofErr w:type="spellStart"/>
      <w:r w:rsidRPr="003A4408">
        <w:rPr>
          <w:rFonts w:ascii="Arial" w:hAnsi="Arial" w:cs="Arial"/>
          <w:b/>
          <w:bCs/>
          <w:szCs w:val="22"/>
        </w:rPr>
        <w:t>Symphoxanthone</w:t>
      </w:r>
      <w:proofErr w:type="spellEnd"/>
      <w:r w:rsidR="008A31F1">
        <w:rPr>
          <w:rFonts w:ascii="Arial" w:hAnsi="Arial" w:cs="Arial"/>
          <w:b/>
          <w:bCs/>
          <w:szCs w:val="22"/>
        </w:rPr>
        <w:t xml:space="preserve">, and (c) </w:t>
      </w:r>
      <w:r w:rsidRPr="003A4408">
        <w:rPr>
          <w:rFonts w:ascii="Arial" w:hAnsi="Arial" w:cs="Arial"/>
          <w:b/>
          <w:bCs/>
          <w:szCs w:val="22"/>
        </w:rPr>
        <w:t>Hydroxychloroquine</w:t>
      </w:r>
    </w:p>
    <w:p w14:paraId="63E9ECD4" w14:textId="77777777" w:rsidR="003A4408" w:rsidRPr="00F776A4" w:rsidRDefault="003A4408" w:rsidP="00F776A4">
      <w:pPr>
        <w:jc w:val="both"/>
        <w:rPr>
          <w:rFonts w:ascii="Arial" w:hAnsi="Arial" w:cs="Arial"/>
        </w:rPr>
      </w:pPr>
    </w:p>
    <w:p w14:paraId="30010B29" w14:textId="023CA8E9" w:rsidR="00F776A4" w:rsidRPr="00F776A4" w:rsidRDefault="00F776A4" w:rsidP="00F776A4">
      <w:pPr>
        <w:jc w:val="both"/>
        <w:rPr>
          <w:rFonts w:ascii="Arial" w:hAnsi="Arial" w:cs="Arial"/>
        </w:rPr>
      </w:pPr>
      <w:r w:rsidRPr="00F776A4">
        <w:rPr>
          <w:rFonts w:ascii="Arial" w:hAnsi="Arial" w:cs="Arial"/>
        </w:rPr>
        <w:t xml:space="preserve">The comparable RMSD trends observed for the </w:t>
      </w:r>
      <w:proofErr w:type="spellStart"/>
      <w:r w:rsidRPr="00F776A4">
        <w:rPr>
          <w:rFonts w:ascii="Arial" w:hAnsi="Arial" w:cs="Arial"/>
        </w:rPr>
        <w:t>Celibixanthone</w:t>
      </w:r>
      <w:proofErr w:type="spellEnd"/>
      <w:r w:rsidRPr="00F776A4">
        <w:rPr>
          <w:rFonts w:ascii="Arial" w:hAnsi="Arial" w:cs="Arial"/>
        </w:rPr>
        <w:t xml:space="preserve">-, </w:t>
      </w:r>
      <w:proofErr w:type="spellStart"/>
      <w:r w:rsidRPr="00F776A4">
        <w:rPr>
          <w:rFonts w:ascii="Arial" w:hAnsi="Arial" w:cs="Arial"/>
        </w:rPr>
        <w:t>Symphoxanthone</w:t>
      </w:r>
      <w:proofErr w:type="spellEnd"/>
      <w:r w:rsidRPr="00F776A4">
        <w:rPr>
          <w:rFonts w:ascii="Arial" w:hAnsi="Arial" w:cs="Arial"/>
        </w:rPr>
        <w:t xml:space="preserve">-, and hydroxychloroquine-bound complexes suggest that the phytochemical ligands do not induce significant structural perturbations in the ACE2 receptor and </w:t>
      </w:r>
      <w:r w:rsidR="00800FAB">
        <w:rPr>
          <w:rFonts w:ascii="Arial" w:hAnsi="Arial" w:cs="Arial"/>
        </w:rPr>
        <w:t>can form</w:t>
      </w:r>
      <w:r w:rsidRPr="00F776A4">
        <w:rPr>
          <w:rFonts w:ascii="Arial" w:hAnsi="Arial" w:cs="Arial"/>
        </w:rPr>
        <w:t xml:space="preserve"> stable complexes under physiological conditions.</w:t>
      </w:r>
    </w:p>
    <w:p w14:paraId="2E6A3C42" w14:textId="77777777" w:rsidR="008A31F1" w:rsidRPr="00F776A4" w:rsidRDefault="008A31F1" w:rsidP="00F776A4">
      <w:pPr>
        <w:jc w:val="both"/>
        <w:rPr>
          <w:rFonts w:ascii="Arial" w:hAnsi="Arial" w:cs="Arial"/>
        </w:rPr>
      </w:pPr>
    </w:p>
    <w:p w14:paraId="6DB6C6D6" w14:textId="77777777" w:rsidR="00F776A4" w:rsidRPr="003A4408" w:rsidRDefault="00F776A4" w:rsidP="003A4408">
      <w:pPr>
        <w:tabs>
          <w:tab w:val="left" w:pos="720"/>
        </w:tabs>
        <w:jc w:val="both"/>
        <w:rPr>
          <w:rFonts w:ascii="Arial" w:hAnsi="Arial" w:cs="Arial"/>
          <w:b/>
        </w:rPr>
      </w:pPr>
      <w:r w:rsidRPr="003A4408">
        <w:rPr>
          <w:rFonts w:ascii="Arial" w:hAnsi="Arial" w:cs="Arial"/>
          <w:b/>
        </w:rPr>
        <w:t>4.3.2 Root Mean Square Fluctuation (RMSF)</w:t>
      </w:r>
    </w:p>
    <w:p w14:paraId="7916609F" w14:textId="70FC1CCE" w:rsidR="00F776A4" w:rsidRPr="00F776A4" w:rsidRDefault="00F776A4" w:rsidP="00F776A4">
      <w:pPr>
        <w:jc w:val="both"/>
        <w:rPr>
          <w:rFonts w:ascii="Arial" w:hAnsi="Arial" w:cs="Arial"/>
        </w:rPr>
      </w:pPr>
      <w:r w:rsidRPr="00F776A4">
        <w:rPr>
          <w:rFonts w:ascii="Arial" w:hAnsi="Arial" w:cs="Arial"/>
        </w:rPr>
        <w:t>RMSF analysis was performed to examine residue-level flexibility of the ACE2 protein in the presence of different ligands</w:t>
      </w:r>
      <w:r w:rsidR="003648F5">
        <w:rPr>
          <w:rFonts w:ascii="Arial" w:hAnsi="Arial" w:cs="Arial"/>
        </w:rPr>
        <w:fldChar w:fldCharType="begin"/>
      </w:r>
      <w:r w:rsidR="003648F5">
        <w:rPr>
          <w:rFonts w:ascii="Arial" w:hAnsi="Arial" w:cs="Arial"/>
        </w:rPr>
        <w:instrText xml:space="preserve"> ADDIN ZOTERO_ITEM CSL_CITATION {"citationID":"wU3QmYGI","properties":{"formattedCitation":"\\super 18\\nosupersub{}","plainCitation":"18","noteIndex":0},"citationItems":[{"id":118,"uris":["http://zotero.org/users/local/j3TeDIoM/items/7PC75FSV"],"itemData":{"id":118,"type":"article-journal","abstract":"Abstract\n            The coronavirus disease 2019 (COVID-19) pandemic, caused by the severe acute respiratory syndrome coronavirus 2 (SARS-CoV-2), is a major public health concern. A handful of static structures now provide molecular insights into how SARS-CoV-2 and SARS-CoV interact with its host target, which is the angiotensin converting enzyme 2 (ACE2). Molecular recognition, binding and function are dynamic processes. To evaluate this, multiple 500 ns or 1 μs all-atom molecular dynamics simulations were performed to better understand the structural stability and interfacial interactions between the receptor binding domain of the spike (S) protein of SARS-CoV-2 and SARS-CoV bound to ACE2. Several contacts were observed to form, break and reform in the interface during the simulations. Our results indicate that SARS-CoV-2 and SARS-CoV utilizes unique strategies to achieve stable binding to ACE2. Several differences were observed between the residues of SARS-CoV-2 and SARS-CoV that consistently interacted with ACE2. Notably, a stable salt bridge between Lys417 of SARS-CoV-2 S protein and Asp30 of ACE2 as well as three stable hydrogen bonds between Tyr449, Gln493 and Gln498 of SARS-CoV-2 and Asp38, Glu35 and Lys353 of ACE2 were observed, which were absent in the ACE2–SARS-CoV interface. Some previously reported residues, which were suggested to enhance the binding affinity of SARS-CoV-2, were not observed to form stable interactions in these simulations. Molecular mechanics-generalized Born surface area based free energy of binding was observed to be higher for SARS-CoV-2 in all simulations. Stable binding to the host receptor is crucial for virus entry. Therefore, special consideration should be given to these stable interactions while designing potential drugs and treatment modalities to target or disrupt this interface.","container-title":"Scientific Reports","DOI":"10.1038/s41598-020-71188-3","ISSN":"2045-2322","issue":"1","journalAbbreviation":"Sci Rep","language":"en","page":"14214","source":"DOI.org (Crossref)","title":"Dynamics of the ACE2–SARS-CoV-2/SARS-CoV spike protein interface reveal unique mechanisms","volume":"10","author":[{"family":"Ali","given":"Amanat"},{"family":"Vijayan","given":"Ranjit"}],"issued":{"date-parts":[["2020",8,26]]}}}],"schema":"https://github.com/citation-style-language/schema/raw/master/csl-citation.json"}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18</w:t>
      </w:r>
      <w:r w:rsidR="003648F5">
        <w:rPr>
          <w:rFonts w:ascii="Arial" w:hAnsi="Arial" w:cs="Arial"/>
        </w:rPr>
        <w:fldChar w:fldCharType="end"/>
      </w:r>
      <w:r w:rsidRPr="00F776A4">
        <w:rPr>
          <w:rFonts w:ascii="Arial" w:hAnsi="Arial" w:cs="Arial"/>
        </w:rPr>
        <w:t>. Over the 100 ns simulation period, fluctuations were primarily localized to loop regions and terminal residues, which is consistent with typical protein dynamics. Among the total residues of the ACE2 structure, approximately 130</w:t>
      </w:r>
      <w:r w:rsidR="008416DA">
        <w:rPr>
          <w:rFonts w:ascii="Arial" w:hAnsi="Arial" w:cs="Arial"/>
        </w:rPr>
        <w:t>-</w:t>
      </w:r>
      <w:r w:rsidRPr="00F776A4">
        <w:rPr>
          <w:rFonts w:ascii="Arial" w:hAnsi="Arial" w:cs="Arial"/>
        </w:rPr>
        <w:t>150 residues exhibited higher fluctuations, while the remaining regions remained relatively stable.</w:t>
      </w:r>
    </w:p>
    <w:p w14:paraId="4B917159" w14:textId="77777777" w:rsidR="008A31F1" w:rsidRDefault="008A31F1" w:rsidP="008A31F1">
      <w:pPr>
        <w:jc w:val="both"/>
        <w:rPr>
          <w:rFonts w:ascii="Times New Roman" w:hAnsi="Times New Roman"/>
        </w:rPr>
      </w:pPr>
      <w:r>
        <w:rPr>
          <w:noProof/>
          <w:lang w:val="en-IN" w:eastAsia="en-IN"/>
        </w:rPr>
        <w:drawing>
          <wp:inline distT="0" distB="0" distL="0" distR="0" wp14:anchorId="0BDC207E" wp14:editId="0BE0B80A">
            <wp:extent cx="2560320" cy="1975104"/>
            <wp:effectExtent l="0" t="0" r="0" b="6350"/>
            <wp:docPr id="1308121904" name="Picture 7" descr="F:\final thesis images for 157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final thesis images for 157 dock\RMSF.png"/>
                    <pic:cNvPicPr/>
                  </pic:nvPicPr>
                  <pic:blipFill>
                    <a:blip r:embed="rId23" cstate="print">
                      <a:duotone>
                        <a:schemeClr val="accent5">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r>
        <w:rPr>
          <w:noProof/>
          <w:lang w:val="en-IN" w:eastAsia="en-IN"/>
        </w:rPr>
        <w:drawing>
          <wp:inline distT="0" distB="0" distL="0" distR="0" wp14:anchorId="36111BC3" wp14:editId="78EE2790">
            <wp:extent cx="2560320" cy="1975104"/>
            <wp:effectExtent l="0" t="0" r="0" b="6350"/>
            <wp:docPr id="9" name="Picture 8" descr="F:\final thesis images for 158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final thesis images for 158 dock\rmsf.png"/>
                    <pic:cNvPicPr/>
                  </pic:nvPicPr>
                  <pic:blipFill>
                    <a:blip r:embed="rId25" cstate="print">
                      <a:duotone>
                        <a:schemeClr val="accent6">
                          <a:shade val="45000"/>
                          <a:satMod val="135000"/>
                        </a:schemeClr>
                        <a:prstClr val="white"/>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2CC957DE" w14:textId="77777777" w:rsidR="008A31F1" w:rsidRDefault="008A31F1" w:rsidP="008A31F1">
      <w:pPr>
        <w:tabs>
          <w:tab w:val="left" w:pos="6120"/>
        </w:tabs>
        <w:ind w:left="1980"/>
        <w:jc w:val="both"/>
        <w:rPr>
          <w:rFonts w:ascii="Arial" w:hAnsi="Arial" w:cs="Arial"/>
        </w:rPr>
      </w:pPr>
      <w:r>
        <w:rPr>
          <w:rFonts w:ascii="Arial" w:hAnsi="Arial" w:cs="Arial"/>
        </w:rPr>
        <w:t>(a)</w:t>
      </w:r>
      <w:r>
        <w:rPr>
          <w:rFonts w:ascii="Arial" w:hAnsi="Arial" w:cs="Arial"/>
        </w:rPr>
        <w:tab/>
        <w:t>(b)</w:t>
      </w:r>
    </w:p>
    <w:p w14:paraId="63F6BDCC" w14:textId="7F36E5A6" w:rsidR="008A31F1" w:rsidRDefault="008A31F1" w:rsidP="008A31F1">
      <w:pPr>
        <w:jc w:val="center"/>
        <w:rPr>
          <w:rFonts w:ascii="Times New Roman" w:hAnsi="Times New Roman"/>
        </w:rPr>
      </w:pPr>
      <w:r>
        <w:rPr>
          <w:noProof/>
          <w:lang w:val="en-IN" w:eastAsia="en-IN"/>
        </w:rPr>
        <w:lastRenderedPageBreak/>
        <w:drawing>
          <wp:inline distT="0" distB="0" distL="0" distR="0" wp14:anchorId="728115FB" wp14:editId="1D5A04CF">
            <wp:extent cx="2560320" cy="1975104"/>
            <wp:effectExtent l="0" t="0" r="0" b="6350"/>
            <wp:docPr id="10" name="Picture 9" descr="F:\final thesis images for hcq dock\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F:\final thesis images for hcq dock\RMSF.png"/>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0407CF7E" w14:textId="77777777" w:rsidR="008A31F1" w:rsidRPr="003A4408" w:rsidRDefault="008A31F1" w:rsidP="008A31F1">
      <w:pPr>
        <w:tabs>
          <w:tab w:val="left" w:pos="6120"/>
        </w:tabs>
        <w:jc w:val="center"/>
        <w:rPr>
          <w:rFonts w:ascii="Arial" w:hAnsi="Arial" w:cs="Arial"/>
        </w:rPr>
      </w:pPr>
      <w:r w:rsidRPr="003A4408">
        <w:rPr>
          <w:rFonts w:ascii="Arial" w:hAnsi="Arial" w:cs="Arial"/>
        </w:rPr>
        <w:t>(c)</w:t>
      </w:r>
    </w:p>
    <w:p w14:paraId="7E055612" w14:textId="602FA327" w:rsidR="008A31F1" w:rsidRPr="008A31F1" w:rsidRDefault="008A31F1" w:rsidP="00D830A9">
      <w:pPr>
        <w:autoSpaceDE w:val="0"/>
        <w:autoSpaceDN w:val="0"/>
        <w:adjustRightInd w:val="0"/>
        <w:jc w:val="center"/>
        <w:rPr>
          <w:rFonts w:ascii="Arial" w:hAnsi="Arial" w:cs="Arial"/>
          <w:b/>
          <w:bCs/>
          <w:szCs w:val="22"/>
        </w:rPr>
      </w:pPr>
      <w:r w:rsidRPr="008A31F1">
        <w:rPr>
          <w:rFonts w:ascii="Arial" w:hAnsi="Arial" w:cs="Arial"/>
          <w:b/>
          <w:bCs/>
          <w:szCs w:val="22"/>
        </w:rPr>
        <w:t>Fig</w:t>
      </w:r>
      <w:r>
        <w:rPr>
          <w:rFonts w:ascii="Arial" w:hAnsi="Arial" w:cs="Arial"/>
          <w:b/>
          <w:bCs/>
          <w:szCs w:val="22"/>
        </w:rPr>
        <w:t xml:space="preserve">. </w:t>
      </w:r>
      <w:r w:rsidR="00D830A9">
        <w:rPr>
          <w:rFonts w:ascii="Arial" w:hAnsi="Arial" w:cs="Arial"/>
          <w:b/>
          <w:bCs/>
          <w:szCs w:val="22"/>
        </w:rPr>
        <w:t>5</w:t>
      </w:r>
      <w:r w:rsidRPr="008A31F1">
        <w:rPr>
          <w:rFonts w:ascii="Arial" w:hAnsi="Arial" w:cs="Arial"/>
          <w:b/>
          <w:bCs/>
          <w:szCs w:val="22"/>
        </w:rPr>
        <w:t xml:space="preserve">: </w:t>
      </w:r>
      <w:r w:rsidR="007F37B3" w:rsidRPr="007F37B3">
        <w:rPr>
          <w:rFonts w:ascii="Arial" w:hAnsi="Arial" w:cs="Arial"/>
          <w:b/>
          <w:bCs/>
          <w:szCs w:val="22"/>
        </w:rPr>
        <w:t xml:space="preserve">Backbone RMSF of amino acids present in </w:t>
      </w:r>
      <w:r w:rsidR="007F37B3">
        <w:rPr>
          <w:rFonts w:ascii="Arial" w:hAnsi="Arial" w:cs="Arial"/>
          <w:b/>
          <w:bCs/>
          <w:szCs w:val="22"/>
        </w:rPr>
        <w:t xml:space="preserve">ACE2 with </w:t>
      </w:r>
      <w:r>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Pr>
          <w:rFonts w:ascii="Arial" w:hAnsi="Arial" w:cs="Arial"/>
          <w:b/>
          <w:bCs/>
          <w:szCs w:val="22"/>
        </w:rPr>
        <w:t xml:space="preserve">, (b) </w:t>
      </w:r>
      <w:proofErr w:type="spellStart"/>
      <w:r w:rsidRPr="003A4408">
        <w:rPr>
          <w:rFonts w:ascii="Arial" w:hAnsi="Arial" w:cs="Arial"/>
          <w:b/>
          <w:bCs/>
          <w:szCs w:val="22"/>
        </w:rPr>
        <w:t>Symphoxanthone</w:t>
      </w:r>
      <w:proofErr w:type="spellEnd"/>
      <w:r>
        <w:rPr>
          <w:rFonts w:ascii="Arial" w:hAnsi="Arial" w:cs="Arial"/>
          <w:b/>
          <w:bCs/>
          <w:szCs w:val="22"/>
        </w:rPr>
        <w:t xml:space="preserve">, and (c) </w:t>
      </w:r>
      <w:r w:rsidRPr="003A4408">
        <w:rPr>
          <w:rFonts w:ascii="Arial" w:hAnsi="Arial" w:cs="Arial"/>
          <w:b/>
          <w:bCs/>
          <w:szCs w:val="22"/>
        </w:rPr>
        <w:t>Hydroxychloroquine</w:t>
      </w:r>
    </w:p>
    <w:p w14:paraId="4B3A5763" w14:textId="77777777" w:rsidR="008A31F1" w:rsidRDefault="008A31F1" w:rsidP="008A31F1">
      <w:pPr>
        <w:jc w:val="center"/>
        <w:rPr>
          <w:rFonts w:ascii="Times New Roman" w:hAnsi="Times New Roman"/>
        </w:rPr>
      </w:pPr>
    </w:p>
    <w:p w14:paraId="25C902E4" w14:textId="77777777" w:rsidR="00F776A4" w:rsidRPr="00F776A4" w:rsidRDefault="00F776A4" w:rsidP="00F776A4">
      <w:pPr>
        <w:jc w:val="both"/>
        <w:rPr>
          <w:rFonts w:ascii="Arial" w:hAnsi="Arial" w:cs="Arial"/>
        </w:rPr>
      </w:pPr>
      <w:r w:rsidRPr="00F776A4">
        <w:rPr>
          <w:rFonts w:ascii="Arial" w:hAnsi="Arial" w:cs="Arial"/>
        </w:rPr>
        <w:t xml:space="preserve">Importantly, the key residues involved in ligand binding showed limited fluctuations, indicating stable interactions between the receptor and the phytochemical ligands. The RMSF profiles of the </w:t>
      </w:r>
      <w:proofErr w:type="spellStart"/>
      <w:r w:rsidRPr="00F776A4">
        <w:rPr>
          <w:rFonts w:ascii="Arial" w:hAnsi="Arial" w:cs="Arial"/>
        </w:rPr>
        <w:t>Celibixanthone</w:t>
      </w:r>
      <w:proofErr w:type="spellEnd"/>
      <w:r w:rsidRPr="00F776A4">
        <w:rPr>
          <w:rFonts w:ascii="Arial" w:hAnsi="Arial" w:cs="Arial"/>
        </w:rPr>
        <w:t xml:space="preserve">- and </w:t>
      </w:r>
      <w:proofErr w:type="spellStart"/>
      <w:r w:rsidRPr="00F776A4">
        <w:rPr>
          <w:rFonts w:ascii="Arial" w:hAnsi="Arial" w:cs="Arial"/>
        </w:rPr>
        <w:t>Symphoxanthone</w:t>
      </w:r>
      <w:proofErr w:type="spellEnd"/>
      <w:r w:rsidRPr="00F776A4">
        <w:rPr>
          <w:rFonts w:ascii="Arial" w:hAnsi="Arial" w:cs="Arial"/>
        </w:rPr>
        <w:t>-bound complexes closely resembled that of the hydroxychloroquine-bound system, further supporting their comparable dynamic behavior.</w:t>
      </w:r>
    </w:p>
    <w:p w14:paraId="2B80AFE8" w14:textId="77777777" w:rsidR="00F776A4" w:rsidRDefault="00F776A4" w:rsidP="00F776A4">
      <w:pPr>
        <w:jc w:val="both"/>
        <w:rPr>
          <w:rFonts w:ascii="Arial" w:hAnsi="Arial" w:cs="Arial"/>
        </w:rPr>
      </w:pPr>
    </w:p>
    <w:p w14:paraId="7FCE5166" w14:textId="77777777" w:rsidR="008A31F1" w:rsidRPr="00F776A4" w:rsidRDefault="008A31F1" w:rsidP="00F776A4">
      <w:pPr>
        <w:jc w:val="both"/>
        <w:rPr>
          <w:rFonts w:ascii="Arial" w:hAnsi="Arial" w:cs="Arial"/>
        </w:rPr>
      </w:pPr>
    </w:p>
    <w:p w14:paraId="02E93146" w14:textId="77777777" w:rsidR="00F776A4" w:rsidRPr="003A4408" w:rsidRDefault="00F776A4" w:rsidP="003A4408">
      <w:pPr>
        <w:tabs>
          <w:tab w:val="left" w:pos="720"/>
        </w:tabs>
        <w:jc w:val="both"/>
        <w:rPr>
          <w:rFonts w:ascii="Arial" w:hAnsi="Arial" w:cs="Arial"/>
          <w:b/>
        </w:rPr>
      </w:pPr>
      <w:r w:rsidRPr="003A4408">
        <w:rPr>
          <w:rFonts w:ascii="Arial" w:hAnsi="Arial" w:cs="Arial"/>
          <w:b/>
        </w:rPr>
        <w:t>4.3.3 Radius of Gyration (</w:t>
      </w:r>
      <w:proofErr w:type="spellStart"/>
      <w:r w:rsidRPr="003A4408">
        <w:rPr>
          <w:rFonts w:ascii="Arial" w:hAnsi="Arial" w:cs="Arial"/>
          <w:b/>
        </w:rPr>
        <w:t>Rg</w:t>
      </w:r>
      <w:proofErr w:type="spellEnd"/>
      <w:r w:rsidRPr="003A4408">
        <w:rPr>
          <w:rFonts w:ascii="Arial" w:hAnsi="Arial" w:cs="Arial"/>
          <w:b/>
        </w:rPr>
        <w:t>)</w:t>
      </w:r>
    </w:p>
    <w:p w14:paraId="65DDD4FF" w14:textId="0583C103" w:rsidR="00F776A4" w:rsidRDefault="00F776A4" w:rsidP="00F776A4">
      <w:pPr>
        <w:jc w:val="both"/>
        <w:rPr>
          <w:rFonts w:ascii="Arial" w:hAnsi="Arial" w:cs="Arial"/>
        </w:rPr>
      </w:pPr>
      <w:r w:rsidRPr="00F776A4">
        <w:rPr>
          <w:rFonts w:ascii="Arial" w:hAnsi="Arial" w:cs="Arial"/>
        </w:rPr>
        <w:t>The radius of gyration (</w:t>
      </w:r>
      <w:proofErr w:type="spellStart"/>
      <w:r w:rsidRPr="00F776A4">
        <w:rPr>
          <w:rFonts w:ascii="Arial" w:hAnsi="Arial" w:cs="Arial"/>
        </w:rPr>
        <w:t>Rg</w:t>
      </w:r>
      <w:proofErr w:type="spellEnd"/>
      <w:r w:rsidRPr="00F776A4">
        <w:rPr>
          <w:rFonts w:ascii="Arial" w:hAnsi="Arial" w:cs="Arial"/>
        </w:rPr>
        <w:t>) was calculated to assess the overall compactness and conformational stability of the ACE2</w:t>
      </w:r>
      <w:r w:rsidR="008416DA">
        <w:rPr>
          <w:rFonts w:ascii="Arial" w:hAnsi="Arial" w:cs="Arial"/>
        </w:rPr>
        <w:t>-</w:t>
      </w:r>
      <w:r w:rsidRPr="00F776A4">
        <w:rPr>
          <w:rFonts w:ascii="Arial" w:hAnsi="Arial" w:cs="Arial"/>
        </w:rPr>
        <w:t>ligand complexes during the simulation</w:t>
      </w:r>
      <w:r w:rsidR="003648F5">
        <w:rPr>
          <w:rFonts w:ascii="Arial" w:hAnsi="Arial" w:cs="Arial"/>
        </w:rPr>
        <w:fldChar w:fldCharType="begin"/>
      </w:r>
      <w:r w:rsidR="003648F5">
        <w:rPr>
          <w:rFonts w:ascii="Arial" w:hAnsi="Arial" w:cs="Arial"/>
        </w:rPr>
        <w:instrText xml:space="preserve"> ADDIN ZOTERO_ITEM CSL_CITATION {"citationID":"sci6XkhT","properties":{"formattedCitation":"\\super 16\\nosupersub{}","plainCitation":"16","noteIndex":0},"citationItems":[{"id":27,"uris":["http://zotero.org/users/local/j3TeDIoM/items/AVXCRK4S"],"itemData":{"id":27,"type":"article-journal","abstract":"The acetylation modification process of histone has an essential role in the epigenetic regulation of gene expression. This process is controlled by the balance between histone deacetylases (HDAC) and histone acetyltransferases (HAT). HDACs are thought to be vital for cell function. Particularly, higher HDAC expression is frequent in various cancers, resulting in the dysregulation of several target genes involved in cell proliferation, differentiation, and survival. In this study, the inhibitory feasibility of several HDAC inhibitors was investigated, including vorinostat (SAHA), N-hydroxy-3-phenylprop-2enamide (CPD1), N-hydroxy-3-(pyridine-4-yl)prop-2-enamide (CPD2), N-hydroxy-3(pyridine-2-yl)prop-2-enamide (CPD3), 4-(diphenylamino)-N-(5-(hydroxyamino)-5oxopentyl)benzamide (CPD4), 2-(6-(((6-fluoronaphthalen-2-yl)methyl)amino)-3azabicyclo[3.1.0]hex-3-yl)-N-hydroxypirimidine-5-carboxamide (CPD5), and N-(3aminopropyl)-N-hydroxy-2-((naphthalene-1-yloxy)methyl)oct-2-enediamide (CPD6). By examining the stability of the enzyme, positional stability of the individual amino acids, and binding energies of HDLP-inhibitor complexes, the inhibitory feasibility was assessed. The complexes of the HDLP enzyme with SAHA, CPD4, CPD5, and CPD6 had higher stability than the other studied complexes, according to the results of trajectory analysis and the Ramachandran plot. Based on the calculated MM-PBSA binding free energies, the stability of the HDLP enzyme followed this order CPD4 &gt; CPD5 &gt; SAHA &gt; CPD6 &gt; CPD2 &gt; CPD3 &gt; CPD1. The drugability values followed the same trend as the previous ones. Based on the obtained in silico results, CPD4, CPD5, and CPD6 were discovered to be possible lead compounds as reference inhibitors of SAHA.","container-title":"Indonesian Journal of Chemistry","DOI":"10.22146/ijc.74167","ISSN":"2460-1578, 1411-9420","issue":"6","journalAbbreviation":"Indones. J. Chem.","language":"en","license":"http://creativecommons.org/licenses/by-nc-nd/4.0","page":"1534","source":"DOI.org (Crossref)","title":"Exploration of Novel Mono Hydroxamic Acid Derivatives as Inhibitors for Histone Deacetylase Like Protein (HDLP) by Molecular Dynamics Studies","volume":"22","author":[{"family":"Parthiban","given":"Gunasingham"},{"family":"Dushanan","given":"Ramachandren"},{"family":"Weerasinghe","given":"Samantha"},{"family":"Dissanayake","given":"Dhammike"},{"family":"Senthilnithy","given":"Rajendram"}],"issued":{"date-parts":[["2022",11,25]]}}}],"schema":"https://github.com/citation-style-language/schema/raw/master/csl-citation.json"} </w:instrText>
      </w:r>
      <w:r w:rsidR="003648F5">
        <w:rPr>
          <w:rFonts w:ascii="Arial" w:hAnsi="Arial" w:cs="Arial"/>
        </w:rPr>
        <w:fldChar w:fldCharType="separate"/>
      </w:r>
      <w:r w:rsidR="003648F5" w:rsidRPr="003648F5">
        <w:rPr>
          <w:rFonts w:ascii="Arial" w:hAnsi="Arial" w:cs="Arial"/>
          <w:szCs w:val="24"/>
          <w:vertAlign w:val="superscript"/>
        </w:rPr>
        <w:t>16</w:t>
      </w:r>
      <w:r w:rsidR="003648F5">
        <w:rPr>
          <w:rFonts w:ascii="Arial" w:hAnsi="Arial" w:cs="Arial"/>
        </w:rPr>
        <w:fldChar w:fldCharType="end"/>
      </w:r>
      <w:r w:rsidRPr="00F776A4">
        <w:rPr>
          <w:rFonts w:ascii="Arial" w:hAnsi="Arial" w:cs="Arial"/>
        </w:rPr>
        <w:t xml:space="preserve">. Across all systems, the </w:t>
      </w:r>
      <w:proofErr w:type="spellStart"/>
      <w:r w:rsidRPr="00F776A4">
        <w:rPr>
          <w:rFonts w:ascii="Arial" w:hAnsi="Arial" w:cs="Arial"/>
        </w:rPr>
        <w:t>Rg</w:t>
      </w:r>
      <w:proofErr w:type="spellEnd"/>
      <w:r w:rsidRPr="00F776A4">
        <w:rPr>
          <w:rFonts w:ascii="Arial" w:hAnsi="Arial" w:cs="Arial"/>
        </w:rPr>
        <w:t xml:space="preserve"> values remained relatively constant throughout the 100 ns trajectory, indicating that the ACE2 protein maintained a compact and stable fold in the presence of the bound ligands.</w:t>
      </w:r>
    </w:p>
    <w:p w14:paraId="6FC7C797" w14:textId="77777777" w:rsidR="008A31F1" w:rsidRDefault="008A31F1" w:rsidP="00F776A4">
      <w:pPr>
        <w:jc w:val="both"/>
        <w:rPr>
          <w:rFonts w:ascii="Arial" w:hAnsi="Arial" w:cs="Arial"/>
        </w:rPr>
      </w:pPr>
    </w:p>
    <w:p w14:paraId="6A1FB347" w14:textId="77777777" w:rsidR="008A31F1" w:rsidRDefault="008A31F1" w:rsidP="008A31F1">
      <w:pPr>
        <w:jc w:val="center"/>
        <w:rPr>
          <w:rFonts w:ascii="Times New Roman" w:hAnsi="Times New Roman"/>
        </w:rPr>
      </w:pPr>
      <w:r>
        <w:rPr>
          <w:noProof/>
          <w:lang w:val="en-IN" w:eastAsia="en-IN"/>
        </w:rPr>
        <w:drawing>
          <wp:inline distT="0" distB="0" distL="0" distR="0" wp14:anchorId="69F5CD36" wp14:editId="2F144B69">
            <wp:extent cx="2560320" cy="1975104"/>
            <wp:effectExtent l="0" t="0" r="0" b="6350"/>
            <wp:docPr id="11" name="Picture 10" descr="LIG 157-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G 157-Rg"/>
                    <pic:cNvPicPr/>
                  </pic:nvPicPr>
                  <pic:blipFill>
                    <a:blip r:embed="rId29" cstate="print">
                      <a:duotone>
                        <a:schemeClr val="accent5">
                          <a:shade val="45000"/>
                          <a:satMod val="135000"/>
                        </a:schemeClr>
                        <a:prstClr val="white"/>
                      </a:duotone>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r>
        <w:rPr>
          <w:noProof/>
          <w:lang w:val="en-IN" w:eastAsia="en-IN"/>
        </w:rPr>
        <w:drawing>
          <wp:inline distT="0" distB="0" distL="0" distR="0" wp14:anchorId="10EB4097" wp14:editId="1F202410">
            <wp:extent cx="2560320" cy="1975104"/>
            <wp:effectExtent l="0" t="0" r="0" b="6350"/>
            <wp:docPr id="12" name="Picture 11" descr="Lig 158-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ig 158-Rg"/>
                    <pic:cNvPicPr/>
                  </pic:nvPicPr>
                  <pic:blipFill>
                    <a:blip r:embed="rId31" cstate="print">
                      <a:duotone>
                        <a:schemeClr val="accent6">
                          <a:shade val="45000"/>
                          <a:satMod val="135000"/>
                        </a:schemeClr>
                        <a:prstClr val="white"/>
                      </a:duotone>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36A43205" w14:textId="77777777" w:rsidR="008A31F1" w:rsidRDefault="008A31F1" w:rsidP="008A31F1">
      <w:pPr>
        <w:tabs>
          <w:tab w:val="left" w:pos="6120"/>
        </w:tabs>
        <w:ind w:left="1980"/>
        <w:jc w:val="both"/>
        <w:rPr>
          <w:rFonts w:ascii="Arial" w:hAnsi="Arial" w:cs="Arial"/>
        </w:rPr>
      </w:pPr>
      <w:r>
        <w:rPr>
          <w:rFonts w:ascii="Arial" w:hAnsi="Arial" w:cs="Arial"/>
        </w:rPr>
        <w:t>(a)</w:t>
      </w:r>
      <w:r>
        <w:rPr>
          <w:rFonts w:ascii="Arial" w:hAnsi="Arial" w:cs="Arial"/>
        </w:rPr>
        <w:tab/>
        <w:t>(b)</w:t>
      </w:r>
    </w:p>
    <w:p w14:paraId="558D6FDC" w14:textId="0C3974BD" w:rsidR="008A31F1" w:rsidRDefault="008A31F1" w:rsidP="008A31F1">
      <w:pPr>
        <w:jc w:val="center"/>
        <w:rPr>
          <w:rFonts w:ascii="Times New Roman" w:hAnsi="Times New Roman"/>
        </w:rPr>
      </w:pPr>
      <w:r>
        <w:rPr>
          <w:noProof/>
          <w:lang w:val="en-IN" w:eastAsia="en-IN"/>
        </w:rPr>
        <w:lastRenderedPageBreak/>
        <w:drawing>
          <wp:inline distT="0" distB="0" distL="0" distR="0" wp14:anchorId="6AA1A677" wp14:editId="1EA22FDE">
            <wp:extent cx="2560320" cy="1975104"/>
            <wp:effectExtent l="0" t="0" r="0" b="6350"/>
            <wp:docPr id="13" name="Picture 12" descr="F:\final thesis images for hcq dock\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final thesis images for hcq dock\Rg.png"/>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75104"/>
                    </a:xfrm>
                    <a:prstGeom prst="rect">
                      <a:avLst/>
                    </a:prstGeom>
                    <a:noFill/>
                    <a:ln>
                      <a:noFill/>
                    </a:ln>
                  </pic:spPr>
                </pic:pic>
              </a:graphicData>
            </a:graphic>
          </wp:inline>
        </w:drawing>
      </w:r>
    </w:p>
    <w:p w14:paraId="6EC368E0" w14:textId="77777777" w:rsidR="008A31F1" w:rsidRPr="003A4408" w:rsidRDefault="008A31F1" w:rsidP="008A31F1">
      <w:pPr>
        <w:tabs>
          <w:tab w:val="left" w:pos="6120"/>
        </w:tabs>
        <w:jc w:val="center"/>
        <w:rPr>
          <w:rFonts w:ascii="Arial" w:hAnsi="Arial" w:cs="Arial"/>
        </w:rPr>
      </w:pPr>
      <w:r w:rsidRPr="003A4408">
        <w:rPr>
          <w:rFonts w:ascii="Arial" w:hAnsi="Arial" w:cs="Arial"/>
        </w:rPr>
        <w:t>(c)</w:t>
      </w:r>
    </w:p>
    <w:p w14:paraId="599B4618" w14:textId="4899DFE6" w:rsidR="008A31F1" w:rsidRPr="008A31F1" w:rsidRDefault="008A31F1" w:rsidP="00D830A9">
      <w:pPr>
        <w:autoSpaceDE w:val="0"/>
        <w:autoSpaceDN w:val="0"/>
        <w:adjustRightInd w:val="0"/>
        <w:jc w:val="center"/>
        <w:rPr>
          <w:rFonts w:ascii="Arial" w:hAnsi="Arial" w:cs="Arial"/>
          <w:b/>
          <w:bCs/>
          <w:szCs w:val="22"/>
        </w:rPr>
      </w:pPr>
      <w:r w:rsidRPr="008A31F1">
        <w:rPr>
          <w:rFonts w:ascii="Arial" w:hAnsi="Arial" w:cs="Arial"/>
          <w:b/>
          <w:bCs/>
          <w:szCs w:val="22"/>
        </w:rPr>
        <w:t>Fig</w:t>
      </w:r>
      <w:r>
        <w:rPr>
          <w:rFonts w:ascii="Arial" w:hAnsi="Arial" w:cs="Arial"/>
          <w:b/>
          <w:bCs/>
          <w:szCs w:val="22"/>
        </w:rPr>
        <w:t xml:space="preserve">. </w:t>
      </w:r>
      <w:r w:rsidR="00D830A9">
        <w:rPr>
          <w:rFonts w:ascii="Arial" w:hAnsi="Arial" w:cs="Arial"/>
          <w:b/>
          <w:bCs/>
          <w:szCs w:val="22"/>
        </w:rPr>
        <w:t>6</w:t>
      </w:r>
      <w:r w:rsidRPr="008A31F1">
        <w:rPr>
          <w:rFonts w:ascii="Arial" w:hAnsi="Arial" w:cs="Arial"/>
          <w:b/>
          <w:bCs/>
          <w:szCs w:val="22"/>
        </w:rPr>
        <w:t xml:space="preserve">: </w:t>
      </w:r>
      <w:r w:rsidR="007F37B3" w:rsidRPr="007F37B3">
        <w:rPr>
          <w:rFonts w:ascii="Arial" w:hAnsi="Arial" w:cs="Arial"/>
          <w:b/>
          <w:bCs/>
          <w:szCs w:val="22"/>
        </w:rPr>
        <w:t xml:space="preserve">The radius of gyration of </w:t>
      </w:r>
      <w:r w:rsidR="007F37B3">
        <w:rPr>
          <w:rFonts w:ascii="Arial" w:hAnsi="Arial" w:cs="Arial"/>
          <w:b/>
          <w:bCs/>
          <w:szCs w:val="22"/>
        </w:rPr>
        <w:t xml:space="preserve">ACE2 </w:t>
      </w:r>
      <w:r w:rsidR="007F37B3" w:rsidRPr="007F37B3">
        <w:rPr>
          <w:rFonts w:ascii="Arial" w:hAnsi="Arial" w:cs="Arial"/>
          <w:b/>
          <w:bCs/>
          <w:szCs w:val="22"/>
        </w:rPr>
        <w:t>with</w:t>
      </w:r>
      <w:r w:rsidR="007F37B3">
        <w:rPr>
          <w:rFonts w:ascii="Arial" w:hAnsi="Arial" w:cs="Arial"/>
          <w:b/>
          <w:bCs/>
          <w:szCs w:val="22"/>
        </w:rPr>
        <w:t xml:space="preserve"> </w:t>
      </w:r>
      <w:r>
        <w:rPr>
          <w:rFonts w:ascii="Arial" w:hAnsi="Arial" w:cs="Arial"/>
          <w:b/>
          <w:bCs/>
          <w:szCs w:val="22"/>
        </w:rPr>
        <w:t>(a)</w:t>
      </w:r>
      <w:r w:rsidRPr="003A4408">
        <w:rPr>
          <w:rFonts w:ascii="Arial" w:hAnsi="Arial" w:cs="Arial"/>
          <w:b/>
          <w:bCs/>
          <w:szCs w:val="22"/>
        </w:rPr>
        <w:t xml:space="preserve"> </w:t>
      </w:r>
      <w:proofErr w:type="spellStart"/>
      <w:r w:rsidRPr="003A4408">
        <w:rPr>
          <w:rFonts w:ascii="Arial" w:hAnsi="Arial" w:cs="Arial"/>
          <w:b/>
          <w:bCs/>
          <w:szCs w:val="22"/>
        </w:rPr>
        <w:t>Celibixanthone</w:t>
      </w:r>
      <w:proofErr w:type="spellEnd"/>
      <w:r>
        <w:rPr>
          <w:rFonts w:ascii="Arial" w:hAnsi="Arial" w:cs="Arial"/>
          <w:b/>
          <w:bCs/>
          <w:szCs w:val="22"/>
        </w:rPr>
        <w:t xml:space="preserve">, (b) </w:t>
      </w:r>
      <w:proofErr w:type="spellStart"/>
      <w:r w:rsidRPr="003A4408">
        <w:rPr>
          <w:rFonts w:ascii="Arial" w:hAnsi="Arial" w:cs="Arial"/>
          <w:b/>
          <w:bCs/>
          <w:szCs w:val="22"/>
        </w:rPr>
        <w:t>Symphoxanthone</w:t>
      </w:r>
      <w:proofErr w:type="spellEnd"/>
      <w:r>
        <w:rPr>
          <w:rFonts w:ascii="Arial" w:hAnsi="Arial" w:cs="Arial"/>
          <w:b/>
          <w:bCs/>
          <w:szCs w:val="22"/>
        </w:rPr>
        <w:t xml:space="preserve">, and (c) </w:t>
      </w:r>
      <w:r w:rsidRPr="003A4408">
        <w:rPr>
          <w:rFonts w:ascii="Arial" w:hAnsi="Arial" w:cs="Arial"/>
          <w:b/>
          <w:bCs/>
          <w:szCs w:val="22"/>
        </w:rPr>
        <w:t>Hydroxychloroquine</w:t>
      </w:r>
    </w:p>
    <w:p w14:paraId="0F9380E2" w14:textId="77777777" w:rsidR="008A31F1" w:rsidRPr="008A31F1" w:rsidRDefault="008A31F1" w:rsidP="008A31F1">
      <w:pPr>
        <w:autoSpaceDE w:val="0"/>
        <w:autoSpaceDN w:val="0"/>
        <w:adjustRightInd w:val="0"/>
        <w:jc w:val="both"/>
        <w:rPr>
          <w:rFonts w:ascii="Arial" w:hAnsi="Arial" w:cs="Arial"/>
          <w:b/>
          <w:bCs/>
          <w:szCs w:val="22"/>
        </w:rPr>
      </w:pPr>
    </w:p>
    <w:p w14:paraId="7F8D090A" w14:textId="0E641D73" w:rsidR="00F776A4" w:rsidRPr="00F776A4" w:rsidRDefault="00F776A4" w:rsidP="00F776A4">
      <w:pPr>
        <w:jc w:val="both"/>
        <w:rPr>
          <w:rFonts w:ascii="Arial" w:hAnsi="Arial" w:cs="Arial"/>
        </w:rPr>
      </w:pPr>
      <w:r w:rsidRPr="00F776A4">
        <w:rPr>
          <w:rFonts w:ascii="Arial" w:hAnsi="Arial" w:cs="Arial"/>
        </w:rPr>
        <w:t xml:space="preserve">Stable </w:t>
      </w:r>
      <w:proofErr w:type="spellStart"/>
      <w:r w:rsidRPr="00F776A4">
        <w:rPr>
          <w:rFonts w:ascii="Arial" w:hAnsi="Arial" w:cs="Arial"/>
        </w:rPr>
        <w:t>Rg</w:t>
      </w:r>
      <w:proofErr w:type="spellEnd"/>
      <w:r w:rsidRPr="00F776A4">
        <w:rPr>
          <w:rFonts w:ascii="Arial" w:hAnsi="Arial" w:cs="Arial"/>
        </w:rPr>
        <w:t xml:space="preserve"> profiles suggest that ligand binding did not induce significant </w:t>
      </w:r>
      <w:r w:rsidR="008A31F1">
        <w:rPr>
          <w:rFonts w:ascii="Arial" w:hAnsi="Arial" w:cs="Arial"/>
        </w:rPr>
        <w:t>receptor unfolding or structural destabilization</w:t>
      </w:r>
      <w:r w:rsidRPr="00F776A4">
        <w:rPr>
          <w:rFonts w:ascii="Arial" w:hAnsi="Arial" w:cs="Arial"/>
        </w:rPr>
        <w:t xml:space="preserve">. Taken together, the </w:t>
      </w:r>
      <w:proofErr w:type="spellStart"/>
      <w:r w:rsidRPr="00F776A4">
        <w:rPr>
          <w:rFonts w:ascii="Arial" w:hAnsi="Arial" w:cs="Arial"/>
        </w:rPr>
        <w:t>Rg</w:t>
      </w:r>
      <w:proofErr w:type="spellEnd"/>
      <w:r w:rsidRPr="00F776A4">
        <w:rPr>
          <w:rFonts w:ascii="Arial" w:hAnsi="Arial" w:cs="Arial"/>
        </w:rPr>
        <w:t xml:space="preserve"> results corroborate the RMSD and RMSF findings and confirm the structural integrity of the ACE2</w:t>
      </w:r>
      <w:r w:rsidR="008416DA">
        <w:rPr>
          <w:rFonts w:ascii="Arial" w:hAnsi="Arial" w:cs="Arial"/>
        </w:rPr>
        <w:t>-</w:t>
      </w:r>
      <w:r w:rsidRPr="00F776A4">
        <w:rPr>
          <w:rFonts w:ascii="Arial" w:hAnsi="Arial" w:cs="Arial"/>
        </w:rPr>
        <w:t>ligand complexes during the simulation period.</w:t>
      </w:r>
    </w:p>
    <w:p w14:paraId="60A0B4F3" w14:textId="77777777" w:rsidR="00F776A4" w:rsidRPr="00F776A4" w:rsidRDefault="00F776A4" w:rsidP="00F776A4">
      <w:pPr>
        <w:jc w:val="both"/>
        <w:rPr>
          <w:rFonts w:ascii="Arial" w:hAnsi="Arial" w:cs="Arial"/>
        </w:rPr>
      </w:pPr>
    </w:p>
    <w:p w14:paraId="3E5E37E4" w14:textId="4A8E42AF" w:rsidR="00872751" w:rsidRDefault="00F776A4" w:rsidP="00F776A4">
      <w:pPr>
        <w:jc w:val="both"/>
        <w:rPr>
          <w:rFonts w:ascii="Arial" w:hAnsi="Arial" w:cs="Arial"/>
        </w:rPr>
      </w:pPr>
      <w:r w:rsidRPr="00F776A4">
        <w:rPr>
          <w:rFonts w:ascii="Arial" w:hAnsi="Arial" w:cs="Arial"/>
        </w:rPr>
        <w:t>The combined results from ADMET screening, molecular docking, MM-GBSA binding free energy calculations, and molecular dynamics simulations indicate that NP#0157 (</w:t>
      </w:r>
      <w:proofErr w:type="spellStart"/>
      <w:r w:rsidRPr="00F776A4">
        <w:rPr>
          <w:rFonts w:ascii="Arial" w:hAnsi="Arial" w:cs="Arial"/>
        </w:rPr>
        <w:t>Celibixanthone</w:t>
      </w:r>
      <w:proofErr w:type="spellEnd"/>
      <w:r w:rsidRPr="00F776A4">
        <w:rPr>
          <w:rFonts w:ascii="Arial" w:hAnsi="Arial" w:cs="Arial"/>
        </w:rPr>
        <w:t>) and NP#0158 (</w:t>
      </w:r>
      <w:proofErr w:type="spellStart"/>
      <w:r w:rsidRPr="00F776A4">
        <w:rPr>
          <w:rFonts w:ascii="Arial" w:hAnsi="Arial" w:cs="Arial"/>
        </w:rPr>
        <w:t>Symphoxanthone</w:t>
      </w:r>
      <w:proofErr w:type="spellEnd"/>
      <w:r w:rsidRPr="00F776A4">
        <w:rPr>
          <w:rFonts w:ascii="Arial" w:hAnsi="Arial" w:cs="Arial"/>
        </w:rPr>
        <w:t>) exhibit favorable drug-like properties, strong binding affinity, and stable dynamic behavior when complexed with the ACE2 receptor. Their performance was comparable to that of hydroxychloroquine and other reference inhibitors, highlighting their potential as promising natural-product-based ACE2 inhibitors. These findings warrant further experimental validation to confirm their antiviral efficacy against SARS-CoV-2.</w:t>
      </w:r>
    </w:p>
    <w:p w14:paraId="438C2A8C" w14:textId="5B20E540" w:rsidR="003648F5" w:rsidRDefault="003648F5" w:rsidP="008416DA">
      <w:pPr>
        <w:tabs>
          <w:tab w:val="left" w:pos="720"/>
        </w:tabs>
        <w:jc w:val="both"/>
        <w:rPr>
          <w:rFonts w:ascii="Arial" w:hAnsi="Arial" w:cs="Arial"/>
        </w:rPr>
      </w:pPr>
    </w:p>
    <w:p w14:paraId="555FCD89" w14:textId="7146C8A4" w:rsidR="008416DA" w:rsidRPr="00A639DA" w:rsidRDefault="008416DA" w:rsidP="008416DA">
      <w:pPr>
        <w:tabs>
          <w:tab w:val="left" w:pos="720"/>
        </w:tabs>
        <w:jc w:val="both"/>
        <w:rPr>
          <w:rFonts w:ascii="Arial" w:hAnsi="Arial" w:cs="Arial"/>
          <w:b/>
          <w:sz w:val="22"/>
          <w:szCs w:val="22"/>
        </w:rPr>
      </w:pPr>
      <w:r>
        <w:rPr>
          <w:rFonts w:ascii="Arial" w:hAnsi="Arial" w:cs="Arial"/>
          <w:b/>
          <w:sz w:val="22"/>
          <w:szCs w:val="22"/>
        </w:rPr>
        <w:t>5.</w:t>
      </w:r>
      <w:r>
        <w:rPr>
          <w:rFonts w:ascii="Arial" w:hAnsi="Arial" w:cs="Arial"/>
          <w:b/>
          <w:sz w:val="22"/>
          <w:szCs w:val="22"/>
        </w:rPr>
        <w:tab/>
      </w:r>
      <w:r w:rsidRPr="00A639DA">
        <w:rPr>
          <w:rFonts w:ascii="Arial" w:hAnsi="Arial" w:cs="Arial"/>
          <w:b/>
          <w:sz w:val="22"/>
          <w:szCs w:val="22"/>
        </w:rPr>
        <w:t>Conclusion</w:t>
      </w:r>
    </w:p>
    <w:p w14:paraId="575CEEB0" w14:textId="77777777" w:rsidR="008416DA" w:rsidRPr="00A639DA" w:rsidRDefault="008416DA" w:rsidP="008416DA">
      <w:pPr>
        <w:jc w:val="both"/>
        <w:rPr>
          <w:rFonts w:ascii="Arial" w:hAnsi="Arial" w:cs="Arial"/>
        </w:rPr>
      </w:pPr>
      <w:r w:rsidRPr="00A639DA">
        <w:rPr>
          <w:rFonts w:ascii="Arial" w:hAnsi="Arial" w:cs="Arial"/>
        </w:rPr>
        <w:t>In this study, a structure-based computational approach was employed to identify phytochemical inhibitors of the human angiotensin-converting enzyme 2 (ACE2) receptor, a key mediator of SARS-CoV-2 entry into host cells. FDA-approved antiviral agents, including hydroxychloroquine, nelfinavir, and nirmatrelvir (Paxlovid), were used as reference compounds to benchmark the performance of the selected phytochemicals. The overarching objective was to explore natural-product-based candidates that could potentially serve as prophylactic or pre-treatment agents against COVID-19 by disrupting ACE2-mediated viral entry.</w:t>
      </w:r>
    </w:p>
    <w:p w14:paraId="233DC1B0" w14:textId="76D74210" w:rsidR="008416DA" w:rsidRPr="00A639DA" w:rsidRDefault="008416DA" w:rsidP="008416DA">
      <w:pPr>
        <w:jc w:val="both"/>
        <w:rPr>
          <w:rFonts w:ascii="Arial" w:hAnsi="Arial" w:cs="Arial"/>
        </w:rPr>
      </w:pPr>
      <w:r w:rsidRPr="00A639DA">
        <w:rPr>
          <w:rFonts w:ascii="Arial" w:hAnsi="Arial" w:cs="Arial"/>
        </w:rPr>
        <w:t xml:space="preserve">Virtual screening, followed by SP and XP molecular docking and MM-GBSA binding free energy calculations, identified several phytochemicals with favorable binding affinities toward ACE2. </w:t>
      </w:r>
      <w:r w:rsidRPr="00A8380D">
        <w:rPr>
          <w:rFonts w:ascii="Arial" w:hAnsi="Arial" w:cs="Arial"/>
          <w:highlight w:val="yellow"/>
        </w:rPr>
        <w:t>Among these, NP#0157 (</w:t>
      </w:r>
      <w:proofErr w:type="spellStart"/>
      <w:r w:rsidRPr="00A8380D">
        <w:rPr>
          <w:rFonts w:ascii="Arial" w:hAnsi="Arial" w:cs="Arial"/>
          <w:highlight w:val="yellow"/>
        </w:rPr>
        <w:t>Celibixanthone</w:t>
      </w:r>
      <w:proofErr w:type="spellEnd"/>
      <w:r w:rsidRPr="00A8380D">
        <w:rPr>
          <w:rFonts w:ascii="Arial" w:hAnsi="Arial" w:cs="Arial"/>
          <w:highlight w:val="yellow"/>
        </w:rPr>
        <w:t>) and NP#0158 (</w:t>
      </w:r>
      <w:proofErr w:type="spellStart"/>
      <w:r w:rsidRPr="00A8380D">
        <w:rPr>
          <w:rFonts w:ascii="Arial" w:hAnsi="Arial" w:cs="Arial"/>
          <w:highlight w:val="yellow"/>
        </w:rPr>
        <w:t>Symphoxanthone</w:t>
      </w:r>
      <w:proofErr w:type="spellEnd"/>
      <w:r w:rsidRPr="00A8380D">
        <w:rPr>
          <w:rFonts w:ascii="Arial" w:hAnsi="Arial" w:cs="Arial"/>
          <w:highlight w:val="yellow"/>
        </w:rPr>
        <w:t>) demonstrated docking scores and binding free energies comparable to, or exceeding, those of the reference drugs</w:t>
      </w:r>
      <w:r w:rsidRPr="00A639DA">
        <w:rPr>
          <w:rFonts w:ascii="Arial" w:hAnsi="Arial" w:cs="Arial"/>
        </w:rPr>
        <w:t>. Molecular dynamics simulations further substantiated these findings, as the ACE2</w:t>
      </w:r>
      <w:r>
        <w:rPr>
          <w:rFonts w:ascii="Arial" w:hAnsi="Arial" w:cs="Arial"/>
        </w:rPr>
        <w:t>-</w:t>
      </w:r>
      <w:r w:rsidRPr="00A639DA">
        <w:rPr>
          <w:rFonts w:ascii="Arial" w:hAnsi="Arial" w:cs="Arial"/>
        </w:rPr>
        <w:t>ligand complexes exhibited stable structural behavior over 100 ns, with consistent RMSD, RMSF, and radius of gyration profiles, indicating robust and sustained interactions.</w:t>
      </w:r>
    </w:p>
    <w:p w14:paraId="133C380F" w14:textId="77777777" w:rsidR="008416DA" w:rsidRPr="00A639DA" w:rsidRDefault="008416DA" w:rsidP="008416DA">
      <w:pPr>
        <w:jc w:val="both"/>
        <w:rPr>
          <w:rFonts w:ascii="Arial" w:hAnsi="Arial" w:cs="Arial"/>
        </w:rPr>
      </w:pPr>
      <w:r w:rsidRPr="00A639DA">
        <w:rPr>
          <w:rFonts w:ascii="Arial" w:hAnsi="Arial" w:cs="Arial"/>
        </w:rPr>
        <w:t xml:space="preserve">Collectively, the results suggest that </w:t>
      </w:r>
      <w:proofErr w:type="spellStart"/>
      <w:r w:rsidRPr="00A639DA">
        <w:rPr>
          <w:rFonts w:ascii="Arial" w:hAnsi="Arial" w:cs="Arial"/>
        </w:rPr>
        <w:t>Celibixanthone</w:t>
      </w:r>
      <w:proofErr w:type="spellEnd"/>
      <w:r w:rsidRPr="00A639DA">
        <w:rPr>
          <w:rFonts w:ascii="Arial" w:hAnsi="Arial" w:cs="Arial"/>
        </w:rPr>
        <w:t xml:space="preserve"> and </w:t>
      </w:r>
      <w:proofErr w:type="spellStart"/>
      <w:r w:rsidRPr="00A639DA">
        <w:rPr>
          <w:rFonts w:ascii="Arial" w:hAnsi="Arial" w:cs="Arial"/>
        </w:rPr>
        <w:t>Symphoxanthone</w:t>
      </w:r>
      <w:proofErr w:type="spellEnd"/>
      <w:r w:rsidRPr="00A639DA">
        <w:rPr>
          <w:rFonts w:ascii="Arial" w:hAnsi="Arial" w:cs="Arial"/>
        </w:rPr>
        <w:t xml:space="preserve"> possess favorable drug-like characteristics, stable binding interactions, and dynamic stability within the ACE2 binding site. These phytochemicals, derived from </w:t>
      </w:r>
      <w:proofErr w:type="spellStart"/>
      <w:r w:rsidRPr="00A639DA">
        <w:rPr>
          <w:rFonts w:ascii="Arial" w:hAnsi="Arial" w:cs="Arial"/>
        </w:rPr>
        <w:t>Cratoxylon</w:t>
      </w:r>
      <w:proofErr w:type="spellEnd"/>
      <w:r w:rsidRPr="00A639DA">
        <w:rPr>
          <w:rFonts w:ascii="Arial" w:hAnsi="Arial" w:cs="Arial"/>
        </w:rPr>
        <w:t xml:space="preserve"> </w:t>
      </w:r>
      <w:proofErr w:type="spellStart"/>
      <w:r w:rsidRPr="00A639DA">
        <w:rPr>
          <w:rFonts w:ascii="Arial" w:hAnsi="Arial" w:cs="Arial"/>
        </w:rPr>
        <w:t>celibicum</w:t>
      </w:r>
      <w:proofErr w:type="spellEnd"/>
      <w:r w:rsidRPr="00A639DA">
        <w:rPr>
          <w:rFonts w:ascii="Arial" w:hAnsi="Arial" w:cs="Arial"/>
        </w:rPr>
        <w:t xml:space="preserve"> and </w:t>
      </w:r>
      <w:proofErr w:type="spellStart"/>
      <w:r w:rsidRPr="00A639DA">
        <w:rPr>
          <w:rFonts w:ascii="Arial" w:hAnsi="Arial" w:cs="Arial"/>
        </w:rPr>
        <w:t>Symphonia</w:t>
      </w:r>
      <w:proofErr w:type="spellEnd"/>
      <w:r w:rsidRPr="00A639DA">
        <w:rPr>
          <w:rFonts w:ascii="Arial" w:hAnsi="Arial" w:cs="Arial"/>
        </w:rPr>
        <w:t xml:space="preserve"> </w:t>
      </w:r>
      <w:proofErr w:type="spellStart"/>
      <w:r w:rsidRPr="00A639DA">
        <w:rPr>
          <w:rFonts w:ascii="Arial" w:hAnsi="Arial" w:cs="Arial"/>
        </w:rPr>
        <w:t>globulifera</w:t>
      </w:r>
      <w:proofErr w:type="spellEnd"/>
      <w:r w:rsidRPr="00A639DA">
        <w:rPr>
          <w:rFonts w:ascii="Arial" w:hAnsi="Arial" w:cs="Arial"/>
        </w:rPr>
        <w:t xml:space="preserve">, respectively, represent promising natural-product scaffolds for further investigation as potential ACE2 inhibitors. Although the present findings are based on in silico analyses, </w:t>
      </w:r>
      <w:r w:rsidRPr="00A639DA">
        <w:rPr>
          <w:rFonts w:ascii="Arial" w:hAnsi="Arial" w:cs="Arial"/>
        </w:rPr>
        <w:lastRenderedPageBreak/>
        <w:t>they provide a strong theoretical foundation for subsequent in vitro and in vivo validation studies to assess their efficacy and safety as potential prophylactic or therapeutic agents against SARS-CoV-2.</w:t>
      </w:r>
    </w:p>
    <w:p w14:paraId="0E8194F6" w14:textId="4E48F173" w:rsidR="008416DA" w:rsidRDefault="008416DA" w:rsidP="008416DA">
      <w:pPr>
        <w:jc w:val="both"/>
        <w:rPr>
          <w:rFonts w:ascii="Arial" w:hAnsi="Arial" w:cs="Arial"/>
        </w:rPr>
      </w:pPr>
    </w:p>
    <w:p w14:paraId="3EFD6098" w14:textId="77777777" w:rsidR="007F37B3" w:rsidRDefault="007F37B3" w:rsidP="008416DA">
      <w:pPr>
        <w:jc w:val="both"/>
        <w:rPr>
          <w:rFonts w:ascii="Arial" w:hAnsi="Arial" w:cs="Arial"/>
        </w:rPr>
      </w:pPr>
    </w:p>
    <w:p w14:paraId="21450E93" w14:textId="739A7D67" w:rsidR="003648F5" w:rsidRDefault="003648F5" w:rsidP="003648F5">
      <w:pPr>
        <w:tabs>
          <w:tab w:val="left" w:pos="720"/>
        </w:tabs>
        <w:jc w:val="both"/>
        <w:rPr>
          <w:rFonts w:ascii="Arial" w:hAnsi="Arial" w:cs="Arial"/>
          <w:b/>
          <w:sz w:val="22"/>
          <w:szCs w:val="22"/>
        </w:rPr>
      </w:pPr>
      <w:r>
        <w:rPr>
          <w:rFonts w:ascii="Arial" w:hAnsi="Arial" w:cs="Arial"/>
          <w:b/>
          <w:sz w:val="22"/>
          <w:szCs w:val="22"/>
        </w:rPr>
        <w:t>6</w:t>
      </w:r>
      <w:r w:rsidRPr="00F776A4">
        <w:rPr>
          <w:rFonts w:ascii="Arial" w:hAnsi="Arial" w:cs="Arial"/>
          <w:b/>
          <w:sz w:val="22"/>
          <w:szCs w:val="22"/>
        </w:rPr>
        <w:t>.</w:t>
      </w:r>
      <w:r>
        <w:rPr>
          <w:rFonts w:ascii="Arial" w:hAnsi="Arial" w:cs="Arial"/>
          <w:b/>
          <w:sz w:val="22"/>
          <w:szCs w:val="22"/>
        </w:rPr>
        <w:tab/>
        <w:t>References</w:t>
      </w:r>
    </w:p>
    <w:commentRangeStart w:id="10"/>
    <w:p w14:paraId="1CFAA721" w14:textId="77777777" w:rsidR="003648F5" w:rsidRPr="003648F5" w:rsidRDefault="003648F5" w:rsidP="003648F5">
      <w:pPr>
        <w:pStyle w:val="Bibliography"/>
        <w:jc w:val="both"/>
        <w:rPr>
          <w:rFonts w:ascii="Arial" w:hAnsi="Arial" w:cs="Arial"/>
        </w:rPr>
      </w:pPr>
      <w:r w:rsidRPr="003648F5">
        <w:rPr>
          <w:rFonts w:ascii="Arial" w:hAnsi="Arial" w:cs="Arial"/>
          <w:b/>
        </w:rPr>
        <w:fldChar w:fldCharType="begin"/>
      </w:r>
      <w:r w:rsidRPr="003648F5">
        <w:rPr>
          <w:rFonts w:ascii="Arial" w:hAnsi="Arial" w:cs="Arial"/>
          <w:b/>
        </w:rPr>
        <w:instrText xml:space="preserve"> ADDIN ZOTERO_BIBL {"uncited":[],"omitted":[],"custom":[]} CSL_BIBLIOGRAPHY </w:instrText>
      </w:r>
      <w:r w:rsidRPr="003648F5">
        <w:rPr>
          <w:rFonts w:ascii="Arial" w:hAnsi="Arial" w:cs="Arial"/>
          <w:b/>
        </w:rPr>
        <w:fldChar w:fldCharType="separate"/>
      </w:r>
      <w:r w:rsidRPr="003648F5">
        <w:rPr>
          <w:rFonts w:ascii="Arial" w:hAnsi="Arial" w:cs="Arial"/>
        </w:rPr>
        <w:t>(1)</w:t>
      </w:r>
      <w:r w:rsidRPr="003648F5">
        <w:rPr>
          <w:rFonts w:ascii="Arial" w:hAnsi="Arial" w:cs="Arial"/>
        </w:rPr>
        <w:tab/>
        <w:t xml:space="preserve">Ohashi, H.; Watashi, K.; Saso, W.; Shionoya, K.; Iwanami, S.; Hirokawa, T.; Shirai, T.; Kanaya, S.; Ito, Y.; Kim, K. S.; Nomura, T.; Suzuki, T.; Nishioka, K.; Ando, S.; Ejima, K.; Koizumi, Y.; Tanaka, T.; Aoki, S.; Kuramochi, K.; Suzuki, T.; Hashiguchi, T.; Maenaka, K.; Matano, T.; Muramatsu, M.; Saijo, M.; Aihara, K.; Iwami, S.; Takeda, M.; McKeating, J. A.; Wakita, T. Potential Anti-COVID-19 Agents, Cepharanthine and Nelfinavir, and Their Usage for Combination Treatment. </w:t>
      </w:r>
      <w:r w:rsidRPr="003648F5">
        <w:rPr>
          <w:rFonts w:ascii="Arial" w:hAnsi="Arial" w:cs="Arial"/>
          <w:i/>
          <w:iCs/>
        </w:rPr>
        <w:t>iScience</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24</w:t>
      </w:r>
      <w:r w:rsidRPr="003648F5">
        <w:rPr>
          <w:rFonts w:ascii="Arial" w:hAnsi="Arial" w:cs="Arial"/>
        </w:rPr>
        <w:t xml:space="preserve"> (4), 102367. https://doi.org/10.1016/j.isci.2021.102367.</w:t>
      </w:r>
    </w:p>
    <w:p w14:paraId="56EA4CB7" w14:textId="77777777" w:rsidR="003648F5" w:rsidRPr="003648F5" w:rsidRDefault="003648F5" w:rsidP="003648F5">
      <w:pPr>
        <w:pStyle w:val="Bibliography"/>
        <w:jc w:val="both"/>
        <w:rPr>
          <w:rFonts w:ascii="Arial" w:hAnsi="Arial" w:cs="Arial"/>
        </w:rPr>
      </w:pPr>
      <w:r w:rsidRPr="003648F5">
        <w:rPr>
          <w:rFonts w:ascii="Arial" w:hAnsi="Arial" w:cs="Arial"/>
        </w:rPr>
        <w:t>(2)</w:t>
      </w:r>
      <w:r w:rsidRPr="003648F5">
        <w:rPr>
          <w:rFonts w:ascii="Arial" w:hAnsi="Arial" w:cs="Arial"/>
        </w:rPr>
        <w:tab/>
        <w:t xml:space="preserve">Singh, P.; Chauhan, S. S.; Pandit, S.; Sinha, M.; Gupta, S.; Gupta, A.; Parthasarathi, R. The Dual Role of Phytochemicals on SARS-CoV-2 Inhibition by Targeting Host and Viral Proteins. </w:t>
      </w:r>
      <w:r w:rsidRPr="003648F5">
        <w:rPr>
          <w:rFonts w:ascii="Arial" w:hAnsi="Arial" w:cs="Arial"/>
          <w:i/>
          <w:iCs/>
        </w:rPr>
        <w:t>J. Tradit. Complement. Med.</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12</w:t>
      </w:r>
      <w:r w:rsidRPr="003648F5">
        <w:rPr>
          <w:rFonts w:ascii="Arial" w:hAnsi="Arial" w:cs="Arial"/>
        </w:rPr>
        <w:t xml:space="preserve"> (1), 90–99. https://doi.org/10.1016/j.jtcme.2021.09.001.</w:t>
      </w:r>
    </w:p>
    <w:p w14:paraId="758DFD5E" w14:textId="77777777" w:rsidR="003648F5" w:rsidRPr="003648F5" w:rsidRDefault="003648F5" w:rsidP="003648F5">
      <w:pPr>
        <w:pStyle w:val="Bibliography"/>
        <w:jc w:val="both"/>
        <w:rPr>
          <w:rFonts w:ascii="Arial" w:hAnsi="Arial" w:cs="Arial"/>
        </w:rPr>
      </w:pPr>
      <w:r w:rsidRPr="003648F5">
        <w:rPr>
          <w:rFonts w:ascii="Arial" w:hAnsi="Arial" w:cs="Arial"/>
        </w:rPr>
        <w:t>(3)</w:t>
      </w:r>
      <w:r w:rsidRPr="003648F5">
        <w:rPr>
          <w:rFonts w:ascii="Arial" w:hAnsi="Arial" w:cs="Arial"/>
        </w:rPr>
        <w:tab/>
        <w:t xml:space="preserve">Arthur, D. E.; Elegbe, B. O.; Aroh, A. O.; Soliman, M. Computational Drug Design of Novel COVID-19 Inhibitor. </w:t>
      </w:r>
      <w:r w:rsidRPr="003648F5">
        <w:rPr>
          <w:rFonts w:ascii="Arial" w:hAnsi="Arial" w:cs="Arial"/>
          <w:i/>
          <w:iCs/>
        </w:rPr>
        <w:t>Bull. Natl. Res. Cent.</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46</w:t>
      </w:r>
      <w:r w:rsidRPr="003648F5">
        <w:rPr>
          <w:rFonts w:ascii="Arial" w:hAnsi="Arial" w:cs="Arial"/>
        </w:rPr>
        <w:t xml:space="preserve"> (1), 210. https://doi.org/10.1186/s42269-022-00892-z.</w:t>
      </w:r>
    </w:p>
    <w:p w14:paraId="633DE6C6" w14:textId="77777777" w:rsidR="003648F5" w:rsidRPr="003648F5" w:rsidRDefault="003648F5" w:rsidP="003648F5">
      <w:pPr>
        <w:pStyle w:val="Bibliography"/>
        <w:jc w:val="both"/>
        <w:rPr>
          <w:rFonts w:ascii="Arial" w:hAnsi="Arial" w:cs="Arial"/>
        </w:rPr>
      </w:pPr>
      <w:r w:rsidRPr="003648F5">
        <w:rPr>
          <w:rFonts w:ascii="Arial" w:hAnsi="Arial" w:cs="Arial"/>
        </w:rPr>
        <w:t>(4)</w:t>
      </w:r>
      <w:r w:rsidRPr="003648F5">
        <w:rPr>
          <w:rFonts w:ascii="Arial" w:hAnsi="Arial" w:cs="Arial"/>
        </w:rPr>
        <w:tab/>
        <w:t xml:space="preserve">Adhikari, P.; Li, N.; Shin, M.; Steinmetz, N. F.; Twarock, R.; Podgornik, R.; Ching, W.-Y. Intra- and Intermolecular Atomic-Scale Interactions in the Receptor Binding Domain of SARS-CoV-2 Spike Protein: Implication for ACE2 Receptor Binding. </w:t>
      </w:r>
      <w:r w:rsidRPr="003648F5">
        <w:rPr>
          <w:rFonts w:ascii="Arial" w:hAnsi="Arial" w:cs="Arial"/>
          <w:i/>
          <w:iCs/>
        </w:rPr>
        <w:t>Phys. Chem. Chem. Phys.</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(33), 18272–18283. https://doi.org/10.1039/D0CP03145C.</w:t>
      </w:r>
    </w:p>
    <w:p w14:paraId="58CB1BDC" w14:textId="77777777" w:rsidR="003648F5" w:rsidRPr="003648F5" w:rsidRDefault="003648F5" w:rsidP="003648F5">
      <w:pPr>
        <w:pStyle w:val="Bibliography"/>
        <w:jc w:val="both"/>
        <w:rPr>
          <w:rFonts w:ascii="Arial" w:hAnsi="Arial" w:cs="Arial"/>
        </w:rPr>
      </w:pPr>
      <w:r w:rsidRPr="003648F5">
        <w:rPr>
          <w:rFonts w:ascii="Arial" w:hAnsi="Arial" w:cs="Arial"/>
        </w:rPr>
        <w:t>(5)</w:t>
      </w:r>
      <w:r w:rsidRPr="003648F5">
        <w:rPr>
          <w:rFonts w:ascii="Arial" w:hAnsi="Arial" w:cs="Arial"/>
        </w:rPr>
        <w:tab/>
        <w:t xml:space="preserve">Huang, Y.; Yang, C.; Xu, X.; Xu, W.; Liu, S. Structural and Functional Properties of SARS-CoV-2 Spike Protein: Potential Antivirus Drug Development for COVID-19. </w:t>
      </w:r>
      <w:r w:rsidRPr="003648F5">
        <w:rPr>
          <w:rFonts w:ascii="Arial" w:hAnsi="Arial" w:cs="Arial"/>
          <w:i/>
          <w:iCs/>
        </w:rPr>
        <w:t>Acta Pharmacol. Sin.</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41</w:t>
      </w:r>
      <w:r w:rsidRPr="003648F5">
        <w:rPr>
          <w:rFonts w:ascii="Arial" w:hAnsi="Arial" w:cs="Arial"/>
        </w:rPr>
        <w:t xml:space="preserve"> (9), 1141–1149. https://doi.org/10.1038/s41401-020-0485-4.</w:t>
      </w:r>
    </w:p>
    <w:p w14:paraId="02F8B046" w14:textId="77777777" w:rsidR="003648F5" w:rsidRPr="003648F5" w:rsidRDefault="003648F5" w:rsidP="003648F5">
      <w:pPr>
        <w:pStyle w:val="Bibliography"/>
        <w:rPr>
          <w:rFonts w:ascii="Arial" w:hAnsi="Arial" w:cs="Arial"/>
        </w:rPr>
      </w:pPr>
      <w:r w:rsidRPr="003648F5">
        <w:rPr>
          <w:rFonts w:ascii="Arial" w:hAnsi="Arial" w:cs="Arial"/>
        </w:rPr>
        <w:t>(6)</w:t>
      </w:r>
      <w:r w:rsidRPr="003648F5">
        <w:rPr>
          <w:rFonts w:ascii="Arial" w:hAnsi="Arial" w:cs="Arial"/>
        </w:rPr>
        <w:tab/>
        <w:t xml:space="preserve">Elfiky, A. A. SARS-CoV-2 Spike-Heat Shock Protein A5 (GRP78) Recognition May Be Related to the Immersed Human Coronaviruses. </w:t>
      </w:r>
      <w:r w:rsidRPr="003648F5">
        <w:rPr>
          <w:rFonts w:ascii="Arial" w:hAnsi="Arial" w:cs="Arial"/>
          <w:i/>
          <w:iCs/>
        </w:rPr>
        <w:t>Front. Pharmacol.</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11</w:t>
      </w:r>
      <w:r w:rsidRPr="003648F5">
        <w:rPr>
          <w:rFonts w:ascii="Arial" w:hAnsi="Arial" w:cs="Arial"/>
        </w:rPr>
        <w:t>, 577467. https://doi.org/10.3389/fphar.2020.577467.</w:t>
      </w:r>
    </w:p>
    <w:p w14:paraId="198F2FBE" w14:textId="77777777" w:rsidR="003648F5" w:rsidRPr="003648F5" w:rsidRDefault="003648F5" w:rsidP="003648F5">
      <w:pPr>
        <w:pStyle w:val="Bibliography"/>
        <w:rPr>
          <w:rFonts w:ascii="Arial" w:hAnsi="Arial" w:cs="Arial"/>
        </w:rPr>
      </w:pPr>
      <w:r w:rsidRPr="003648F5">
        <w:rPr>
          <w:rFonts w:ascii="Arial" w:hAnsi="Arial" w:cs="Arial"/>
        </w:rPr>
        <w:t>(7)</w:t>
      </w:r>
      <w:r w:rsidRPr="003648F5">
        <w:rPr>
          <w:rFonts w:ascii="Arial" w:hAnsi="Arial" w:cs="Arial"/>
        </w:rPr>
        <w:tab/>
        <w:t>E</w:t>
      </w:r>
      <w:r w:rsidRPr="00BF750D">
        <w:rPr>
          <w:rFonts w:ascii="Arial" w:hAnsi="Arial" w:cs="Arial"/>
          <w:highlight w:val="yellow"/>
        </w:rPr>
        <w:t xml:space="preserve">weas, A. F.; Alhossary, A. A.; Abdel-Moneim, A. S. Molecular Docking Reveals Ivermectin and Remdesivir as Potential Repurposed Drugs Against SARS-CoV-2. </w:t>
      </w:r>
      <w:r w:rsidRPr="00BF750D">
        <w:rPr>
          <w:rFonts w:ascii="Arial" w:hAnsi="Arial" w:cs="Arial"/>
          <w:i/>
          <w:iCs/>
          <w:highlight w:val="yellow"/>
        </w:rPr>
        <w:t>Front. Microbiol.</w:t>
      </w:r>
      <w:r w:rsidRPr="00BF750D">
        <w:rPr>
          <w:rFonts w:ascii="Arial" w:hAnsi="Arial" w:cs="Arial"/>
          <w:highlight w:val="yellow"/>
        </w:rPr>
        <w:t xml:space="preserve"> </w:t>
      </w:r>
      <w:r w:rsidRPr="00BF750D">
        <w:rPr>
          <w:rFonts w:ascii="Arial" w:hAnsi="Arial" w:cs="Arial"/>
          <w:b/>
          <w:bCs/>
          <w:highlight w:val="yellow"/>
        </w:rPr>
        <w:t>2021</w:t>
      </w:r>
      <w:r w:rsidRPr="00BF750D">
        <w:rPr>
          <w:rFonts w:ascii="Arial" w:hAnsi="Arial" w:cs="Arial"/>
          <w:highlight w:val="yellow"/>
        </w:rPr>
        <w:t xml:space="preserve">, </w:t>
      </w:r>
      <w:r w:rsidRPr="00BF750D">
        <w:rPr>
          <w:rFonts w:ascii="Arial" w:hAnsi="Arial" w:cs="Arial"/>
          <w:i/>
          <w:iCs/>
          <w:highlight w:val="yellow"/>
        </w:rPr>
        <w:t>11</w:t>
      </w:r>
      <w:r w:rsidRPr="00BF750D">
        <w:rPr>
          <w:rFonts w:ascii="Arial" w:hAnsi="Arial" w:cs="Arial"/>
          <w:highlight w:val="yellow"/>
        </w:rPr>
        <w:t>, 592908. https://doi.org/10.3389/fmicb.2020.592908.</w:t>
      </w:r>
    </w:p>
    <w:p w14:paraId="25275C5A" w14:textId="77777777" w:rsidR="003648F5" w:rsidRPr="003648F5" w:rsidRDefault="003648F5" w:rsidP="003648F5">
      <w:pPr>
        <w:pStyle w:val="Bibliography"/>
        <w:rPr>
          <w:rFonts w:ascii="Arial" w:hAnsi="Arial" w:cs="Arial"/>
        </w:rPr>
      </w:pPr>
      <w:r w:rsidRPr="003648F5">
        <w:rPr>
          <w:rFonts w:ascii="Arial" w:hAnsi="Arial" w:cs="Arial"/>
        </w:rPr>
        <w:t>(8)</w:t>
      </w:r>
      <w:r w:rsidRPr="003648F5">
        <w:rPr>
          <w:rFonts w:ascii="Arial" w:hAnsi="Arial" w:cs="Arial"/>
        </w:rPr>
        <w:tab/>
        <w:t xml:space="preserve">Suvarnapathaki, S.; Chauhan, D.; Nguyen, A.; Ramalingam, M.; Camci-Unal, G. Advances in Targeting ACE2 for Developing COVID-19 Therapeutics. </w:t>
      </w:r>
      <w:r w:rsidRPr="003648F5">
        <w:rPr>
          <w:rFonts w:ascii="Arial" w:hAnsi="Arial" w:cs="Arial"/>
          <w:i/>
          <w:iCs/>
        </w:rPr>
        <w:t>Ann. Biomed. Eng.</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50</w:t>
      </w:r>
      <w:r w:rsidRPr="003648F5">
        <w:rPr>
          <w:rFonts w:ascii="Arial" w:hAnsi="Arial" w:cs="Arial"/>
        </w:rPr>
        <w:t xml:space="preserve"> (12), 1734–1749. https://doi.org/10.1007/s10439-022-03094-w.</w:t>
      </w:r>
    </w:p>
    <w:p w14:paraId="720EA862" w14:textId="77777777" w:rsidR="003648F5" w:rsidRPr="003648F5" w:rsidRDefault="003648F5" w:rsidP="003648F5">
      <w:pPr>
        <w:pStyle w:val="Bibliography"/>
        <w:rPr>
          <w:rFonts w:ascii="Arial" w:hAnsi="Arial" w:cs="Arial"/>
        </w:rPr>
      </w:pPr>
      <w:r w:rsidRPr="003648F5">
        <w:rPr>
          <w:rFonts w:ascii="Arial" w:hAnsi="Arial" w:cs="Arial"/>
        </w:rPr>
        <w:t>(9)</w:t>
      </w:r>
      <w:r w:rsidRPr="003648F5">
        <w:rPr>
          <w:rFonts w:ascii="Arial" w:hAnsi="Arial" w:cs="Arial"/>
        </w:rPr>
        <w:tab/>
        <w:t xml:space="preserve">Borkotoky, S.; Dey, D.; Hazarika, Z. Interactions of Angiotensin-Converting Enzyme-2 (ACE2) and SARS-CoV-2 Spike Receptor-Binding Domain (RBD): A Structural Perspective. </w:t>
      </w:r>
      <w:r w:rsidRPr="003648F5">
        <w:rPr>
          <w:rFonts w:ascii="Arial" w:hAnsi="Arial" w:cs="Arial"/>
          <w:i/>
          <w:iCs/>
        </w:rPr>
        <w:t>Mol. Biol. Rep.</w:t>
      </w:r>
      <w:r w:rsidRPr="003648F5">
        <w:rPr>
          <w:rFonts w:ascii="Arial" w:hAnsi="Arial" w:cs="Arial"/>
        </w:rPr>
        <w:t xml:space="preserve"> </w:t>
      </w:r>
      <w:r w:rsidRPr="003648F5">
        <w:rPr>
          <w:rFonts w:ascii="Arial" w:hAnsi="Arial" w:cs="Arial"/>
          <w:b/>
          <w:bCs/>
        </w:rPr>
        <w:t>2023</w:t>
      </w:r>
      <w:r w:rsidRPr="003648F5">
        <w:rPr>
          <w:rFonts w:ascii="Arial" w:hAnsi="Arial" w:cs="Arial"/>
        </w:rPr>
        <w:t xml:space="preserve">, </w:t>
      </w:r>
      <w:r w:rsidRPr="003648F5">
        <w:rPr>
          <w:rFonts w:ascii="Arial" w:hAnsi="Arial" w:cs="Arial"/>
          <w:i/>
          <w:iCs/>
        </w:rPr>
        <w:t>50</w:t>
      </w:r>
      <w:r w:rsidRPr="003648F5">
        <w:rPr>
          <w:rFonts w:ascii="Arial" w:hAnsi="Arial" w:cs="Arial"/>
        </w:rPr>
        <w:t xml:space="preserve"> (3), 2713–2721. https://doi.org/10.1007/s11033-022-08193-4.</w:t>
      </w:r>
    </w:p>
    <w:p w14:paraId="375EA094" w14:textId="77777777" w:rsidR="003648F5" w:rsidRPr="003648F5" w:rsidRDefault="003648F5" w:rsidP="003648F5">
      <w:pPr>
        <w:pStyle w:val="Bibliography"/>
        <w:rPr>
          <w:rFonts w:ascii="Arial" w:hAnsi="Arial" w:cs="Arial"/>
        </w:rPr>
      </w:pPr>
      <w:r w:rsidRPr="003648F5">
        <w:rPr>
          <w:rFonts w:ascii="Arial" w:hAnsi="Arial" w:cs="Arial"/>
        </w:rPr>
        <w:t>(10)</w:t>
      </w:r>
      <w:r w:rsidRPr="003648F5">
        <w:rPr>
          <w:rFonts w:ascii="Arial" w:hAnsi="Arial" w:cs="Arial"/>
        </w:rPr>
        <w:tab/>
        <w:t xml:space="preserve">Brooke, G. N.; Prischi, F. Structural and Functional Modelling of SARS-CoV-2 Entry in Animal Models. </w:t>
      </w:r>
      <w:r w:rsidRPr="003648F5">
        <w:rPr>
          <w:rFonts w:ascii="Arial" w:hAnsi="Arial" w:cs="Arial"/>
          <w:i/>
          <w:iCs/>
        </w:rPr>
        <w:t>Sci. Rep.</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10</w:t>
      </w:r>
      <w:r w:rsidRPr="003648F5">
        <w:rPr>
          <w:rFonts w:ascii="Arial" w:hAnsi="Arial" w:cs="Arial"/>
        </w:rPr>
        <w:t xml:space="preserve"> (1), 15917. https://doi.org/10.1038/s41598-020-72528-z.</w:t>
      </w:r>
    </w:p>
    <w:p w14:paraId="444313AC" w14:textId="77777777" w:rsidR="003648F5" w:rsidRPr="003648F5" w:rsidRDefault="003648F5" w:rsidP="003648F5">
      <w:pPr>
        <w:pStyle w:val="Bibliography"/>
        <w:rPr>
          <w:rFonts w:ascii="Arial" w:hAnsi="Arial" w:cs="Arial"/>
        </w:rPr>
      </w:pPr>
      <w:r w:rsidRPr="003648F5">
        <w:rPr>
          <w:rFonts w:ascii="Arial" w:hAnsi="Arial" w:cs="Arial"/>
        </w:rPr>
        <w:t>(11)</w:t>
      </w:r>
      <w:r w:rsidRPr="003648F5">
        <w:rPr>
          <w:rFonts w:ascii="Arial" w:hAnsi="Arial" w:cs="Arial"/>
        </w:rPr>
        <w:tab/>
        <w:t xml:space="preserve">Hennekens, C. H.; Rane, M.; Solano, J.; Alter, S.; Johnson, H.; Krishnaswamy, S.; Shih, R.; Maki, D.; DeMets, D. L. Updates on Hydroxychloroquine in Prevention and Treatment of COVID-19. </w:t>
      </w:r>
      <w:r w:rsidRPr="003648F5">
        <w:rPr>
          <w:rFonts w:ascii="Arial" w:hAnsi="Arial" w:cs="Arial"/>
          <w:i/>
          <w:iCs/>
        </w:rPr>
        <w:t>Am. J. Med.</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135</w:t>
      </w:r>
      <w:r w:rsidRPr="003648F5">
        <w:rPr>
          <w:rFonts w:ascii="Arial" w:hAnsi="Arial" w:cs="Arial"/>
        </w:rPr>
        <w:t xml:space="preserve"> (1), 7–9. https://doi.org/10.1016/j.amjmed.2021.07.035.</w:t>
      </w:r>
    </w:p>
    <w:p w14:paraId="5C569961" w14:textId="77777777" w:rsidR="003648F5" w:rsidRPr="003648F5" w:rsidRDefault="003648F5" w:rsidP="003648F5">
      <w:pPr>
        <w:pStyle w:val="Bibliography"/>
        <w:rPr>
          <w:rFonts w:ascii="Arial" w:hAnsi="Arial" w:cs="Arial"/>
        </w:rPr>
      </w:pPr>
      <w:r w:rsidRPr="003648F5">
        <w:rPr>
          <w:rFonts w:ascii="Arial" w:hAnsi="Arial" w:cs="Arial"/>
        </w:rPr>
        <w:t>(12)</w:t>
      </w:r>
      <w:r w:rsidRPr="003648F5">
        <w:rPr>
          <w:rFonts w:ascii="Arial" w:hAnsi="Arial" w:cs="Arial"/>
        </w:rPr>
        <w:tab/>
      </w:r>
      <w:r w:rsidRPr="00BF750D">
        <w:rPr>
          <w:rFonts w:ascii="Arial" w:hAnsi="Arial" w:cs="Arial"/>
          <w:highlight w:val="yellow"/>
        </w:rPr>
        <w:t xml:space="preserve">Eweas, A. F.; Alhossary, A. A.; Abdel-Moneim, A. S. Molecular Docking Reveals Ivermectin and Remdesivir as Potential Repurposed Drugs Against SARS-CoV-2. </w:t>
      </w:r>
      <w:r w:rsidRPr="00BF750D">
        <w:rPr>
          <w:rFonts w:ascii="Arial" w:hAnsi="Arial" w:cs="Arial"/>
          <w:i/>
          <w:iCs/>
          <w:highlight w:val="yellow"/>
        </w:rPr>
        <w:t>Front. Microbiol.</w:t>
      </w:r>
      <w:r w:rsidRPr="00BF750D">
        <w:rPr>
          <w:rFonts w:ascii="Arial" w:hAnsi="Arial" w:cs="Arial"/>
          <w:highlight w:val="yellow"/>
        </w:rPr>
        <w:t xml:space="preserve"> </w:t>
      </w:r>
      <w:r w:rsidRPr="00BF750D">
        <w:rPr>
          <w:rFonts w:ascii="Arial" w:hAnsi="Arial" w:cs="Arial"/>
          <w:b/>
          <w:bCs/>
          <w:highlight w:val="yellow"/>
        </w:rPr>
        <w:t>2021</w:t>
      </w:r>
      <w:r w:rsidRPr="00BF750D">
        <w:rPr>
          <w:rFonts w:ascii="Arial" w:hAnsi="Arial" w:cs="Arial"/>
          <w:highlight w:val="yellow"/>
        </w:rPr>
        <w:t xml:space="preserve">, </w:t>
      </w:r>
      <w:r w:rsidRPr="00BF750D">
        <w:rPr>
          <w:rFonts w:ascii="Arial" w:hAnsi="Arial" w:cs="Arial"/>
          <w:i/>
          <w:iCs/>
          <w:highlight w:val="yellow"/>
        </w:rPr>
        <w:t>11</w:t>
      </w:r>
      <w:r w:rsidRPr="00BF750D">
        <w:rPr>
          <w:rFonts w:ascii="Arial" w:hAnsi="Arial" w:cs="Arial"/>
          <w:highlight w:val="yellow"/>
        </w:rPr>
        <w:t>, 592908. https://doi.org/10.3389/fmicb.2020.592908</w:t>
      </w:r>
      <w:r w:rsidRPr="003648F5">
        <w:rPr>
          <w:rFonts w:ascii="Arial" w:hAnsi="Arial" w:cs="Arial"/>
        </w:rPr>
        <w:t>.</w:t>
      </w:r>
    </w:p>
    <w:p w14:paraId="01470DA9" w14:textId="77777777" w:rsidR="003648F5" w:rsidRPr="003648F5" w:rsidRDefault="003648F5" w:rsidP="003648F5">
      <w:pPr>
        <w:pStyle w:val="Bibliography"/>
        <w:rPr>
          <w:rFonts w:ascii="Arial" w:hAnsi="Arial" w:cs="Arial"/>
        </w:rPr>
      </w:pPr>
      <w:r w:rsidRPr="003648F5">
        <w:rPr>
          <w:rFonts w:ascii="Arial" w:hAnsi="Arial" w:cs="Arial"/>
        </w:rPr>
        <w:t>(13)</w:t>
      </w:r>
      <w:r w:rsidRPr="003648F5">
        <w:rPr>
          <w:rFonts w:ascii="Arial" w:hAnsi="Arial" w:cs="Arial"/>
        </w:rPr>
        <w:tab/>
        <w:t xml:space="preserve">Aslam, M.; Nawaz, M. S.; Fournier-Viger, P.; Li, W. Comparative Analysis and Classification of SARS-CoV-2 Spike Protein Structures in PDB. </w:t>
      </w:r>
      <w:r w:rsidRPr="003648F5">
        <w:rPr>
          <w:rFonts w:ascii="Arial" w:hAnsi="Arial" w:cs="Arial"/>
          <w:i/>
          <w:iCs/>
        </w:rPr>
        <w:t>COVID</w:t>
      </w:r>
      <w:r w:rsidRPr="003648F5">
        <w:rPr>
          <w:rFonts w:ascii="Arial" w:hAnsi="Arial" w:cs="Arial"/>
        </w:rPr>
        <w:t xml:space="preserve"> </w:t>
      </w:r>
      <w:r w:rsidRPr="003648F5">
        <w:rPr>
          <w:rFonts w:ascii="Arial" w:hAnsi="Arial" w:cs="Arial"/>
          <w:b/>
          <w:bCs/>
        </w:rPr>
        <w:t>2023</w:t>
      </w:r>
      <w:r w:rsidRPr="003648F5">
        <w:rPr>
          <w:rFonts w:ascii="Arial" w:hAnsi="Arial" w:cs="Arial"/>
        </w:rPr>
        <w:t xml:space="preserve">, </w:t>
      </w:r>
      <w:r w:rsidRPr="003648F5">
        <w:rPr>
          <w:rFonts w:ascii="Arial" w:hAnsi="Arial" w:cs="Arial"/>
          <w:i/>
          <w:iCs/>
        </w:rPr>
        <w:t>3</w:t>
      </w:r>
      <w:r w:rsidRPr="003648F5">
        <w:rPr>
          <w:rFonts w:ascii="Arial" w:hAnsi="Arial" w:cs="Arial"/>
        </w:rPr>
        <w:t xml:space="preserve"> (4), 452–471. https://doi.org/10.3390/covid3040034.</w:t>
      </w:r>
    </w:p>
    <w:p w14:paraId="1DE3C3B2" w14:textId="77777777" w:rsidR="003648F5" w:rsidRPr="003648F5" w:rsidRDefault="003648F5" w:rsidP="003648F5">
      <w:pPr>
        <w:pStyle w:val="Bibliography"/>
        <w:rPr>
          <w:rFonts w:ascii="Arial" w:hAnsi="Arial" w:cs="Arial"/>
        </w:rPr>
      </w:pPr>
      <w:r w:rsidRPr="003648F5">
        <w:rPr>
          <w:rFonts w:ascii="Arial" w:hAnsi="Arial" w:cs="Arial"/>
        </w:rPr>
        <w:lastRenderedPageBreak/>
        <w:t>(14)</w:t>
      </w:r>
      <w:r w:rsidRPr="003648F5">
        <w:rPr>
          <w:rFonts w:ascii="Arial" w:hAnsi="Arial" w:cs="Arial"/>
        </w:rPr>
        <w:tab/>
        <w:t xml:space="preserve">Parthiban, G.; Dushanan, R.; Weerasinghe, S.; Dissanayake, D.; Senthilnithy, R. Exploration of Novel Mono Hydroxamic Acid Derivatives as Inhibitors for Histone Deacetylase Like Protein (HDLP) by Molecular Dynamics Studies. </w:t>
      </w:r>
      <w:r w:rsidRPr="003648F5">
        <w:rPr>
          <w:rFonts w:ascii="Arial" w:hAnsi="Arial" w:cs="Arial"/>
          <w:i/>
          <w:iCs/>
        </w:rPr>
        <w:t>Indones. J. Chem.</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(6), 1534. https://doi.org/10.22146/ijc.74167.</w:t>
      </w:r>
    </w:p>
    <w:p w14:paraId="45D73917" w14:textId="77777777" w:rsidR="003648F5" w:rsidRPr="003648F5" w:rsidRDefault="003648F5" w:rsidP="003648F5">
      <w:pPr>
        <w:pStyle w:val="Bibliography"/>
        <w:rPr>
          <w:rFonts w:ascii="Arial" w:hAnsi="Arial" w:cs="Arial"/>
        </w:rPr>
      </w:pPr>
      <w:r w:rsidRPr="003648F5">
        <w:rPr>
          <w:rFonts w:ascii="Arial" w:hAnsi="Arial" w:cs="Arial"/>
        </w:rPr>
        <w:t>(15)</w:t>
      </w:r>
      <w:r w:rsidRPr="003648F5">
        <w:rPr>
          <w:rFonts w:ascii="Arial" w:hAnsi="Arial" w:cs="Arial"/>
        </w:rPr>
        <w:tab/>
        <w:t xml:space="preserve">Negru, P. A.; Miculas, D. C.; Behl, T.; Bungau, A. F.; Marin, R.-C.; Bungau, S. G. Virtual Screening of Substances Used in the Treatment of SARS-CoV-2 Infection and Analysis of Compounds with Known Action on Structurally Similar Proteins from Other Viruses. </w:t>
      </w:r>
      <w:r w:rsidRPr="003648F5">
        <w:rPr>
          <w:rFonts w:ascii="Arial" w:hAnsi="Arial" w:cs="Arial"/>
          <w:i/>
          <w:iCs/>
        </w:rPr>
        <w:t>Biomed. Pharmacother.</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153</w:t>
      </w:r>
      <w:r w:rsidRPr="003648F5">
        <w:rPr>
          <w:rFonts w:ascii="Arial" w:hAnsi="Arial" w:cs="Arial"/>
        </w:rPr>
        <w:t>, 113432. https://doi.org/10.1016/j.biopha.2022.113432.</w:t>
      </w:r>
    </w:p>
    <w:p w14:paraId="6CB5F9E3" w14:textId="77777777" w:rsidR="003648F5" w:rsidRPr="003648F5" w:rsidRDefault="003648F5" w:rsidP="003648F5">
      <w:pPr>
        <w:pStyle w:val="Bibliography"/>
        <w:rPr>
          <w:rFonts w:ascii="Arial" w:hAnsi="Arial" w:cs="Arial"/>
        </w:rPr>
      </w:pPr>
      <w:r w:rsidRPr="003648F5">
        <w:rPr>
          <w:rFonts w:ascii="Arial" w:hAnsi="Arial" w:cs="Arial"/>
        </w:rPr>
        <w:t>(16)</w:t>
      </w:r>
      <w:r w:rsidRPr="003648F5">
        <w:rPr>
          <w:rFonts w:ascii="Arial" w:hAnsi="Arial" w:cs="Arial"/>
        </w:rPr>
        <w:tab/>
        <w:t xml:space="preserve">Parthiban, G.; Dushanan, R.; Weerasinghe, S.; Dissanayake, D.; Senthilnithy, R. Exploration of Novel Mono Hydroxamic Acid Derivatives as Inhibitors for Histone Deacetylase Like Protein (HDLP) by Molecular Dynamics Studies. </w:t>
      </w:r>
      <w:r w:rsidRPr="003648F5">
        <w:rPr>
          <w:rFonts w:ascii="Arial" w:hAnsi="Arial" w:cs="Arial"/>
          <w:i/>
          <w:iCs/>
        </w:rPr>
        <w:t>Indones. J. Chem.</w:t>
      </w:r>
      <w:r w:rsidRPr="003648F5">
        <w:rPr>
          <w:rFonts w:ascii="Arial" w:hAnsi="Arial" w:cs="Arial"/>
        </w:rPr>
        <w:t xml:space="preserve"> </w:t>
      </w:r>
      <w:r w:rsidRPr="003648F5">
        <w:rPr>
          <w:rFonts w:ascii="Arial" w:hAnsi="Arial" w:cs="Arial"/>
          <w:b/>
          <w:bCs/>
        </w:rPr>
        <w:t>2022</w:t>
      </w:r>
      <w:r w:rsidRPr="003648F5">
        <w:rPr>
          <w:rFonts w:ascii="Arial" w:hAnsi="Arial" w:cs="Arial"/>
        </w:rPr>
        <w:t xml:space="preserve">, </w:t>
      </w:r>
      <w:r w:rsidRPr="003648F5">
        <w:rPr>
          <w:rFonts w:ascii="Arial" w:hAnsi="Arial" w:cs="Arial"/>
          <w:i/>
          <w:iCs/>
        </w:rPr>
        <w:t>22</w:t>
      </w:r>
      <w:r w:rsidRPr="003648F5">
        <w:rPr>
          <w:rFonts w:ascii="Arial" w:hAnsi="Arial" w:cs="Arial"/>
        </w:rPr>
        <w:t xml:space="preserve"> (6), 1534. https://doi.org/10.22146/ijc.74167.</w:t>
      </w:r>
    </w:p>
    <w:p w14:paraId="1C406969" w14:textId="77777777" w:rsidR="003648F5" w:rsidRPr="003648F5" w:rsidRDefault="003648F5" w:rsidP="003648F5">
      <w:pPr>
        <w:pStyle w:val="Bibliography"/>
        <w:rPr>
          <w:rFonts w:ascii="Arial" w:hAnsi="Arial" w:cs="Arial"/>
        </w:rPr>
      </w:pPr>
      <w:r w:rsidRPr="003648F5">
        <w:rPr>
          <w:rFonts w:ascii="Arial" w:hAnsi="Arial" w:cs="Arial"/>
        </w:rPr>
        <w:t>(17)</w:t>
      </w:r>
      <w:r w:rsidRPr="003648F5">
        <w:rPr>
          <w:rFonts w:ascii="Arial" w:hAnsi="Arial" w:cs="Arial"/>
        </w:rPr>
        <w:tab/>
        <w:t xml:space="preserve">Hassanzadeganroudsari, M.; Ahmadi, A.; Rashidi, N.; Hossain, M.; Habib, A.; Apostolopoulos, V. Computational Chemistry to Repurposing Drugs for the Control of COVID-19. </w:t>
      </w:r>
      <w:r w:rsidRPr="003648F5">
        <w:rPr>
          <w:rFonts w:ascii="Arial" w:hAnsi="Arial" w:cs="Arial"/>
          <w:i/>
          <w:iCs/>
        </w:rPr>
        <w:t>Biologics</w:t>
      </w:r>
      <w:r w:rsidRPr="003648F5">
        <w:rPr>
          <w:rFonts w:ascii="Arial" w:hAnsi="Arial" w:cs="Arial"/>
        </w:rPr>
        <w:t xml:space="preserve"> </w:t>
      </w:r>
      <w:r w:rsidRPr="003648F5">
        <w:rPr>
          <w:rFonts w:ascii="Arial" w:hAnsi="Arial" w:cs="Arial"/>
          <w:b/>
          <w:bCs/>
        </w:rPr>
        <w:t>2021</w:t>
      </w:r>
      <w:r w:rsidRPr="003648F5">
        <w:rPr>
          <w:rFonts w:ascii="Arial" w:hAnsi="Arial" w:cs="Arial"/>
        </w:rPr>
        <w:t xml:space="preserve">, </w:t>
      </w:r>
      <w:r w:rsidRPr="003648F5">
        <w:rPr>
          <w:rFonts w:ascii="Arial" w:hAnsi="Arial" w:cs="Arial"/>
          <w:i/>
          <w:iCs/>
        </w:rPr>
        <w:t>1</w:t>
      </w:r>
      <w:r w:rsidRPr="003648F5">
        <w:rPr>
          <w:rFonts w:ascii="Arial" w:hAnsi="Arial" w:cs="Arial"/>
        </w:rPr>
        <w:t xml:space="preserve"> (2), 111–128. https://doi.org/10.3390/biologics1020007.</w:t>
      </w:r>
    </w:p>
    <w:p w14:paraId="6E18A301" w14:textId="77777777" w:rsidR="003648F5" w:rsidRPr="003648F5" w:rsidRDefault="003648F5" w:rsidP="003648F5">
      <w:pPr>
        <w:pStyle w:val="Bibliography"/>
        <w:rPr>
          <w:rFonts w:ascii="Arial" w:hAnsi="Arial" w:cs="Arial"/>
        </w:rPr>
      </w:pPr>
      <w:r w:rsidRPr="003648F5">
        <w:rPr>
          <w:rFonts w:ascii="Arial" w:hAnsi="Arial" w:cs="Arial"/>
        </w:rPr>
        <w:t>(18)</w:t>
      </w:r>
      <w:r w:rsidRPr="003648F5">
        <w:rPr>
          <w:rFonts w:ascii="Arial" w:hAnsi="Arial" w:cs="Arial"/>
        </w:rPr>
        <w:tab/>
        <w:t xml:space="preserve">Ali, A.; Vijayan, R. Dynamics of the ACE2–SARS-CoV-2/SARS-CoV Spike Protein Interface Reveal Unique Mechanisms. </w:t>
      </w:r>
      <w:r w:rsidRPr="003648F5">
        <w:rPr>
          <w:rFonts w:ascii="Arial" w:hAnsi="Arial" w:cs="Arial"/>
          <w:i/>
          <w:iCs/>
        </w:rPr>
        <w:t>Sci. Rep.</w:t>
      </w:r>
      <w:r w:rsidRPr="003648F5">
        <w:rPr>
          <w:rFonts w:ascii="Arial" w:hAnsi="Arial" w:cs="Arial"/>
        </w:rPr>
        <w:t xml:space="preserve"> </w:t>
      </w:r>
      <w:r w:rsidRPr="003648F5">
        <w:rPr>
          <w:rFonts w:ascii="Arial" w:hAnsi="Arial" w:cs="Arial"/>
          <w:b/>
          <w:bCs/>
        </w:rPr>
        <w:t>2020</w:t>
      </w:r>
      <w:r w:rsidRPr="003648F5">
        <w:rPr>
          <w:rFonts w:ascii="Arial" w:hAnsi="Arial" w:cs="Arial"/>
        </w:rPr>
        <w:t xml:space="preserve">, </w:t>
      </w:r>
      <w:r w:rsidRPr="003648F5">
        <w:rPr>
          <w:rFonts w:ascii="Arial" w:hAnsi="Arial" w:cs="Arial"/>
          <w:i/>
          <w:iCs/>
        </w:rPr>
        <w:t>10</w:t>
      </w:r>
      <w:r w:rsidRPr="003648F5">
        <w:rPr>
          <w:rFonts w:ascii="Arial" w:hAnsi="Arial" w:cs="Arial"/>
        </w:rPr>
        <w:t xml:space="preserve"> (1), 14214. https://doi.org/10.1038/s41598-020-71188-3.</w:t>
      </w:r>
    </w:p>
    <w:p w14:paraId="4D54CC8D" w14:textId="597577E6" w:rsidR="003648F5" w:rsidRPr="008416DA" w:rsidRDefault="003648F5" w:rsidP="007F37B3">
      <w:pPr>
        <w:tabs>
          <w:tab w:val="left" w:pos="720"/>
        </w:tabs>
        <w:jc w:val="both"/>
        <w:rPr>
          <w:rFonts w:ascii="Arial" w:hAnsi="Arial" w:cs="Arial"/>
        </w:rPr>
      </w:pPr>
      <w:r w:rsidRPr="003648F5">
        <w:rPr>
          <w:rFonts w:ascii="Arial" w:hAnsi="Arial" w:cs="Arial"/>
          <w:b/>
        </w:rPr>
        <w:fldChar w:fldCharType="end"/>
      </w:r>
      <w:commentRangeEnd w:id="10"/>
      <w:r w:rsidR="00BF750D">
        <w:rPr>
          <w:rStyle w:val="CommentReference"/>
          <w:rFonts w:ascii="Times New Roman" w:hAnsi="Times New Roman"/>
          <w:lang w:val="nb-NO" w:eastAsia="nb-NO"/>
        </w:rPr>
        <w:commentReference w:id="10"/>
      </w:r>
    </w:p>
    <w:sectPr w:rsidR="003648F5" w:rsidRPr="008416DA" w:rsidSect="00681543">
      <w:headerReference w:type="even" r:id="rId35"/>
      <w:headerReference w:type="default" r:id="rId36"/>
      <w:footerReference w:type="default" r:id="rId37"/>
      <w:headerReference w:type="first" r:id="rId38"/>
      <w:type w:val="continuous"/>
      <w:pgSz w:w="12240" w:h="15840"/>
      <w:pgMar w:top="1440" w:right="2016" w:bottom="2016" w:left="201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sus" w:date="2025-12-22T21:17:00Z" w:initials="A">
    <w:p w14:paraId="1FD5A930" w14:textId="14AA6E95" w:rsidR="00F272CA" w:rsidRDefault="00F272CA">
      <w:pPr>
        <w:pStyle w:val="CommentText"/>
      </w:pPr>
      <w:r>
        <w:rPr>
          <w:rStyle w:val="CommentReference"/>
        </w:rPr>
        <w:annotationRef/>
      </w:r>
      <w:r>
        <w:t>In the result and dicussion and conclusion-there is no correlation given for spike protein inhibitors, and main point of discussion is ACE-2 inhibitors. Then it should be included in the title as well.</w:t>
      </w:r>
    </w:p>
  </w:comment>
  <w:comment w:id="1" w:author="Asus" w:date="2025-12-22T20:57:00Z" w:initials="A">
    <w:p w14:paraId="3051D5AF" w14:textId="4246C1E3" w:rsidR="00A8380D" w:rsidRPr="00A8380D" w:rsidRDefault="00A8380D">
      <w:pPr>
        <w:pStyle w:val="CommentText"/>
        <w:rPr>
          <w:b/>
        </w:rPr>
      </w:pPr>
      <w:r w:rsidRPr="00A8380D">
        <w:rPr>
          <w:rStyle w:val="CommentReference"/>
          <w:b/>
        </w:rPr>
        <w:annotationRef/>
      </w:r>
      <w:r w:rsidRPr="00A8380D">
        <w:rPr>
          <w:rFonts w:ascii="Arial" w:hAnsi="Arial" w:cs="Arial"/>
          <w:b/>
          <w:bCs/>
          <w:iCs/>
          <w:kern w:val="28"/>
          <w:sz w:val="36"/>
        </w:rPr>
        <w:t>COVID Spike Protein inhibitors</w:t>
      </w:r>
      <w:r>
        <w:rPr>
          <w:rFonts w:ascii="Arial" w:hAnsi="Arial" w:cs="Arial"/>
          <w:b/>
          <w:bCs/>
          <w:iCs/>
          <w:kern w:val="28"/>
          <w:sz w:val="36"/>
        </w:rPr>
        <w:t>-</w:t>
      </w:r>
      <w:r>
        <w:rPr>
          <w:rFonts w:ascii="Arial" w:hAnsi="Arial" w:cs="Arial"/>
          <w:bCs/>
          <w:iCs/>
          <w:kern w:val="28"/>
          <w:sz w:val="36"/>
        </w:rPr>
        <w:t>i</w:t>
      </w:r>
      <w:r w:rsidRPr="00A8380D">
        <w:rPr>
          <w:rFonts w:ascii="Arial" w:hAnsi="Arial" w:cs="Arial"/>
          <w:bCs/>
          <w:iCs/>
          <w:kern w:val="28"/>
          <w:sz w:val="36"/>
        </w:rPr>
        <w:t>s</w:t>
      </w:r>
      <w:r>
        <w:rPr>
          <w:rFonts w:ascii="Arial" w:hAnsi="Arial" w:cs="Arial"/>
          <w:bCs/>
          <w:iCs/>
          <w:kern w:val="28"/>
          <w:sz w:val="36"/>
        </w:rPr>
        <w:t xml:space="preserve"> included in</w:t>
      </w:r>
      <w:r w:rsidRPr="00A8380D">
        <w:rPr>
          <w:rFonts w:ascii="Arial" w:hAnsi="Arial" w:cs="Arial"/>
          <w:bCs/>
          <w:iCs/>
          <w:kern w:val="28"/>
          <w:sz w:val="36"/>
        </w:rPr>
        <w:t xml:space="preserve"> the title of thi</w:t>
      </w:r>
      <w:r>
        <w:rPr>
          <w:rFonts w:ascii="Arial" w:hAnsi="Arial" w:cs="Arial"/>
          <w:bCs/>
          <w:iCs/>
          <w:kern w:val="28"/>
          <w:sz w:val="36"/>
        </w:rPr>
        <w:t>s manuscript, so must be included in the keywords as well.</w:t>
      </w:r>
    </w:p>
  </w:comment>
  <w:comment w:id="2" w:author="Asus" w:date="2025-12-22T21:04:00Z" w:initials="A">
    <w:p w14:paraId="418B7D66" w14:textId="0C8739D5" w:rsidR="00215408" w:rsidRDefault="00215408">
      <w:pPr>
        <w:pStyle w:val="CommentText"/>
      </w:pPr>
      <w:r>
        <w:rPr>
          <w:rStyle w:val="CommentReference"/>
        </w:rPr>
        <w:annotationRef/>
      </w:r>
      <w:r>
        <w:t xml:space="preserve">Please mention the </w:t>
      </w:r>
      <w:r>
        <w:t>Schrödinger release/version of the Glide docking module used</w:t>
      </w:r>
      <w:r>
        <w:t>.</w:t>
      </w:r>
    </w:p>
  </w:comment>
  <w:comment w:id="3" w:author="Asus" w:date="2025-12-22T20:59:00Z" w:initials="A">
    <w:p w14:paraId="6BB58516" w14:textId="0BC0DE66" w:rsidR="00215408" w:rsidRDefault="00215408">
      <w:pPr>
        <w:pStyle w:val="CommentText"/>
      </w:pPr>
      <w:r>
        <w:rPr>
          <w:rStyle w:val="CommentReference"/>
        </w:rPr>
        <w:annotationRef/>
      </w:r>
      <w:r>
        <w:t>The valuesx of grid selection can be included for better understanding.</w:t>
      </w:r>
    </w:p>
  </w:comment>
  <w:comment w:id="4" w:author="Asus" w:date="2025-12-22T21:59:00Z" w:initials="A">
    <w:p w14:paraId="5F8BB23F" w14:textId="77777777" w:rsidR="00C878B9" w:rsidRDefault="00C87D8F" w:rsidP="00C878B9">
      <w:pPr>
        <w:pStyle w:val="CommentText"/>
        <w:rPr>
          <w:noProof/>
        </w:rPr>
      </w:pPr>
      <w:r>
        <w:rPr>
          <w:rStyle w:val="CommentReference"/>
        </w:rPr>
        <w:annotationRef/>
      </w:r>
      <w:r>
        <w:t>The ADMET studies has been written but the properties-</w:t>
      </w:r>
      <w:r w:rsidR="00084A5F">
        <w:rPr>
          <w:noProof/>
        </w:rPr>
        <w:t xml:space="preserve"> </w:t>
      </w:r>
      <w:r w:rsidR="00084A5F">
        <w:rPr>
          <w:noProof/>
        </w:rPr>
        <w:t>M</w:t>
      </w:r>
      <w:r w:rsidR="00084A5F">
        <w:rPr>
          <w:noProof/>
        </w:rPr>
        <w:t>O</w:t>
      </w:r>
      <w:r w:rsidR="00084A5F">
        <w:rPr>
          <w:noProof/>
        </w:rPr>
        <w:t>l</w:t>
      </w:r>
      <w:r w:rsidR="00084A5F">
        <w:rPr>
          <w:noProof/>
        </w:rPr>
        <w:t xml:space="preserve"> </w:t>
      </w:r>
      <w:r w:rsidR="00084A5F">
        <w:rPr>
          <w:noProof/>
        </w:rPr>
        <w:t>W</w:t>
      </w:r>
      <w:r w:rsidR="00084A5F">
        <w:rPr>
          <w:noProof/>
        </w:rPr>
        <w:t>T</w:t>
      </w:r>
      <w:r w:rsidR="00084A5F">
        <w:rPr>
          <w:noProof/>
        </w:rPr>
        <w:t>,</w:t>
      </w:r>
      <w:r w:rsidR="00084A5F">
        <w:rPr>
          <w:noProof/>
        </w:rPr>
        <w:t xml:space="preserve"> </w:t>
      </w:r>
      <w:r w:rsidR="00084A5F">
        <w:rPr>
          <w:noProof/>
        </w:rPr>
        <w:t>Q</w:t>
      </w:r>
      <w:r w:rsidR="00084A5F">
        <w:rPr>
          <w:noProof/>
        </w:rPr>
        <w:t>l</w:t>
      </w:r>
      <w:r w:rsidR="00084A5F">
        <w:rPr>
          <w:noProof/>
        </w:rPr>
        <w:t>o</w:t>
      </w:r>
      <w:r w:rsidR="00084A5F">
        <w:rPr>
          <w:noProof/>
        </w:rPr>
        <w:t>g</w:t>
      </w:r>
      <w:r w:rsidR="00084A5F">
        <w:rPr>
          <w:noProof/>
        </w:rPr>
        <w:t>P</w:t>
      </w:r>
      <w:r w:rsidR="00084A5F">
        <w:rPr>
          <w:noProof/>
        </w:rPr>
        <w:t>,</w:t>
      </w:r>
      <w:r w:rsidR="00084A5F">
        <w:rPr>
          <w:noProof/>
        </w:rPr>
        <w:t xml:space="preserve"> </w:t>
      </w:r>
      <w:r w:rsidR="00084A5F">
        <w:rPr>
          <w:noProof/>
        </w:rPr>
        <w:t>D</w:t>
      </w:r>
      <w:r w:rsidR="00084A5F">
        <w:rPr>
          <w:noProof/>
        </w:rPr>
        <w:t>o</w:t>
      </w:r>
      <w:r w:rsidR="00084A5F">
        <w:rPr>
          <w:noProof/>
        </w:rPr>
        <w:t>n</w:t>
      </w:r>
      <w:r w:rsidR="00084A5F">
        <w:rPr>
          <w:noProof/>
        </w:rPr>
        <w:t>o</w:t>
      </w:r>
      <w:r w:rsidR="00084A5F">
        <w:rPr>
          <w:noProof/>
        </w:rPr>
        <w:t>r</w:t>
      </w:r>
      <w:r w:rsidR="00084A5F">
        <w:rPr>
          <w:noProof/>
        </w:rPr>
        <w:t xml:space="preserve"> </w:t>
      </w:r>
      <w:r w:rsidR="00084A5F">
        <w:rPr>
          <w:noProof/>
        </w:rPr>
        <w:t>H</w:t>
      </w:r>
      <w:r w:rsidR="00084A5F">
        <w:rPr>
          <w:noProof/>
        </w:rPr>
        <w:t>B</w:t>
      </w:r>
      <w:r w:rsidR="00084A5F">
        <w:rPr>
          <w:noProof/>
        </w:rPr>
        <w:t>,</w:t>
      </w:r>
      <w:r w:rsidR="00084A5F">
        <w:rPr>
          <w:noProof/>
        </w:rPr>
        <w:t xml:space="preserve"> </w:t>
      </w:r>
      <w:r w:rsidR="00084A5F">
        <w:rPr>
          <w:noProof/>
        </w:rPr>
        <w:t>A</w:t>
      </w:r>
      <w:r w:rsidR="00084A5F">
        <w:rPr>
          <w:noProof/>
        </w:rPr>
        <w:t>c</w:t>
      </w:r>
      <w:r w:rsidR="00084A5F">
        <w:rPr>
          <w:noProof/>
        </w:rPr>
        <w:t>c</w:t>
      </w:r>
      <w:r w:rsidR="00084A5F">
        <w:rPr>
          <w:noProof/>
        </w:rPr>
        <w:t>c</w:t>
      </w:r>
      <w:r w:rsidR="00084A5F">
        <w:rPr>
          <w:noProof/>
        </w:rPr>
        <w:t>e</w:t>
      </w:r>
      <w:r w:rsidR="00084A5F">
        <w:rPr>
          <w:noProof/>
        </w:rPr>
        <w:t>p</w:t>
      </w:r>
      <w:r w:rsidR="00084A5F">
        <w:rPr>
          <w:noProof/>
        </w:rPr>
        <w:t>t</w:t>
      </w:r>
      <w:r w:rsidR="00084A5F">
        <w:rPr>
          <w:noProof/>
        </w:rPr>
        <w:t>o</w:t>
      </w:r>
      <w:r w:rsidR="00084A5F">
        <w:rPr>
          <w:noProof/>
        </w:rPr>
        <w:t>r</w:t>
      </w:r>
      <w:r w:rsidR="00084A5F">
        <w:rPr>
          <w:noProof/>
        </w:rPr>
        <w:t xml:space="preserve"> </w:t>
      </w:r>
      <w:r w:rsidR="00084A5F">
        <w:rPr>
          <w:noProof/>
        </w:rPr>
        <w:t>H</w:t>
      </w:r>
      <w:r w:rsidR="00084A5F">
        <w:rPr>
          <w:noProof/>
        </w:rPr>
        <w:t>B</w:t>
      </w:r>
      <w:r w:rsidR="00084A5F">
        <w:rPr>
          <w:noProof/>
        </w:rPr>
        <w:t>,</w:t>
      </w:r>
      <w:r w:rsidR="00084A5F">
        <w:rPr>
          <w:noProof/>
        </w:rPr>
        <w:t xml:space="preserve"> </w:t>
      </w:r>
      <w:r w:rsidR="00084A5F">
        <w:rPr>
          <w:noProof/>
        </w:rPr>
        <w:t>N</w:t>
      </w:r>
      <w:r w:rsidR="00084A5F">
        <w:rPr>
          <w:noProof/>
        </w:rPr>
        <w:t>+</w:t>
      </w:r>
      <w:r w:rsidR="00084A5F">
        <w:rPr>
          <w:noProof/>
        </w:rPr>
        <w:t>O</w:t>
      </w:r>
      <w:r w:rsidR="00084A5F">
        <w:rPr>
          <w:noProof/>
        </w:rPr>
        <w:t>,</w:t>
      </w:r>
      <w:r w:rsidR="00084A5F">
        <w:rPr>
          <w:noProof/>
        </w:rPr>
        <w:t xml:space="preserve"> </w:t>
      </w:r>
      <w:r w:rsidR="00084A5F">
        <w:rPr>
          <w:noProof/>
        </w:rPr>
        <w:t>Q</w:t>
      </w:r>
      <w:r w:rsidR="00084A5F">
        <w:rPr>
          <w:noProof/>
        </w:rPr>
        <w:t>P</w:t>
      </w:r>
      <w:r w:rsidR="00084A5F">
        <w:rPr>
          <w:noProof/>
        </w:rPr>
        <w:t>l</w:t>
      </w:r>
      <w:r w:rsidR="00084A5F">
        <w:rPr>
          <w:noProof/>
        </w:rPr>
        <w:t>o</w:t>
      </w:r>
      <w:r w:rsidR="00084A5F">
        <w:rPr>
          <w:noProof/>
        </w:rPr>
        <w:t>g</w:t>
      </w:r>
      <w:r w:rsidR="00084A5F">
        <w:rPr>
          <w:noProof/>
        </w:rPr>
        <w:t>S</w:t>
      </w:r>
      <w:r w:rsidR="00084A5F">
        <w:rPr>
          <w:noProof/>
        </w:rPr>
        <w:t>,</w:t>
      </w:r>
      <w:r w:rsidR="00084A5F">
        <w:rPr>
          <w:noProof/>
        </w:rPr>
        <w:t xml:space="preserve"> </w:t>
      </w:r>
      <w:r w:rsidR="00084A5F">
        <w:rPr>
          <w:noProof/>
        </w:rPr>
        <w:t>Q</w:t>
      </w:r>
      <w:r w:rsidR="00084A5F">
        <w:rPr>
          <w:noProof/>
        </w:rPr>
        <w:t>P</w:t>
      </w:r>
      <w:r w:rsidR="00084A5F">
        <w:rPr>
          <w:noProof/>
        </w:rPr>
        <w:t>P</w:t>
      </w:r>
      <w:r w:rsidR="00084A5F">
        <w:rPr>
          <w:noProof/>
        </w:rPr>
        <w:t>C</w:t>
      </w:r>
      <w:r w:rsidR="00084A5F">
        <w:rPr>
          <w:noProof/>
        </w:rPr>
        <w:t>a</w:t>
      </w:r>
      <w:r w:rsidR="00084A5F">
        <w:rPr>
          <w:noProof/>
        </w:rPr>
        <w:t>c</w:t>
      </w:r>
      <w:r w:rsidR="00084A5F">
        <w:rPr>
          <w:noProof/>
        </w:rPr>
        <w:t>o</w:t>
      </w:r>
      <w:r w:rsidR="00084A5F">
        <w:rPr>
          <w:noProof/>
        </w:rPr>
        <w:t xml:space="preserve"> </w:t>
      </w:r>
      <w:r w:rsidR="00084A5F">
        <w:rPr>
          <w:noProof/>
        </w:rPr>
        <w:t>-</w:t>
      </w:r>
      <w:r w:rsidR="00084A5F">
        <w:rPr>
          <w:noProof/>
        </w:rPr>
        <w:t>-</w:t>
      </w:r>
      <w:r w:rsidR="00084A5F">
        <w:rPr>
          <w:noProof/>
        </w:rPr>
        <w:t>-</w:t>
      </w:r>
      <w:r w:rsidR="00084A5F">
        <w:rPr>
          <w:noProof/>
        </w:rPr>
        <w:t>d</w:t>
      </w:r>
      <w:r w:rsidR="00084A5F">
        <w:rPr>
          <w:noProof/>
        </w:rPr>
        <w:t>o</w:t>
      </w:r>
      <w:r w:rsidR="00084A5F">
        <w:rPr>
          <w:noProof/>
        </w:rPr>
        <w:t xml:space="preserve"> </w:t>
      </w:r>
      <w:r w:rsidR="00084A5F">
        <w:rPr>
          <w:noProof/>
        </w:rPr>
        <w:t>n</w:t>
      </w:r>
      <w:r w:rsidR="00084A5F">
        <w:rPr>
          <w:noProof/>
        </w:rPr>
        <w:t>o</w:t>
      </w:r>
      <w:r w:rsidR="00084A5F">
        <w:rPr>
          <w:noProof/>
        </w:rPr>
        <w:t>t</w:t>
      </w:r>
      <w:r w:rsidR="00084A5F">
        <w:rPr>
          <w:noProof/>
        </w:rPr>
        <w:t xml:space="preserve"> </w:t>
      </w:r>
      <w:r w:rsidR="00084A5F">
        <w:rPr>
          <w:noProof/>
        </w:rPr>
        <w:t>g</w:t>
      </w:r>
      <w:r w:rsidR="00084A5F">
        <w:rPr>
          <w:noProof/>
        </w:rPr>
        <w:t>i</w:t>
      </w:r>
      <w:r w:rsidR="00084A5F">
        <w:rPr>
          <w:noProof/>
        </w:rPr>
        <w:t>v</w:t>
      </w:r>
      <w:r w:rsidR="00084A5F">
        <w:rPr>
          <w:noProof/>
        </w:rPr>
        <w:t>e</w:t>
      </w:r>
      <w:r w:rsidR="00084A5F">
        <w:rPr>
          <w:noProof/>
        </w:rPr>
        <w:t xml:space="preserve"> </w:t>
      </w:r>
      <w:r w:rsidR="00084A5F">
        <w:rPr>
          <w:noProof/>
        </w:rPr>
        <w:t>t</w:t>
      </w:r>
      <w:r w:rsidR="00084A5F">
        <w:rPr>
          <w:noProof/>
        </w:rPr>
        <w:t>h</w:t>
      </w:r>
      <w:r w:rsidR="00084A5F">
        <w:rPr>
          <w:noProof/>
        </w:rPr>
        <w:t>e</w:t>
      </w:r>
      <w:r w:rsidR="00084A5F">
        <w:rPr>
          <w:noProof/>
        </w:rPr>
        <w:t xml:space="preserve"> </w:t>
      </w:r>
      <w:r w:rsidR="00084A5F">
        <w:rPr>
          <w:noProof/>
        </w:rPr>
        <w:t>t</w:t>
      </w:r>
      <w:r w:rsidR="00084A5F">
        <w:rPr>
          <w:noProof/>
        </w:rPr>
        <w:t>o</w:t>
      </w:r>
      <w:r w:rsidR="00084A5F">
        <w:rPr>
          <w:noProof/>
        </w:rPr>
        <w:t>x</w:t>
      </w:r>
      <w:r w:rsidR="00084A5F">
        <w:rPr>
          <w:noProof/>
        </w:rPr>
        <w:t>i</w:t>
      </w:r>
      <w:r w:rsidR="00084A5F">
        <w:rPr>
          <w:noProof/>
        </w:rPr>
        <w:t>c</w:t>
      </w:r>
      <w:r w:rsidR="00084A5F">
        <w:rPr>
          <w:noProof/>
        </w:rPr>
        <w:t>i</w:t>
      </w:r>
      <w:r w:rsidR="00084A5F">
        <w:rPr>
          <w:noProof/>
        </w:rPr>
        <w:t>t</w:t>
      </w:r>
      <w:r w:rsidR="00084A5F">
        <w:rPr>
          <w:noProof/>
        </w:rPr>
        <w:t>y</w:t>
      </w:r>
      <w:r w:rsidR="00084A5F">
        <w:rPr>
          <w:noProof/>
        </w:rPr>
        <w:t xml:space="preserve"> </w:t>
      </w:r>
      <w:r w:rsidR="00084A5F">
        <w:rPr>
          <w:noProof/>
        </w:rPr>
        <w:t>d</w:t>
      </w:r>
      <w:r w:rsidR="00084A5F">
        <w:rPr>
          <w:noProof/>
        </w:rPr>
        <w:t>a</w:t>
      </w:r>
      <w:r w:rsidR="00084A5F">
        <w:rPr>
          <w:noProof/>
        </w:rPr>
        <w:t>t</w:t>
      </w:r>
      <w:r w:rsidR="00084A5F">
        <w:rPr>
          <w:noProof/>
        </w:rPr>
        <w:t>a</w:t>
      </w:r>
      <w:r w:rsidR="00084A5F">
        <w:rPr>
          <w:noProof/>
        </w:rPr>
        <w:t>.</w:t>
      </w:r>
      <w:r w:rsidR="00084A5F">
        <w:rPr>
          <w:noProof/>
        </w:rPr>
        <w:t xml:space="preserve"> </w:t>
      </w:r>
    </w:p>
    <w:p w14:paraId="7E1E1B73" w14:textId="5A573B52" w:rsidR="00C87D8F" w:rsidRPr="00C87D8F" w:rsidRDefault="00084A5F" w:rsidP="00C878B9">
      <w:pPr>
        <w:pStyle w:val="CommentText"/>
        <w:rPr>
          <w:b/>
        </w:rPr>
      </w:pPr>
      <w:r>
        <w:rPr>
          <w:noProof/>
        </w:rPr>
        <w:t>T</w:t>
      </w:r>
      <w:r>
        <w:rPr>
          <w:noProof/>
        </w:rPr>
        <w:t>o</w:t>
      </w:r>
      <w:r>
        <w:rPr>
          <w:noProof/>
        </w:rPr>
        <w:t>x</w:t>
      </w:r>
      <w:r>
        <w:rPr>
          <w:noProof/>
        </w:rPr>
        <w:t>i</w:t>
      </w:r>
      <w:r>
        <w:rPr>
          <w:noProof/>
        </w:rPr>
        <w:t>c</w:t>
      </w:r>
      <w:r>
        <w:rPr>
          <w:noProof/>
        </w:rPr>
        <w:t>i</w:t>
      </w:r>
      <w:r>
        <w:rPr>
          <w:noProof/>
        </w:rPr>
        <w:t>t</w:t>
      </w:r>
      <w:r>
        <w:rPr>
          <w:noProof/>
        </w:rPr>
        <w:t>y</w:t>
      </w:r>
      <w:r>
        <w:rPr>
          <w:noProof/>
        </w:rPr>
        <w:t xml:space="preserve"> </w:t>
      </w:r>
      <w:r>
        <w:rPr>
          <w:noProof/>
        </w:rPr>
        <w:t>d</w:t>
      </w:r>
      <w:r>
        <w:rPr>
          <w:noProof/>
        </w:rPr>
        <w:t>a</w:t>
      </w:r>
      <w:r>
        <w:rPr>
          <w:noProof/>
        </w:rPr>
        <w:t>t</w:t>
      </w:r>
      <w:r>
        <w:rPr>
          <w:noProof/>
        </w:rPr>
        <w:t>a</w:t>
      </w:r>
      <w:r>
        <w:rPr>
          <w:noProof/>
        </w:rPr>
        <w:t xml:space="preserve"> </w:t>
      </w:r>
      <w:r>
        <w:rPr>
          <w:noProof/>
        </w:rPr>
        <w:t>i</w:t>
      </w:r>
      <w:r>
        <w:rPr>
          <w:noProof/>
        </w:rPr>
        <w:t>n</w:t>
      </w:r>
      <w:r>
        <w:rPr>
          <w:noProof/>
        </w:rPr>
        <w:t>c</w:t>
      </w:r>
      <w:r>
        <w:rPr>
          <w:noProof/>
        </w:rPr>
        <w:t>l</w:t>
      </w:r>
      <w:r>
        <w:rPr>
          <w:noProof/>
        </w:rPr>
        <w:t>u</w:t>
      </w:r>
      <w:r>
        <w:rPr>
          <w:noProof/>
        </w:rPr>
        <w:t>d</w:t>
      </w:r>
      <w:r>
        <w:rPr>
          <w:noProof/>
        </w:rPr>
        <w:t>e</w:t>
      </w:r>
      <w:r>
        <w:rPr>
          <w:noProof/>
        </w:rPr>
        <w:t>s</w:t>
      </w:r>
      <w:r w:rsidRPr="00C87D8F">
        <w:rPr>
          <w:noProof/>
        </w:rPr>
        <w:t>-</w:t>
      </w:r>
      <w:r w:rsidR="00C87D8F" w:rsidRPr="00C87D8F">
        <w:t xml:space="preserve">  </w:t>
      </w:r>
      <w:r w:rsidR="00C87D8F" w:rsidRPr="00C87D8F">
        <w:rPr>
          <w:rStyle w:val="Strong"/>
          <w:b w:val="0"/>
        </w:rPr>
        <w:t>QPlogHERG</w:t>
      </w:r>
      <w:r w:rsidRPr="00C87D8F">
        <w:rPr>
          <w:rStyle w:val="Strong"/>
          <w:b w:val="0"/>
          <w:noProof/>
        </w:rPr>
        <w:t>,</w:t>
      </w:r>
      <w:r w:rsidR="00C87D8F" w:rsidRPr="00C87D8F">
        <w:rPr>
          <w:b/>
        </w:rPr>
        <w:t xml:space="preserve"> </w:t>
      </w:r>
      <w:r w:rsidR="00C87D8F" w:rsidRPr="00C87D8F">
        <w:rPr>
          <w:rStyle w:val="Strong"/>
          <w:b w:val="0"/>
        </w:rPr>
        <w:t>#stars</w:t>
      </w:r>
      <w:r w:rsidR="00C87D8F" w:rsidRPr="00C87D8F">
        <w:rPr>
          <w:b/>
        </w:rPr>
        <w:t xml:space="preserve"> </w:t>
      </w:r>
      <w:r w:rsidRPr="00C87D8F">
        <w:rPr>
          <w:b/>
          <w:noProof/>
        </w:rPr>
        <w:t>,</w:t>
      </w:r>
      <w:r w:rsidR="00C87D8F" w:rsidRPr="00C87D8F">
        <w:rPr>
          <w:b/>
        </w:rPr>
        <w:t xml:space="preserve">  </w:t>
      </w:r>
      <w:r w:rsidR="00C87D8F" w:rsidRPr="00C87D8F">
        <w:rPr>
          <w:rStyle w:val="Strong"/>
          <w:b w:val="0"/>
        </w:rPr>
        <w:t>Human oral absorption (%)</w:t>
      </w:r>
      <w:r w:rsidRPr="00C87D8F">
        <w:rPr>
          <w:rStyle w:val="Strong"/>
          <w:b w:val="0"/>
          <w:noProof/>
        </w:rPr>
        <w:t>,</w:t>
      </w:r>
      <w:r w:rsidR="00C87D8F" w:rsidRPr="00C87D8F">
        <w:rPr>
          <w:b/>
        </w:rPr>
        <w:t xml:space="preserve">  </w:t>
      </w:r>
      <w:proofErr w:type="spellStart"/>
      <w:r w:rsidR="00C87D8F" w:rsidRPr="00C87D8F">
        <w:rPr>
          <w:rStyle w:val="Strong"/>
          <w:b w:val="0"/>
        </w:rPr>
        <w:t>QPlogBB</w:t>
      </w:r>
      <w:proofErr w:type="spellEnd"/>
      <w:r w:rsidR="00C87D8F" w:rsidRPr="00C87D8F">
        <w:rPr>
          <w:b/>
        </w:rPr>
        <w:t xml:space="preserve"> )</w:t>
      </w:r>
      <w:r w:rsidRPr="00C87D8F">
        <w:rPr>
          <w:b/>
          <w:noProof/>
        </w:rPr>
        <w:t>,</w:t>
      </w:r>
      <w:r w:rsidR="00C87D8F" w:rsidRPr="00C87D8F">
        <w:rPr>
          <w:b/>
        </w:rPr>
        <w:t xml:space="preserve">  </w:t>
      </w:r>
      <w:proofErr w:type="spellStart"/>
      <w:r>
        <w:rPr>
          <w:b/>
          <w:noProof/>
        </w:rPr>
        <w:t>o</w:t>
      </w:r>
      <w:r>
        <w:rPr>
          <w:b/>
          <w:noProof/>
        </w:rPr>
        <w:t>r</w:t>
      </w:r>
      <w:r w:rsidR="00C87D8F" w:rsidRPr="00C87D8F">
        <w:rPr>
          <w:rStyle w:val="Strong"/>
          <w:b w:val="0"/>
        </w:rPr>
        <w:t>QPlogKp</w:t>
      </w:r>
      <w:proofErr w:type="spellEnd"/>
      <w:r>
        <w:rPr>
          <w:rStyle w:val="Strong"/>
          <w:b w:val="0"/>
          <w:noProof/>
        </w:rPr>
        <w:t>.</w:t>
      </w:r>
    </w:p>
    <w:p w14:paraId="39521C68" w14:textId="7438D5DF" w:rsidR="00C87D8F" w:rsidRPr="00C87D8F" w:rsidRDefault="00C87D8F">
      <w:pPr>
        <w:pStyle w:val="CommentText"/>
        <w:rPr>
          <w:b/>
        </w:rPr>
      </w:pPr>
    </w:p>
  </w:comment>
  <w:comment w:id="6" w:author="Asus" w:date="2025-12-22T21:13:00Z" w:initials="A">
    <w:p w14:paraId="1F2445EA" w14:textId="5CFCB75E" w:rsidR="00F272CA" w:rsidRDefault="00F272CA">
      <w:pPr>
        <w:pStyle w:val="CommentText"/>
      </w:pPr>
      <w:r>
        <w:rPr>
          <w:rStyle w:val="CommentReference"/>
        </w:rPr>
        <w:annotationRef/>
      </w:r>
      <w:r>
        <w:t xml:space="preserve">From the ADMET studies only two compounds NP#0157 amd Np#0158 has been selectd for docking and simulation studies, but in the Table 2,3,and 4 three compounds are being studied.   </w:t>
      </w:r>
    </w:p>
  </w:comment>
  <w:comment w:id="7" w:author="Asus" w:date="2025-12-22T21:10:00Z" w:initials="A">
    <w:p w14:paraId="0BAD83DB" w14:textId="773DF671" w:rsidR="00F272CA" w:rsidRDefault="00F272CA">
      <w:pPr>
        <w:pStyle w:val="CommentText"/>
      </w:pPr>
      <w:r>
        <w:rPr>
          <w:rStyle w:val="CommentReference"/>
        </w:rPr>
        <w:annotationRef/>
      </w:r>
      <w:r>
        <w:t>What is this compound, as it is not discussed in the literarure.</w:t>
      </w:r>
    </w:p>
  </w:comment>
  <w:comment w:id="8" w:author="Asus" w:date="2025-12-22T21:23:00Z" w:initials="A">
    <w:p w14:paraId="48B8B7CD" w14:textId="5BCA6C02" w:rsidR="003402E5" w:rsidRDefault="003402E5">
      <w:pPr>
        <w:pStyle w:val="CommentText"/>
      </w:pPr>
      <w:r>
        <w:rPr>
          <w:rStyle w:val="CommentReference"/>
        </w:rPr>
        <w:annotationRef/>
      </w:r>
      <w:r>
        <w:t>The interaction during the docking studies should be shown in the image form for better understanding</w:t>
      </w:r>
      <w:r w:rsidR="00C87D8F">
        <w:t>.</w:t>
      </w:r>
    </w:p>
  </w:comment>
  <w:comment w:id="9" w:author="Asus" w:date="2025-12-22T20:53:00Z" w:initials="A">
    <w:p w14:paraId="223A3A26" w14:textId="4DA7959B" w:rsidR="00A8380D" w:rsidRDefault="00A8380D">
      <w:pPr>
        <w:pStyle w:val="CommentText"/>
      </w:pPr>
      <w:r>
        <w:rPr>
          <w:rStyle w:val="CommentReference"/>
        </w:rPr>
        <w:annotationRef/>
      </w:r>
      <w:r>
        <w:t>Why the compound title name is different from SP and XP docking studies</w:t>
      </w:r>
    </w:p>
  </w:comment>
  <w:comment w:id="10" w:author="Asus" w:date="2025-12-22T21:21:00Z" w:initials="A">
    <w:p w14:paraId="50936A35" w14:textId="44A66627" w:rsidR="00BF750D" w:rsidRDefault="00BF750D">
      <w:pPr>
        <w:pStyle w:val="CommentText"/>
      </w:pPr>
      <w:r>
        <w:rPr>
          <w:rStyle w:val="CommentReference"/>
        </w:rPr>
        <w:annotationRef/>
      </w:r>
      <w:r>
        <w:t>Reference no 7 and 12 aresame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D5A930" w15:done="0"/>
  <w15:commentEx w15:paraId="3051D5AF" w15:done="0"/>
  <w15:commentEx w15:paraId="418B7D66" w15:done="0"/>
  <w15:commentEx w15:paraId="6BB58516" w15:done="0"/>
  <w15:commentEx w15:paraId="39521C68" w15:done="0"/>
  <w15:commentEx w15:paraId="1F2445EA" w15:done="0"/>
  <w15:commentEx w15:paraId="0BAD83DB" w15:done="0"/>
  <w15:commentEx w15:paraId="48B8B7CD" w15:done="0"/>
  <w15:commentEx w15:paraId="223A3A26" w15:done="0"/>
  <w15:commentEx w15:paraId="50936A3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A32FD" w14:textId="77777777" w:rsidR="00084A5F" w:rsidRDefault="00084A5F" w:rsidP="00C37E61">
      <w:r>
        <w:separator/>
      </w:r>
    </w:p>
  </w:endnote>
  <w:endnote w:type="continuationSeparator" w:id="0">
    <w:p w14:paraId="544E0BE6" w14:textId="77777777" w:rsidR="00084A5F" w:rsidRDefault="00084A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83461" w14:textId="77777777" w:rsidR="00681543" w:rsidRDefault="00681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271C3" w14:textId="77777777" w:rsidR="00681543" w:rsidRDefault="00681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B169D" w14:textId="5CBE6B10" w:rsidR="00754C9A" w:rsidRPr="00E861CA" w:rsidRDefault="00754C9A" w:rsidP="00E861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2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ACEC5" w14:textId="77777777" w:rsidR="00084A5F" w:rsidRDefault="00084A5F" w:rsidP="00C37E61">
      <w:r>
        <w:separator/>
      </w:r>
    </w:p>
  </w:footnote>
  <w:footnote w:type="continuationSeparator" w:id="0">
    <w:p w14:paraId="3315528B" w14:textId="77777777" w:rsidR="00084A5F" w:rsidRDefault="00084A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FB10" w14:textId="4029D4FA" w:rsidR="00681543" w:rsidRDefault="00084A5F">
    <w:pPr>
      <w:pStyle w:val="Header"/>
    </w:pPr>
    <w:r>
      <w:rPr>
        <w:noProof/>
      </w:rPr>
      <w:pict w14:anchorId="74CB8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43F57" w14:textId="4DA5CB3D" w:rsidR="00681543" w:rsidRDefault="00084A5F">
    <w:pPr>
      <w:pStyle w:val="Header"/>
    </w:pPr>
    <w:r>
      <w:rPr>
        <w:noProof/>
      </w:rPr>
      <w:pict w14:anchorId="39E97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A0527" w14:textId="682BC713" w:rsidR="00296529" w:rsidRPr="00296529" w:rsidRDefault="00084A5F" w:rsidP="00296529">
    <w:pPr>
      <w:ind w:left="2160"/>
      <w:jc w:val="center"/>
      <w:rPr>
        <w:rFonts w:ascii="Times New Roman" w:eastAsia="Calibri" w:hAnsi="Times New Roman"/>
        <w:i/>
        <w:sz w:val="18"/>
        <w:szCs w:val="22"/>
      </w:rPr>
    </w:pPr>
    <w:r>
      <w:rPr>
        <w:noProof/>
      </w:rPr>
      <w:pict w14:anchorId="487C6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02469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FCE0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4AE8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BA168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FE65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82FC4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E80B" w14:textId="24B1F70B" w:rsidR="00681543" w:rsidRDefault="00084A5F">
    <w:pPr>
      <w:pStyle w:val="Header"/>
    </w:pPr>
    <w:r>
      <w:rPr>
        <w:noProof/>
      </w:rPr>
      <w:pict w14:anchorId="43B57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3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5867D" w14:textId="183025CF" w:rsidR="00681543" w:rsidRDefault="00084A5F">
    <w:pPr>
      <w:pStyle w:val="Header"/>
    </w:pPr>
    <w:r>
      <w:rPr>
        <w:noProof/>
      </w:rPr>
      <w:pict w14:anchorId="6C15B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3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E892" w14:textId="49DE6090" w:rsidR="00681543" w:rsidRDefault="00084A5F">
    <w:pPr>
      <w:pStyle w:val="Header"/>
    </w:pPr>
    <w:r>
      <w:rPr>
        <w:noProof/>
      </w:rPr>
      <w:pict w14:anchorId="526D6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152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93562"/>
    <w:multiLevelType w:val="multilevel"/>
    <w:tmpl w:val="7A4AEA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686B"/>
    <w:rsid w:val="00012D78"/>
    <w:rsid w:val="0002516E"/>
    <w:rsid w:val="00030174"/>
    <w:rsid w:val="0004579C"/>
    <w:rsid w:val="0008283F"/>
    <w:rsid w:val="00084A5F"/>
    <w:rsid w:val="000A47FA"/>
    <w:rsid w:val="000A65D3"/>
    <w:rsid w:val="000B1E33"/>
    <w:rsid w:val="000D689F"/>
    <w:rsid w:val="000E7B7B"/>
    <w:rsid w:val="000E7D62"/>
    <w:rsid w:val="000F5A95"/>
    <w:rsid w:val="00100D90"/>
    <w:rsid w:val="00103357"/>
    <w:rsid w:val="00123C9F"/>
    <w:rsid w:val="00126190"/>
    <w:rsid w:val="00130F17"/>
    <w:rsid w:val="001320BF"/>
    <w:rsid w:val="001357F9"/>
    <w:rsid w:val="00146E26"/>
    <w:rsid w:val="00163BC4"/>
    <w:rsid w:val="001665A4"/>
    <w:rsid w:val="001750E5"/>
    <w:rsid w:val="0017708D"/>
    <w:rsid w:val="001771CB"/>
    <w:rsid w:val="0018427D"/>
    <w:rsid w:val="00191062"/>
    <w:rsid w:val="00192B72"/>
    <w:rsid w:val="001A29D8"/>
    <w:rsid w:val="001A5CAA"/>
    <w:rsid w:val="001B0427"/>
    <w:rsid w:val="001D3A51"/>
    <w:rsid w:val="001D523F"/>
    <w:rsid w:val="001E10D2"/>
    <w:rsid w:val="001E25B4"/>
    <w:rsid w:val="001E44FE"/>
    <w:rsid w:val="001F5577"/>
    <w:rsid w:val="00200595"/>
    <w:rsid w:val="00204835"/>
    <w:rsid w:val="00215408"/>
    <w:rsid w:val="00231920"/>
    <w:rsid w:val="0023195C"/>
    <w:rsid w:val="002377AC"/>
    <w:rsid w:val="0024282C"/>
    <w:rsid w:val="002460DC"/>
    <w:rsid w:val="00250985"/>
    <w:rsid w:val="002524A3"/>
    <w:rsid w:val="002556F6"/>
    <w:rsid w:val="00283105"/>
    <w:rsid w:val="00284C4C"/>
    <w:rsid w:val="00287E68"/>
    <w:rsid w:val="00296529"/>
    <w:rsid w:val="002B040E"/>
    <w:rsid w:val="002B27FB"/>
    <w:rsid w:val="002B6670"/>
    <w:rsid w:val="002B685A"/>
    <w:rsid w:val="002C57D2"/>
    <w:rsid w:val="002E0D56"/>
    <w:rsid w:val="00315186"/>
    <w:rsid w:val="0033343E"/>
    <w:rsid w:val="003402E5"/>
    <w:rsid w:val="003512C2"/>
    <w:rsid w:val="003648F5"/>
    <w:rsid w:val="00371FB6"/>
    <w:rsid w:val="003763C1"/>
    <w:rsid w:val="00376BBE"/>
    <w:rsid w:val="003821E8"/>
    <w:rsid w:val="0039224F"/>
    <w:rsid w:val="003A43A4"/>
    <w:rsid w:val="003A4408"/>
    <w:rsid w:val="003A7E18"/>
    <w:rsid w:val="003C4C86"/>
    <w:rsid w:val="003C6258"/>
    <w:rsid w:val="003E2904"/>
    <w:rsid w:val="003E2F48"/>
    <w:rsid w:val="00401927"/>
    <w:rsid w:val="0041027F"/>
    <w:rsid w:val="00412475"/>
    <w:rsid w:val="00412609"/>
    <w:rsid w:val="00423789"/>
    <w:rsid w:val="00440F43"/>
    <w:rsid w:val="00441B6F"/>
    <w:rsid w:val="00444AD2"/>
    <w:rsid w:val="00446221"/>
    <w:rsid w:val="00450E62"/>
    <w:rsid w:val="004539DB"/>
    <w:rsid w:val="00455080"/>
    <w:rsid w:val="00471A80"/>
    <w:rsid w:val="0048241A"/>
    <w:rsid w:val="004B3682"/>
    <w:rsid w:val="004C7732"/>
    <w:rsid w:val="004D305E"/>
    <w:rsid w:val="004D4277"/>
    <w:rsid w:val="00502516"/>
    <w:rsid w:val="00505F06"/>
    <w:rsid w:val="00506828"/>
    <w:rsid w:val="0053056E"/>
    <w:rsid w:val="00554FDA"/>
    <w:rsid w:val="00564B0C"/>
    <w:rsid w:val="00582262"/>
    <w:rsid w:val="005908EF"/>
    <w:rsid w:val="005C6F42"/>
    <w:rsid w:val="005C784C"/>
    <w:rsid w:val="005D17F6"/>
    <w:rsid w:val="005E5539"/>
    <w:rsid w:val="00602BF5"/>
    <w:rsid w:val="00617FDD"/>
    <w:rsid w:val="00633614"/>
    <w:rsid w:val="00633F68"/>
    <w:rsid w:val="00636EB2"/>
    <w:rsid w:val="006375B8"/>
    <w:rsid w:val="0066510A"/>
    <w:rsid w:val="00673F9F"/>
    <w:rsid w:val="00681543"/>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07BD"/>
    <w:rsid w:val="00761D52"/>
    <w:rsid w:val="007633C6"/>
    <w:rsid w:val="007639D3"/>
    <w:rsid w:val="0077749E"/>
    <w:rsid w:val="00790ADA"/>
    <w:rsid w:val="007D2288"/>
    <w:rsid w:val="007E088F"/>
    <w:rsid w:val="007E1D73"/>
    <w:rsid w:val="007F37B3"/>
    <w:rsid w:val="007F7B32"/>
    <w:rsid w:val="00800FAB"/>
    <w:rsid w:val="00804BC2"/>
    <w:rsid w:val="00804D47"/>
    <w:rsid w:val="0081431A"/>
    <w:rsid w:val="00815C20"/>
    <w:rsid w:val="0083216F"/>
    <w:rsid w:val="008416DA"/>
    <w:rsid w:val="00851B6E"/>
    <w:rsid w:val="00853EDB"/>
    <w:rsid w:val="00860000"/>
    <w:rsid w:val="00863BD3"/>
    <w:rsid w:val="008641ED"/>
    <w:rsid w:val="00866D66"/>
    <w:rsid w:val="008671C6"/>
    <w:rsid w:val="00872751"/>
    <w:rsid w:val="00875803"/>
    <w:rsid w:val="008855DB"/>
    <w:rsid w:val="008901E1"/>
    <w:rsid w:val="008A31F1"/>
    <w:rsid w:val="008B459E"/>
    <w:rsid w:val="008C361D"/>
    <w:rsid w:val="008E13AE"/>
    <w:rsid w:val="008E1506"/>
    <w:rsid w:val="008E710C"/>
    <w:rsid w:val="008F69D6"/>
    <w:rsid w:val="00902823"/>
    <w:rsid w:val="00915CA6"/>
    <w:rsid w:val="00927834"/>
    <w:rsid w:val="009500A6"/>
    <w:rsid w:val="00957C18"/>
    <w:rsid w:val="009659BA"/>
    <w:rsid w:val="009671DE"/>
    <w:rsid w:val="00976B9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442"/>
    <w:rsid w:val="00A51431"/>
    <w:rsid w:val="00A51510"/>
    <w:rsid w:val="00A539AD"/>
    <w:rsid w:val="00A8380D"/>
    <w:rsid w:val="00A94063"/>
    <w:rsid w:val="00AA6219"/>
    <w:rsid w:val="00AA74E0"/>
    <w:rsid w:val="00AB703F"/>
    <w:rsid w:val="00AC6920"/>
    <w:rsid w:val="00AC6BB8"/>
    <w:rsid w:val="00AE008F"/>
    <w:rsid w:val="00B01FCD"/>
    <w:rsid w:val="00B05969"/>
    <w:rsid w:val="00B1776C"/>
    <w:rsid w:val="00B52583"/>
    <w:rsid w:val="00B52896"/>
    <w:rsid w:val="00B53AE3"/>
    <w:rsid w:val="00B73FA7"/>
    <w:rsid w:val="00B95236"/>
    <w:rsid w:val="00B96BD9"/>
    <w:rsid w:val="00BA1B01"/>
    <w:rsid w:val="00BA2641"/>
    <w:rsid w:val="00BA4825"/>
    <w:rsid w:val="00BB3559"/>
    <w:rsid w:val="00BB37AA"/>
    <w:rsid w:val="00BC1AE9"/>
    <w:rsid w:val="00BC5198"/>
    <w:rsid w:val="00BC53A0"/>
    <w:rsid w:val="00BE62AD"/>
    <w:rsid w:val="00BF121F"/>
    <w:rsid w:val="00BF1F80"/>
    <w:rsid w:val="00BF750D"/>
    <w:rsid w:val="00BF7738"/>
    <w:rsid w:val="00C166EF"/>
    <w:rsid w:val="00C17EB0"/>
    <w:rsid w:val="00C27F5F"/>
    <w:rsid w:val="00C30A0F"/>
    <w:rsid w:val="00C37E61"/>
    <w:rsid w:val="00C70F1B"/>
    <w:rsid w:val="00C71A47"/>
    <w:rsid w:val="00C7464C"/>
    <w:rsid w:val="00C85588"/>
    <w:rsid w:val="00C878B9"/>
    <w:rsid w:val="00C87D8F"/>
    <w:rsid w:val="00CA08CB"/>
    <w:rsid w:val="00CB68FC"/>
    <w:rsid w:val="00CD0F3A"/>
    <w:rsid w:val="00CD2380"/>
    <w:rsid w:val="00CD6755"/>
    <w:rsid w:val="00CD6856"/>
    <w:rsid w:val="00CE0089"/>
    <w:rsid w:val="00CE793C"/>
    <w:rsid w:val="00CF193C"/>
    <w:rsid w:val="00D173F1"/>
    <w:rsid w:val="00D720D8"/>
    <w:rsid w:val="00D72DD3"/>
    <w:rsid w:val="00D74CB0"/>
    <w:rsid w:val="00D74D2A"/>
    <w:rsid w:val="00D8295D"/>
    <w:rsid w:val="00D830A9"/>
    <w:rsid w:val="00DA475B"/>
    <w:rsid w:val="00DC2A65"/>
    <w:rsid w:val="00DC530D"/>
    <w:rsid w:val="00DE15F0"/>
    <w:rsid w:val="00DE5663"/>
    <w:rsid w:val="00DE5FA4"/>
    <w:rsid w:val="00DE78AA"/>
    <w:rsid w:val="00E053D0"/>
    <w:rsid w:val="00E15994"/>
    <w:rsid w:val="00E3114E"/>
    <w:rsid w:val="00E31A70"/>
    <w:rsid w:val="00E35B02"/>
    <w:rsid w:val="00E66496"/>
    <w:rsid w:val="00E66B35"/>
    <w:rsid w:val="00E66E10"/>
    <w:rsid w:val="00E769F6"/>
    <w:rsid w:val="00E8407C"/>
    <w:rsid w:val="00E84F3C"/>
    <w:rsid w:val="00E861CA"/>
    <w:rsid w:val="00E91CA2"/>
    <w:rsid w:val="00E976B3"/>
    <w:rsid w:val="00EA012C"/>
    <w:rsid w:val="00EC6A55"/>
    <w:rsid w:val="00ED0288"/>
    <w:rsid w:val="00EE52CB"/>
    <w:rsid w:val="00EE6AA0"/>
    <w:rsid w:val="00EE6E4C"/>
    <w:rsid w:val="00EF581D"/>
    <w:rsid w:val="00EF7FD8"/>
    <w:rsid w:val="00F063C4"/>
    <w:rsid w:val="00F06F59"/>
    <w:rsid w:val="00F17988"/>
    <w:rsid w:val="00F272CA"/>
    <w:rsid w:val="00F41210"/>
    <w:rsid w:val="00F469F0"/>
    <w:rsid w:val="00F53273"/>
    <w:rsid w:val="00F755E4"/>
    <w:rsid w:val="00F776A4"/>
    <w:rsid w:val="00F77D02"/>
    <w:rsid w:val="00F82F39"/>
    <w:rsid w:val="00FA36AC"/>
    <w:rsid w:val="00FB3A86"/>
    <w:rsid w:val="00FC2A4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DC3F39"/>
  <w15:docId w15:val="{FCB6B271-3FC0-4CBC-8D17-19314B83B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2B6670"/>
    <w:rPr>
      <w:color w:val="666666"/>
    </w:rPr>
  </w:style>
  <w:style w:type="paragraph" w:styleId="ListParagraph">
    <w:name w:val="List Paragraph"/>
    <w:basedOn w:val="Normal"/>
    <w:uiPriority w:val="34"/>
    <w:qFormat/>
    <w:rsid w:val="00A41442"/>
    <w:pPr>
      <w:ind w:left="720"/>
      <w:contextualSpacing/>
    </w:pPr>
  </w:style>
  <w:style w:type="paragraph" w:customStyle="1" w:styleId="TAMainText">
    <w:name w:val="TA_Main_Text"/>
    <w:basedOn w:val="Normal"/>
    <w:rsid w:val="00872751"/>
    <w:pPr>
      <w:spacing w:line="480" w:lineRule="auto"/>
      <w:ind w:firstLine="202"/>
      <w:jc w:val="both"/>
    </w:pPr>
    <w:rPr>
      <w:rFonts w:ascii="Times" w:hAnsi="Times"/>
      <w:sz w:val="24"/>
    </w:rPr>
  </w:style>
  <w:style w:type="paragraph" w:styleId="Bibliography">
    <w:name w:val="Bibliography"/>
    <w:basedOn w:val="Normal"/>
    <w:next w:val="Normal"/>
    <w:uiPriority w:val="37"/>
    <w:unhideWhenUsed/>
    <w:rsid w:val="003648F5"/>
    <w:pPr>
      <w:tabs>
        <w:tab w:val="left" w:pos="504"/>
      </w:tabs>
      <w:ind w:left="504" w:hanging="504"/>
    </w:pPr>
  </w:style>
  <w:style w:type="character" w:customStyle="1" w:styleId="UnresolvedMention">
    <w:name w:val="Unresolved Mention"/>
    <w:basedOn w:val="DefaultParagraphFont"/>
    <w:uiPriority w:val="99"/>
    <w:semiHidden/>
    <w:unhideWhenUsed/>
    <w:rsid w:val="007633C6"/>
    <w:rPr>
      <w:color w:val="605E5C"/>
      <w:shd w:val="clear" w:color="auto" w:fill="E1DFDD"/>
    </w:rPr>
  </w:style>
  <w:style w:type="paragraph" w:styleId="CommentSubject">
    <w:name w:val="annotation subject"/>
    <w:basedOn w:val="CommentText"/>
    <w:next w:val="CommentText"/>
    <w:link w:val="CommentSubjectChar"/>
    <w:semiHidden/>
    <w:unhideWhenUsed/>
    <w:rsid w:val="00A8380D"/>
    <w:rPr>
      <w:rFonts w:ascii="Helvetica" w:hAnsi="Helvetica"/>
      <w:b/>
      <w:bCs/>
      <w:lang w:val="en-US" w:eastAsia="en-US"/>
    </w:rPr>
  </w:style>
  <w:style w:type="character" w:customStyle="1" w:styleId="CommentSubjectChar">
    <w:name w:val="Comment Subject Char"/>
    <w:basedOn w:val="CommentTextChar"/>
    <w:link w:val="CommentSubject"/>
    <w:semiHidden/>
    <w:rsid w:val="00A8380D"/>
    <w:rPr>
      <w:rFonts w:ascii="Helvetica" w:hAnsi="Helvetica"/>
      <w:b/>
      <w:bCs/>
      <w:lang w:val="nb-NO" w:eastAsia="nb-NO"/>
    </w:rPr>
  </w:style>
  <w:style w:type="paragraph" w:styleId="Revision">
    <w:name w:val="Revision"/>
    <w:hidden/>
    <w:uiPriority w:val="99"/>
    <w:semiHidden/>
    <w:rsid w:val="00F272CA"/>
    <w:rPr>
      <w:rFonts w:ascii="Helvetica" w:hAnsi="Helvetica"/>
    </w:rPr>
  </w:style>
  <w:style w:type="paragraph" w:styleId="NormalWeb">
    <w:name w:val="Normal (Web)"/>
    <w:basedOn w:val="Normal"/>
    <w:uiPriority w:val="99"/>
    <w:semiHidden/>
    <w:unhideWhenUsed/>
    <w:rsid w:val="00C87D8F"/>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C87D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617">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660705">
      <w:marLeft w:val="480"/>
      <w:marRight w:val="0"/>
      <w:marTop w:val="0"/>
      <w:marBottom w:val="0"/>
      <w:divBdr>
        <w:top w:val="none" w:sz="0" w:space="0" w:color="auto"/>
        <w:left w:val="none" w:sz="0" w:space="0" w:color="auto"/>
        <w:bottom w:val="none" w:sz="0" w:space="0" w:color="auto"/>
        <w:right w:val="none" w:sz="0" w:space="0" w:color="auto"/>
      </w:divBdr>
    </w:div>
    <w:div w:id="48266059">
      <w:marLeft w:val="480"/>
      <w:marRight w:val="0"/>
      <w:marTop w:val="0"/>
      <w:marBottom w:val="0"/>
      <w:divBdr>
        <w:top w:val="none" w:sz="0" w:space="0" w:color="auto"/>
        <w:left w:val="none" w:sz="0" w:space="0" w:color="auto"/>
        <w:bottom w:val="none" w:sz="0" w:space="0" w:color="auto"/>
        <w:right w:val="none" w:sz="0" w:space="0" w:color="auto"/>
      </w:divBdr>
    </w:div>
    <w:div w:id="54355460">
      <w:marLeft w:val="480"/>
      <w:marRight w:val="0"/>
      <w:marTop w:val="0"/>
      <w:marBottom w:val="0"/>
      <w:divBdr>
        <w:top w:val="none" w:sz="0" w:space="0" w:color="auto"/>
        <w:left w:val="none" w:sz="0" w:space="0" w:color="auto"/>
        <w:bottom w:val="none" w:sz="0" w:space="0" w:color="auto"/>
        <w:right w:val="none" w:sz="0" w:space="0" w:color="auto"/>
      </w:divBdr>
    </w:div>
    <w:div w:id="60179955">
      <w:marLeft w:val="480"/>
      <w:marRight w:val="0"/>
      <w:marTop w:val="0"/>
      <w:marBottom w:val="0"/>
      <w:divBdr>
        <w:top w:val="none" w:sz="0" w:space="0" w:color="auto"/>
        <w:left w:val="none" w:sz="0" w:space="0" w:color="auto"/>
        <w:bottom w:val="none" w:sz="0" w:space="0" w:color="auto"/>
        <w:right w:val="none" w:sz="0" w:space="0" w:color="auto"/>
      </w:divBdr>
    </w:div>
    <w:div w:id="61295087">
      <w:marLeft w:val="480"/>
      <w:marRight w:val="0"/>
      <w:marTop w:val="0"/>
      <w:marBottom w:val="0"/>
      <w:divBdr>
        <w:top w:val="none" w:sz="0" w:space="0" w:color="auto"/>
        <w:left w:val="none" w:sz="0" w:space="0" w:color="auto"/>
        <w:bottom w:val="none" w:sz="0" w:space="0" w:color="auto"/>
        <w:right w:val="none" w:sz="0" w:space="0" w:color="auto"/>
      </w:divBdr>
    </w:div>
    <w:div w:id="64648861">
      <w:marLeft w:val="480"/>
      <w:marRight w:val="0"/>
      <w:marTop w:val="0"/>
      <w:marBottom w:val="0"/>
      <w:divBdr>
        <w:top w:val="none" w:sz="0" w:space="0" w:color="auto"/>
        <w:left w:val="none" w:sz="0" w:space="0" w:color="auto"/>
        <w:bottom w:val="none" w:sz="0" w:space="0" w:color="auto"/>
        <w:right w:val="none" w:sz="0" w:space="0" w:color="auto"/>
      </w:divBdr>
    </w:div>
    <w:div w:id="67967644">
      <w:marLeft w:val="480"/>
      <w:marRight w:val="0"/>
      <w:marTop w:val="0"/>
      <w:marBottom w:val="0"/>
      <w:divBdr>
        <w:top w:val="none" w:sz="0" w:space="0" w:color="auto"/>
        <w:left w:val="none" w:sz="0" w:space="0" w:color="auto"/>
        <w:bottom w:val="none" w:sz="0" w:space="0" w:color="auto"/>
        <w:right w:val="none" w:sz="0" w:space="0" w:color="auto"/>
      </w:divBdr>
    </w:div>
    <w:div w:id="86733733">
      <w:marLeft w:val="480"/>
      <w:marRight w:val="0"/>
      <w:marTop w:val="0"/>
      <w:marBottom w:val="0"/>
      <w:divBdr>
        <w:top w:val="none" w:sz="0" w:space="0" w:color="auto"/>
        <w:left w:val="none" w:sz="0" w:space="0" w:color="auto"/>
        <w:bottom w:val="none" w:sz="0" w:space="0" w:color="auto"/>
        <w:right w:val="none" w:sz="0" w:space="0" w:color="auto"/>
      </w:divBdr>
    </w:div>
    <w:div w:id="88694948">
      <w:marLeft w:val="480"/>
      <w:marRight w:val="0"/>
      <w:marTop w:val="0"/>
      <w:marBottom w:val="0"/>
      <w:divBdr>
        <w:top w:val="none" w:sz="0" w:space="0" w:color="auto"/>
        <w:left w:val="none" w:sz="0" w:space="0" w:color="auto"/>
        <w:bottom w:val="none" w:sz="0" w:space="0" w:color="auto"/>
        <w:right w:val="none" w:sz="0" w:space="0" w:color="auto"/>
      </w:divBdr>
    </w:div>
    <w:div w:id="96490279">
      <w:marLeft w:val="480"/>
      <w:marRight w:val="0"/>
      <w:marTop w:val="0"/>
      <w:marBottom w:val="0"/>
      <w:divBdr>
        <w:top w:val="none" w:sz="0" w:space="0" w:color="auto"/>
        <w:left w:val="none" w:sz="0" w:space="0" w:color="auto"/>
        <w:bottom w:val="none" w:sz="0" w:space="0" w:color="auto"/>
        <w:right w:val="none" w:sz="0" w:space="0" w:color="auto"/>
      </w:divBdr>
    </w:div>
    <w:div w:id="101462717">
      <w:marLeft w:val="480"/>
      <w:marRight w:val="0"/>
      <w:marTop w:val="0"/>
      <w:marBottom w:val="0"/>
      <w:divBdr>
        <w:top w:val="none" w:sz="0" w:space="0" w:color="auto"/>
        <w:left w:val="none" w:sz="0" w:space="0" w:color="auto"/>
        <w:bottom w:val="none" w:sz="0" w:space="0" w:color="auto"/>
        <w:right w:val="none" w:sz="0" w:space="0" w:color="auto"/>
      </w:divBdr>
    </w:div>
    <w:div w:id="107504933">
      <w:marLeft w:val="480"/>
      <w:marRight w:val="0"/>
      <w:marTop w:val="0"/>
      <w:marBottom w:val="0"/>
      <w:divBdr>
        <w:top w:val="none" w:sz="0" w:space="0" w:color="auto"/>
        <w:left w:val="none" w:sz="0" w:space="0" w:color="auto"/>
        <w:bottom w:val="none" w:sz="0" w:space="0" w:color="auto"/>
        <w:right w:val="none" w:sz="0" w:space="0" w:color="auto"/>
      </w:divBdr>
    </w:div>
    <w:div w:id="115761651">
      <w:marLeft w:val="480"/>
      <w:marRight w:val="0"/>
      <w:marTop w:val="0"/>
      <w:marBottom w:val="0"/>
      <w:divBdr>
        <w:top w:val="none" w:sz="0" w:space="0" w:color="auto"/>
        <w:left w:val="none" w:sz="0" w:space="0" w:color="auto"/>
        <w:bottom w:val="none" w:sz="0" w:space="0" w:color="auto"/>
        <w:right w:val="none" w:sz="0" w:space="0" w:color="auto"/>
      </w:divBdr>
    </w:div>
    <w:div w:id="117377268">
      <w:marLeft w:val="480"/>
      <w:marRight w:val="0"/>
      <w:marTop w:val="0"/>
      <w:marBottom w:val="0"/>
      <w:divBdr>
        <w:top w:val="none" w:sz="0" w:space="0" w:color="auto"/>
        <w:left w:val="none" w:sz="0" w:space="0" w:color="auto"/>
        <w:bottom w:val="none" w:sz="0" w:space="0" w:color="auto"/>
        <w:right w:val="none" w:sz="0" w:space="0" w:color="auto"/>
      </w:divBdr>
    </w:div>
    <w:div w:id="128477306">
      <w:marLeft w:val="480"/>
      <w:marRight w:val="0"/>
      <w:marTop w:val="0"/>
      <w:marBottom w:val="0"/>
      <w:divBdr>
        <w:top w:val="none" w:sz="0" w:space="0" w:color="auto"/>
        <w:left w:val="none" w:sz="0" w:space="0" w:color="auto"/>
        <w:bottom w:val="none" w:sz="0" w:space="0" w:color="auto"/>
        <w:right w:val="none" w:sz="0" w:space="0" w:color="auto"/>
      </w:divBdr>
    </w:div>
    <w:div w:id="132870865">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279201">
      <w:marLeft w:val="480"/>
      <w:marRight w:val="0"/>
      <w:marTop w:val="0"/>
      <w:marBottom w:val="0"/>
      <w:divBdr>
        <w:top w:val="none" w:sz="0" w:space="0" w:color="auto"/>
        <w:left w:val="none" w:sz="0" w:space="0" w:color="auto"/>
        <w:bottom w:val="none" w:sz="0" w:space="0" w:color="auto"/>
        <w:right w:val="none" w:sz="0" w:space="0" w:color="auto"/>
      </w:divBdr>
    </w:div>
    <w:div w:id="168755276">
      <w:marLeft w:val="480"/>
      <w:marRight w:val="0"/>
      <w:marTop w:val="0"/>
      <w:marBottom w:val="0"/>
      <w:divBdr>
        <w:top w:val="none" w:sz="0" w:space="0" w:color="auto"/>
        <w:left w:val="none" w:sz="0" w:space="0" w:color="auto"/>
        <w:bottom w:val="none" w:sz="0" w:space="0" w:color="auto"/>
        <w:right w:val="none" w:sz="0" w:space="0" w:color="auto"/>
      </w:divBdr>
    </w:div>
    <w:div w:id="171527642">
      <w:marLeft w:val="480"/>
      <w:marRight w:val="0"/>
      <w:marTop w:val="0"/>
      <w:marBottom w:val="0"/>
      <w:divBdr>
        <w:top w:val="none" w:sz="0" w:space="0" w:color="auto"/>
        <w:left w:val="none" w:sz="0" w:space="0" w:color="auto"/>
        <w:bottom w:val="none" w:sz="0" w:space="0" w:color="auto"/>
        <w:right w:val="none" w:sz="0" w:space="0" w:color="auto"/>
      </w:divBdr>
    </w:div>
    <w:div w:id="175464508">
      <w:marLeft w:val="480"/>
      <w:marRight w:val="0"/>
      <w:marTop w:val="0"/>
      <w:marBottom w:val="0"/>
      <w:divBdr>
        <w:top w:val="none" w:sz="0" w:space="0" w:color="auto"/>
        <w:left w:val="none" w:sz="0" w:space="0" w:color="auto"/>
        <w:bottom w:val="none" w:sz="0" w:space="0" w:color="auto"/>
        <w:right w:val="none" w:sz="0" w:space="0" w:color="auto"/>
      </w:divBdr>
    </w:div>
    <w:div w:id="183859257">
      <w:marLeft w:val="480"/>
      <w:marRight w:val="0"/>
      <w:marTop w:val="0"/>
      <w:marBottom w:val="0"/>
      <w:divBdr>
        <w:top w:val="none" w:sz="0" w:space="0" w:color="auto"/>
        <w:left w:val="none" w:sz="0" w:space="0" w:color="auto"/>
        <w:bottom w:val="none" w:sz="0" w:space="0" w:color="auto"/>
        <w:right w:val="none" w:sz="0" w:space="0" w:color="auto"/>
      </w:divBdr>
    </w:div>
    <w:div w:id="187912583">
      <w:marLeft w:val="480"/>
      <w:marRight w:val="0"/>
      <w:marTop w:val="0"/>
      <w:marBottom w:val="0"/>
      <w:divBdr>
        <w:top w:val="none" w:sz="0" w:space="0" w:color="auto"/>
        <w:left w:val="none" w:sz="0" w:space="0" w:color="auto"/>
        <w:bottom w:val="none" w:sz="0" w:space="0" w:color="auto"/>
        <w:right w:val="none" w:sz="0" w:space="0" w:color="auto"/>
      </w:divBdr>
    </w:div>
    <w:div w:id="188763610">
      <w:marLeft w:val="480"/>
      <w:marRight w:val="0"/>
      <w:marTop w:val="0"/>
      <w:marBottom w:val="0"/>
      <w:divBdr>
        <w:top w:val="none" w:sz="0" w:space="0" w:color="auto"/>
        <w:left w:val="none" w:sz="0" w:space="0" w:color="auto"/>
        <w:bottom w:val="none" w:sz="0" w:space="0" w:color="auto"/>
        <w:right w:val="none" w:sz="0" w:space="0" w:color="auto"/>
      </w:divBdr>
    </w:div>
    <w:div w:id="198864028">
      <w:marLeft w:val="480"/>
      <w:marRight w:val="0"/>
      <w:marTop w:val="0"/>
      <w:marBottom w:val="0"/>
      <w:divBdr>
        <w:top w:val="none" w:sz="0" w:space="0" w:color="auto"/>
        <w:left w:val="none" w:sz="0" w:space="0" w:color="auto"/>
        <w:bottom w:val="none" w:sz="0" w:space="0" w:color="auto"/>
        <w:right w:val="none" w:sz="0" w:space="0" w:color="auto"/>
      </w:divBdr>
    </w:div>
    <w:div w:id="200635731">
      <w:marLeft w:val="480"/>
      <w:marRight w:val="0"/>
      <w:marTop w:val="0"/>
      <w:marBottom w:val="0"/>
      <w:divBdr>
        <w:top w:val="none" w:sz="0" w:space="0" w:color="auto"/>
        <w:left w:val="none" w:sz="0" w:space="0" w:color="auto"/>
        <w:bottom w:val="none" w:sz="0" w:space="0" w:color="auto"/>
        <w:right w:val="none" w:sz="0" w:space="0" w:color="auto"/>
      </w:divBdr>
    </w:div>
    <w:div w:id="206140912">
      <w:marLeft w:val="480"/>
      <w:marRight w:val="0"/>
      <w:marTop w:val="0"/>
      <w:marBottom w:val="0"/>
      <w:divBdr>
        <w:top w:val="none" w:sz="0" w:space="0" w:color="auto"/>
        <w:left w:val="none" w:sz="0" w:space="0" w:color="auto"/>
        <w:bottom w:val="none" w:sz="0" w:space="0" w:color="auto"/>
        <w:right w:val="none" w:sz="0" w:space="0" w:color="auto"/>
      </w:divBdr>
    </w:div>
    <w:div w:id="208609530">
      <w:marLeft w:val="480"/>
      <w:marRight w:val="0"/>
      <w:marTop w:val="0"/>
      <w:marBottom w:val="0"/>
      <w:divBdr>
        <w:top w:val="none" w:sz="0" w:space="0" w:color="auto"/>
        <w:left w:val="none" w:sz="0" w:space="0" w:color="auto"/>
        <w:bottom w:val="none" w:sz="0" w:space="0" w:color="auto"/>
        <w:right w:val="none" w:sz="0" w:space="0" w:color="auto"/>
      </w:divBdr>
    </w:div>
    <w:div w:id="210310054">
      <w:marLeft w:val="480"/>
      <w:marRight w:val="0"/>
      <w:marTop w:val="0"/>
      <w:marBottom w:val="0"/>
      <w:divBdr>
        <w:top w:val="none" w:sz="0" w:space="0" w:color="auto"/>
        <w:left w:val="none" w:sz="0" w:space="0" w:color="auto"/>
        <w:bottom w:val="none" w:sz="0" w:space="0" w:color="auto"/>
        <w:right w:val="none" w:sz="0" w:space="0" w:color="auto"/>
      </w:divBdr>
    </w:div>
    <w:div w:id="213085679">
      <w:marLeft w:val="480"/>
      <w:marRight w:val="0"/>
      <w:marTop w:val="0"/>
      <w:marBottom w:val="0"/>
      <w:divBdr>
        <w:top w:val="none" w:sz="0" w:space="0" w:color="auto"/>
        <w:left w:val="none" w:sz="0" w:space="0" w:color="auto"/>
        <w:bottom w:val="none" w:sz="0" w:space="0" w:color="auto"/>
        <w:right w:val="none" w:sz="0" w:space="0" w:color="auto"/>
      </w:divBdr>
    </w:div>
    <w:div w:id="217782594">
      <w:marLeft w:val="480"/>
      <w:marRight w:val="0"/>
      <w:marTop w:val="0"/>
      <w:marBottom w:val="0"/>
      <w:divBdr>
        <w:top w:val="none" w:sz="0" w:space="0" w:color="auto"/>
        <w:left w:val="none" w:sz="0" w:space="0" w:color="auto"/>
        <w:bottom w:val="none" w:sz="0" w:space="0" w:color="auto"/>
        <w:right w:val="none" w:sz="0" w:space="0" w:color="auto"/>
      </w:divBdr>
    </w:div>
    <w:div w:id="218320033">
      <w:marLeft w:val="480"/>
      <w:marRight w:val="0"/>
      <w:marTop w:val="0"/>
      <w:marBottom w:val="0"/>
      <w:divBdr>
        <w:top w:val="none" w:sz="0" w:space="0" w:color="auto"/>
        <w:left w:val="none" w:sz="0" w:space="0" w:color="auto"/>
        <w:bottom w:val="none" w:sz="0" w:space="0" w:color="auto"/>
        <w:right w:val="none" w:sz="0" w:space="0" w:color="auto"/>
      </w:divBdr>
    </w:div>
    <w:div w:id="228657830">
      <w:marLeft w:val="480"/>
      <w:marRight w:val="0"/>
      <w:marTop w:val="0"/>
      <w:marBottom w:val="0"/>
      <w:divBdr>
        <w:top w:val="none" w:sz="0" w:space="0" w:color="auto"/>
        <w:left w:val="none" w:sz="0" w:space="0" w:color="auto"/>
        <w:bottom w:val="none" w:sz="0" w:space="0" w:color="auto"/>
        <w:right w:val="none" w:sz="0" w:space="0" w:color="auto"/>
      </w:divBdr>
    </w:div>
    <w:div w:id="236718829">
      <w:marLeft w:val="480"/>
      <w:marRight w:val="0"/>
      <w:marTop w:val="0"/>
      <w:marBottom w:val="0"/>
      <w:divBdr>
        <w:top w:val="none" w:sz="0" w:space="0" w:color="auto"/>
        <w:left w:val="none" w:sz="0" w:space="0" w:color="auto"/>
        <w:bottom w:val="none" w:sz="0" w:space="0" w:color="auto"/>
        <w:right w:val="none" w:sz="0" w:space="0" w:color="auto"/>
      </w:divBdr>
    </w:div>
    <w:div w:id="239173268">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298755">
      <w:marLeft w:val="480"/>
      <w:marRight w:val="0"/>
      <w:marTop w:val="0"/>
      <w:marBottom w:val="0"/>
      <w:divBdr>
        <w:top w:val="none" w:sz="0" w:space="0" w:color="auto"/>
        <w:left w:val="none" w:sz="0" w:space="0" w:color="auto"/>
        <w:bottom w:val="none" w:sz="0" w:space="0" w:color="auto"/>
        <w:right w:val="none" w:sz="0" w:space="0" w:color="auto"/>
      </w:divBdr>
    </w:div>
    <w:div w:id="248777922">
      <w:marLeft w:val="480"/>
      <w:marRight w:val="0"/>
      <w:marTop w:val="0"/>
      <w:marBottom w:val="0"/>
      <w:divBdr>
        <w:top w:val="none" w:sz="0" w:space="0" w:color="auto"/>
        <w:left w:val="none" w:sz="0" w:space="0" w:color="auto"/>
        <w:bottom w:val="none" w:sz="0" w:space="0" w:color="auto"/>
        <w:right w:val="none" w:sz="0" w:space="0" w:color="auto"/>
      </w:divBdr>
    </w:div>
    <w:div w:id="251397964">
      <w:marLeft w:val="480"/>
      <w:marRight w:val="0"/>
      <w:marTop w:val="0"/>
      <w:marBottom w:val="0"/>
      <w:divBdr>
        <w:top w:val="none" w:sz="0" w:space="0" w:color="auto"/>
        <w:left w:val="none" w:sz="0" w:space="0" w:color="auto"/>
        <w:bottom w:val="none" w:sz="0" w:space="0" w:color="auto"/>
        <w:right w:val="none" w:sz="0" w:space="0" w:color="auto"/>
      </w:divBdr>
    </w:div>
    <w:div w:id="254245575">
      <w:marLeft w:val="480"/>
      <w:marRight w:val="0"/>
      <w:marTop w:val="0"/>
      <w:marBottom w:val="0"/>
      <w:divBdr>
        <w:top w:val="none" w:sz="0" w:space="0" w:color="auto"/>
        <w:left w:val="none" w:sz="0" w:space="0" w:color="auto"/>
        <w:bottom w:val="none" w:sz="0" w:space="0" w:color="auto"/>
        <w:right w:val="none" w:sz="0" w:space="0" w:color="auto"/>
      </w:divBdr>
    </w:div>
    <w:div w:id="257838522">
      <w:marLeft w:val="480"/>
      <w:marRight w:val="0"/>
      <w:marTop w:val="0"/>
      <w:marBottom w:val="0"/>
      <w:divBdr>
        <w:top w:val="none" w:sz="0" w:space="0" w:color="auto"/>
        <w:left w:val="none" w:sz="0" w:space="0" w:color="auto"/>
        <w:bottom w:val="none" w:sz="0" w:space="0" w:color="auto"/>
        <w:right w:val="none" w:sz="0" w:space="0" w:color="auto"/>
      </w:divBdr>
    </w:div>
    <w:div w:id="258148340">
      <w:marLeft w:val="480"/>
      <w:marRight w:val="0"/>
      <w:marTop w:val="0"/>
      <w:marBottom w:val="0"/>
      <w:divBdr>
        <w:top w:val="none" w:sz="0" w:space="0" w:color="auto"/>
        <w:left w:val="none" w:sz="0" w:space="0" w:color="auto"/>
        <w:bottom w:val="none" w:sz="0" w:space="0" w:color="auto"/>
        <w:right w:val="none" w:sz="0" w:space="0" w:color="auto"/>
      </w:divBdr>
    </w:div>
    <w:div w:id="263073177">
      <w:marLeft w:val="480"/>
      <w:marRight w:val="0"/>
      <w:marTop w:val="0"/>
      <w:marBottom w:val="0"/>
      <w:divBdr>
        <w:top w:val="none" w:sz="0" w:space="0" w:color="auto"/>
        <w:left w:val="none" w:sz="0" w:space="0" w:color="auto"/>
        <w:bottom w:val="none" w:sz="0" w:space="0" w:color="auto"/>
        <w:right w:val="none" w:sz="0" w:space="0" w:color="auto"/>
      </w:divBdr>
    </w:div>
    <w:div w:id="266740188">
      <w:marLeft w:val="480"/>
      <w:marRight w:val="0"/>
      <w:marTop w:val="0"/>
      <w:marBottom w:val="0"/>
      <w:divBdr>
        <w:top w:val="none" w:sz="0" w:space="0" w:color="auto"/>
        <w:left w:val="none" w:sz="0" w:space="0" w:color="auto"/>
        <w:bottom w:val="none" w:sz="0" w:space="0" w:color="auto"/>
        <w:right w:val="none" w:sz="0" w:space="0" w:color="auto"/>
      </w:divBdr>
    </w:div>
    <w:div w:id="270354935">
      <w:marLeft w:val="480"/>
      <w:marRight w:val="0"/>
      <w:marTop w:val="0"/>
      <w:marBottom w:val="0"/>
      <w:divBdr>
        <w:top w:val="none" w:sz="0" w:space="0" w:color="auto"/>
        <w:left w:val="none" w:sz="0" w:space="0" w:color="auto"/>
        <w:bottom w:val="none" w:sz="0" w:space="0" w:color="auto"/>
        <w:right w:val="none" w:sz="0" w:space="0" w:color="auto"/>
      </w:divBdr>
    </w:div>
    <w:div w:id="276260012">
      <w:marLeft w:val="480"/>
      <w:marRight w:val="0"/>
      <w:marTop w:val="0"/>
      <w:marBottom w:val="0"/>
      <w:divBdr>
        <w:top w:val="none" w:sz="0" w:space="0" w:color="auto"/>
        <w:left w:val="none" w:sz="0" w:space="0" w:color="auto"/>
        <w:bottom w:val="none" w:sz="0" w:space="0" w:color="auto"/>
        <w:right w:val="none" w:sz="0" w:space="0" w:color="auto"/>
      </w:divBdr>
    </w:div>
    <w:div w:id="281376328">
      <w:marLeft w:val="480"/>
      <w:marRight w:val="0"/>
      <w:marTop w:val="0"/>
      <w:marBottom w:val="0"/>
      <w:divBdr>
        <w:top w:val="none" w:sz="0" w:space="0" w:color="auto"/>
        <w:left w:val="none" w:sz="0" w:space="0" w:color="auto"/>
        <w:bottom w:val="none" w:sz="0" w:space="0" w:color="auto"/>
        <w:right w:val="none" w:sz="0" w:space="0" w:color="auto"/>
      </w:divBdr>
    </w:div>
    <w:div w:id="288511542">
      <w:marLeft w:val="480"/>
      <w:marRight w:val="0"/>
      <w:marTop w:val="0"/>
      <w:marBottom w:val="0"/>
      <w:divBdr>
        <w:top w:val="none" w:sz="0" w:space="0" w:color="auto"/>
        <w:left w:val="none" w:sz="0" w:space="0" w:color="auto"/>
        <w:bottom w:val="none" w:sz="0" w:space="0" w:color="auto"/>
        <w:right w:val="none" w:sz="0" w:space="0" w:color="auto"/>
      </w:divBdr>
    </w:div>
    <w:div w:id="295452480">
      <w:marLeft w:val="480"/>
      <w:marRight w:val="0"/>
      <w:marTop w:val="0"/>
      <w:marBottom w:val="0"/>
      <w:divBdr>
        <w:top w:val="none" w:sz="0" w:space="0" w:color="auto"/>
        <w:left w:val="none" w:sz="0" w:space="0" w:color="auto"/>
        <w:bottom w:val="none" w:sz="0" w:space="0" w:color="auto"/>
        <w:right w:val="none" w:sz="0" w:space="0" w:color="auto"/>
      </w:divBdr>
    </w:div>
    <w:div w:id="300502782">
      <w:marLeft w:val="480"/>
      <w:marRight w:val="0"/>
      <w:marTop w:val="0"/>
      <w:marBottom w:val="0"/>
      <w:divBdr>
        <w:top w:val="none" w:sz="0" w:space="0" w:color="auto"/>
        <w:left w:val="none" w:sz="0" w:space="0" w:color="auto"/>
        <w:bottom w:val="none" w:sz="0" w:space="0" w:color="auto"/>
        <w:right w:val="none" w:sz="0" w:space="0" w:color="auto"/>
      </w:divBdr>
    </w:div>
    <w:div w:id="302007070">
      <w:marLeft w:val="480"/>
      <w:marRight w:val="0"/>
      <w:marTop w:val="0"/>
      <w:marBottom w:val="0"/>
      <w:divBdr>
        <w:top w:val="none" w:sz="0" w:space="0" w:color="auto"/>
        <w:left w:val="none" w:sz="0" w:space="0" w:color="auto"/>
        <w:bottom w:val="none" w:sz="0" w:space="0" w:color="auto"/>
        <w:right w:val="none" w:sz="0" w:space="0" w:color="auto"/>
      </w:divBdr>
    </w:div>
    <w:div w:id="307788199">
      <w:marLeft w:val="480"/>
      <w:marRight w:val="0"/>
      <w:marTop w:val="0"/>
      <w:marBottom w:val="0"/>
      <w:divBdr>
        <w:top w:val="none" w:sz="0" w:space="0" w:color="auto"/>
        <w:left w:val="none" w:sz="0" w:space="0" w:color="auto"/>
        <w:bottom w:val="none" w:sz="0" w:space="0" w:color="auto"/>
        <w:right w:val="none" w:sz="0" w:space="0" w:color="auto"/>
      </w:divBdr>
    </w:div>
    <w:div w:id="314456124">
      <w:marLeft w:val="480"/>
      <w:marRight w:val="0"/>
      <w:marTop w:val="0"/>
      <w:marBottom w:val="0"/>
      <w:divBdr>
        <w:top w:val="none" w:sz="0" w:space="0" w:color="auto"/>
        <w:left w:val="none" w:sz="0" w:space="0" w:color="auto"/>
        <w:bottom w:val="none" w:sz="0" w:space="0" w:color="auto"/>
        <w:right w:val="none" w:sz="0" w:space="0" w:color="auto"/>
      </w:divBdr>
    </w:div>
    <w:div w:id="320430063">
      <w:marLeft w:val="480"/>
      <w:marRight w:val="0"/>
      <w:marTop w:val="0"/>
      <w:marBottom w:val="0"/>
      <w:divBdr>
        <w:top w:val="none" w:sz="0" w:space="0" w:color="auto"/>
        <w:left w:val="none" w:sz="0" w:space="0" w:color="auto"/>
        <w:bottom w:val="none" w:sz="0" w:space="0" w:color="auto"/>
        <w:right w:val="none" w:sz="0" w:space="0" w:color="auto"/>
      </w:divBdr>
    </w:div>
    <w:div w:id="347874472">
      <w:marLeft w:val="480"/>
      <w:marRight w:val="0"/>
      <w:marTop w:val="0"/>
      <w:marBottom w:val="0"/>
      <w:divBdr>
        <w:top w:val="none" w:sz="0" w:space="0" w:color="auto"/>
        <w:left w:val="none" w:sz="0" w:space="0" w:color="auto"/>
        <w:bottom w:val="none" w:sz="0" w:space="0" w:color="auto"/>
        <w:right w:val="none" w:sz="0" w:space="0" w:color="auto"/>
      </w:divBdr>
    </w:div>
    <w:div w:id="371808365">
      <w:marLeft w:val="480"/>
      <w:marRight w:val="0"/>
      <w:marTop w:val="0"/>
      <w:marBottom w:val="0"/>
      <w:divBdr>
        <w:top w:val="none" w:sz="0" w:space="0" w:color="auto"/>
        <w:left w:val="none" w:sz="0" w:space="0" w:color="auto"/>
        <w:bottom w:val="none" w:sz="0" w:space="0" w:color="auto"/>
        <w:right w:val="none" w:sz="0" w:space="0" w:color="auto"/>
      </w:divBdr>
    </w:div>
    <w:div w:id="387150029">
      <w:marLeft w:val="480"/>
      <w:marRight w:val="0"/>
      <w:marTop w:val="0"/>
      <w:marBottom w:val="0"/>
      <w:divBdr>
        <w:top w:val="none" w:sz="0" w:space="0" w:color="auto"/>
        <w:left w:val="none" w:sz="0" w:space="0" w:color="auto"/>
        <w:bottom w:val="none" w:sz="0" w:space="0" w:color="auto"/>
        <w:right w:val="none" w:sz="0" w:space="0" w:color="auto"/>
      </w:divBdr>
    </w:div>
    <w:div w:id="387337911">
      <w:marLeft w:val="480"/>
      <w:marRight w:val="0"/>
      <w:marTop w:val="0"/>
      <w:marBottom w:val="0"/>
      <w:divBdr>
        <w:top w:val="none" w:sz="0" w:space="0" w:color="auto"/>
        <w:left w:val="none" w:sz="0" w:space="0" w:color="auto"/>
        <w:bottom w:val="none" w:sz="0" w:space="0" w:color="auto"/>
        <w:right w:val="none" w:sz="0" w:space="0" w:color="auto"/>
      </w:divBdr>
    </w:div>
    <w:div w:id="403184618">
      <w:marLeft w:val="480"/>
      <w:marRight w:val="0"/>
      <w:marTop w:val="0"/>
      <w:marBottom w:val="0"/>
      <w:divBdr>
        <w:top w:val="none" w:sz="0" w:space="0" w:color="auto"/>
        <w:left w:val="none" w:sz="0" w:space="0" w:color="auto"/>
        <w:bottom w:val="none" w:sz="0" w:space="0" w:color="auto"/>
        <w:right w:val="none" w:sz="0" w:space="0" w:color="auto"/>
      </w:divBdr>
    </w:div>
    <w:div w:id="409234145">
      <w:marLeft w:val="480"/>
      <w:marRight w:val="0"/>
      <w:marTop w:val="0"/>
      <w:marBottom w:val="0"/>
      <w:divBdr>
        <w:top w:val="none" w:sz="0" w:space="0" w:color="auto"/>
        <w:left w:val="none" w:sz="0" w:space="0" w:color="auto"/>
        <w:bottom w:val="none" w:sz="0" w:space="0" w:color="auto"/>
        <w:right w:val="none" w:sz="0" w:space="0" w:color="auto"/>
      </w:divBdr>
    </w:div>
    <w:div w:id="422338581">
      <w:marLeft w:val="480"/>
      <w:marRight w:val="0"/>
      <w:marTop w:val="0"/>
      <w:marBottom w:val="0"/>
      <w:divBdr>
        <w:top w:val="none" w:sz="0" w:space="0" w:color="auto"/>
        <w:left w:val="none" w:sz="0" w:space="0" w:color="auto"/>
        <w:bottom w:val="none" w:sz="0" w:space="0" w:color="auto"/>
        <w:right w:val="none" w:sz="0" w:space="0" w:color="auto"/>
      </w:divBdr>
    </w:div>
    <w:div w:id="422460724">
      <w:marLeft w:val="480"/>
      <w:marRight w:val="0"/>
      <w:marTop w:val="0"/>
      <w:marBottom w:val="0"/>
      <w:divBdr>
        <w:top w:val="none" w:sz="0" w:space="0" w:color="auto"/>
        <w:left w:val="none" w:sz="0" w:space="0" w:color="auto"/>
        <w:bottom w:val="none" w:sz="0" w:space="0" w:color="auto"/>
        <w:right w:val="none" w:sz="0" w:space="0" w:color="auto"/>
      </w:divBdr>
    </w:div>
    <w:div w:id="429160248">
      <w:marLeft w:val="480"/>
      <w:marRight w:val="0"/>
      <w:marTop w:val="0"/>
      <w:marBottom w:val="0"/>
      <w:divBdr>
        <w:top w:val="none" w:sz="0" w:space="0" w:color="auto"/>
        <w:left w:val="none" w:sz="0" w:space="0" w:color="auto"/>
        <w:bottom w:val="none" w:sz="0" w:space="0" w:color="auto"/>
        <w:right w:val="none" w:sz="0" w:space="0" w:color="auto"/>
      </w:divBdr>
    </w:div>
    <w:div w:id="432408937">
      <w:marLeft w:val="480"/>
      <w:marRight w:val="0"/>
      <w:marTop w:val="0"/>
      <w:marBottom w:val="0"/>
      <w:divBdr>
        <w:top w:val="none" w:sz="0" w:space="0" w:color="auto"/>
        <w:left w:val="none" w:sz="0" w:space="0" w:color="auto"/>
        <w:bottom w:val="none" w:sz="0" w:space="0" w:color="auto"/>
        <w:right w:val="none" w:sz="0" w:space="0" w:color="auto"/>
      </w:divBdr>
    </w:div>
    <w:div w:id="444496782">
      <w:marLeft w:val="480"/>
      <w:marRight w:val="0"/>
      <w:marTop w:val="0"/>
      <w:marBottom w:val="0"/>
      <w:divBdr>
        <w:top w:val="none" w:sz="0" w:space="0" w:color="auto"/>
        <w:left w:val="none" w:sz="0" w:space="0" w:color="auto"/>
        <w:bottom w:val="none" w:sz="0" w:space="0" w:color="auto"/>
        <w:right w:val="none" w:sz="0" w:space="0" w:color="auto"/>
      </w:divBdr>
    </w:div>
    <w:div w:id="448621206">
      <w:marLeft w:val="480"/>
      <w:marRight w:val="0"/>
      <w:marTop w:val="0"/>
      <w:marBottom w:val="0"/>
      <w:divBdr>
        <w:top w:val="none" w:sz="0" w:space="0" w:color="auto"/>
        <w:left w:val="none" w:sz="0" w:space="0" w:color="auto"/>
        <w:bottom w:val="none" w:sz="0" w:space="0" w:color="auto"/>
        <w:right w:val="none" w:sz="0" w:space="0" w:color="auto"/>
      </w:divBdr>
    </w:div>
    <w:div w:id="459424895">
      <w:marLeft w:val="480"/>
      <w:marRight w:val="0"/>
      <w:marTop w:val="0"/>
      <w:marBottom w:val="0"/>
      <w:divBdr>
        <w:top w:val="none" w:sz="0" w:space="0" w:color="auto"/>
        <w:left w:val="none" w:sz="0" w:space="0" w:color="auto"/>
        <w:bottom w:val="none" w:sz="0" w:space="0" w:color="auto"/>
        <w:right w:val="none" w:sz="0" w:space="0" w:color="auto"/>
      </w:divBdr>
    </w:div>
    <w:div w:id="468715945">
      <w:marLeft w:val="480"/>
      <w:marRight w:val="0"/>
      <w:marTop w:val="0"/>
      <w:marBottom w:val="0"/>
      <w:divBdr>
        <w:top w:val="none" w:sz="0" w:space="0" w:color="auto"/>
        <w:left w:val="none" w:sz="0" w:space="0" w:color="auto"/>
        <w:bottom w:val="none" w:sz="0" w:space="0" w:color="auto"/>
        <w:right w:val="none" w:sz="0" w:space="0" w:color="auto"/>
      </w:divBdr>
    </w:div>
    <w:div w:id="471366799">
      <w:marLeft w:val="480"/>
      <w:marRight w:val="0"/>
      <w:marTop w:val="0"/>
      <w:marBottom w:val="0"/>
      <w:divBdr>
        <w:top w:val="none" w:sz="0" w:space="0" w:color="auto"/>
        <w:left w:val="none" w:sz="0" w:space="0" w:color="auto"/>
        <w:bottom w:val="none" w:sz="0" w:space="0" w:color="auto"/>
        <w:right w:val="none" w:sz="0" w:space="0" w:color="auto"/>
      </w:divBdr>
    </w:div>
    <w:div w:id="475801871">
      <w:marLeft w:val="480"/>
      <w:marRight w:val="0"/>
      <w:marTop w:val="0"/>
      <w:marBottom w:val="0"/>
      <w:divBdr>
        <w:top w:val="none" w:sz="0" w:space="0" w:color="auto"/>
        <w:left w:val="none" w:sz="0" w:space="0" w:color="auto"/>
        <w:bottom w:val="none" w:sz="0" w:space="0" w:color="auto"/>
        <w:right w:val="none" w:sz="0" w:space="0" w:color="auto"/>
      </w:divBdr>
    </w:div>
    <w:div w:id="476266901">
      <w:marLeft w:val="480"/>
      <w:marRight w:val="0"/>
      <w:marTop w:val="0"/>
      <w:marBottom w:val="0"/>
      <w:divBdr>
        <w:top w:val="none" w:sz="0" w:space="0" w:color="auto"/>
        <w:left w:val="none" w:sz="0" w:space="0" w:color="auto"/>
        <w:bottom w:val="none" w:sz="0" w:space="0" w:color="auto"/>
        <w:right w:val="none" w:sz="0" w:space="0" w:color="auto"/>
      </w:divBdr>
    </w:div>
    <w:div w:id="480579769">
      <w:marLeft w:val="480"/>
      <w:marRight w:val="0"/>
      <w:marTop w:val="0"/>
      <w:marBottom w:val="0"/>
      <w:divBdr>
        <w:top w:val="none" w:sz="0" w:space="0" w:color="auto"/>
        <w:left w:val="none" w:sz="0" w:space="0" w:color="auto"/>
        <w:bottom w:val="none" w:sz="0" w:space="0" w:color="auto"/>
        <w:right w:val="none" w:sz="0" w:space="0" w:color="auto"/>
      </w:divBdr>
    </w:div>
    <w:div w:id="485321223">
      <w:marLeft w:val="480"/>
      <w:marRight w:val="0"/>
      <w:marTop w:val="0"/>
      <w:marBottom w:val="0"/>
      <w:divBdr>
        <w:top w:val="none" w:sz="0" w:space="0" w:color="auto"/>
        <w:left w:val="none" w:sz="0" w:space="0" w:color="auto"/>
        <w:bottom w:val="none" w:sz="0" w:space="0" w:color="auto"/>
        <w:right w:val="none" w:sz="0" w:space="0" w:color="auto"/>
      </w:divBdr>
    </w:div>
    <w:div w:id="487554393">
      <w:marLeft w:val="480"/>
      <w:marRight w:val="0"/>
      <w:marTop w:val="0"/>
      <w:marBottom w:val="0"/>
      <w:divBdr>
        <w:top w:val="none" w:sz="0" w:space="0" w:color="auto"/>
        <w:left w:val="none" w:sz="0" w:space="0" w:color="auto"/>
        <w:bottom w:val="none" w:sz="0" w:space="0" w:color="auto"/>
        <w:right w:val="none" w:sz="0" w:space="0" w:color="auto"/>
      </w:divBdr>
    </w:div>
    <w:div w:id="497427787">
      <w:marLeft w:val="480"/>
      <w:marRight w:val="0"/>
      <w:marTop w:val="0"/>
      <w:marBottom w:val="0"/>
      <w:divBdr>
        <w:top w:val="none" w:sz="0" w:space="0" w:color="auto"/>
        <w:left w:val="none" w:sz="0" w:space="0" w:color="auto"/>
        <w:bottom w:val="none" w:sz="0" w:space="0" w:color="auto"/>
        <w:right w:val="none" w:sz="0" w:space="0" w:color="auto"/>
      </w:divBdr>
    </w:div>
    <w:div w:id="507446632">
      <w:marLeft w:val="480"/>
      <w:marRight w:val="0"/>
      <w:marTop w:val="0"/>
      <w:marBottom w:val="0"/>
      <w:divBdr>
        <w:top w:val="none" w:sz="0" w:space="0" w:color="auto"/>
        <w:left w:val="none" w:sz="0" w:space="0" w:color="auto"/>
        <w:bottom w:val="none" w:sz="0" w:space="0" w:color="auto"/>
        <w:right w:val="none" w:sz="0" w:space="0" w:color="auto"/>
      </w:divBdr>
    </w:div>
    <w:div w:id="509679854">
      <w:marLeft w:val="480"/>
      <w:marRight w:val="0"/>
      <w:marTop w:val="0"/>
      <w:marBottom w:val="0"/>
      <w:divBdr>
        <w:top w:val="none" w:sz="0" w:space="0" w:color="auto"/>
        <w:left w:val="none" w:sz="0" w:space="0" w:color="auto"/>
        <w:bottom w:val="none" w:sz="0" w:space="0" w:color="auto"/>
        <w:right w:val="none" w:sz="0" w:space="0" w:color="auto"/>
      </w:divBdr>
    </w:div>
    <w:div w:id="511576154">
      <w:marLeft w:val="480"/>
      <w:marRight w:val="0"/>
      <w:marTop w:val="0"/>
      <w:marBottom w:val="0"/>
      <w:divBdr>
        <w:top w:val="none" w:sz="0" w:space="0" w:color="auto"/>
        <w:left w:val="none" w:sz="0" w:space="0" w:color="auto"/>
        <w:bottom w:val="none" w:sz="0" w:space="0" w:color="auto"/>
        <w:right w:val="none" w:sz="0" w:space="0" w:color="auto"/>
      </w:divBdr>
    </w:div>
    <w:div w:id="515846273">
      <w:marLeft w:val="480"/>
      <w:marRight w:val="0"/>
      <w:marTop w:val="0"/>
      <w:marBottom w:val="0"/>
      <w:divBdr>
        <w:top w:val="none" w:sz="0" w:space="0" w:color="auto"/>
        <w:left w:val="none" w:sz="0" w:space="0" w:color="auto"/>
        <w:bottom w:val="none" w:sz="0" w:space="0" w:color="auto"/>
        <w:right w:val="none" w:sz="0" w:space="0" w:color="auto"/>
      </w:divBdr>
    </w:div>
    <w:div w:id="524056530">
      <w:marLeft w:val="480"/>
      <w:marRight w:val="0"/>
      <w:marTop w:val="0"/>
      <w:marBottom w:val="0"/>
      <w:divBdr>
        <w:top w:val="none" w:sz="0" w:space="0" w:color="auto"/>
        <w:left w:val="none" w:sz="0" w:space="0" w:color="auto"/>
        <w:bottom w:val="none" w:sz="0" w:space="0" w:color="auto"/>
        <w:right w:val="none" w:sz="0" w:space="0" w:color="auto"/>
      </w:divBdr>
    </w:div>
    <w:div w:id="526336277">
      <w:marLeft w:val="480"/>
      <w:marRight w:val="0"/>
      <w:marTop w:val="0"/>
      <w:marBottom w:val="0"/>
      <w:divBdr>
        <w:top w:val="none" w:sz="0" w:space="0" w:color="auto"/>
        <w:left w:val="none" w:sz="0" w:space="0" w:color="auto"/>
        <w:bottom w:val="none" w:sz="0" w:space="0" w:color="auto"/>
        <w:right w:val="none" w:sz="0" w:space="0" w:color="auto"/>
      </w:divBdr>
    </w:div>
    <w:div w:id="544025194">
      <w:marLeft w:val="480"/>
      <w:marRight w:val="0"/>
      <w:marTop w:val="0"/>
      <w:marBottom w:val="0"/>
      <w:divBdr>
        <w:top w:val="none" w:sz="0" w:space="0" w:color="auto"/>
        <w:left w:val="none" w:sz="0" w:space="0" w:color="auto"/>
        <w:bottom w:val="none" w:sz="0" w:space="0" w:color="auto"/>
        <w:right w:val="none" w:sz="0" w:space="0" w:color="auto"/>
      </w:divBdr>
    </w:div>
    <w:div w:id="545331982">
      <w:marLeft w:val="480"/>
      <w:marRight w:val="0"/>
      <w:marTop w:val="0"/>
      <w:marBottom w:val="0"/>
      <w:divBdr>
        <w:top w:val="none" w:sz="0" w:space="0" w:color="auto"/>
        <w:left w:val="none" w:sz="0" w:space="0" w:color="auto"/>
        <w:bottom w:val="none" w:sz="0" w:space="0" w:color="auto"/>
        <w:right w:val="none" w:sz="0" w:space="0" w:color="auto"/>
      </w:divBdr>
    </w:div>
    <w:div w:id="551162044">
      <w:marLeft w:val="480"/>
      <w:marRight w:val="0"/>
      <w:marTop w:val="0"/>
      <w:marBottom w:val="0"/>
      <w:divBdr>
        <w:top w:val="none" w:sz="0" w:space="0" w:color="auto"/>
        <w:left w:val="none" w:sz="0" w:space="0" w:color="auto"/>
        <w:bottom w:val="none" w:sz="0" w:space="0" w:color="auto"/>
        <w:right w:val="none" w:sz="0" w:space="0" w:color="auto"/>
      </w:divBdr>
    </w:div>
    <w:div w:id="560822653">
      <w:marLeft w:val="480"/>
      <w:marRight w:val="0"/>
      <w:marTop w:val="0"/>
      <w:marBottom w:val="0"/>
      <w:divBdr>
        <w:top w:val="none" w:sz="0" w:space="0" w:color="auto"/>
        <w:left w:val="none" w:sz="0" w:space="0" w:color="auto"/>
        <w:bottom w:val="none" w:sz="0" w:space="0" w:color="auto"/>
        <w:right w:val="none" w:sz="0" w:space="0" w:color="auto"/>
      </w:divBdr>
    </w:div>
    <w:div w:id="569118269">
      <w:marLeft w:val="480"/>
      <w:marRight w:val="0"/>
      <w:marTop w:val="0"/>
      <w:marBottom w:val="0"/>
      <w:divBdr>
        <w:top w:val="none" w:sz="0" w:space="0" w:color="auto"/>
        <w:left w:val="none" w:sz="0" w:space="0" w:color="auto"/>
        <w:bottom w:val="none" w:sz="0" w:space="0" w:color="auto"/>
        <w:right w:val="none" w:sz="0" w:space="0" w:color="auto"/>
      </w:divBdr>
    </w:div>
    <w:div w:id="574238889">
      <w:marLeft w:val="480"/>
      <w:marRight w:val="0"/>
      <w:marTop w:val="0"/>
      <w:marBottom w:val="0"/>
      <w:divBdr>
        <w:top w:val="none" w:sz="0" w:space="0" w:color="auto"/>
        <w:left w:val="none" w:sz="0" w:space="0" w:color="auto"/>
        <w:bottom w:val="none" w:sz="0" w:space="0" w:color="auto"/>
        <w:right w:val="none" w:sz="0" w:space="0" w:color="auto"/>
      </w:divBdr>
    </w:div>
    <w:div w:id="577136641">
      <w:marLeft w:val="480"/>
      <w:marRight w:val="0"/>
      <w:marTop w:val="0"/>
      <w:marBottom w:val="0"/>
      <w:divBdr>
        <w:top w:val="none" w:sz="0" w:space="0" w:color="auto"/>
        <w:left w:val="none" w:sz="0" w:space="0" w:color="auto"/>
        <w:bottom w:val="none" w:sz="0" w:space="0" w:color="auto"/>
        <w:right w:val="none" w:sz="0" w:space="0" w:color="auto"/>
      </w:divBdr>
    </w:div>
    <w:div w:id="580677355">
      <w:marLeft w:val="480"/>
      <w:marRight w:val="0"/>
      <w:marTop w:val="0"/>
      <w:marBottom w:val="0"/>
      <w:divBdr>
        <w:top w:val="none" w:sz="0" w:space="0" w:color="auto"/>
        <w:left w:val="none" w:sz="0" w:space="0" w:color="auto"/>
        <w:bottom w:val="none" w:sz="0" w:space="0" w:color="auto"/>
        <w:right w:val="none" w:sz="0" w:space="0" w:color="auto"/>
      </w:divBdr>
    </w:div>
    <w:div w:id="585921894">
      <w:marLeft w:val="480"/>
      <w:marRight w:val="0"/>
      <w:marTop w:val="0"/>
      <w:marBottom w:val="0"/>
      <w:divBdr>
        <w:top w:val="none" w:sz="0" w:space="0" w:color="auto"/>
        <w:left w:val="none" w:sz="0" w:space="0" w:color="auto"/>
        <w:bottom w:val="none" w:sz="0" w:space="0" w:color="auto"/>
        <w:right w:val="none" w:sz="0" w:space="0" w:color="auto"/>
      </w:divBdr>
    </w:div>
    <w:div w:id="589001462">
      <w:marLeft w:val="480"/>
      <w:marRight w:val="0"/>
      <w:marTop w:val="0"/>
      <w:marBottom w:val="0"/>
      <w:divBdr>
        <w:top w:val="none" w:sz="0" w:space="0" w:color="auto"/>
        <w:left w:val="none" w:sz="0" w:space="0" w:color="auto"/>
        <w:bottom w:val="none" w:sz="0" w:space="0" w:color="auto"/>
        <w:right w:val="none" w:sz="0" w:space="0" w:color="auto"/>
      </w:divBdr>
    </w:div>
    <w:div w:id="601844194">
      <w:marLeft w:val="480"/>
      <w:marRight w:val="0"/>
      <w:marTop w:val="0"/>
      <w:marBottom w:val="0"/>
      <w:divBdr>
        <w:top w:val="none" w:sz="0" w:space="0" w:color="auto"/>
        <w:left w:val="none" w:sz="0" w:space="0" w:color="auto"/>
        <w:bottom w:val="none" w:sz="0" w:space="0" w:color="auto"/>
        <w:right w:val="none" w:sz="0" w:space="0" w:color="auto"/>
      </w:divBdr>
    </w:div>
    <w:div w:id="609052370">
      <w:marLeft w:val="480"/>
      <w:marRight w:val="0"/>
      <w:marTop w:val="0"/>
      <w:marBottom w:val="0"/>
      <w:divBdr>
        <w:top w:val="none" w:sz="0" w:space="0" w:color="auto"/>
        <w:left w:val="none" w:sz="0" w:space="0" w:color="auto"/>
        <w:bottom w:val="none" w:sz="0" w:space="0" w:color="auto"/>
        <w:right w:val="none" w:sz="0" w:space="0" w:color="auto"/>
      </w:divBdr>
    </w:div>
    <w:div w:id="630868843">
      <w:marLeft w:val="480"/>
      <w:marRight w:val="0"/>
      <w:marTop w:val="0"/>
      <w:marBottom w:val="0"/>
      <w:divBdr>
        <w:top w:val="none" w:sz="0" w:space="0" w:color="auto"/>
        <w:left w:val="none" w:sz="0" w:space="0" w:color="auto"/>
        <w:bottom w:val="none" w:sz="0" w:space="0" w:color="auto"/>
        <w:right w:val="none" w:sz="0" w:space="0" w:color="auto"/>
      </w:divBdr>
    </w:div>
    <w:div w:id="63217968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015448">
      <w:marLeft w:val="480"/>
      <w:marRight w:val="0"/>
      <w:marTop w:val="0"/>
      <w:marBottom w:val="0"/>
      <w:divBdr>
        <w:top w:val="none" w:sz="0" w:space="0" w:color="auto"/>
        <w:left w:val="none" w:sz="0" w:space="0" w:color="auto"/>
        <w:bottom w:val="none" w:sz="0" w:space="0" w:color="auto"/>
        <w:right w:val="none" w:sz="0" w:space="0" w:color="auto"/>
      </w:divBdr>
    </w:div>
    <w:div w:id="653994873">
      <w:marLeft w:val="480"/>
      <w:marRight w:val="0"/>
      <w:marTop w:val="0"/>
      <w:marBottom w:val="0"/>
      <w:divBdr>
        <w:top w:val="none" w:sz="0" w:space="0" w:color="auto"/>
        <w:left w:val="none" w:sz="0" w:space="0" w:color="auto"/>
        <w:bottom w:val="none" w:sz="0" w:space="0" w:color="auto"/>
        <w:right w:val="none" w:sz="0" w:space="0" w:color="auto"/>
      </w:divBdr>
    </w:div>
    <w:div w:id="661665854">
      <w:marLeft w:val="480"/>
      <w:marRight w:val="0"/>
      <w:marTop w:val="0"/>
      <w:marBottom w:val="0"/>
      <w:divBdr>
        <w:top w:val="none" w:sz="0" w:space="0" w:color="auto"/>
        <w:left w:val="none" w:sz="0" w:space="0" w:color="auto"/>
        <w:bottom w:val="none" w:sz="0" w:space="0" w:color="auto"/>
        <w:right w:val="none" w:sz="0" w:space="0" w:color="auto"/>
      </w:divBdr>
    </w:div>
    <w:div w:id="663125223">
      <w:marLeft w:val="480"/>
      <w:marRight w:val="0"/>
      <w:marTop w:val="0"/>
      <w:marBottom w:val="0"/>
      <w:divBdr>
        <w:top w:val="none" w:sz="0" w:space="0" w:color="auto"/>
        <w:left w:val="none" w:sz="0" w:space="0" w:color="auto"/>
        <w:bottom w:val="none" w:sz="0" w:space="0" w:color="auto"/>
        <w:right w:val="none" w:sz="0" w:space="0" w:color="auto"/>
      </w:divBdr>
    </w:div>
    <w:div w:id="670372771">
      <w:marLeft w:val="480"/>
      <w:marRight w:val="0"/>
      <w:marTop w:val="0"/>
      <w:marBottom w:val="0"/>
      <w:divBdr>
        <w:top w:val="none" w:sz="0" w:space="0" w:color="auto"/>
        <w:left w:val="none" w:sz="0" w:space="0" w:color="auto"/>
        <w:bottom w:val="none" w:sz="0" w:space="0" w:color="auto"/>
        <w:right w:val="none" w:sz="0" w:space="0" w:color="auto"/>
      </w:divBdr>
    </w:div>
    <w:div w:id="670647916">
      <w:marLeft w:val="480"/>
      <w:marRight w:val="0"/>
      <w:marTop w:val="0"/>
      <w:marBottom w:val="0"/>
      <w:divBdr>
        <w:top w:val="none" w:sz="0" w:space="0" w:color="auto"/>
        <w:left w:val="none" w:sz="0" w:space="0" w:color="auto"/>
        <w:bottom w:val="none" w:sz="0" w:space="0" w:color="auto"/>
        <w:right w:val="none" w:sz="0" w:space="0" w:color="auto"/>
      </w:divBdr>
    </w:div>
    <w:div w:id="670837709">
      <w:marLeft w:val="480"/>
      <w:marRight w:val="0"/>
      <w:marTop w:val="0"/>
      <w:marBottom w:val="0"/>
      <w:divBdr>
        <w:top w:val="none" w:sz="0" w:space="0" w:color="auto"/>
        <w:left w:val="none" w:sz="0" w:space="0" w:color="auto"/>
        <w:bottom w:val="none" w:sz="0" w:space="0" w:color="auto"/>
        <w:right w:val="none" w:sz="0" w:space="0" w:color="auto"/>
      </w:divBdr>
    </w:div>
    <w:div w:id="670916403">
      <w:marLeft w:val="480"/>
      <w:marRight w:val="0"/>
      <w:marTop w:val="0"/>
      <w:marBottom w:val="0"/>
      <w:divBdr>
        <w:top w:val="none" w:sz="0" w:space="0" w:color="auto"/>
        <w:left w:val="none" w:sz="0" w:space="0" w:color="auto"/>
        <w:bottom w:val="none" w:sz="0" w:space="0" w:color="auto"/>
        <w:right w:val="none" w:sz="0" w:space="0" w:color="auto"/>
      </w:divBdr>
    </w:div>
    <w:div w:id="671954505">
      <w:marLeft w:val="480"/>
      <w:marRight w:val="0"/>
      <w:marTop w:val="0"/>
      <w:marBottom w:val="0"/>
      <w:divBdr>
        <w:top w:val="none" w:sz="0" w:space="0" w:color="auto"/>
        <w:left w:val="none" w:sz="0" w:space="0" w:color="auto"/>
        <w:bottom w:val="none" w:sz="0" w:space="0" w:color="auto"/>
        <w:right w:val="none" w:sz="0" w:space="0" w:color="auto"/>
      </w:divBdr>
    </w:div>
    <w:div w:id="694114777">
      <w:marLeft w:val="480"/>
      <w:marRight w:val="0"/>
      <w:marTop w:val="0"/>
      <w:marBottom w:val="0"/>
      <w:divBdr>
        <w:top w:val="none" w:sz="0" w:space="0" w:color="auto"/>
        <w:left w:val="none" w:sz="0" w:space="0" w:color="auto"/>
        <w:bottom w:val="none" w:sz="0" w:space="0" w:color="auto"/>
        <w:right w:val="none" w:sz="0" w:space="0" w:color="auto"/>
      </w:divBdr>
    </w:div>
    <w:div w:id="706298660">
      <w:marLeft w:val="480"/>
      <w:marRight w:val="0"/>
      <w:marTop w:val="0"/>
      <w:marBottom w:val="0"/>
      <w:divBdr>
        <w:top w:val="none" w:sz="0" w:space="0" w:color="auto"/>
        <w:left w:val="none" w:sz="0" w:space="0" w:color="auto"/>
        <w:bottom w:val="none" w:sz="0" w:space="0" w:color="auto"/>
        <w:right w:val="none" w:sz="0" w:space="0" w:color="auto"/>
      </w:divBdr>
    </w:div>
    <w:div w:id="714280544">
      <w:marLeft w:val="480"/>
      <w:marRight w:val="0"/>
      <w:marTop w:val="0"/>
      <w:marBottom w:val="0"/>
      <w:divBdr>
        <w:top w:val="none" w:sz="0" w:space="0" w:color="auto"/>
        <w:left w:val="none" w:sz="0" w:space="0" w:color="auto"/>
        <w:bottom w:val="none" w:sz="0" w:space="0" w:color="auto"/>
        <w:right w:val="none" w:sz="0" w:space="0" w:color="auto"/>
      </w:divBdr>
    </w:div>
    <w:div w:id="716319208">
      <w:marLeft w:val="480"/>
      <w:marRight w:val="0"/>
      <w:marTop w:val="0"/>
      <w:marBottom w:val="0"/>
      <w:divBdr>
        <w:top w:val="none" w:sz="0" w:space="0" w:color="auto"/>
        <w:left w:val="none" w:sz="0" w:space="0" w:color="auto"/>
        <w:bottom w:val="none" w:sz="0" w:space="0" w:color="auto"/>
        <w:right w:val="none" w:sz="0" w:space="0" w:color="auto"/>
      </w:divBdr>
    </w:div>
    <w:div w:id="717320455">
      <w:marLeft w:val="480"/>
      <w:marRight w:val="0"/>
      <w:marTop w:val="0"/>
      <w:marBottom w:val="0"/>
      <w:divBdr>
        <w:top w:val="none" w:sz="0" w:space="0" w:color="auto"/>
        <w:left w:val="none" w:sz="0" w:space="0" w:color="auto"/>
        <w:bottom w:val="none" w:sz="0" w:space="0" w:color="auto"/>
        <w:right w:val="none" w:sz="0" w:space="0" w:color="auto"/>
      </w:divBdr>
    </w:div>
    <w:div w:id="721709277">
      <w:marLeft w:val="480"/>
      <w:marRight w:val="0"/>
      <w:marTop w:val="0"/>
      <w:marBottom w:val="0"/>
      <w:divBdr>
        <w:top w:val="none" w:sz="0" w:space="0" w:color="auto"/>
        <w:left w:val="none" w:sz="0" w:space="0" w:color="auto"/>
        <w:bottom w:val="none" w:sz="0" w:space="0" w:color="auto"/>
        <w:right w:val="none" w:sz="0" w:space="0" w:color="auto"/>
      </w:divBdr>
    </w:div>
    <w:div w:id="725685977">
      <w:marLeft w:val="480"/>
      <w:marRight w:val="0"/>
      <w:marTop w:val="0"/>
      <w:marBottom w:val="0"/>
      <w:divBdr>
        <w:top w:val="none" w:sz="0" w:space="0" w:color="auto"/>
        <w:left w:val="none" w:sz="0" w:space="0" w:color="auto"/>
        <w:bottom w:val="none" w:sz="0" w:space="0" w:color="auto"/>
        <w:right w:val="none" w:sz="0" w:space="0" w:color="auto"/>
      </w:divBdr>
    </w:div>
    <w:div w:id="725841190">
      <w:marLeft w:val="480"/>
      <w:marRight w:val="0"/>
      <w:marTop w:val="0"/>
      <w:marBottom w:val="0"/>
      <w:divBdr>
        <w:top w:val="none" w:sz="0" w:space="0" w:color="auto"/>
        <w:left w:val="none" w:sz="0" w:space="0" w:color="auto"/>
        <w:bottom w:val="none" w:sz="0" w:space="0" w:color="auto"/>
        <w:right w:val="none" w:sz="0" w:space="0" w:color="auto"/>
      </w:divBdr>
    </w:div>
    <w:div w:id="735787922">
      <w:marLeft w:val="480"/>
      <w:marRight w:val="0"/>
      <w:marTop w:val="0"/>
      <w:marBottom w:val="0"/>
      <w:divBdr>
        <w:top w:val="none" w:sz="0" w:space="0" w:color="auto"/>
        <w:left w:val="none" w:sz="0" w:space="0" w:color="auto"/>
        <w:bottom w:val="none" w:sz="0" w:space="0" w:color="auto"/>
        <w:right w:val="none" w:sz="0" w:space="0" w:color="auto"/>
      </w:divBdr>
    </w:div>
    <w:div w:id="743795463">
      <w:marLeft w:val="480"/>
      <w:marRight w:val="0"/>
      <w:marTop w:val="0"/>
      <w:marBottom w:val="0"/>
      <w:divBdr>
        <w:top w:val="none" w:sz="0" w:space="0" w:color="auto"/>
        <w:left w:val="none" w:sz="0" w:space="0" w:color="auto"/>
        <w:bottom w:val="none" w:sz="0" w:space="0" w:color="auto"/>
        <w:right w:val="none" w:sz="0" w:space="0" w:color="auto"/>
      </w:divBdr>
    </w:div>
    <w:div w:id="769398489">
      <w:marLeft w:val="480"/>
      <w:marRight w:val="0"/>
      <w:marTop w:val="0"/>
      <w:marBottom w:val="0"/>
      <w:divBdr>
        <w:top w:val="none" w:sz="0" w:space="0" w:color="auto"/>
        <w:left w:val="none" w:sz="0" w:space="0" w:color="auto"/>
        <w:bottom w:val="none" w:sz="0" w:space="0" w:color="auto"/>
        <w:right w:val="none" w:sz="0" w:space="0" w:color="auto"/>
      </w:divBdr>
    </w:div>
    <w:div w:id="780883573">
      <w:marLeft w:val="480"/>
      <w:marRight w:val="0"/>
      <w:marTop w:val="0"/>
      <w:marBottom w:val="0"/>
      <w:divBdr>
        <w:top w:val="none" w:sz="0" w:space="0" w:color="auto"/>
        <w:left w:val="none" w:sz="0" w:space="0" w:color="auto"/>
        <w:bottom w:val="none" w:sz="0" w:space="0" w:color="auto"/>
        <w:right w:val="none" w:sz="0" w:space="0" w:color="auto"/>
      </w:divBdr>
    </w:div>
    <w:div w:id="795758858">
      <w:marLeft w:val="480"/>
      <w:marRight w:val="0"/>
      <w:marTop w:val="0"/>
      <w:marBottom w:val="0"/>
      <w:divBdr>
        <w:top w:val="none" w:sz="0" w:space="0" w:color="auto"/>
        <w:left w:val="none" w:sz="0" w:space="0" w:color="auto"/>
        <w:bottom w:val="none" w:sz="0" w:space="0" w:color="auto"/>
        <w:right w:val="none" w:sz="0" w:space="0" w:color="auto"/>
      </w:divBdr>
    </w:div>
    <w:div w:id="803624427">
      <w:marLeft w:val="480"/>
      <w:marRight w:val="0"/>
      <w:marTop w:val="0"/>
      <w:marBottom w:val="0"/>
      <w:divBdr>
        <w:top w:val="none" w:sz="0" w:space="0" w:color="auto"/>
        <w:left w:val="none" w:sz="0" w:space="0" w:color="auto"/>
        <w:bottom w:val="none" w:sz="0" w:space="0" w:color="auto"/>
        <w:right w:val="none" w:sz="0" w:space="0" w:color="auto"/>
      </w:divBdr>
    </w:div>
    <w:div w:id="804197328">
      <w:marLeft w:val="480"/>
      <w:marRight w:val="0"/>
      <w:marTop w:val="0"/>
      <w:marBottom w:val="0"/>
      <w:divBdr>
        <w:top w:val="none" w:sz="0" w:space="0" w:color="auto"/>
        <w:left w:val="none" w:sz="0" w:space="0" w:color="auto"/>
        <w:bottom w:val="none" w:sz="0" w:space="0" w:color="auto"/>
        <w:right w:val="none" w:sz="0" w:space="0" w:color="auto"/>
      </w:divBdr>
    </w:div>
    <w:div w:id="808127317">
      <w:marLeft w:val="480"/>
      <w:marRight w:val="0"/>
      <w:marTop w:val="0"/>
      <w:marBottom w:val="0"/>
      <w:divBdr>
        <w:top w:val="none" w:sz="0" w:space="0" w:color="auto"/>
        <w:left w:val="none" w:sz="0" w:space="0" w:color="auto"/>
        <w:bottom w:val="none" w:sz="0" w:space="0" w:color="auto"/>
        <w:right w:val="none" w:sz="0" w:space="0" w:color="auto"/>
      </w:divBdr>
    </w:div>
    <w:div w:id="815416570">
      <w:marLeft w:val="480"/>
      <w:marRight w:val="0"/>
      <w:marTop w:val="0"/>
      <w:marBottom w:val="0"/>
      <w:divBdr>
        <w:top w:val="none" w:sz="0" w:space="0" w:color="auto"/>
        <w:left w:val="none" w:sz="0" w:space="0" w:color="auto"/>
        <w:bottom w:val="none" w:sz="0" w:space="0" w:color="auto"/>
        <w:right w:val="none" w:sz="0" w:space="0" w:color="auto"/>
      </w:divBdr>
    </w:div>
    <w:div w:id="826164516">
      <w:marLeft w:val="480"/>
      <w:marRight w:val="0"/>
      <w:marTop w:val="0"/>
      <w:marBottom w:val="0"/>
      <w:divBdr>
        <w:top w:val="none" w:sz="0" w:space="0" w:color="auto"/>
        <w:left w:val="none" w:sz="0" w:space="0" w:color="auto"/>
        <w:bottom w:val="none" w:sz="0" w:space="0" w:color="auto"/>
        <w:right w:val="none" w:sz="0" w:space="0" w:color="auto"/>
      </w:divBdr>
    </w:div>
    <w:div w:id="848565183">
      <w:marLeft w:val="480"/>
      <w:marRight w:val="0"/>
      <w:marTop w:val="0"/>
      <w:marBottom w:val="0"/>
      <w:divBdr>
        <w:top w:val="none" w:sz="0" w:space="0" w:color="auto"/>
        <w:left w:val="none" w:sz="0" w:space="0" w:color="auto"/>
        <w:bottom w:val="none" w:sz="0" w:space="0" w:color="auto"/>
        <w:right w:val="none" w:sz="0" w:space="0" w:color="auto"/>
      </w:divBdr>
    </w:div>
    <w:div w:id="848713967">
      <w:marLeft w:val="480"/>
      <w:marRight w:val="0"/>
      <w:marTop w:val="0"/>
      <w:marBottom w:val="0"/>
      <w:divBdr>
        <w:top w:val="none" w:sz="0" w:space="0" w:color="auto"/>
        <w:left w:val="none" w:sz="0" w:space="0" w:color="auto"/>
        <w:bottom w:val="none" w:sz="0" w:space="0" w:color="auto"/>
        <w:right w:val="none" w:sz="0" w:space="0" w:color="auto"/>
      </w:divBdr>
    </w:div>
    <w:div w:id="851072412">
      <w:marLeft w:val="480"/>
      <w:marRight w:val="0"/>
      <w:marTop w:val="0"/>
      <w:marBottom w:val="0"/>
      <w:divBdr>
        <w:top w:val="none" w:sz="0" w:space="0" w:color="auto"/>
        <w:left w:val="none" w:sz="0" w:space="0" w:color="auto"/>
        <w:bottom w:val="none" w:sz="0" w:space="0" w:color="auto"/>
        <w:right w:val="none" w:sz="0" w:space="0" w:color="auto"/>
      </w:divBdr>
    </w:div>
    <w:div w:id="858355254">
      <w:marLeft w:val="480"/>
      <w:marRight w:val="0"/>
      <w:marTop w:val="0"/>
      <w:marBottom w:val="0"/>
      <w:divBdr>
        <w:top w:val="none" w:sz="0" w:space="0" w:color="auto"/>
        <w:left w:val="none" w:sz="0" w:space="0" w:color="auto"/>
        <w:bottom w:val="none" w:sz="0" w:space="0" w:color="auto"/>
        <w:right w:val="none" w:sz="0" w:space="0" w:color="auto"/>
      </w:divBdr>
    </w:div>
    <w:div w:id="863597651">
      <w:marLeft w:val="480"/>
      <w:marRight w:val="0"/>
      <w:marTop w:val="0"/>
      <w:marBottom w:val="0"/>
      <w:divBdr>
        <w:top w:val="none" w:sz="0" w:space="0" w:color="auto"/>
        <w:left w:val="none" w:sz="0" w:space="0" w:color="auto"/>
        <w:bottom w:val="none" w:sz="0" w:space="0" w:color="auto"/>
        <w:right w:val="none" w:sz="0" w:space="0" w:color="auto"/>
      </w:divBdr>
    </w:div>
    <w:div w:id="866062399">
      <w:marLeft w:val="480"/>
      <w:marRight w:val="0"/>
      <w:marTop w:val="0"/>
      <w:marBottom w:val="0"/>
      <w:divBdr>
        <w:top w:val="none" w:sz="0" w:space="0" w:color="auto"/>
        <w:left w:val="none" w:sz="0" w:space="0" w:color="auto"/>
        <w:bottom w:val="none" w:sz="0" w:space="0" w:color="auto"/>
        <w:right w:val="none" w:sz="0" w:space="0" w:color="auto"/>
      </w:divBdr>
    </w:div>
    <w:div w:id="874971637">
      <w:marLeft w:val="480"/>
      <w:marRight w:val="0"/>
      <w:marTop w:val="0"/>
      <w:marBottom w:val="0"/>
      <w:divBdr>
        <w:top w:val="none" w:sz="0" w:space="0" w:color="auto"/>
        <w:left w:val="none" w:sz="0" w:space="0" w:color="auto"/>
        <w:bottom w:val="none" w:sz="0" w:space="0" w:color="auto"/>
        <w:right w:val="none" w:sz="0" w:space="0" w:color="auto"/>
      </w:divBdr>
    </w:div>
    <w:div w:id="877551907">
      <w:marLeft w:val="480"/>
      <w:marRight w:val="0"/>
      <w:marTop w:val="0"/>
      <w:marBottom w:val="0"/>
      <w:divBdr>
        <w:top w:val="none" w:sz="0" w:space="0" w:color="auto"/>
        <w:left w:val="none" w:sz="0" w:space="0" w:color="auto"/>
        <w:bottom w:val="none" w:sz="0" w:space="0" w:color="auto"/>
        <w:right w:val="none" w:sz="0" w:space="0" w:color="auto"/>
      </w:divBdr>
    </w:div>
    <w:div w:id="881793891">
      <w:marLeft w:val="480"/>
      <w:marRight w:val="0"/>
      <w:marTop w:val="0"/>
      <w:marBottom w:val="0"/>
      <w:divBdr>
        <w:top w:val="none" w:sz="0" w:space="0" w:color="auto"/>
        <w:left w:val="none" w:sz="0" w:space="0" w:color="auto"/>
        <w:bottom w:val="none" w:sz="0" w:space="0" w:color="auto"/>
        <w:right w:val="none" w:sz="0" w:space="0" w:color="auto"/>
      </w:divBdr>
    </w:div>
    <w:div w:id="914245200">
      <w:marLeft w:val="480"/>
      <w:marRight w:val="0"/>
      <w:marTop w:val="0"/>
      <w:marBottom w:val="0"/>
      <w:divBdr>
        <w:top w:val="none" w:sz="0" w:space="0" w:color="auto"/>
        <w:left w:val="none" w:sz="0" w:space="0" w:color="auto"/>
        <w:bottom w:val="none" w:sz="0" w:space="0" w:color="auto"/>
        <w:right w:val="none" w:sz="0" w:space="0" w:color="auto"/>
      </w:divBdr>
    </w:div>
    <w:div w:id="920868154">
      <w:marLeft w:val="480"/>
      <w:marRight w:val="0"/>
      <w:marTop w:val="0"/>
      <w:marBottom w:val="0"/>
      <w:divBdr>
        <w:top w:val="none" w:sz="0" w:space="0" w:color="auto"/>
        <w:left w:val="none" w:sz="0" w:space="0" w:color="auto"/>
        <w:bottom w:val="none" w:sz="0" w:space="0" w:color="auto"/>
        <w:right w:val="none" w:sz="0" w:space="0" w:color="auto"/>
      </w:divBdr>
    </w:div>
    <w:div w:id="920987416">
      <w:marLeft w:val="480"/>
      <w:marRight w:val="0"/>
      <w:marTop w:val="0"/>
      <w:marBottom w:val="0"/>
      <w:divBdr>
        <w:top w:val="none" w:sz="0" w:space="0" w:color="auto"/>
        <w:left w:val="none" w:sz="0" w:space="0" w:color="auto"/>
        <w:bottom w:val="none" w:sz="0" w:space="0" w:color="auto"/>
        <w:right w:val="none" w:sz="0" w:space="0" w:color="auto"/>
      </w:divBdr>
    </w:div>
    <w:div w:id="927230142">
      <w:marLeft w:val="480"/>
      <w:marRight w:val="0"/>
      <w:marTop w:val="0"/>
      <w:marBottom w:val="0"/>
      <w:divBdr>
        <w:top w:val="none" w:sz="0" w:space="0" w:color="auto"/>
        <w:left w:val="none" w:sz="0" w:space="0" w:color="auto"/>
        <w:bottom w:val="none" w:sz="0" w:space="0" w:color="auto"/>
        <w:right w:val="none" w:sz="0" w:space="0" w:color="auto"/>
      </w:divBdr>
    </w:div>
    <w:div w:id="928195525">
      <w:marLeft w:val="480"/>
      <w:marRight w:val="0"/>
      <w:marTop w:val="0"/>
      <w:marBottom w:val="0"/>
      <w:divBdr>
        <w:top w:val="none" w:sz="0" w:space="0" w:color="auto"/>
        <w:left w:val="none" w:sz="0" w:space="0" w:color="auto"/>
        <w:bottom w:val="none" w:sz="0" w:space="0" w:color="auto"/>
        <w:right w:val="none" w:sz="0" w:space="0" w:color="auto"/>
      </w:divBdr>
    </w:div>
    <w:div w:id="930353587">
      <w:marLeft w:val="480"/>
      <w:marRight w:val="0"/>
      <w:marTop w:val="0"/>
      <w:marBottom w:val="0"/>
      <w:divBdr>
        <w:top w:val="none" w:sz="0" w:space="0" w:color="auto"/>
        <w:left w:val="none" w:sz="0" w:space="0" w:color="auto"/>
        <w:bottom w:val="none" w:sz="0" w:space="0" w:color="auto"/>
        <w:right w:val="none" w:sz="0" w:space="0" w:color="auto"/>
      </w:divBdr>
    </w:div>
    <w:div w:id="931743406">
      <w:marLeft w:val="480"/>
      <w:marRight w:val="0"/>
      <w:marTop w:val="0"/>
      <w:marBottom w:val="0"/>
      <w:divBdr>
        <w:top w:val="none" w:sz="0" w:space="0" w:color="auto"/>
        <w:left w:val="none" w:sz="0" w:space="0" w:color="auto"/>
        <w:bottom w:val="none" w:sz="0" w:space="0" w:color="auto"/>
        <w:right w:val="none" w:sz="0" w:space="0" w:color="auto"/>
      </w:divBdr>
    </w:div>
    <w:div w:id="947351692">
      <w:marLeft w:val="480"/>
      <w:marRight w:val="0"/>
      <w:marTop w:val="0"/>
      <w:marBottom w:val="0"/>
      <w:divBdr>
        <w:top w:val="none" w:sz="0" w:space="0" w:color="auto"/>
        <w:left w:val="none" w:sz="0" w:space="0" w:color="auto"/>
        <w:bottom w:val="none" w:sz="0" w:space="0" w:color="auto"/>
        <w:right w:val="none" w:sz="0" w:space="0" w:color="auto"/>
      </w:divBdr>
    </w:div>
    <w:div w:id="951086664">
      <w:marLeft w:val="480"/>
      <w:marRight w:val="0"/>
      <w:marTop w:val="0"/>
      <w:marBottom w:val="0"/>
      <w:divBdr>
        <w:top w:val="none" w:sz="0" w:space="0" w:color="auto"/>
        <w:left w:val="none" w:sz="0" w:space="0" w:color="auto"/>
        <w:bottom w:val="none" w:sz="0" w:space="0" w:color="auto"/>
        <w:right w:val="none" w:sz="0" w:space="0" w:color="auto"/>
      </w:divBdr>
    </w:div>
    <w:div w:id="954099596">
      <w:marLeft w:val="480"/>
      <w:marRight w:val="0"/>
      <w:marTop w:val="0"/>
      <w:marBottom w:val="0"/>
      <w:divBdr>
        <w:top w:val="none" w:sz="0" w:space="0" w:color="auto"/>
        <w:left w:val="none" w:sz="0" w:space="0" w:color="auto"/>
        <w:bottom w:val="none" w:sz="0" w:space="0" w:color="auto"/>
        <w:right w:val="none" w:sz="0" w:space="0" w:color="auto"/>
      </w:divBdr>
    </w:div>
    <w:div w:id="958530280">
      <w:marLeft w:val="480"/>
      <w:marRight w:val="0"/>
      <w:marTop w:val="0"/>
      <w:marBottom w:val="0"/>
      <w:divBdr>
        <w:top w:val="none" w:sz="0" w:space="0" w:color="auto"/>
        <w:left w:val="none" w:sz="0" w:space="0" w:color="auto"/>
        <w:bottom w:val="none" w:sz="0" w:space="0" w:color="auto"/>
        <w:right w:val="none" w:sz="0" w:space="0" w:color="auto"/>
      </w:divBdr>
    </w:div>
    <w:div w:id="961107921">
      <w:marLeft w:val="480"/>
      <w:marRight w:val="0"/>
      <w:marTop w:val="0"/>
      <w:marBottom w:val="0"/>
      <w:divBdr>
        <w:top w:val="none" w:sz="0" w:space="0" w:color="auto"/>
        <w:left w:val="none" w:sz="0" w:space="0" w:color="auto"/>
        <w:bottom w:val="none" w:sz="0" w:space="0" w:color="auto"/>
        <w:right w:val="none" w:sz="0" w:space="0" w:color="auto"/>
      </w:divBdr>
    </w:div>
    <w:div w:id="965508635">
      <w:marLeft w:val="480"/>
      <w:marRight w:val="0"/>
      <w:marTop w:val="0"/>
      <w:marBottom w:val="0"/>
      <w:divBdr>
        <w:top w:val="none" w:sz="0" w:space="0" w:color="auto"/>
        <w:left w:val="none" w:sz="0" w:space="0" w:color="auto"/>
        <w:bottom w:val="none" w:sz="0" w:space="0" w:color="auto"/>
        <w:right w:val="none" w:sz="0" w:space="0" w:color="auto"/>
      </w:divBdr>
    </w:div>
    <w:div w:id="975337372">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8359164">
      <w:marLeft w:val="480"/>
      <w:marRight w:val="0"/>
      <w:marTop w:val="0"/>
      <w:marBottom w:val="0"/>
      <w:divBdr>
        <w:top w:val="none" w:sz="0" w:space="0" w:color="auto"/>
        <w:left w:val="none" w:sz="0" w:space="0" w:color="auto"/>
        <w:bottom w:val="none" w:sz="0" w:space="0" w:color="auto"/>
        <w:right w:val="none" w:sz="0" w:space="0" w:color="auto"/>
      </w:divBdr>
    </w:div>
    <w:div w:id="989215217">
      <w:marLeft w:val="480"/>
      <w:marRight w:val="0"/>
      <w:marTop w:val="0"/>
      <w:marBottom w:val="0"/>
      <w:divBdr>
        <w:top w:val="none" w:sz="0" w:space="0" w:color="auto"/>
        <w:left w:val="none" w:sz="0" w:space="0" w:color="auto"/>
        <w:bottom w:val="none" w:sz="0" w:space="0" w:color="auto"/>
        <w:right w:val="none" w:sz="0" w:space="0" w:color="auto"/>
      </w:divBdr>
    </w:div>
    <w:div w:id="998536230">
      <w:marLeft w:val="480"/>
      <w:marRight w:val="0"/>
      <w:marTop w:val="0"/>
      <w:marBottom w:val="0"/>
      <w:divBdr>
        <w:top w:val="none" w:sz="0" w:space="0" w:color="auto"/>
        <w:left w:val="none" w:sz="0" w:space="0" w:color="auto"/>
        <w:bottom w:val="none" w:sz="0" w:space="0" w:color="auto"/>
        <w:right w:val="none" w:sz="0" w:space="0" w:color="auto"/>
      </w:divBdr>
    </w:div>
    <w:div w:id="1001398701">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901221">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341991">
      <w:marLeft w:val="480"/>
      <w:marRight w:val="0"/>
      <w:marTop w:val="0"/>
      <w:marBottom w:val="0"/>
      <w:divBdr>
        <w:top w:val="none" w:sz="0" w:space="0" w:color="auto"/>
        <w:left w:val="none" w:sz="0" w:space="0" w:color="auto"/>
        <w:bottom w:val="none" w:sz="0" w:space="0" w:color="auto"/>
        <w:right w:val="none" w:sz="0" w:space="0" w:color="auto"/>
      </w:divBdr>
    </w:div>
    <w:div w:id="1013605976">
      <w:marLeft w:val="480"/>
      <w:marRight w:val="0"/>
      <w:marTop w:val="0"/>
      <w:marBottom w:val="0"/>
      <w:divBdr>
        <w:top w:val="none" w:sz="0" w:space="0" w:color="auto"/>
        <w:left w:val="none" w:sz="0" w:space="0" w:color="auto"/>
        <w:bottom w:val="none" w:sz="0" w:space="0" w:color="auto"/>
        <w:right w:val="none" w:sz="0" w:space="0" w:color="auto"/>
      </w:divBdr>
    </w:div>
    <w:div w:id="1030643735">
      <w:marLeft w:val="480"/>
      <w:marRight w:val="0"/>
      <w:marTop w:val="0"/>
      <w:marBottom w:val="0"/>
      <w:divBdr>
        <w:top w:val="none" w:sz="0" w:space="0" w:color="auto"/>
        <w:left w:val="none" w:sz="0" w:space="0" w:color="auto"/>
        <w:bottom w:val="none" w:sz="0" w:space="0" w:color="auto"/>
        <w:right w:val="none" w:sz="0" w:space="0" w:color="auto"/>
      </w:divBdr>
    </w:div>
    <w:div w:id="1032999078">
      <w:marLeft w:val="480"/>
      <w:marRight w:val="0"/>
      <w:marTop w:val="0"/>
      <w:marBottom w:val="0"/>
      <w:divBdr>
        <w:top w:val="none" w:sz="0" w:space="0" w:color="auto"/>
        <w:left w:val="none" w:sz="0" w:space="0" w:color="auto"/>
        <w:bottom w:val="none" w:sz="0" w:space="0" w:color="auto"/>
        <w:right w:val="none" w:sz="0" w:space="0" w:color="auto"/>
      </w:divBdr>
    </w:div>
    <w:div w:id="1034891891">
      <w:marLeft w:val="480"/>
      <w:marRight w:val="0"/>
      <w:marTop w:val="0"/>
      <w:marBottom w:val="0"/>
      <w:divBdr>
        <w:top w:val="none" w:sz="0" w:space="0" w:color="auto"/>
        <w:left w:val="none" w:sz="0" w:space="0" w:color="auto"/>
        <w:bottom w:val="none" w:sz="0" w:space="0" w:color="auto"/>
        <w:right w:val="none" w:sz="0" w:space="0" w:color="auto"/>
      </w:divBdr>
    </w:div>
    <w:div w:id="1037393867">
      <w:marLeft w:val="480"/>
      <w:marRight w:val="0"/>
      <w:marTop w:val="0"/>
      <w:marBottom w:val="0"/>
      <w:divBdr>
        <w:top w:val="none" w:sz="0" w:space="0" w:color="auto"/>
        <w:left w:val="none" w:sz="0" w:space="0" w:color="auto"/>
        <w:bottom w:val="none" w:sz="0" w:space="0" w:color="auto"/>
        <w:right w:val="none" w:sz="0" w:space="0" w:color="auto"/>
      </w:divBdr>
    </w:div>
    <w:div w:id="1037508254">
      <w:marLeft w:val="480"/>
      <w:marRight w:val="0"/>
      <w:marTop w:val="0"/>
      <w:marBottom w:val="0"/>
      <w:divBdr>
        <w:top w:val="none" w:sz="0" w:space="0" w:color="auto"/>
        <w:left w:val="none" w:sz="0" w:space="0" w:color="auto"/>
        <w:bottom w:val="none" w:sz="0" w:space="0" w:color="auto"/>
        <w:right w:val="none" w:sz="0" w:space="0" w:color="auto"/>
      </w:divBdr>
    </w:div>
    <w:div w:id="1038773727">
      <w:marLeft w:val="480"/>
      <w:marRight w:val="0"/>
      <w:marTop w:val="0"/>
      <w:marBottom w:val="0"/>
      <w:divBdr>
        <w:top w:val="none" w:sz="0" w:space="0" w:color="auto"/>
        <w:left w:val="none" w:sz="0" w:space="0" w:color="auto"/>
        <w:bottom w:val="none" w:sz="0" w:space="0" w:color="auto"/>
        <w:right w:val="none" w:sz="0" w:space="0" w:color="auto"/>
      </w:divBdr>
    </w:div>
    <w:div w:id="1044909186">
      <w:marLeft w:val="480"/>
      <w:marRight w:val="0"/>
      <w:marTop w:val="0"/>
      <w:marBottom w:val="0"/>
      <w:divBdr>
        <w:top w:val="none" w:sz="0" w:space="0" w:color="auto"/>
        <w:left w:val="none" w:sz="0" w:space="0" w:color="auto"/>
        <w:bottom w:val="none" w:sz="0" w:space="0" w:color="auto"/>
        <w:right w:val="none" w:sz="0" w:space="0" w:color="auto"/>
      </w:divBdr>
    </w:div>
    <w:div w:id="1062758174">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4321932">
      <w:marLeft w:val="480"/>
      <w:marRight w:val="0"/>
      <w:marTop w:val="0"/>
      <w:marBottom w:val="0"/>
      <w:divBdr>
        <w:top w:val="none" w:sz="0" w:space="0" w:color="auto"/>
        <w:left w:val="none" w:sz="0" w:space="0" w:color="auto"/>
        <w:bottom w:val="none" w:sz="0" w:space="0" w:color="auto"/>
        <w:right w:val="none" w:sz="0" w:space="0" w:color="auto"/>
      </w:divBdr>
    </w:div>
    <w:div w:id="1107774686">
      <w:marLeft w:val="480"/>
      <w:marRight w:val="0"/>
      <w:marTop w:val="0"/>
      <w:marBottom w:val="0"/>
      <w:divBdr>
        <w:top w:val="none" w:sz="0" w:space="0" w:color="auto"/>
        <w:left w:val="none" w:sz="0" w:space="0" w:color="auto"/>
        <w:bottom w:val="none" w:sz="0" w:space="0" w:color="auto"/>
        <w:right w:val="none" w:sz="0" w:space="0" w:color="auto"/>
      </w:divBdr>
    </w:div>
    <w:div w:id="1110661852">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671852">
      <w:marLeft w:val="480"/>
      <w:marRight w:val="0"/>
      <w:marTop w:val="0"/>
      <w:marBottom w:val="0"/>
      <w:divBdr>
        <w:top w:val="none" w:sz="0" w:space="0" w:color="auto"/>
        <w:left w:val="none" w:sz="0" w:space="0" w:color="auto"/>
        <w:bottom w:val="none" w:sz="0" w:space="0" w:color="auto"/>
        <w:right w:val="none" w:sz="0" w:space="0" w:color="auto"/>
      </w:divBdr>
    </w:div>
    <w:div w:id="1112896993">
      <w:marLeft w:val="480"/>
      <w:marRight w:val="0"/>
      <w:marTop w:val="0"/>
      <w:marBottom w:val="0"/>
      <w:divBdr>
        <w:top w:val="none" w:sz="0" w:space="0" w:color="auto"/>
        <w:left w:val="none" w:sz="0" w:space="0" w:color="auto"/>
        <w:bottom w:val="none" w:sz="0" w:space="0" w:color="auto"/>
        <w:right w:val="none" w:sz="0" w:space="0" w:color="auto"/>
      </w:divBdr>
    </w:div>
    <w:div w:id="1116144352">
      <w:marLeft w:val="480"/>
      <w:marRight w:val="0"/>
      <w:marTop w:val="0"/>
      <w:marBottom w:val="0"/>
      <w:divBdr>
        <w:top w:val="none" w:sz="0" w:space="0" w:color="auto"/>
        <w:left w:val="none" w:sz="0" w:space="0" w:color="auto"/>
        <w:bottom w:val="none" w:sz="0" w:space="0" w:color="auto"/>
        <w:right w:val="none" w:sz="0" w:space="0" w:color="auto"/>
      </w:divBdr>
    </w:div>
    <w:div w:id="1119028123">
      <w:marLeft w:val="480"/>
      <w:marRight w:val="0"/>
      <w:marTop w:val="0"/>
      <w:marBottom w:val="0"/>
      <w:divBdr>
        <w:top w:val="none" w:sz="0" w:space="0" w:color="auto"/>
        <w:left w:val="none" w:sz="0" w:space="0" w:color="auto"/>
        <w:bottom w:val="none" w:sz="0" w:space="0" w:color="auto"/>
        <w:right w:val="none" w:sz="0" w:space="0" w:color="auto"/>
      </w:divBdr>
    </w:div>
    <w:div w:id="1122459526">
      <w:marLeft w:val="480"/>
      <w:marRight w:val="0"/>
      <w:marTop w:val="0"/>
      <w:marBottom w:val="0"/>
      <w:divBdr>
        <w:top w:val="none" w:sz="0" w:space="0" w:color="auto"/>
        <w:left w:val="none" w:sz="0" w:space="0" w:color="auto"/>
        <w:bottom w:val="none" w:sz="0" w:space="0" w:color="auto"/>
        <w:right w:val="none" w:sz="0" w:space="0" w:color="auto"/>
      </w:divBdr>
    </w:div>
    <w:div w:id="1127356299">
      <w:marLeft w:val="480"/>
      <w:marRight w:val="0"/>
      <w:marTop w:val="0"/>
      <w:marBottom w:val="0"/>
      <w:divBdr>
        <w:top w:val="none" w:sz="0" w:space="0" w:color="auto"/>
        <w:left w:val="none" w:sz="0" w:space="0" w:color="auto"/>
        <w:bottom w:val="none" w:sz="0" w:space="0" w:color="auto"/>
        <w:right w:val="none" w:sz="0" w:space="0" w:color="auto"/>
      </w:divBdr>
    </w:div>
    <w:div w:id="1146628791">
      <w:marLeft w:val="480"/>
      <w:marRight w:val="0"/>
      <w:marTop w:val="0"/>
      <w:marBottom w:val="0"/>
      <w:divBdr>
        <w:top w:val="none" w:sz="0" w:space="0" w:color="auto"/>
        <w:left w:val="none" w:sz="0" w:space="0" w:color="auto"/>
        <w:bottom w:val="none" w:sz="0" w:space="0" w:color="auto"/>
        <w:right w:val="none" w:sz="0" w:space="0" w:color="auto"/>
      </w:divBdr>
    </w:div>
    <w:div w:id="1156654714">
      <w:marLeft w:val="480"/>
      <w:marRight w:val="0"/>
      <w:marTop w:val="0"/>
      <w:marBottom w:val="0"/>
      <w:divBdr>
        <w:top w:val="none" w:sz="0" w:space="0" w:color="auto"/>
        <w:left w:val="none" w:sz="0" w:space="0" w:color="auto"/>
        <w:bottom w:val="none" w:sz="0" w:space="0" w:color="auto"/>
        <w:right w:val="none" w:sz="0" w:space="0" w:color="auto"/>
      </w:divBdr>
    </w:div>
    <w:div w:id="1170294402">
      <w:marLeft w:val="480"/>
      <w:marRight w:val="0"/>
      <w:marTop w:val="0"/>
      <w:marBottom w:val="0"/>
      <w:divBdr>
        <w:top w:val="none" w:sz="0" w:space="0" w:color="auto"/>
        <w:left w:val="none" w:sz="0" w:space="0" w:color="auto"/>
        <w:bottom w:val="none" w:sz="0" w:space="0" w:color="auto"/>
        <w:right w:val="none" w:sz="0" w:space="0" w:color="auto"/>
      </w:divBdr>
    </w:div>
    <w:div w:id="1177233181">
      <w:marLeft w:val="480"/>
      <w:marRight w:val="0"/>
      <w:marTop w:val="0"/>
      <w:marBottom w:val="0"/>
      <w:divBdr>
        <w:top w:val="none" w:sz="0" w:space="0" w:color="auto"/>
        <w:left w:val="none" w:sz="0" w:space="0" w:color="auto"/>
        <w:bottom w:val="none" w:sz="0" w:space="0" w:color="auto"/>
        <w:right w:val="none" w:sz="0" w:space="0" w:color="auto"/>
      </w:divBdr>
    </w:div>
    <w:div w:id="1183400691">
      <w:marLeft w:val="480"/>
      <w:marRight w:val="0"/>
      <w:marTop w:val="0"/>
      <w:marBottom w:val="0"/>
      <w:divBdr>
        <w:top w:val="none" w:sz="0" w:space="0" w:color="auto"/>
        <w:left w:val="none" w:sz="0" w:space="0" w:color="auto"/>
        <w:bottom w:val="none" w:sz="0" w:space="0" w:color="auto"/>
        <w:right w:val="none" w:sz="0" w:space="0" w:color="auto"/>
      </w:divBdr>
    </w:div>
    <w:div w:id="1186207719">
      <w:marLeft w:val="480"/>
      <w:marRight w:val="0"/>
      <w:marTop w:val="0"/>
      <w:marBottom w:val="0"/>
      <w:divBdr>
        <w:top w:val="none" w:sz="0" w:space="0" w:color="auto"/>
        <w:left w:val="none" w:sz="0" w:space="0" w:color="auto"/>
        <w:bottom w:val="none" w:sz="0" w:space="0" w:color="auto"/>
        <w:right w:val="none" w:sz="0" w:space="0" w:color="auto"/>
      </w:divBdr>
    </w:div>
    <w:div w:id="1209999960">
      <w:marLeft w:val="480"/>
      <w:marRight w:val="0"/>
      <w:marTop w:val="0"/>
      <w:marBottom w:val="0"/>
      <w:divBdr>
        <w:top w:val="none" w:sz="0" w:space="0" w:color="auto"/>
        <w:left w:val="none" w:sz="0" w:space="0" w:color="auto"/>
        <w:bottom w:val="none" w:sz="0" w:space="0" w:color="auto"/>
        <w:right w:val="none" w:sz="0" w:space="0" w:color="auto"/>
      </w:divBdr>
    </w:div>
    <w:div w:id="1218391674">
      <w:marLeft w:val="480"/>
      <w:marRight w:val="0"/>
      <w:marTop w:val="0"/>
      <w:marBottom w:val="0"/>
      <w:divBdr>
        <w:top w:val="none" w:sz="0" w:space="0" w:color="auto"/>
        <w:left w:val="none" w:sz="0" w:space="0" w:color="auto"/>
        <w:bottom w:val="none" w:sz="0" w:space="0" w:color="auto"/>
        <w:right w:val="none" w:sz="0" w:space="0" w:color="auto"/>
      </w:divBdr>
    </w:div>
    <w:div w:id="1220939167">
      <w:marLeft w:val="480"/>
      <w:marRight w:val="0"/>
      <w:marTop w:val="0"/>
      <w:marBottom w:val="0"/>
      <w:divBdr>
        <w:top w:val="none" w:sz="0" w:space="0" w:color="auto"/>
        <w:left w:val="none" w:sz="0" w:space="0" w:color="auto"/>
        <w:bottom w:val="none" w:sz="0" w:space="0" w:color="auto"/>
        <w:right w:val="none" w:sz="0" w:space="0" w:color="auto"/>
      </w:divBdr>
    </w:div>
    <w:div w:id="1225219089">
      <w:marLeft w:val="480"/>
      <w:marRight w:val="0"/>
      <w:marTop w:val="0"/>
      <w:marBottom w:val="0"/>
      <w:divBdr>
        <w:top w:val="none" w:sz="0" w:space="0" w:color="auto"/>
        <w:left w:val="none" w:sz="0" w:space="0" w:color="auto"/>
        <w:bottom w:val="none" w:sz="0" w:space="0" w:color="auto"/>
        <w:right w:val="none" w:sz="0" w:space="0" w:color="auto"/>
      </w:divBdr>
    </w:div>
    <w:div w:id="1227301030">
      <w:marLeft w:val="480"/>
      <w:marRight w:val="0"/>
      <w:marTop w:val="0"/>
      <w:marBottom w:val="0"/>
      <w:divBdr>
        <w:top w:val="none" w:sz="0" w:space="0" w:color="auto"/>
        <w:left w:val="none" w:sz="0" w:space="0" w:color="auto"/>
        <w:bottom w:val="none" w:sz="0" w:space="0" w:color="auto"/>
        <w:right w:val="none" w:sz="0" w:space="0" w:color="auto"/>
      </w:divBdr>
    </w:div>
    <w:div w:id="1228495084">
      <w:marLeft w:val="480"/>
      <w:marRight w:val="0"/>
      <w:marTop w:val="0"/>
      <w:marBottom w:val="0"/>
      <w:divBdr>
        <w:top w:val="none" w:sz="0" w:space="0" w:color="auto"/>
        <w:left w:val="none" w:sz="0" w:space="0" w:color="auto"/>
        <w:bottom w:val="none" w:sz="0" w:space="0" w:color="auto"/>
        <w:right w:val="none" w:sz="0" w:space="0" w:color="auto"/>
      </w:divBdr>
    </w:div>
    <w:div w:id="1237861782">
      <w:marLeft w:val="480"/>
      <w:marRight w:val="0"/>
      <w:marTop w:val="0"/>
      <w:marBottom w:val="0"/>
      <w:divBdr>
        <w:top w:val="none" w:sz="0" w:space="0" w:color="auto"/>
        <w:left w:val="none" w:sz="0" w:space="0" w:color="auto"/>
        <w:bottom w:val="none" w:sz="0" w:space="0" w:color="auto"/>
        <w:right w:val="none" w:sz="0" w:space="0" w:color="auto"/>
      </w:divBdr>
    </w:div>
    <w:div w:id="1249847729">
      <w:marLeft w:val="480"/>
      <w:marRight w:val="0"/>
      <w:marTop w:val="0"/>
      <w:marBottom w:val="0"/>
      <w:divBdr>
        <w:top w:val="none" w:sz="0" w:space="0" w:color="auto"/>
        <w:left w:val="none" w:sz="0" w:space="0" w:color="auto"/>
        <w:bottom w:val="none" w:sz="0" w:space="0" w:color="auto"/>
        <w:right w:val="none" w:sz="0" w:space="0" w:color="auto"/>
      </w:divBdr>
    </w:div>
    <w:div w:id="1254316481">
      <w:marLeft w:val="480"/>
      <w:marRight w:val="0"/>
      <w:marTop w:val="0"/>
      <w:marBottom w:val="0"/>
      <w:divBdr>
        <w:top w:val="none" w:sz="0" w:space="0" w:color="auto"/>
        <w:left w:val="none" w:sz="0" w:space="0" w:color="auto"/>
        <w:bottom w:val="none" w:sz="0" w:space="0" w:color="auto"/>
        <w:right w:val="none" w:sz="0" w:space="0" w:color="auto"/>
      </w:divBdr>
    </w:div>
    <w:div w:id="1254704843">
      <w:marLeft w:val="480"/>
      <w:marRight w:val="0"/>
      <w:marTop w:val="0"/>
      <w:marBottom w:val="0"/>
      <w:divBdr>
        <w:top w:val="none" w:sz="0" w:space="0" w:color="auto"/>
        <w:left w:val="none" w:sz="0" w:space="0" w:color="auto"/>
        <w:bottom w:val="none" w:sz="0" w:space="0" w:color="auto"/>
        <w:right w:val="none" w:sz="0" w:space="0" w:color="auto"/>
      </w:divBdr>
    </w:div>
    <w:div w:id="1259102882">
      <w:marLeft w:val="480"/>
      <w:marRight w:val="0"/>
      <w:marTop w:val="0"/>
      <w:marBottom w:val="0"/>
      <w:divBdr>
        <w:top w:val="none" w:sz="0" w:space="0" w:color="auto"/>
        <w:left w:val="none" w:sz="0" w:space="0" w:color="auto"/>
        <w:bottom w:val="none" w:sz="0" w:space="0" w:color="auto"/>
        <w:right w:val="none" w:sz="0" w:space="0" w:color="auto"/>
      </w:divBdr>
    </w:div>
    <w:div w:id="1266616405">
      <w:marLeft w:val="480"/>
      <w:marRight w:val="0"/>
      <w:marTop w:val="0"/>
      <w:marBottom w:val="0"/>
      <w:divBdr>
        <w:top w:val="none" w:sz="0" w:space="0" w:color="auto"/>
        <w:left w:val="none" w:sz="0" w:space="0" w:color="auto"/>
        <w:bottom w:val="none" w:sz="0" w:space="0" w:color="auto"/>
        <w:right w:val="none" w:sz="0" w:space="0" w:color="auto"/>
      </w:divBdr>
    </w:div>
    <w:div w:id="1268273348">
      <w:marLeft w:val="480"/>
      <w:marRight w:val="0"/>
      <w:marTop w:val="0"/>
      <w:marBottom w:val="0"/>
      <w:divBdr>
        <w:top w:val="none" w:sz="0" w:space="0" w:color="auto"/>
        <w:left w:val="none" w:sz="0" w:space="0" w:color="auto"/>
        <w:bottom w:val="none" w:sz="0" w:space="0" w:color="auto"/>
        <w:right w:val="none" w:sz="0" w:space="0" w:color="auto"/>
      </w:divBdr>
    </w:div>
    <w:div w:id="1268587634">
      <w:marLeft w:val="480"/>
      <w:marRight w:val="0"/>
      <w:marTop w:val="0"/>
      <w:marBottom w:val="0"/>
      <w:divBdr>
        <w:top w:val="none" w:sz="0" w:space="0" w:color="auto"/>
        <w:left w:val="none" w:sz="0" w:space="0" w:color="auto"/>
        <w:bottom w:val="none" w:sz="0" w:space="0" w:color="auto"/>
        <w:right w:val="none" w:sz="0" w:space="0" w:color="auto"/>
      </w:divBdr>
    </w:div>
    <w:div w:id="1272594217">
      <w:marLeft w:val="480"/>
      <w:marRight w:val="0"/>
      <w:marTop w:val="0"/>
      <w:marBottom w:val="0"/>
      <w:divBdr>
        <w:top w:val="none" w:sz="0" w:space="0" w:color="auto"/>
        <w:left w:val="none" w:sz="0" w:space="0" w:color="auto"/>
        <w:bottom w:val="none" w:sz="0" w:space="0" w:color="auto"/>
        <w:right w:val="none" w:sz="0" w:space="0" w:color="auto"/>
      </w:divBdr>
    </w:div>
    <w:div w:id="1274367035">
      <w:marLeft w:val="480"/>
      <w:marRight w:val="0"/>
      <w:marTop w:val="0"/>
      <w:marBottom w:val="0"/>
      <w:divBdr>
        <w:top w:val="none" w:sz="0" w:space="0" w:color="auto"/>
        <w:left w:val="none" w:sz="0" w:space="0" w:color="auto"/>
        <w:bottom w:val="none" w:sz="0" w:space="0" w:color="auto"/>
        <w:right w:val="none" w:sz="0" w:space="0" w:color="auto"/>
      </w:divBdr>
    </w:div>
    <w:div w:id="1275134591">
      <w:marLeft w:val="480"/>
      <w:marRight w:val="0"/>
      <w:marTop w:val="0"/>
      <w:marBottom w:val="0"/>
      <w:divBdr>
        <w:top w:val="none" w:sz="0" w:space="0" w:color="auto"/>
        <w:left w:val="none" w:sz="0" w:space="0" w:color="auto"/>
        <w:bottom w:val="none" w:sz="0" w:space="0" w:color="auto"/>
        <w:right w:val="none" w:sz="0" w:space="0" w:color="auto"/>
      </w:divBdr>
    </w:div>
    <w:div w:id="1276407563">
      <w:marLeft w:val="480"/>
      <w:marRight w:val="0"/>
      <w:marTop w:val="0"/>
      <w:marBottom w:val="0"/>
      <w:divBdr>
        <w:top w:val="none" w:sz="0" w:space="0" w:color="auto"/>
        <w:left w:val="none" w:sz="0" w:space="0" w:color="auto"/>
        <w:bottom w:val="none" w:sz="0" w:space="0" w:color="auto"/>
        <w:right w:val="none" w:sz="0" w:space="0" w:color="auto"/>
      </w:divBdr>
    </w:div>
    <w:div w:id="1279069473">
      <w:marLeft w:val="480"/>
      <w:marRight w:val="0"/>
      <w:marTop w:val="0"/>
      <w:marBottom w:val="0"/>
      <w:divBdr>
        <w:top w:val="none" w:sz="0" w:space="0" w:color="auto"/>
        <w:left w:val="none" w:sz="0" w:space="0" w:color="auto"/>
        <w:bottom w:val="none" w:sz="0" w:space="0" w:color="auto"/>
        <w:right w:val="none" w:sz="0" w:space="0" w:color="auto"/>
      </w:divBdr>
    </w:div>
    <w:div w:id="1285309227">
      <w:marLeft w:val="480"/>
      <w:marRight w:val="0"/>
      <w:marTop w:val="0"/>
      <w:marBottom w:val="0"/>
      <w:divBdr>
        <w:top w:val="none" w:sz="0" w:space="0" w:color="auto"/>
        <w:left w:val="none" w:sz="0" w:space="0" w:color="auto"/>
        <w:bottom w:val="none" w:sz="0" w:space="0" w:color="auto"/>
        <w:right w:val="none" w:sz="0" w:space="0" w:color="auto"/>
      </w:divBdr>
    </w:div>
    <w:div w:id="1292250113">
      <w:marLeft w:val="480"/>
      <w:marRight w:val="0"/>
      <w:marTop w:val="0"/>
      <w:marBottom w:val="0"/>
      <w:divBdr>
        <w:top w:val="none" w:sz="0" w:space="0" w:color="auto"/>
        <w:left w:val="none" w:sz="0" w:space="0" w:color="auto"/>
        <w:bottom w:val="none" w:sz="0" w:space="0" w:color="auto"/>
        <w:right w:val="none" w:sz="0" w:space="0" w:color="auto"/>
      </w:divBdr>
    </w:div>
    <w:div w:id="1298605972">
      <w:marLeft w:val="480"/>
      <w:marRight w:val="0"/>
      <w:marTop w:val="0"/>
      <w:marBottom w:val="0"/>
      <w:divBdr>
        <w:top w:val="none" w:sz="0" w:space="0" w:color="auto"/>
        <w:left w:val="none" w:sz="0" w:space="0" w:color="auto"/>
        <w:bottom w:val="none" w:sz="0" w:space="0" w:color="auto"/>
        <w:right w:val="none" w:sz="0" w:space="0" w:color="auto"/>
      </w:divBdr>
    </w:div>
    <w:div w:id="1299645369">
      <w:marLeft w:val="480"/>
      <w:marRight w:val="0"/>
      <w:marTop w:val="0"/>
      <w:marBottom w:val="0"/>
      <w:divBdr>
        <w:top w:val="none" w:sz="0" w:space="0" w:color="auto"/>
        <w:left w:val="none" w:sz="0" w:space="0" w:color="auto"/>
        <w:bottom w:val="none" w:sz="0" w:space="0" w:color="auto"/>
        <w:right w:val="none" w:sz="0" w:space="0" w:color="auto"/>
      </w:divBdr>
    </w:div>
    <w:div w:id="1301837429">
      <w:marLeft w:val="480"/>
      <w:marRight w:val="0"/>
      <w:marTop w:val="0"/>
      <w:marBottom w:val="0"/>
      <w:divBdr>
        <w:top w:val="none" w:sz="0" w:space="0" w:color="auto"/>
        <w:left w:val="none" w:sz="0" w:space="0" w:color="auto"/>
        <w:bottom w:val="none" w:sz="0" w:space="0" w:color="auto"/>
        <w:right w:val="none" w:sz="0" w:space="0" w:color="auto"/>
      </w:divBdr>
    </w:div>
    <w:div w:id="1306543400">
      <w:marLeft w:val="480"/>
      <w:marRight w:val="0"/>
      <w:marTop w:val="0"/>
      <w:marBottom w:val="0"/>
      <w:divBdr>
        <w:top w:val="none" w:sz="0" w:space="0" w:color="auto"/>
        <w:left w:val="none" w:sz="0" w:space="0" w:color="auto"/>
        <w:bottom w:val="none" w:sz="0" w:space="0" w:color="auto"/>
        <w:right w:val="none" w:sz="0" w:space="0" w:color="auto"/>
      </w:divBdr>
    </w:div>
    <w:div w:id="1308589192">
      <w:marLeft w:val="480"/>
      <w:marRight w:val="0"/>
      <w:marTop w:val="0"/>
      <w:marBottom w:val="0"/>
      <w:divBdr>
        <w:top w:val="none" w:sz="0" w:space="0" w:color="auto"/>
        <w:left w:val="none" w:sz="0" w:space="0" w:color="auto"/>
        <w:bottom w:val="none" w:sz="0" w:space="0" w:color="auto"/>
        <w:right w:val="none" w:sz="0" w:space="0" w:color="auto"/>
      </w:divBdr>
    </w:div>
    <w:div w:id="1312639551">
      <w:marLeft w:val="480"/>
      <w:marRight w:val="0"/>
      <w:marTop w:val="0"/>
      <w:marBottom w:val="0"/>
      <w:divBdr>
        <w:top w:val="none" w:sz="0" w:space="0" w:color="auto"/>
        <w:left w:val="none" w:sz="0" w:space="0" w:color="auto"/>
        <w:bottom w:val="none" w:sz="0" w:space="0" w:color="auto"/>
        <w:right w:val="none" w:sz="0" w:space="0" w:color="auto"/>
      </w:divBdr>
    </w:div>
    <w:div w:id="1313408789">
      <w:marLeft w:val="480"/>
      <w:marRight w:val="0"/>
      <w:marTop w:val="0"/>
      <w:marBottom w:val="0"/>
      <w:divBdr>
        <w:top w:val="none" w:sz="0" w:space="0" w:color="auto"/>
        <w:left w:val="none" w:sz="0" w:space="0" w:color="auto"/>
        <w:bottom w:val="none" w:sz="0" w:space="0" w:color="auto"/>
        <w:right w:val="none" w:sz="0" w:space="0" w:color="auto"/>
      </w:divBdr>
    </w:div>
    <w:div w:id="1328824921">
      <w:marLeft w:val="480"/>
      <w:marRight w:val="0"/>
      <w:marTop w:val="0"/>
      <w:marBottom w:val="0"/>
      <w:divBdr>
        <w:top w:val="none" w:sz="0" w:space="0" w:color="auto"/>
        <w:left w:val="none" w:sz="0" w:space="0" w:color="auto"/>
        <w:bottom w:val="none" w:sz="0" w:space="0" w:color="auto"/>
        <w:right w:val="none" w:sz="0" w:space="0" w:color="auto"/>
      </w:divBdr>
    </w:div>
    <w:div w:id="1331642249">
      <w:marLeft w:val="480"/>
      <w:marRight w:val="0"/>
      <w:marTop w:val="0"/>
      <w:marBottom w:val="0"/>
      <w:divBdr>
        <w:top w:val="none" w:sz="0" w:space="0" w:color="auto"/>
        <w:left w:val="none" w:sz="0" w:space="0" w:color="auto"/>
        <w:bottom w:val="none" w:sz="0" w:space="0" w:color="auto"/>
        <w:right w:val="none" w:sz="0" w:space="0" w:color="auto"/>
      </w:divBdr>
    </w:div>
    <w:div w:id="1331714496">
      <w:marLeft w:val="480"/>
      <w:marRight w:val="0"/>
      <w:marTop w:val="0"/>
      <w:marBottom w:val="0"/>
      <w:divBdr>
        <w:top w:val="none" w:sz="0" w:space="0" w:color="auto"/>
        <w:left w:val="none" w:sz="0" w:space="0" w:color="auto"/>
        <w:bottom w:val="none" w:sz="0" w:space="0" w:color="auto"/>
        <w:right w:val="none" w:sz="0" w:space="0" w:color="auto"/>
      </w:divBdr>
    </w:div>
    <w:div w:id="1337687296">
      <w:marLeft w:val="480"/>
      <w:marRight w:val="0"/>
      <w:marTop w:val="0"/>
      <w:marBottom w:val="0"/>
      <w:divBdr>
        <w:top w:val="none" w:sz="0" w:space="0" w:color="auto"/>
        <w:left w:val="none" w:sz="0" w:space="0" w:color="auto"/>
        <w:bottom w:val="none" w:sz="0" w:space="0" w:color="auto"/>
        <w:right w:val="none" w:sz="0" w:space="0" w:color="auto"/>
      </w:divBdr>
    </w:div>
    <w:div w:id="1340423176">
      <w:marLeft w:val="480"/>
      <w:marRight w:val="0"/>
      <w:marTop w:val="0"/>
      <w:marBottom w:val="0"/>
      <w:divBdr>
        <w:top w:val="none" w:sz="0" w:space="0" w:color="auto"/>
        <w:left w:val="none" w:sz="0" w:space="0" w:color="auto"/>
        <w:bottom w:val="none" w:sz="0" w:space="0" w:color="auto"/>
        <w:right w:val="none" w:sz="0" w:space="0" w:color="auto"/>
      </w:divBdr>
    </w:div>
    <w:div w:id="1342705853">
      <w:marLeft w:val="480"/>
      <w:marRight w:val="0"/>
      <w:marTop w:val="0"/>
      <w:marBottom w:val="0"/>
      <w:divBdr>
        <w:top w:val="none" w:sz="0" w:space="0" w:color="auto"/>
        <w:left w:val="none" w:sz="0" w:space="0" w:color="auto"/>
        <w:bottom w:val="none" w:sz="0" w:space="0" w:color="auto"/>
        <w:right w:val="none" w:sz="0" w:space="0" w:color="auto"/>
      </w:divBdr>
    </w:div>
    <w:div w:id="1348294559">
      <w:marLeft w:val="480"/>
      <w:marRight w:val="0"/>
      <w:marTop w:val="0"/>
      <w:marBottom w:val="0"/>
      <w:divBdr>
        <w:top w:val="none" w:sz="0" w:space="0" w:color="auto"/>
        <w:left w:val="none" w:sz="0" w:space="0" w:color="auto"/>
        <w:bottom w:val="none" w:sz="0" w:space="0" w:color="auto"/>
        <w:right w:val="none" w:sz="0" w:space="0" w:color="auto"/>
      </w:divBdr>
    </w:div>
    <w:div w:id="1351838600">
      <w:marLeft w:val="480"/>
      <w:marRight w:val="0"/>
      <w:marTop w:val="0"/>
      <w:marBottom w:val="0"/>
      <w:divBdr>
        <w:top w:val="none" w:sz="0" w:space="0" w:color="auto"/>
        <w:left w:val="none" w:sz="0" w:space="0" w:color="auto"/>
        <w:bottom w:val="none" w:sz="0" w:space="0" w:color="auto"/>
        <w:right w:val="none" w:sz="0" w:space="0" w:color="auto"/>
      </w:divBdr>
    </w:div>
    <w:div w:id="1354114380">
      <w:marLeft w:val="480"/>
      <w:marRight w:val="0"/>
      <w:marTop w:val="0"/>
      <w:marBottom w:val="0"/>
      <w:divBdr>
        <w:top w:val="none" w:sz="0" w:space="0" w:color="auto"/>
        <w:left w:val="none" w:sz="0" w:space="0" w:color="auto"/>
        <w:bottom w:val="none" w:sz="0" w:space="0" w:color="auto"/>
        <w:right w:val="none" w:sz="0" w:space="0" w:color="auto"/>
      </w:divBdr>
    </w:div>
    <w:div w:id="1362710769">
      <w:marLeft w:val="480"/>
      <w:marRight w:val="0"/>
      <w:marTop w:val="0"/>
      <w:marBottom w:val="0"/>
      <w:divBdr>
        <w:top w:val="none" w:sz="0" w:space="0" w:color="auto"/>
        <w:left w:val="none" w:sz="0" w:space="0" w:color="auto"/>
        <w:bottom w:val="none" w:sz="0" w:space="0" w:color="auto"/>
        <w:right w:val="none" w:sz="0" w:space="0" w:color="auto"/>
      </w:divBdr>
    </w:div>
    <w:div w:id="1365868161">
      <w:marLeft w:val="480"/>
      <w:marRight w:val="0"/>
      <w:marTop w:val="0"/>
      <w:marBottom w:val="0"/>
      <w:divBdr>
        <w:top w:val="none" w:sz="0" w:space="0" w:color="auto"/>
        <w:left w:val="none" w:sz="0" w:space="0" w:color="auto"/>
        <w:bottom w:val="none" w:sz="0" w:space="0" w:color="auto"/>
        <w:right w:val="none" w:sz="0" w:space="0" w:color="auto"/>
      </w:divBdr>
    </w:div>
    <w:div w:id="1368800874">
      <w:marLeft w:val="480"/>
      <w:marRight w:val="0"/>
      <w:marTop w:val="0"/>
      <w:marBottom w:val="0"/>
      <w:divBdr>
        <w:top w:val="none" w:sz="0" w:space="0" w:color="auto"/>
        <w:left w:val="none" w:sz="0" w:space="0" w:color="auto"/>
        <w:bottom w:val="none" w:sz="0" w:space="0" w:color="auto"/>
        <w:right w:val="none" w:sz="0" w:space="0" w:color="auto"/>
      </w:divBdr>
    </w:div>
    <w:div w:id="1380011653">
      <w:marLeft w:val="480"/>
      <w:marRight w:val="0"/>
      <w:marTop w:val="0"/>
      <w:marBottom w:val="0"/>
      <w:divBdr>
        <w:top w:val="none" w:sz="0" w:space="0" w:color="auto"/>
        <w:left w:val="none" w:sz="0" w:space="0" w:color="auto"/>
        <w:bottom w:val="none" w:sz="0" w:space="0" w:color="auto"/>
        <w:right w:val="none" w:sz="0" w:space="0" w:color="auto"/>
      </w:divBdr>
    </w:div>
    <w:div w:id="1381244311">
      <w:marLeft w:val="480"/>
      <w:marRight w:val="0"/>
      <w:marTop w:val="0"/>
      <w:marBottom w:val="0"/>
      <w:divBdr>
        <w:top w:val="none" w:sz="0" w:space="0" w:color="auto"/>
        <w:left w:val="none" w:sz="0" w:space="0" w:color="auto"/>
        <w:bottom w:val="none" w:sz="0" w:space="0" w:color="auto"/>
        <w:right w:val="none" w:sz="0" w:space="0" w:color="auto"/>
      </w:divBdr>
    </w:div>
    <w:div w:id="1386954067">
      <w:marLeft w:val="480"/>
      <w:marRight w:val="0"/>
      <w:marTop w:val="0"/>
      <w:marBottom w:val="0"/>
      <w:divBdr>
        <w:top w:val="none" w:sz="0" w:space="0" w:color="auto"/>
        <w:left w:val="none" w:sz="0" w:space="0" w:color="auto"/>
        <w:bottom w:val="none" w:sz="0" w:space="0" w:color="auto"/>
        <w:right w:val="none" w:sz="0" w:space="0" w:color="auto"/>
      </w:divBdr>
    </w:div>
    <w:div w:id="1389263928">
      <w:bodyDiv w:val="1"/>
      <w:marLeft w:val="0"/>
      <w:marRight w:val="0"/>
      <w:marTop w:val="0"/>
      <w:marBottom w:val="0"/>
      <w:divBdr>
        <w:top w:val="none" w:sz="0" w:space="0" w:color="auto"/>
        <w:left w:val="none" w:sz="0" w:space="0" w:color="auto"/>
        <w:bottom w:val="none" w:sz="0" w:space="0" w:color="auto"/>
        <w:right w:val="none" w:sz="0" w:space="0" w:color="auto"/>
      </w:divBdr>
    </w:div>
    <w:div w:id="1395005460">
      <w:marLeft w:val="480"/>
      <w:marRight w:val="0"/>
      <w:marTop w:val="0"/>
      <w:marBottom w:val="0"/>
      <w:divBdr>
        <w:top w:val="none" w:sz="0" w:space="0" w:color="auto"/>
        <w:left w:val="none" w:sz="0" w:space="0" w:color="auto"/>
        <w:bottom w:val="none" w:sz="0" w:space="0" w:color="auto"/>
        <w:right w:val="none" w:sz="0" w:space="0" w:color="auto"/>
      </w:divBdr>
    </w:div>
    <w:div w:id="1402948826">
      <w:marLeft w:val="480"/>
      <w:marRight w:val="0"/>
      <w:marTop w:val="0"/>
      <w:marBottom w:val="0"/>
      <w:divBdr>
        <w:top w:val="none" w:sz="0" w:space="0" w:color="auto"/>
        <w:left w:val="none" w:sz="0" w:space="0" w:color="auto"/>
        <w:bottom w:val="none" w:sz="0" w:space="0" w:color="auto"/>
        <w:right w:val="none" w:sz="0" w:space="0" w:color="auto"/>
      </w:divBdr>
    </w:div>
    <w:div w:id="1410734991">
      <w:marLeft w:val="480"/>
      <w:marRight w:val="0"/>
      <w:marTop w:val="0"/>
      <w:marBottom w:val="0"/>
      <w:divBdr>
        <w:top w:val="none" w:sz="0" w:space="0" w:color="auto"/>
        <w:left w:val="none" w:sz="0" w:space="0" w:color="auto"/>
        <w:bottom w:val="none" w:sz="0" w:space="0" w:color="auto"/>
        <w:right w:val="none" w:sz="0" w:space="0" w:color="auto"/>
      </w:divBdr>
    </w:div>
    <w:div w:id="1417437700">
      <w:marLeft w:val="480"/>
      <w:marRight w:val="0"/>
      <w:marTop w:val="0"/>
      <w:marBottom w:val="0"/>
      <w:divBdr>
        <w:top w:val="none" w:sz="0" w:space="0" w:color="auto"/>
        <w:left w:val="none" w:sz="0" w:space="0" w:color="auto"/>
        <w:bottom w:val="none" w:sz="0" w:space="0" w:color="auto"/>
        <w:right w:val="none" w:sz="0" w:space="0" w:color="auto"/>
      </w:divBdr>
    </w:div>
    <w:div w:id="1417896773">
      <w:marLeft w:val="480"/>
      <w:marRight w:val="0"/>
      <w:marTop w:val="0"/>
      <w:marBottom w:val="0"/>
      <w:divBdr>
        <w:top w:val="none" w:sz="0" w:space="0" w:color="auto"/>
        <w:left w:val="none" w:sz="0" w:space="0" w:color="auto"/>
        <w:bottom w:val="none" w:sz="0" w:space="0" w:color="auto"/>
        <w:right w:val="none" w:sz="0" w:space="0" w:color="auto"/>
      </w:divBdr>
    </w:div>
    <w:div w:id="1418481708">
      <w:marLeft w:val="480"/>
      <w:marRight w:val="0"/>
      <w:marTop w:val="0"/>
      <w:marBottom w:val="0"/>
      <w:divBdr>
        <w:top w:val="none" w:sz="0" w:space="0" w:color="auto"/>
        <w:left w:val="none" w:sz="0" w:space="0" w:color="auto"/>
        <w:bottom w:val="none" w:sz="0" w:space="0" w:color="auto"/>
        <w:right w:val="none" w:sz="0" w:space="0" w:color="auto"/>
      </w:divBdr>
    </w:div>
    <w:div w:id="1425884774">
      <w:marLeft w:val="480"/>
      <w:marRight w:val="0"/>
      <w:marTop w:val="0"/>
      <w:marBottom w:val="0"/>
      <w:divBdr>
        <w:top w:val="none" w:sz="0" w:space="0" w:color="auto"/>
        <w:left w:val="none" w:sz="0" w:space="0" w:color="auto"/>
        <w:bottom w:val="none" w:sz="0" w:space="0" w:color="auto"/>
        <w:right w:val="none" w:sz="0" w:space="0" w:color="auto"/>
      </w:divBdr>
    </w:div>
    <w:div w:id="1430081194">
      <w:marLeft w:val="480"/>
      <w:marRight w:val="0"/>
      <w:marTop w:val="0"/>
      <w:marBottom w:val="0"/>
      <w:divBdr>
        <w:top w:val="none" w:sz="0" w:space="0" w:color="auto"/>
        <w:left w:val="none" w:sz="0" w:space="0" w:color="auto"/>
        <w:bottom w:val="none" w:sz="0" w:space="0" w:color="auto"/>
        <w:right w:val="none" w:sz="0" w:space="0" w:color="auto"/>
      </w:divBdr>
    </w:div>
    <w:div w:id="1444569421">
      <w:marLeft w:val="480"/>
      <w:marRight w:val="0"/>
      <w:marTop w:val="0"/>
      <w:marBottom w:val="0"/>
      <w:divBdr>
        <w:top w:val="none" w:sz="0" w:space="0" w:color="auto"/>
        <w:left w:val="none" w:sz="0" w:space="0" w:color="auto"/>
        <w:bottom w:val="none" w:sz="0" w:space="0" w:color="auto"/>
        <w:right w:val="none" w:sz="0" w:space="0" w:color="auto"/>
      </w:divBdr>
    </w:div>
    <w:div w:id="1464812975">
      <w:marLeft w:val="480"/>
      <w:marRight w:val="0"/>
      <w:marTop w:val="0"/>
      <w:marBottom w:val="0"/>
      <w:divBdr>
        <w:top w:val="none" w:sz="0" w:space="0" w:color="auto"/>
        <w:left w:val="none" w:sz="0" w:space="0" w:color="auto"/>
        <w:bottom w:val="none" w:sz="0" w:space="0" w:color="auto"/>
        <w:right w:val="none" w:sz="0" w:space="0" w:color="auto"/>
      </w:divBdr>
    </w:div>
    <w:div w:id="1467552474">
      <w:marLeft w:val="480"/>
      <w:marRight w:val="0"/>
      <w:marTop w:val="0"/>
      <w:marBottom w:val="0"/>
      <w:divBdr>
        <w:top w:val="none" w:sz="0" w:space="0" w:color="auto"/>
        <w:left w:val="none" w:sz="0" w:space="0" w:color="auto"/>
        <w:bottom w:val="none" w:sz="0" w:space="0" w:color="auto"/>
        <w:right w:val="none" w:sz="0" w:space="0" w:color="auto"/>
      </w:divBdr>
    </w:div>
    <w:div w:id="1471939664">
      <w:marLeft w:val="480"/>
      <w:marRight w:val="0"/>
      <w:marTop w:val="0"/>
      <w:marBottom w:val="0"/>
      <w:divBdr>
        <w:top w:val="none" w:sz="0" w:space="0" w:color="auto"/>
        <w:left w:val="none" w:sz="0" w:space="0" w:color="auto"/>
        <w:bottom w:val="none" w:sz="0" w:space="0" w:color="auto"/>
        <w:right w:val="none" w:sz="0" w:space="0" w:color="auto"/>
      </w:divBdr>
    </w:div>
    <w:div w:id="1473401252">
      <w:marLeft w:val="480"/>
      <w:marRight w:val="0"/>
      <w:marTop w:val="0"/>
      <w:marBottom w:val="0"/>
      <w:divBdr>
        <w:top w:val="none" w:sz="0" w:space="0" w:color="auto"/>
        <w:left w:val="none" w:sz="0" w:space="0" w:color="auto"/>
        <w:bottom w:val="none" w:sz="0" w:space="0" w:color="auto"/>
        <w:right w:val="none" w:sz="0" w:space="0" w:color="auto"/>
      </w:divBdr>
    </w:div>
    <w:div w:id="1478298064">
      <w:marLeft w:val="480"/>
      <w:marRight w:val="0"/>
      <w:marTop w:val="0"/>
      <w:marBottom w:val="0"/>
      <w:divBdr>
        <w:top w:val="none" w:sz="0" w:space="0" w:color="auto"/>
        <w:left w:val="none" w:sz="0" w:space="0" w:color="auto"/>
        <w:bottom w:val="none" w:sz="0" w:space="0" w:color="auto"/>
        <w:right w:val="none" w:sz="0" w:space="0" w:color="auto"/>
      </w:divBdr>
    </w:div>
    <w:div w:id="1487165761">
      <w:marLeft w:val="480"/>
      <w:marRight w:val="0"/>
      <w:marTop w:val="0"/>
      <w:marBottom w:val="0"/>
      <w:divBdr>
        <w:top w:val="none" w:sz="0" w:space="0" w:color="auto"/>
        <w:left w:val="none" w:sz="0" w:space="0" w:color="auto"/>
        <w:bottom w:val="none" w:sz="0" w:space="0" w:color="auto"/>
        <w:right w:val="none" w:sz="0" w:space="0" w:color="auto"/>
      </w:divBdr>
    </w:div>
    <w:div w:id="1491873588">
      <w:marLeft w:val="480"/>
      <w:marRight w:val="0"/>
      <w:marTop w:val="0"/>
      <w:marBottom w:val="0"/>
      <w:divBdr>
        <w:top w:val="none" w:sz="0" w:space="0" w:color="auto"/>
        <w:left w:val="none" w:sz="0" w:space="0" w:color="auto"/>
        <w:bottom w:val="none" w:sz="0" w:space="0" w:color="auto"/>
        <w:right w:val="none" w:sz="0" w:space="0" w:color="auto"/>
      </w:divBdr>
    </w:div>
    <w:div w:id="1493913277">
      <w:marLeft w:val="480"/>
      <w:marRight w:val="0"/>
      <w:marTop w:val="0"/>
      <w:marBottom w:val="0"/>
      <w:divBdr>
        <w:top w:val="none" w:sz="0" w:space="0" w:color="auto"/>
        <w:left w:val="none" w:sz="0" w:space="0" w:color="auto"/>
        <w:bottom w:val="none" w:sz="0" w:space="0" w:color="auto"/>
        <w:right w:val="none" w:sz="0" w:space="0" w:color="auto"/>
      </w:divBdr>
    </w:div>
    <w:div w:id="1514539389">
      <w:marLeft w:val="480"/>
      <w:marRight w:val="0"/>
      <w:marTop w:val="0"/>
      <w:marBottom w:val="0"/>
      <w:divBdr>
        <w:top w:val="none" w:sz="0" w:space="0" w:color="auto"/>
        <w:left w:val="none" w:sz="0" w:space="0" w:color="auto"/>
        <w:bottom w:val="none" w:sz="0" w:space="0" w:color="auto"/>
        <w:right w:val="none" w:sz="0" w:space="0" w:color="auto"/>
      </w:divBdr>
    </w:div>
    <w:div w:id="1515655851">
      <w:marLeft w:val="480"/>
      <w:marRight w:val="0"/>
      <w:marTop w:val="0"/>
      <w:marBottom w:val="0"/>
      <w:divBdr>
        <w:top w:val="none" w:sz="0" w:space="0" w:color="auto"/>
        <w:left w:val="none" w:sz="0" w:space="0" w:color="auto"/>
        <w:bottom w:val="none" w:sz="0" w:space="0" w:color="auto"/>
        <w:right w:val="none" w:sz="0" w:space="0" w:color="auto"/>
      </w:divBdr>
    </w:div>
    <w:div w:id="1519998694">
      <w:marLeft w:val="480"/>
      <w:marRight w:val="0"/>
      <w:marTop w:val="0"/>
      <w:marBottom w:val="0"/>
      <w:divBdr>
        <w:top w:val="none" w:sz="0" w:space="0" w:color="auto"/>
        <w:left w:val="none" w:sz="0" w:space="0" w:color="auto"/>
        <w:bottom w:val="none" w:sz="0" w:space="0" w:color="auto"/>
        <w:right w:val="none" w:sz="0" w:space="0" w:color="auto"/>
      </w:divBdr>
    </w:div>
    <w:div w:id="1532644439">
      <w:marLeft w:val="480"/>
      <w:marRight w:val="0"/>
      <w:marTop w:val="0"/>
      <w:marBottom w:val="0"/>
      <w:divBdr>
        <w:top w:val="none" w:sz="0" w:space="0" w:color="auto"/>
        <w:left w:val="none" w:sz="0" w:space="0" w:color="auto"/>
        <w:bottom w:val="none" w:sz="0" w:space="0" w:color="auto"/>
        <w:right w:val="none" w:sz="0" w:space="0" w:color="auto"/>
      </w:divBdr>
    </w:div>
    <w:div w:id="1535385588">
      <w:marLeft w:val="480"/>
      <w:marRight w:val="0"/>
      <w:marTop w:val="0"/>
      <w:marBottom w:val="0"/>
      <w:divBdr>
        <w:top w:val="none" w:sz="0" w:space="0" w:color="auto"/>
        <w:left w:val="none" w:sz="0" w:space="0" w:color="auto"/>
        <w:bottom w:val="none" w:sz="0" w:space="0" w:color="auto"/>
        <w:right w:val="none" w:sz="0" w:space="0" w:color="auto"/>
      </w:divBdr>
    </w:div>
    <w:div w:id="1538660296">
      <w:marLeft w:val="480"/>
      <w:marRight w:val="0"/>
      <w:marTop w:val="0"/>
      <w:marBottom w:val="0"/>
      <w:divBdr>
        <w:top w:val="none" w:sz="0" w:space="0" w:color="auto"/>
        <w:left w:val="none" w:sz="0" w:space="0" w:color="auto"/>
        <w:bottom w:val="none" w:sz="0" w:space="0" w:color="auto"/>
        <w:right w:val="none" w:sz="0" w:space="0" w:color="auto"/>
      </w:divBdr>
    </w:div>
    <w:div w:id="1539312543">
      <w:marLeft w:val="480"/>
      <w:marRight w:val="0"/>
      <w:marTop w:val="0"/>
      <w:marBottom w:val="0"/>
      <w:divBdr>
        <w:top w:val="none" w:sz="0" w:space="0" w:color="auto"/>
        <w:left w:val="none" w:sz="0" w:space="0" w:color="auto"/>
        <w:bottom w:val="none" w:sz="0" w:space="0" w:color="auto"/>
        <w:right w:val="none" w:sz="0" w:space="0" w:color="auto"/>
      </w:divBdr>
    </w:div>
    <w:div w:id="1544439212">
      <w:marLeft w:val="480"/>
      <w:marRight w:val="0"/>
      <w:marTop w:val="0"/>
      <w:marBottom w:val="0"/>
      <w:divBdr>
        <w:top w:val="none" w:sz="0" w:space="0" w:color="auto"/>
        <w:left w:val="none" w:sz="0" w:space="0" w:color="auto"/>
        <w:bottom w:val="none" w:sz="0" w:space="0" w:color="auto"/>
        <w:right w:val="none" w:sz="0" w:space="0" w:color="auto"/>
      </w:divBdr>
    </w:div>
    <w:div w:id="1545601487">
      <w:marLeft w:val="480"/>
      <w:marRight w:val="0"/>
      <w:marTop w:val="0"/>
      <w:marBottom w:val="0"/>
      <w:divBdr>
        <w:top w:val="none" w:sz="0" w:space="0" w:color="auto"/>
        <w:left w:val="none" w:sz="0" w:space="0" w:color="auto"/>
        <w:bottom w:val="none" w:sz="0" w:space="0" w:color="auto"/>
        <w:right w:val="none" w:sz="0" w:space="0" w:color="auto"/>
      </w:divBdr>
    </w:div>
    <w:div w:id="1551457893">
      <w:marLeft w:val="480"/>
      <w:marRight w:val="0"/>
      <w:marTop w:val="0"/>
      <w:marBottom w:val="0"/>
      <w:divBdr>
        <w:top w:val="none" w:sz="0" w:space="0" w:color="auto"/>
        <w:left w:val="none" w:sz="0" w:space="0" w:color="auto"/>
        <w:bottom w:val="none" w:sz="0" w:space="0" w:color="auto"/>
        <w:right w:val="none" w:sz="0" w:space="0" w:color="auto"/>
      </w:divBdr>
    </w:div>
    <w:div w:id="1556428768">
      <w:marLeft w:val="480"/>
      <w:marRight w:val="0"/>
      <w:marTop w:val="0"/>
      <w:marBottom w:val="0"/>
      <w:divBdr>
        <w:top w:val="none" w:sz="0" w:space="0" w:color="auto"/>
        <w:left w:val="none" w:sz="0" w:space="0" w:color="auto"/>
        <w:bottom w:val="none" w:sz="0" w:space="0" w:color="auto"/>
        <w:right w:val="none" w:sz="0" w:space="0" w:color="auto"/>
      </w:divBdr>
    </w:div>
    <w:div w:id="1562134624">
      <w:marLeft w:val="480"/>
      <w:marRight w:val="0"/>
      <w:marTop w:val="0"/>
      <w:marBottom w:val="0"/>
      <w:divBdr>
        <w:top w:val="none" w:sz="0" w:space="0" w:color="auto"/>
        <w:left w:val="none" w:sz="0" w:space="0" w:color="auto"/>
        <w:bottom w:val="none" w:sz="0" w:space="0" w:color="auto"/>
        <w:right w:val="none" w:sz="0" w:space="0" w:color="auto"/>
      </w:divBdr>
    </w:div>
    <w:div w:id="1575699776">
      <w:marLeft w:val="480"/>
      <w:marRight w:val="0"/>
      <w:marTop w:val="0"/>
      <w:marBottom w:val="0"/>
      <w:divBdr>
        <w:top w:val="none" w:sz="0" w:space="0" w:color="auto"/>
        <w:left w:val="none" w:sz="0" w:space="0" w:color="auto"/>
        <w:bottom w:val="none" w:sz="0" w:space="0" w:color="auto"/>
        <w:right w:val="none" w:sz="0" w:space="0" w:color="auto"/>
      </w:divBdr>
    </w:div>
    <w:div w:id="1579051527">
      <w:marLeft w:val="480"/>
      <w:marRight w:val="0"/>
      <w:marTop w:val="0"/>
      <w:marBottom w:val="0"/>
      <w:divBdr>
        <w:top w:val="none" w:sz="0" w:space="0" w:color="auto"/>
        <w:left w:val="none" w:sz="0" w:space="0" w:color="auto"/>
        <w:bottom w:val="none" w:sz="0" w:space="0" w:color="auto"/>
        <w:right w:val="none" w:sz="0" w:space="0" w:color="auto"/>
      </w:divBdr>
    </w:div>
    <w:div w:id="1592742079">
      <w:marLeft w:val="480"/>
      <w:marRight w:val="0"/>
      <w:marTop w:val="0"/>
      <w:marBottom w:val="0"/>
      <w:divBdr>
        <w:top w:val="none" w:sz="0" w:space="0" w:color="auto"/>
        <w:left w:val="none" w:sz="0" w:space="0" w:color="auto"/>
        <w:bottom w:val="none" w:sz="0" w:space="0" w:color="auto"/>
        <w:right w:val="none" w:sz="0" w:space="0" w:color="auto"/>
      </w:divBdr>
    </w:div>
    <w:div w:id="1593275087">
      <w:marLeft w:val="480"/>
      <w:marRight w:val="0"/>
      <w:marTop w:val="0"/>
      <w:marBottom w:val="0"/>
      <w:divBdr>
        <w:top w:val="none" w:sz="0" w:space="0" w:color="auto"/>
        <w:left w:val="none" w:sz="0" w:space="0" w:color="auto"/>
        <w:bottom w:val="none" w:sz="0" w:space="0" w:color="auto"/>
        <w:right w:val="none" w:sz="0" w:space="0" w:color="auto"/>
      </w:divBdr>
    </w:div>
    <w:div w:id="1598439543">
      <w:marLeft w:val="480"/>
      <w:marRight w:val="0"/>
      <w:marTop w:val="0"/>
      <w:marBottom w:val="0"/>
      <w:divBdr>
        <w:top w:val="none" w:sz="0" w:space="0" w:color="auto"/>
        <w:left w:val="none" w:sz="0" w:space="0" w:color="auto"/>
        <w:bottom w:val="none" w:sz="0" w:space="0" w:color="auto"/>
        <w:right w:val="none" w:sz="0" w:space="0" w:color="auto"/>
      </w:divBdr>
    </w:div>
    <w:div w:id="1606572278">
      <w:marLeft w:val="480"/>
      <w:marRight w:val="0"/>
      <w:marTop w:val="0"/>
      <w:marBottom w:val="0"/>
      <w:divBdr>
        <w:top w:val="none" w:sz="0" w:space="0" w:color="auto"/>
        <w:left w:val="none" w:sz="0" w:space="0" w:color="auto"/>
        <w:bottom w:val="none" w:sz="0" w:space="0" w:color="auto"/>
        <w:right w:val="none" w:sz="0" w:space="0" w:color="auto"/>
      </w:divBdr>
    </w:div>
    <w:div w:id="1609190630">
      <w:marLeft w:val="480"/>
      <w:marRight w:val="0"/>
      <w:marTop w:val="0"/>
      <w:marBottom w:val="0"/>
      <w:divBdr>
        <w:top w:val="none" w:sz="0" w:space="0" w:color="auto"/>
        <w:left w:val="none" w:sz="0" w:space="0" w:color="auto"/>
        <w:bottom w:val="none" w:sz="0" w:space="0" w:color="auto"/>
        <w:right w:val="none" w:sz="0" w:space="0" w:color="auto"/>
      </w:divBdr>
    </w:div>
    <w:div w:id="1633751711">
      <w:marLeft w:val="480"/>
      <w:marRight w:val="0"/>
      <w:marTop w:val="0"/>
      <w:marBottom w:val="0"/>
      <w:divBdr>
        <w:top w:val="none" w:sz="0" w:space="0" w:color="auto"/>
        <w:left w:val="none" w:sz="0" w:space="0" w:color="auto"/>
        <w:bottom w:val="none" w:sz="0" w:space="0" w:color="auto"/>
        <w:right w:val="none" w:sz="0" w:space="0" w:color="auto"/>
      </w:divBdr>
    </w:div>
    <w:div w:id="1651137019">
      <w:marLeft w:val="480"/>
      <w:marRight w:val="0"/>
      <w:marTop w:val="0"/>
      <w:marBottom w:val="0"/>
      <w:divBdr>
        <w:top w:val="none" w:sz="0" w:space="0" w:color="auto"/>
        <w:left w:val="none" w:sz="0" w:space="0" w:color="auto"/>
        <w:bottom w:val="none" w:sz="0" w:space="0" w:color="auto"/>
        <w:right w:val="none" w:sz="0" w:space="0" w:color="auto"/>
      </w:divBdr>
    </w:div>
    <w:div w:id="1654986939">
      <w:marLeft w:val="480"/>
      <w:marRight w:val="0"/>
      <w:marTop w:val="0"/>
      <w:marBottom w:val="0"/>
      <w:divBdr>
        <w:top w:val="none" w:sz="0" w:space="0" w:color="auto"/>
        <w:left w:val="none" w:sz="0" w:space="0" w:color="auto"/>
        <w:bottom w:val="none" w:sz="0" w:space="0" w:color="auto"/>
        <w:right w:val="none" w:sz="0" w:space="0" w:color="auto"/>
      </w:divBdr>
    </w:div>
    <w:div w:id="1661428380">
      <w:marLeft w:val="480"/>
      <w:marRight w:val="0"/>
      <w:marTop w:val="0"/>
      <w:marBottom w:val="0"/>
      <w:divBdr>
        <w:top w:val="none" w:sz="0" w:space="0" w:color="auto"/>
        <w:left w:val="none" w:sz="0" w:space="0" w:color="auto"/>
        <w:bottom w:val="none" w:sz="0" w:space="0" w:color="auto"/>
        <w:right w:val="none" w:sz="0" w:space="0" w:color="auto"/>
      </w:divBdr>
    </w:div>
    <w:div w:id="1662999256">
      <w:marLeft w:val="480"/>
      <w:marRight w:val="0"/>
      <w:marTop w:val="0"/>
      <w:marBottom w:val="0"/>
      <w:divBdr>
        <w:top w:val="none" w:sz="0" w:space="0" w:color="auto"/>
        <w:left w:val="none" w:sz="0" w:space="0" w:color="auto"/>
        <w:bottom w:val="none" w:sz="0" w:space="0" w:color="auto"/>
        <w:right w:val="none" w:sz="0" w:space="0" w:color="auto"/>
      </w:divBdr>
    </w:div>
    <w:div w:id="1663776158">
      <w:marLeft w:val="480"/>
      <w:marRight w:val="0"/>
      <w:marTop w:val="0"/>
      <w:marBottom w:val="0"/>
      <w:divBdr>
        <w:top w:val="none" w:sz="0" w:space="0" w:color="auto"/>
        <w:left w:val="none" w:sz="0" w:space="0" w:color="auto"/>
        <w:bottom w:val="none" w:sz="0" w:space="0" w:color="auto"/>
        <w:right w:val="none" w:sz="0" w:space="0" w:color="auto"/>
      </w:divBdr>
    </w:div>
    <w:div w:id="1668246266">
      <w:marLeft w:val="480"/>
      <w:marRight w:val="0"/>
      <w:marTop w:val="0"/>
      <w:marBottom w:val="0"/>
      <w:divBdr>
        <w:top w:val="none" w:sz="0" w:space="0" w:color="auto"/>
        <w:left w:val="none" w:sz="0" w:space="0" w:color="auto"/>
        <w:bottom w:val="none" w:sz="0" w:space="0" w:color="auto"/>
        <w:right w:val="none" w:sz="0" w:space="0" w:color="auto"/>
      </w:divBdr>
    </w:div>
    <w:div w:id="1672753177">
      <w:marLeft w:val="480"/>
      <w:marRight w:val="0"/>
      <w:marTop w:val="0"/>
      <w:marBottom w:val="0"/>
      <w:divBdr>
        <w:top w:val="none" w:sz="0" w:space="0" w:color="auto"/>
        <w:left w:val="none" w:sz="0" w:space="0" w:color="auto"/>
        <w:bottom w:val="none" w:sz="0" w:space="0" w:color="auto"/>
        <w:right w:val="none" w:sz="0" w:space="0" w:color="auto"/>
      </w:divBdr>
    </w:div>
    <w:div w:id="1673023220">
      <w:marLeft w:val="480"/>
      <w:marRight w:val="0"/>
      <w:marTop w:val="0"/>
      <w:marBottom w:val="0"/>
      <w:divBdr>
        <w:top w:val="none" w:sz="0" w:space="0" w:color="auto"/>
        <w:left w:val="none" w:sz="0" w:space="0" w:color="auto"/>
        <w:bottom w:val="none" w:sz="0" w:space="0" w:color="auto"/>
        <w:right w:val="none" w:sz="0" w:space="0" w:color="auto"/>
      </w:divBdr>
    </w:div>
    <w:div w:id="1676303277">
      <w:marLeft w:val="480"/>
      <w:marRight w:val="0"/>
      <w:marTop w:val="0"/>
      <w:marBottom w:val="0"/>
      <w:divBdr>
        <w:top w:val="none" w:sz="0" w:space="0" w:color="auto"/>
        <w:left w:val="none" w:sz="0" w:space="0" w:color="auto"/>
        <w:bottom w:val="none" w:sz="0" w:space="0" w:color="auto"/>
        <w:right w:val="none" w:sz="0" w:space="0" w:color="auto"/>
      </w:divBdr>
    </w:div>
    <w:div w:id="1677998222">
      <w:marLeft w:val="480"/>
      <w:marRight w:val="0"/>
      <w:marTop w:val="0"/>
      <w:marBottom w:val="0"/>
      <w:divBdr>
        <w:top w:val="none" w:sz="0" w:space="0" w:color="auto"/>
        <w:left w:val="none" w:sz="0" w:space="0" w:color="auto"/>
        <w:bottom w:val="none" w:sz="0" w:space="0" w:color="auto"/>
        <w:right w:val="none" w:sz="0" w:space="0" w:color="auto"/>
      </w:divBdr>
    </w:div>
    <w:div w:id="1681732080">
      <w:marLeft w:val="480"/>
      <w:marRight w:val="0"/>
      <w:marTop w:val="0"/>
      <w:marBottom w:val="0"/>
      <w:divBdr>
        <w:top w:val="none" w:sz="0" w:space="0" w:color="auto"/>
        <w:left w:val="none" w:sz="0" w:space="0" w:color="auto"/>
        <w:bottom w:val="none" w:sz="0" w:space="0" w:color="auto"/>
        <w:right w:val="none" w:sz="0" w:space="0" w:color="auto"/>
      </w:divBdr>
    </w:div>
    <w:div w:id="1696497036">
      <w:marLeft w:val="480"/>
      <w:marRight w:val="0"/>
      <w:marTop w:val="0"/>
      <w:marBottom w:val="0"/>
      <w:divBdr>
        <w:top w:val="none" w:sz="0" w:space="0" w:color="auto"/>
        <w:left w:val="none" w:sz="0" w:space="0" w:color="auto"/>
        <w:bottom w:val="none" w:sz="0" w:space="0" w:color="auto"/>
        <w:right w:val="none" w:sz="0" w:space="0" w:color="auto"/>
      </w:divBdr>
    </w:div>
    <w:div w:id="1697733812">
      <w:marLeft w:val="480"/>
      <w:marRight w:val="0"/>
      <w:marTop w:val="0"/>
      <w:marBottom w:val="0"/>
      <w:divBdr>
        <w:top w:val="none" w:sz="0" w:space="0" w:color="auto"/>
        <w:left w:val="none" w:sz="0" w:space="0" w:color="auto"/>
        <w:bottom w:val="none" w:sz="0" w:space="0" w:color="auto"/>
        <w:right w:val="none" w:sz="0" w:space="0" w:color="auto"/>
      </w:divBdr>
    </w:div>
    <w:div w:id="1698040124">
      <w:marLeft w:val="480"/>
      <w:marRight w:val="0"/>
      <w:marTop w:val="0"/>
      <w:marBottom w:val="0"/>
      <w:divBdr>
        <w:top w:val="none" w:sz="0" w:space="0" w:color="auto"/>
        <w:left w:val="none" w:sz="0" w:space="0" w:color="auto"/>
        <w:bottom w:val="none" w:sz="0" w:space="0" w:color="auto"/>
        <w:right w:val="none" w:sz="0" w:space="0" w:color="auto"/>
      </w:divBdr>
    </w:div>
    <w:div w:id="1699507589">
      <w:marLeft w:val="480"/>
      <w:marRight w:val="0"/>
      <w:marTop w:val="0"/>
      <w:marBottom w:val="0"/>
      <w:divBdr>
        <w:top w:val="none" w:sz="0" w:space="0" w:color="auto"/>
        <w:left w:val="none" w:sz="0" w:space="0" w:color="auto"/>
        <w:bottom w:val="none" w:sz="0" w:space="0" w:color="auto"/>
        <w:right w:val="none" w:sz="0" w:space="0" w:color="auto"/>
      </w:divBdr>
    </w:div>
    <w:div w:id="1699576358">
      <w:marLeft w:val="480"/>
      <w:marRight w:val="0"/>
      <w:marTop w:val="0"/>
      <w:marBottom w:val="0"/>
      <w:divBdr>
        <w:top w:val="none" w:sz="0" w:space="0" w:color="auto"/>
        <w:left w:val="none" w:sz="0" w:space="0" w:color="auto"/>
        <w:bottom w:val="none" w:sz="0" w:space="0" w:color="auto"/>
        <w:right w:val="none" w:sz="0" w:space="0" w:color="auto"/>
      </w:divBdr>
    </w:div>
    <w:div w:id="1705211414">
      <w:marLeft w:val="480"/>
      <w:marRight w:val="0"/>
      <w:marTop w:val="0"/>
      <w:marBottom w:val="0"/>
      <w:divBdr>
        <w:top w:val="none" w:sz="0" w:space="0" w:color="auto"/>
        <w:left w:val="none" w:sz="0" w:space="0" w:color="auto"/>
        <w:bottom w:val="none" w:sz="0" w:space="0" w:color="auto"/>
        <w:right w:val="none" w:sz="0" w:space="0" w:color="auto"/>
      </w:divBdr>
    </w:div>
    <w:div w:id="1710035497">
      <w:marLeft w:val="480"/>
      <w:marRight w:val="0"/>
      <w:marTop w:val="0"/>
      <w:marBottom w:val="0"/>
      <w:divBdr>
        <w:top w:val="none" w:sz="0" w:space="0" w:color="auto"/>
        <w:left w:val="none" w:sz="0" w:space="0" w:color="auto"/>
        <w:bottom w:val="none" w:sz="0" w:space="0" w:color="auto"/>
        <w:right w:val="none" w:sz="0" w:space="0" w:color="auto"/>
      </w:divBdr>
    </w:div>
    <w:div w:id="1713307745">
      <w:marLeft w:val="480"/>
      <w:marRight w:val="0"/>
      <w:marTop w:val="0"/>
      <w:marBottom w:val="0"/>
      <w:divBdr>
        <w:top w:val="none" w:sz="0" w:space="0" w:color="auto"/>
        <w:left w:val="none" w:sz="0" w:space="0" w:color="auto"/>
        <w:bottom w:val="none" w:sz="0" w:space="0" w:color="auto"/>
        <w:right w:val="none" w:sz="0" w:space="0" w:color="auto"/>
      </w:divBdr>
    </w:div>
    <w:div w:id="1728845594">
      <w:marLeft w:val="480"/>
      <w:marRight w:val="0"/>
      <w:marTop w:val="0"/>
      <w:marBottom w:val="0"/>
      <w:divBdr>
        <w:top w:val="none" w:sz="0" w:space="0" w:color="auto"/>
        <w:left w:val="none" w:sz="0" w:space="0" w:color="auto"/>
        <w:bottom w:val="none" w:sz="0" w:space="0" w:color="auto"/>
        <w:right w:val="none" w:sz="0" w:space="0" w:color="auto"/>
      </w:divBdr>
    </w:div>
    <w:div w:id="1742679753">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923542">
      <w:marLeft w:val="480"/>
      <w:marRight w:val="0"/>
      <w:marTop w:val="0"/>
      <w:marBottom w:val="0"/>
      <w:divBdr>
        <w:top w:val="none" w:sz="0" w:space="0" w:color="auto"/>
        <w:left w:val="none" w:sz="0" w:space="0" w:color="auto"/>
        <w:bottom w:val="none" w:sz="0" w:space="0" w:color="auto"/>
        <w:right w:val="none" w:sz="0" w:space="0" w:color="auto"/>
      </w:divBdr>
    </w:div>
    <w:div w:id="1760251401">
      <w:marLeft w:val="480"/>
      <w:marRight w:val="0"/>
      <w:marTop w:val="0"/>
      <w:marBottom w:val="0"/>
      <w:divBdr>
        <w:top w:val="none" w:sz="0" w:space="0" w:color="auto"/>
        <w:left w:val="none" w:sz="0" w:space="0" w:color="auto"/>
        <w:bottom w:val="none" w:sz="0" w:space="0" w:color="auto"/>
        <w:right w:val="none" w:sz="0" w:space="0" w:color="auto"/>
      </w:divBdr>
    </w:div>
    <w:div w:id="1761414055">
      <w:marLeft w:val="480"/>
      <w:marRight w:val="0"/>
      <w:marTop w:val="0"/>
      <w:marBottom w:val="0"/>
      <w:divBdr>
        <w:top w:val="none" w:sz="0" w:space="0" w:color="auto"/>
        <w:left w:val="none" w:sz="0" w:space="0" w:color="auto"/>
        <w:bottom w:val="none" w:sz="0" w:space="0" w:color="auto"/>
        <w:right w:val="none" w:sz="0" w:space="0" w:color="auto"/>
      </w:divBdr>
    </w:div>
    <w:div w:id="1777939729">
      <w:marLeft w:val="480"/>
      <w:marRight w:val="0"/>
      <w:marTop w:val="0"/>
      <w:marBottom w:val="0"/>
      <w:divBdr>
        <w:top w:val="none" w:sz="0" w:space="0" w:color="auto"/>
        <w:left w:val="none" w:sz="0" w:space="0" w:color="auto"/>
        <w:bottom w:val="none" w:sz="0" w:space="0" w:color="auto"/>
        <w:right w:val="none" w:sz="0" w:space="0" w:color="auto"/>
      </w:divBdr>
    </w:div>
    <w:div w:id="1786272036">
      <w:marLeft w:val="480"/>
      <w:marRight w:val="0"/>
      <w:marTop w:val="0"/>
      <w:marBottom w:val="0"/>
      <w:divBdr>
        <w:top w:val="none" w:sz="0" w:space="0" w:color="auto"/>
        <w:left w:val="none" w:sz="0" w:space="0" w:color="auto"/>
        <w:bottom w:val="none" w:sz="0" w:space="0" w:color="auto"/>
        <w:right w:val="none" w:sz="0" w:space="0" w:color="auto"/>
      </w:divBdr>
    </w:div>
    <w:div w:id="1794710330">
      <w:marLeft w:val="480"/>
      <w:marRight w:val="0"/>
      <w:marTop w:val="0"/>
      <w:marBottom w:val="0"/>
      <w:divBdr>
        <w:top w:val="none" w:sz="0" w:space="0" w:color="auto"/>
        <w:left w:val="none" w:sz="0" w:space="0" w:color="auto"/>
        <w:bottom w:val="none" w:sz="0" w:space="0" w:color="auto"/>
        <w:right w:val="none" w:sz="0" w:space="0" w:color="auto"/>
      </w:divBdr>
    </w:div>
    <w:div w:id="1810202250">
      <w:marLeft w:val="480"/>
      <w:marRight w:val="0"/>
      <w:marTop w:val="0"/>
      <w:marBottom w:val="0"/>
      <w:divBdr>
        <w:top w:val="none" w:sz="0" w:space="0" w:color="auto"/>
        <w:left w:val="none" w:sz="0" w:space="0" w:color="auto"/>
        <w:bottom w:val="none" w:sz="0" w:space="0" w:color="auto"/>
        <w:right w:val="none" w:sz="0" w:space="0" w:color="auto"/>
      </w:divBdr>
    </w:div>
    <w:div w:id="1810435120">
      <w:marLeft w:val="480"/>
      <w:marRight w:val="0"/>
      <w:marTop w:val="0"/>
      <w:marBottom w:val="0"/>
      <w:divBdr>
        <w:top w:val="none" w:sz="0" w:space="0" w:color="auto"/>
        <w:left w:val="none" w:sz="0" w:space="0" w:color="auto"/>
        <w:bottom w:val="none" w:sz="0" w:space="0" w:color="auto"/>
        <w:right w:val="none" w:sz="0" w:space="0" w:color="auto"/>
      </w:divBdr>
    </w:div>
    <w:div w:id="1817335172">
      <w:marLeft w:val="480"/>
      <w:marRight w:val="0"/>
      <w:marTop w:val="0"/>
      <w:marBottom w:val="0"/>
      <w:divBdr>
        <w:top w:val="none" w:sz="0" w:space="0" w:color="auto"/>
        <w:left w:val="none" w:sz="0" w:space="0" w:color="auto"/>
        <w:bottom w:val="none" w:sz="0" w:space="0" w:color="auto"/>
        <w:right w:val="none" w:sz="0" w:space="0" w:color="auto"/>
      </w:divBdr>
    </w:div>
    <w:div w:id="1824393913">
      <w:marLeft w:val="480"/>
      <w:marRight w:val="0"/>
      <w:marTop w:val="0"/>
      <w:marBottom w:val="0"/>
      <w:divBdr>
        <w:top w:val="none" w:sz="0" w:space="0" w:color="auto"/>
        <w:left w:val="none" w:sz="0" w:space="0" w:color="auto"/>
        <w:bottom w:val="none" w:sz="0" w:space="0" w:color="auto"/>
        <w:right w:val="none" w:sz="0" w:space="0" w:color="auto"/>
      </w:divBdr>
    </w:div>
    <w:div w:id="1824394316">
      <w:marLeft w:val="480"/>
      <w:marRight w:val="0"/>
      <w:marTop w:val="0"/>
      <w:marBottom w:val="0"/>
      <w:divBdr>
        <w:top w:val="none" w:sz="0" w:space="0" w:color="auto"/>
        <w:left w:val="none" w:sz="0" w:space="0" w:color="auto"/>
        <w:bottom w:val="none" w:sz="0" w:space="0" w:color="auto"/>
        <w:right w:val="none" w:sz="0" w:space="0" w:color="auto"/>
      </w:divBdr>
    </w:div>
    <w:div w:id="1827625586">
      <w:marLeft w:val="480"/>
      <w:marRight w:val="0"/>
      <w:marTop w:val="0"/>
      <w:marBottom w:val="0"/>
      <w:divBdr>
        <w:top w:val="none" w:sz="0" w:space="0" w:color="auto"/>
        <w:left w:val="none" w:sz="0" w:space="0" w:color="auto"/>
        <w:bottom w:val="none" w:sz="0" w:space="0" w:color="auto"/>
        <w:right w:val="none" w:sz="0" w:space="0" w:color="auto"/>
      </w:divBdr>
    </w:div>
    <w:div w:id="1828745230">
      <w:marLeft w:val="480"/>
      <w:marRight w:val="0"/>
      <w:marTop w:val="0"/>
      <w:marBottom w:val="0"/>
      <w:divBdr>
        <w:top w:val="none" w:sz="0" w:space="0" w:color="auto"/>
        <w:left w:val="none" w:sz="0" w:space="0" w:color="auto"/>
        <w:bottom w:val="none" w:sz="0" w:space="0" w:color="auto"/>
        <w:right w:val="none" w:sz="0" w:space="0" w:color="auto"/>
      </w:divBdr>
    </w:div>
    <w:div w:id="1832019493">
      <w:marLeft w:val="480"/>
      <w:marRight w:val="0"/>
      <w:marTop w:val="0"/>
      <w:marBottom w:val="0"/>
      <w:divBdr>
        <w:top w:val="none" w:sz="0" w:space="0" w:color="auto"/>
        <w:left w:val="none" w:sz="0" w:space="0" w:color="auto"/>
        <w:bottom w:val="none" w:sz="0" w:space="0" w:color="auto"/>
        <w:right w:val="none" w:sz="0" w:space="0" w:color="auto"/>
      </w:divBdr>
    </w:div>
    <w:div w:id="1843007649">
      <w:marLeft w:val="480"/>
      <w:marRight w:val="0"/>
      <w:marTop w:val="0"/>
      <w:marBottom w:val="0"/>
      <w:divBdr>
        <w:top w:val="none" w:sz="0" w:space="0" w:color="auto"/>
        <w:left w:val="none" w:sz="0" w:space="0" w:color="auto"/>
        <w:bottom w:val="none" w:sz="0" w:space="0" w:color="auto"/>
        <w:right w:val="none" w:sz="0" w:space="0" w:color="auto"/>
      </w:divBdr>
    </w:div>
    <w:div w:id="1853297793">
      <w:marLeft w:val="480"/>
      <w:marRight w:val="0"/>
      <w:marTop w:val="0"/>
      <w:marBottom w:val="0"/>
      <w:divBdr>
        <w:top w:val="none" w:sz="0" w:space="0" w:color="auto"/>
        <w:left w:val="none" w:sz="0" w:space="0" w:color="auto"/>
        <w:bottom w:val="none" w:sz="0" w:space="0" w:color="auto"/>
        <w:right w:val="none" w:sz="0" w:space="0" w:color="auto"/>
      </w:divBdr>
    </w:div>
    <w:div w:id="1853950265">
      <w:marLeft w:val="480"/>
      <w:marRight w:val="0"/>
      <w:marTop w:val="0"/>
      <w:marBottom w:val="0"/>
      <w:divBdr>
        <w:top w:val="none" w:sz="0" w:space="0" w:color="auto"/>
        <w:left w:val="none" w:sz="0" w:space="0" w:color="auto"/>
        <w:bottom w:val="none" w:sz="0" w:space="0" w:color="auto"/>
        <w:right w:val="none" w:sz="0" w:space="0" w:color="auto"/>
      </w:divBdr>
    </w:div>
    <w:div w:id="1874343214">
      <w:marLeft w:val="480"/>
      <w:marRight w:val="0"/>
      <w:marTop w:val="0"/>
      <w:marBottom w:val="0"/>
      <w:divBdr>
        <w:top w:val="none" w:sz="0" w:space="0" w:color="auto"/>
        <w:left w:val="none" w:sz="0" w:space="0" w:color="auto"/>
        <w:bottom w:val="none" w:sz="0" w:space="0" w:color="auto"/>
        <w:right w:val="none" w:sz="0" w:space="0" w:color="auto"/>
      </w:divBdr>
    </w:div>
    <w:div w:id="1875774675">
      <w:marLeft w:val="480"/>
      <w:marRight w:val="0"/>
      <w:marTop w:val="0"/>
      <w:marBottom w:val="0"/>
      <w:divBdr>
        <w:top w:val="none" w:sz="0" w:space="0" w:color="auto"/>
        <w:left w:val="none" w:sz="0" w:space="0" w:color="auto"/>
        <w:bottom w:val="none" w:sz="0" w:space="0" w:color="auto"/>
        <w:right w:val="none" w:sz="0" w:space="0" w:color="auto"/>
      </w:divBdr>
    </w:div>
    <w:div w:id="1879313833">
      <w:marLeft w:val="480"/>
      <w:marRight w:val="0"/>
      <w:marTop w:val="0"/>
      <w:marBottom w:val="0"/>
      <w:divBdr>
        <w:top w:val="none" w:sz="0" w:space="0" w:color="auto"/>
        <w:left w:val="none" w:sz="0" w:space="0" w:color="auto"/>
        <w:bottom w:val="none" w:sz="0" w:space="0" w:color="auto"/>
        <w:right w:val="none" w:sz="0" w:space="0" w:color="auto"/>
      </w:divBdr>
    </w:div>
    <w:div w:id="1879849487">
      <w:marLeft w:val="480"/>
      <w:marRight w:val="0"/>
      <w:marTop w:val="0"/>
      <w:marBottom w:val="0"/>
      <w:divBdr>
        <w:top w:val="none" w:sz="0" w:space="0" w:color="auto"/>
        <w:left w:val="none" w:sz="0" w:space="0" w:color="auto"/>
        <w:bottom w:val="none" w:sz="0" w:space="0" w:color="auto"/>
        <w:right w:val="none" w:sz="0" w:space="0" w:color="auto"/>
      </w:divBdr>
    </w:div>
    <w:div w:id="1889802587">
      <w:marLeft w:val="480"/>
      <w:marRight w:val="0"/>
      <w:marTop w:val="0"/>
      <w:marBottom w:val="0"/>
      <w:divBdr>
        <w:top w:val="none" w:sz="0" w:space="0" w:color="auto"/>
        <w:left w:val="none" w:sz="0" w:space="0" w:color="auto"/>
        <w:bottom w:val="none" w:sz="0" w:space="0" w:color="auto"/>
        <w:right w:val="none" w:sz="0" w:space="0" w:color="auto"/>
      </w:divBdr>
    </w:div>
    <w:div w:id="1892842445">
      <w:marLeft w:val="480"/>
      <w:marRight w:val="0"/>
      <w:marTop w:val="0"/>
      <w:marBottom w:val="0"/>
      <w:divBdr>
        <w:top w:val="none" w:sz="0" w:space="0" w:color="auto"/>
        <w:left w:val="none" w:sz="0" w:space="0" w:color="auto"/>
        <w:bottom w:val="none" w:sz="0" w:space="0" w:color="auto"/>
        <w:right w:val="none" w:sz="0" w:space="0" w:color="auto"/>
      </w:divBdr>
    </w:div>
    <w:div w:id="1895265625">
      <w:marLeft w:val="480"/>
      <w:marRight w:val="0"/>
      <w:marTop w:val="0"/>
      <w:marBottom w:val="0"/>
      <w:divBdr>
        <w:top w:val="none" w:sz="0" w:space="0" w:color="auto"/>
        <w:left w:val="none" w:sz="0" w:space="0" w:color="auto"/>
        <w:bottom w:val="none" w:sz="0" w:space="0" w:color="auto"/>
        <w:right w:val="none" w:sz="0" w:space="0" w:color="auto"/>
      </w:divBdr>
    </w:div>
    <w:div w:id="1904170106">
      <w:marLeft w:val="480"/>
      <w:marRight w:val="0"/>
      <w:marTop w:val="0"/>
      <w:marBottom w:val="0"/>
      <w:divBdr>
        <w:top w:val="none" w:sz="0" w:space="0" w:color="auto"/>
        <w:left w:val="none" w:sz="0" w:space="0" w:color="auto"/>
        <w:bottom w:val="none" w:sz="0" w:space="0" w:color="auto"/>
        <w:right w:val="none" w:sz="0" w:space="0" w:color="auto"/>
      </w:divBdr>
    </w:div>
    <w:div w:id="1905291244">
      <w:marLeft w:val="480"/>
      <w:marRight w:val="0"/>
      <w:marTop w:val="0"/>
      <w:marBottom w:val="0"/>
      <w:divBdr>
        <w:top w:val="none" w:sz="0" w:space="0" w:color="auto"/>
        <w:left w:val="none" w:sz="0" w:space="0" w:color="auto"/>
        <w:bottom w:val="none" w:sz="0" w:space="0" w:color="auto"/>
        <w:right w:val="none" w:sz="0" w:space="0" w:color="auto"/>
      </w:divBdr>
    </w:div>
    <w:div w:id="1905679195">
      <w:marLeft w:val="480"/>
      <w:marRight w:val="0"/>
      <w:marTop w:val="0"/>
      <w:marBottom w:val="0"/>
      <w:divBdr>
        <w:top w:val="none" w:sz="0" w:space="0" w:color="auto"/>
        <w:left w:val="none" w:sz="0" w:space="0" w:color="auto"/>
        <w:bottom w:val="none" w:sz="0" w:space="0" w:color="auto"/>
        <w:right w:val="none" w:sz="0" w:space="0" w:color="auto"/>
      </w:divBdr>
    </w:div>
    <w:div w:id="1910268843">
      <w:marLeft w:val="480"/>
      <w:marRight w:val="0"/>
      <w:marTop w:val="0"/>
      <w:marBottom w:val="0"/>
      <w:divBdr>
        <w:top w:val="none" w:sz="0" w:space="0" w:color="auto"/>
        <w:left w:val="none" w:sz="0" w:space="0" w:color="auto"/>
        <w:bottom w:val="none" w:sz="0" w:space="0" w:color="auto"/>
        <w:right w:val="none" w:sz="0" w:space="0" w:color="auto"/>
      </w:divBdr>
    </w:div>
    <w:div w:id="1926065398">
      <w:marLeft w:val="480"/>
      <w:marRight w:val="0"/>
      <w:marTop w:val="0"/>
      <w:marBottom w:val="0"/>
      <w:divBdr>
        <w:top w:val="none" w:sz="0" w:space="0" w:color="auto"/>
        <w:left w:val="none" w:sz="0" w:space="0" w:color="auto"/>
        <w:bottom w:val="none" w:sz="0" w:space="0" w:color="auto"/>
        <w:right w:val="none" w:sz="0" w:space="0" w:color="auto"/>
      </w:divBdr>
    </w:div>
    <w:div w:id="1932884926">
      <w:marLeft w:val="480"/>
      <w:marRight w:val="0"/>
      <w:marTop w:val="0"/>
      <w:marBottom w:val="0"/>
      <w:divBdr>
        <w:top w:val="none" w:sz="0" w:space="0" w:color="auto"/>
        <w:left w:val="none" w:sz="0" w:space="0" w:color="auto"/>
        <w:bottom w:val="none" w:sz="0" w:space="0" w:color="auto"/>
        <w:right w:val="none" w:sz="0" w:space="0" w:color="auto"/>
      </w:divBdr>
    </w:div>
    <w:div w:id="1934166040">
      <w:marLeft w:val="480"/>
      <w:marRight w:val="0"/>
      <w:marTop w:val="0"/>
      <w:marBottom w:val="0"/>
      <w:divBdr>
        <w:top w:val="none" w:sz="0" w:space="0" w:color="auto"/>
        <w:left w:val="none" w:sz="0" w:space="0" w:color="auto"/>
        <w:bottom w:val="none" w:sz="0" w:space="0" w:color="auto"/>
        <w:right w:val="none" w:sz="0" w:space="0" w:color="auto"/>
      </w:divBdr>
    </w:div>
    <w:div w:id="1955021394">
      <w:marLeft w:val="480"/>
      <w:marRight w:val="0"/>
      <w:marTop w:val="0"/>
      <w:marBottom w:val="0"/>
      <w:divBdr>
        <w:top w:val="none" w:sz="0" w:space="0" w:color="auto"/>
        <w:left w:val="none" w:sz="0" w:space="0" w:color="auto"/>
        <w:bottom w:val="none" w:sz="0" w:space="0" w:color="auto"/>
        <w:right w:val="none" w:sz="0" w:space="0" w:color="auto"/>
      </w:divBdr>
    </w:div>
    <w:div w:id="1955214190">
      <w:marLeft w:val="480"/>
      <w:marRight w:val="0"/>
      <w:marTop w:val="0"/>
      <w:marBottom w:val="0"/>
      <w:divBdr>
        <w:top w:val="none" w:sz="0" w:space="0" w:color="auto"/>
        <w:left w:val="none" w:sz="0" w:space="0" w:color="auto"/>
        <w:bottom w:val="none" w:sz="0" w:space="0" w:color="auto"/>
        <w:right w:val="none" w:sz="0" w:space="0" w:color="auto"/>
      </w:divBdr>
    </w:div>
    <w:div w:id="1965845696">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5891543">
      <w:marLeft w:val="480"/>
      <w:marRight w:val="0"/>
      <w:marTop w:val="0"/>
      <w:marBottom w:val="0"/>
      <w:divBdr>
        <w:top w:val="none" w:sz="0" w:space="0" w:color="auto"/>
        <w:left w:val="none" w:sz="0" w:space="0" w:color="auto"/>
        <w:bottom w:val="none" w:sz="0" w:space="0" w:color="auto"/>
        <w:right w:val="none" w:sz="0" w:space="0" w:color="auto"/>
      </w:divBdr>
    </w:div>
    <w:div w:id="2002610900">
      <w:marLeft w:val="480"/>
      <w:marRight w:val="0"/>
      <w:marTop w:val="0"/>
      <w:marBottom w:val="0"/>
      <w:divBdr>
        <w:top w:val="none" w:sz="0" w:space="0" w:color="auto"/>
        <w:left w:val="none" w:sz="0" w:space="0" w:color="auto"/>
        <w:bottom w:val="none" w:sz="0" w:space="0" w:color="auto"/>
        <w:right w:val="none" w:sz="0" w:space="0" w:color="auto"/>
      </w:divBdr>
    </w:div>
    <w:div w:id="2003383908">
      <w:marLeft w:val="480"/>
      <w:marRight w:val="0"/>
      <w:marTop w:val="0"/>
      <w:marBottom w:val="0"/>
      <w:divBdr>
        <w:top w:val="none" w:sz="0" w:space="0" w:color="auto"/>
        <w:left w:val="none" w:sz="0" w:space="0" w:color="auto"/>
        <w:bottom w:val="none" w:sz="0" w:space="0" w:color="auto"/>
        <w:right w:val="none" w:sz="0" w:space="0" w:color="auto"/>
      </w:divBdr>
    </w:div>
    <w:div w:id="2020229029">
      <w:marLeft w:val="480"/>
      <w:marRight w:val="0"/>
      <w:marTop w:val="0"/>
      <w:marBottom w:val="0"/>
      <w:divBdr>
        <w:top w:val="none" w:sz="0" w:space="0" w:color="auto"/>
        <w:left w:val="none" w:sz="0" w:space="0" w:color="auto"/>
        <w:bottom w:val="none" w:sz="0" w:space="0" w:color="auto"/>
        <w:right w:val="none" w:sz="0" w:space="0" w:color="auto"/>
      </w:divBdr>
    </w:div>
    <w:div w:id="2028680170">
      <w:marLeft w:val="480"/>
      <w:marRight w:val="0"/>
      <w:marTop w:val="0"/>
      <w:marBottom w:val="0"/>
      <w:divBdr>
        <w:top w:val="none" w:sz="0" w:space="0" w:color="auto"/>
        <w:left w:val="none" w:sz="0" w:space="0" w:color="auto"/>
        <w:bottom w:val="none" w:sz="0" w:space="0" w:color="auto"/>
        <w:right w:val="none" w:sz="0" w:space="0" w:color="auto"/>
      </w:divBdr>
    </w:div>
    <w:div w:id="2029333082">
      <w:marLeft w:val="480"/>
      <w:marRight w:val="0"/>
      <w:marTop w:val="0"/>
      <w:marBottom w:val="0"/>
      <w:divBdr>
        <w:top w:val="none" w:sz="0" w:space="0" w:color="auto"/>
        <w:left w:val="none" w:sz="0" w:space="0" w:color="auto"/>
        <w:bottom w:val="none" w:sz="0" w:space="0" w:color="auto"/>
        <w:right w:val="none" w:sz="0" w:space="0" w:color="auto"/>
      </w:divBdr>
    </w:div>
    <w:div w:id="2031103450">
      <w:marLeft w:val="480"/>
      <w:marRight w:val="0"/>
      <w:marTop w:val="0"/>
      <w:marBottom w:val="0"/>
      <w:divBdr>
        <w:top w:val="none" w:sz="0" w:space="0" w:color="auto"/>
        <w:left w:val="none" w:sz="0" w:space="0" w:color="auto"/>
        <w:bottom w:val="none" w:sz="0" w:space="0" w:color="auto"/>
        <w:right w:val="none" w:sz="0" w:space="0" w:color="auto"/>
      </w:divBdr>
    </w:div>
    <w:div w:id="2038389378">
      <w:marLeft w:val="480"/>
      <w:marRight w:val="0"/>
      <w:marTop w:val="0"/>
      <w:marBottom w:val="0"/>
      <w:divBdr>
        <w:top w:val="none" w:sz="0" w:space="0" w:color="auto"/>
        <w:left w:val="none" w:sz="0" w:space="0" w:color="auto"/>
        <w:bottom w:val="none" w:sz="0" w:space="0" w:color="auto"/>
        <w:right w:val="none" w:sz="0" w:space="0" w:color="auto"/>
      </w:divBdr>
    </w:div>
    <w:div w:id="2042172049">
      <w:marLeft w:val="480"/>
      <w:marRight w:val="0"/>
      <w:marTop w:val="0"/>
      <w:marBottom w:val="0"/>
      <w:divBdr>
        <w:top w:val="none" w:sz="0" w:space="0" w:color="auto"/>
        <w:left w:val="none" w:sz="0" w:space="0" w:color="auto"/>
        <w:bottom w:val="none" w:sz="0" w:space="0" w:color="auto"/>
        <w:right w:val="none" w:sz="0" w:space="0" w:color="auto"/>
      </w:divBdr>
    </w:div>
    <w:div w:id="2042627194">
      <w:marLeft w:val="480"/>
      <w:marRight w:val="0"/>
      <w:marTop w:val="0"/>
      <w:marBottom w:val="0"/>
      <w:divBdr>
        <w:top w:val="none" w:sz="0" w:space="0" w:color="auto"/>
        <w:left w:val="none" w:sz="0" w:space="0" w:color="auto"/>
        <w:bottom w:val="none" w:sz="0" w:space="0" w:color="auto"/>
        <w:right w:val="none" w:sz="0" w:space="0" w:color="auto"/>
      </w:divBdr>
    </w:div>
    <w:div w:id="2044473197">
      <w:marLeft w:val="480"/>
      <w:marRight w:val="0"/>
      <w:marTop w:val="0"/>
      <w:marBottom w:val="0"/>
      <w:divBdr>
        <w:top w:val="none" w:sz="0" w:space="0" w:color="auto"/>
        <w:left w:val="none" w:sz="0" w:space="0" w:color="auto"/>
        <w:bottom w:val="none" w:sz="0" w:space="0" w:color="auto"/>
        <w:right w:val="none" w:sz="0" w:space="0" w:color="auto"/>
      </w:divBdr>
    </w:div>
    <w:div w:id="2045204821">
      <w:marLeft w:val="480"/>
      <w:marRight w:val="0"/>
      <w:marTop w:val="0"/>
      <w:marBottom w:val="0"/>
      <w:divBdr>
        <w:top w:val="none" w:sz="0" w:space="0" w:color="auto"/>
        <w:left w:val="none" w:sz="0" w:space="0" w:color="auto"/>
        <w:bottom w:val="none" w:sz="0" w:space="0" w:color="auto"/>
        <w:right w:val="none" w:sz="0" w:space="0" w:color="auto"/>
      </w:divBdr>
    </w:div>
    <w:div w:id="2046443091">
      <w:marLeft w:val="480"/>
      <w:marRight w:val="0"/>
      <w:marTop w:val="0"/>
      <w:marBottom w:val="0"/>
      <w:divBdr>
        <w:top w:val="none" w:sz="0" w:space="0" w:color="auto"/>
        <w:left w:val="none" w:sz="0" w:space="0" w:color="auto"/>
        <w:bottom w:val="none" w:sz="0" w:space="0" w:color="auto"/>
        <w:right w:val="none" w:sz="0" w:space="0" w:color="auto"/>
      </w:divBdr>
    </w:div>
    <w:div w:id="2047488976">
      <w:marLeft w:val="480"/>
      <w:marRight w:val="0"/>
      <w:marTop w:val="0"/>
      <w:marBottom w:val="0"/>
      <w:divBdr>
        <w:top w:val="none" w:sz="0" w:space="0" w:color="auto"/>
        <w:left w:val="none" w:sz="0" w:space="0" w:color="auto"/>
        <w:bottom w:val="none" w:sz="0" w:space="0" w:color="auto"/>
        <w:right w:val="none" w:sz="0" w:space="0" w:color="auto"/>
      </w:divBdr>
    </w:div>
    <w:div w:id="2060592558">
      <w:marLeft w:val="480"/>
      <w:marRight w:val="0"/>
      <w:marTop w:val="0"/>
      <w:marBottom w:val="0"/>
      <w:divBdr>
        <w:top w:val="none" w:sz="0" w:space="0" w:color="auto"/>
        <w:left w:val="none" w:sz="0" w:space="0" w:color="auto"/>
        <w:bottom w:val="none" w:sz="0" w:space="0" w:color="auto"/>
        <w:right w:val="none" w:sz="0" w:space="0" w:color="auto"/>
      </w:divBdr>
    </w:div>
    <w:div w:id="2061510023">
      <w:marLeft w:val="480"/>
      <w:marRight w:val="0"/>
      <w:marTop w:val="0"/>
      <w:marBottom w:val="0"/>
      <w:divBdr>
        <w:top w:val="none" w:sz="0" w:space="0" w:color="auto"/>
        <w:left w:val="none" w:sz="0" w:space="0" w:color="auto"/>
        <w:bottom w:val="none" w:sz="0" w:space="0" w:color="auto"/>
        <w:right w:val="none" w:sz="0" w:space="0" w:color="auto"/>
      </w:divBdr>
    </w:div>
    <w:div w:id="2062823878">
      <w:marLeft w:val="480"/>
      <w:marRight w:val="0"/>
      <w:marTop w:val="0"/>
      <w:marBottom w:val="0"/>
      <w:divBdr>
        <w:top w:val="none" w:sz="0" w:space="0" w:color="auto"/>
        <w:left w:val="none" w:sz="0" w:space="0" w:color="auto"/>
        <w:bottom w:val="none" w:sz="0" w:space="0" w:color="auto"/>
        <w:right w:val="none" w:sz="0" w:space="0" w:color="auto"/>
      </w:divBdr>
    </w:div>
    <w:div w:id="2066172408">
      <w:marLeft w:val="480"/>
      <w:marRight w:val="0"/>
      <w:marTop w:val="0"/>
      <w:marBottom w:val="0"/>
      <w:divBdr>
        <w:top w:val="none" w:sz="0" w:space="0" w:color="auto"/>
        <w:left w:val="none" w:sz="0" w:space="0" w:color="auto"/>
        <w:bottom w:val="none" w:sz="0" w:space="0" w:color="auto"/>
        <w:right w:val="none" w:sz="0" w:space="0" w:color="auto"/>
      </w:divBdr>
    </w:div>
    <w:div w:id="2071925409">
      <w:marLeft w:val="480"/>
      <w:marRight w:val="0"/>
      <w:marTop w:val="0"/>
      <w:marBottom w:val="0"/>
      <w:divBdr>
        <w:top w:val="none" w:sz="0" w:space="0" w:color="auto"/>
        <w:left w:val="none" w:sz="0" w:space="0" w:color="auto"/>
        <w:bottom w:val="none" w:sz="0" w:space="0" w:color="auto"/>
        <w:right w:val="none" w:sz="0" w:space="0" w:color="auto"/>
      </w:divBdr>
    </w:div>
    <w:div w:id="2071994698">
      <w:marLeft w:val="480"/>
      <w:marRight w:val="0"/>
      <w:marTop w:val="0"/>
      <w:marBottom w:val="0"/>
      <w:divBdr>
        <w:top w:val="none" w:sz="0" w:space="0" w:color="auto"/>
        <w:left w:val="none" w:sz="0" w:space="0" w:color="auto"/>
        <w:bottom w:val="none" w:sz="0" w:space="0" w:color="auto"/>
        <w:right w:val="none" w:sz="0" w:space="0" w:color="auto"/>
      </w:divBdr>
    </w:div>
    <w:div w:id="2079548128">
      <w:marLeft w:val="480"/>
      <w:marRight w:val="0"/>
      <w:marTop w:val="0"/>
      <w:marBottom w:val="0"/>
      <w:divBdr>
        <w:top w:val="none" w:sz="0" w:space="0" w:color="auto"/>
        <w:left w:val="none" w:sz="0" w:space="0" w:color="auto"/>
        <w:bottom w:val="none" w:sz="0" w:space="0" w:color="auto"/>
        <w:right w:val="none" w:sz="0" w:space="0" w:color="auto"/>
      </w:divBdr>
    </w:div>
    <w:div w:id="2088458464">
      <w:marLeft w:val="480"/>
      <w:marRight w:val="0"/>
      <w:marTop w:val="0"/>
      <w:marBottom w:val="0"/>
      <w:divBdr>
        <w:top w:val="none" w:sz="0" w:space="0" w:color="auto"/>
        <w:left w:val="none" w:sz="0" w:space="0" w:color="auto"/>
        <w:bottom w:val="none" w:sz="0" w:space="0" w:color="auto"/>
        <w:right w:val="none" w:sz="0" w:space="0" w:color="auto"/>
      </w:divBdr>
    </w:div>
    <w:div w:id="2088841731">
      <w:marLeft w:val="480"/>
      <w:marRight w:val="0"/>
      <w:marTop w:val="0"/>
      <w:marBottom w:val="0"/>
      <w:divBdr>
        <w:top w:val="none" w:sz="0" w:space="0" w:color="auto"/>
        <w:left w:val="none" w:sz="0" w:space="0" w:color="auto"/>
        <w:bottom w:val="none" w:sz="0" w:space="0" w:color="auto"/>
        <w:right w:val="none" w:sz="0" w:space="0" w:color="auto"/>
      </w:divBdr>
    </w:div>
    <w:div w:id="2108765576">
      <w:marLeft w:val="480"/>
      <w:marRight w:val="0"/>
      <w:marTop w:val="0"/>
      <w:marBottom w:val="0"/>
      <w:divBdr>
        <w:top w:val="none" w:sz="0" w:space="0" w:color="auto"/>
        <w:left w:val="none" w:sz="0" w:space="0" w:color="auto"/>
        <w:bottom w:val="none" w:sz="0" w:space="0" w:color="auto"/>
        <w:right w:val="none" w:sz="0" w:space="0" w:color="auto"/>
      </w:divBdr>
    </w:div>
    <w:div w:id="2112628880">
      <w:marLeft w:val="480"/>
      <w:marRight w:val="0"/>
      <w:marTop w:val="0"/>
      <w:marBottom w:val="0"/>
      <w:divBdr>
        <w:top w:val="none" w:sz="0" w:space="0" w:color="auto"/>
        <w:left w:val="none" w:sz="0" w:space="0" w:color="auto"/>
        <w:bottom w:val="none" w:sz="0" w:space="0" w:color="auto"/>
        <w:right w:val="none" w:sz="0" w:space="0" w:color="auto"/>
      </w:divBdr>
    </w:div>
    <w:div w:id="2125883806">
      <w:marLeft w:val="480"/>
      <w:marRight w:val="0"/>
      <w:marTop w:val="0"/>
      <w:marBottom w:val="0"/>
      <w:divBdr>
        <w:top w:val="none" w:sz="0" w:space="0" w:color="auto"/>
        <w:left w:val="none" w:sz="0" w:space="0" w:color="auto"/>
        <w:bottom w:val="none" w:sz="0" w:space="0" w:color="auto"/>
        <w:right w:val="none" w:sz="0" w:space="0" w:color="auto"/>
      </w:divBdr>
    </w:div>
    <w:div w:id="2127430020">
      <w:marLeft w:val="480"/>
      <w:marRight w:val="0"/>
      <w:marTop w:val="0"/>
      <w:marBottom w:val="0"/>
      <w:divBdr>
        <w:top w:val="none" w:sz="0" w:space="0" w:color="auto"/>
        <w:left w:val="none" w:sz="0" w:space="0" w:color="auto"/>
        <w:bottom w:val="none" w:sz="0" w:space="0" w:color="auto"/>
        <w:right w:val="none" w:sz="0" w:space="0" w:color="auto"/>
      </w:divBdr>
    </w:div>
    <w:div w:id="2129200337">
      <w:marLeft w:val="480"/>
      <w:marRight w:val="0"/>
      <w:marTop w:val="0"/>
      <w:marBottom w:val="0"/>
      <w:divBdr>
        <w:top w:val="none" w:sz="0" w:space="0" w:color="auto"/>
        <w:left w:val="none" w:sz="0" w:space="0" w:color="auto"/>
        <w:bottom w:val="none" w:sz="0" w:space="0" w:color="auto"/>
        <w:right w:val="none" w:sz="0" w:space="0" w:color="auto"/>
      </w:divBdr>
    </w:div>
    <w:div w:id="2129933510">
      <w:marLeft w:val="480"/>
      <w:marRight w:val="0"/>
      <w:marTop w:val="0"/>
      <w:marBottom w:val="0"/>
      <w:divBdr>
        <w:top w:val="none" w:sz="0" w:space="0" w:color="auto"/>
        <w:left w:val="none" w:sz="0" w:space="0" w:color="auto"/>
        <w:bottom w:val="none" w:sz="0" w:space="0" w:color="auto"/>
        <w:right w:val="none" w:sz="0" w:space="0" w:color="auto"/>
      </w:divBdr>
    </w:div>
    <w:div w:id="2136558177">
      <w:marLeft w:val="480"/>
      <w:marRight w:val="0"/>
      <w:marTop w:val="0"/>
      <w:marBottom w:val="0"/>
      <w:divBdr>
        <w:top w:val="none" w:sz="0" w:space="0" w:color="auto"/>
        <w:left w:val="none" w:sz="0" w:space="0" w:color="auto"/>
        <w:bottom w:val="none" w:sz="0" w:space="0" w:color="auto"/>
        <w:right w:val="none" w:sz="0" w:space="0" w:color="auto"/>
      </w:divBdr>
    </w:div>
    <w:div w:id="214034265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microsoft.com/office/2007/relationships/hdphoto" Target="media/hdphoto2.wdp"/><Relationship Id="rId39" Type="http://schemas.openxmlformats.org/officeDocument/2006/relationships/fontTable" Target="fontTable.xml"/><Relationship Id="rId21" Type="http://schemas.openxmlformats.org/officeDocument/2006/relationships/image" Target="media/image6.png"/><Relationship Id="rId34" Type="http://schemas.microsoft.com/office/2007/relationships/hdphoto" Target="media/hdphoto6.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footer" Target="foot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microsoft.com/office/2007/relationships/hdphoto" Target="media/hdphoto3.wdp"/><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4.wdp"/><Relationship Id="rId35" Type="http://schemas.openxmlformats.org/officeDocument/2006/relationships/header" Target="header4.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2455D-3AD5-4574-B244-B3F67BAC0829}">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4958467871"/>
    <we:property name="MENDELEY_CITATIONS" value="[{&quot;citationID&quot;:&quot;MENDELEY_CITATION_1d4129eb-7386-4137-bcf6-e12c17539dfb&quot;,&quot;properties&quot;:{&quot;noteIndex&quot;:0},&quot;isEdited&quot;:false,&quot;manualOverride&quot;:{&quot;isManuallyOverridden&quot;:false,&quot;citeprocText&quot;:&quot;(Ugwu et al., 2014)&quot;,&quot;manualOverrideText&quot;:&quot;&quot;},&quot;citationTag&quot;:&quot;MENDELEY_CITATION_v3_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&quot;,&quot;citationItems&quot;:[{&quot;id&quot;:&quot;75121088-6875-309c-8219-dcce03252348&quot;,&quot;itemData&quot;:{&quot;type&quot;:&quot;article-journal&quot;,&quot;id&quot;:&quot;75121088-6875-309c-8219-dcce03252348&quot;,&quot;title&quot;:&quot;Synthesis and Biological Applications of Hydroxamates&quot;,&quot;author&quot;:[{&quot;family&quot;:&quot;Ugwu&quot;,&quot;given&quot;:&quot;David I&quot;,&quot;parse-names&quot;:false,&quot;dropping-particle&quot;:&quot;&quot;,&quot;non-dropping-particle&quot;:&quot;&quot;},{&quot;family&quot;:&quot;Ezema&quot;,&quot;given&quot;:&quot;Benjamin E&quot;,&quot;parse-names&quot;:false,&quot;dropping-particle&quot;:&quot;&quot;,&quot;non-dropping-particle&quot;:&quot;&quot;},{&quot;family&quot;:&quot;Eze&quot;,&quot;given&quot;:&quot;Florence U&quot;,&quot;parse-names&quot;:false,&quot;dropping-particle&quot;:&quot;&quot;,&quot;non-dropping-particle&quot;:&quot;&quot;},{&quot;family&quot;:&quot;Ayogu&quot;,&quot;given&quot;:&quot;Jude I&quot;,&quot;parse-names&quot;:false,&quot;dropping-particle&quot;:&quot;&quot;,&quot;non-dropping-particle&quot;:&quot;&quot;},{&quot;family&quot;:&quot;Ezema&quot;,&quot;given&quot;:&quot;Chidimma G&quot;,&quot;parse-names&quot;:false,&quot;dropping-particle&quot;:&quot;&quot;,&quot;non-dropping-particle&quot;:&quot;&quot;},{&quot;family&quot;:&quot;Ugwuja&quot;,&quot;given&quot;:&quot;Daniel I&quot;,&quot;parse-names&quot;:false,&quot;dropping-particle&quot;:&quot;&quot;,&quot;non-dropping-particle&quot;:&quot;&quot;}],&quot;container-title&quot;:&quot;American Journal of Organic Chemistry&quot;,&quot;DOI&quot;:&quot;10.5923/j.ajoc.20140402.02&quot;,&quot;URL&quot;:&quot;http://journal.sapub.org/ajoc&quot;,&quot;issued&quot;:{&quot;date-parts&quot;:[[2014]]},&quot;page&quot;:&quot;26-51&quot;,&quot;abstract&quot;:&quot;Hydroxamates are physiologically active compounds. They have found applications as histone deacetylase inhibitors widely applied in cancer treatment such as vorinostat, belinostat, panobinostat and trichostatin A. There are hydroxamates with reported anti-HIV activity such as the hydroxyurea which acts as inhibitors of cellular enzyme ribonucleoside diphosphate reductase. Hydroxyurea are also used for treatment of chronic myelogenal leukemia, myeloproliferative syndromes and sickle cell anemia. Hydroxamates such as fosmidomycin and desferrioxamine B are potent antimalarial agent. Cipemastat, marimastat, periostat, ilomastat and batimastat are all hydroxamate-based inhibitors of matrix metalloproteinase and are by so used in management of cardiovascular diseases. The syntheses of various classes of hydroxamates and their mode of biological applications have been reviewed. The broad biological activities of hydroxamates and the need to improve on their synthetic routes informed the review of their synthesis and biological applications.&quot;,&quot;issue&quot;:&quot;2&quot;,&quot;volume&quot;:&quot;2014&quot;,&quot;container-title-short&quot;:&quot;&quot;},&quot;isTemporary&quot;:false}]},{&quot;citationID&quot;:&quot;MENDELEY_CITATION_19d57414-d9b0-4d28-9311-a259e770ca73&quot;,&quot;properties&quot;:{&quot;noteIndex&quot;:0},&quot;isEdited&quot;:false,&quot;manualOverride&quot;:{&quot;isManuallyOverridden&quot;:false,&quot;citeprocText&quot;:&quot;(Cheng et al., 2023)&quot;,&quot;manualOverrideText&quot;:&quot;&quot;},&quot;citationTag&quot;:&quot;MENDELEY_CITATION_v3_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&quot;,&quot;citationItems&quot;:[{&quot;id&quot;:&quot;e8236a78-a82d-358d-9142-bf5499f5a758&quot;,&quot;itemData&quot;:{&quot;type&quot;:&quot;article&quot;,&quot;id&quot;:&quot;e8236a78-a82d-358d-9142-bf5499f5a758&quot;,&quot;title&quot;:&quot;Unlocking the Potential of Hyaluronic Acid: Exploring its Physicochemical Properties, Modification, and Role in Food Applications&quot;,&quot;author&quot;:[{&quot;family&quot;:&quot;Cheng&quot;,&quot;given&quot;:&quot;Qiao&quot;,&quot;parse-names&quot;:false,&quot;dropping-particle&quot;:&quot;&quot;,&quot;non-dropping-particle&quot;:&quot;&quot;},{&quot;family&quot;:&quot;Liu&quot;,&quot;given&quot;:&quot;Changqi&quot;,&quot;parse-names&quot;:false,&quot;dropping-particle&quot;:&quot;&quot;,&quot;non-dropping-particle&quot;:&quot;&quot;},{&quot;family&quot;:&quot;Zhao&quot;,&quot;given&quot;:&quot;Jing&quot;,&quot;parse-names&quot;:false,&quot;dropping-particle&quot;:&quot;&quot;,&quot;non-dropping-particle&quot;:&quot;&quot;},{&quot;family&quot;:&quot;Li&quot;,&quot;given&quot;:&quot;Weiwei&quot;,&quot;parse-names&quot;:false,&quot;dropping-particle&quot;:&quot;&quot;,&quot;non-dropping-particle&quot;:&quot;&quot;},{&quot;family&quot;:&quot;Guo&quot;,&quot;given&quot;:&quot;Fengxian&quot;,&quot;parse-names&quot;:false,&quot;dropping-particle&quot;:&quot;&quot;,&quot;non-dropping-particle&quot;:&quot;&quot;},{&quot;family&quot;:&quot;Qin&quot;,&quot;given&quot;:&quot;Jiawei&quot;,&quot;parse-names&quot;:false,&quot;dropping-particle&quot;:&quot;&quot;,&quot;non-dropping-particle&quot;:&quot;&quot;},{&quot;family&quot;:&quot;Wang&quot;,&quot;given&quot;:&quot;Yaosong&quot;,&quot;parse-names&quot;:false,&quot;dropping-particle&quot;:&quot;&quot;,&quot;non-dropping-particle&quot;:&quot;&quot;}],&quot;container-title&quot;:&quot;Trends in Food Science and Technology&quot;,&quot;container-title-short&quot;:&quot;Trends Food Sci Technol&quot;,&quot;DOI&quot;:&quot;10.1016/j.tifs.2023.104218&quot;,&quot;ISSN&quot;:&quot;09242244&quot;,&quot;issued&quot;:{&quot;date-parts&quot;:[[2023,12,1]]},&quot;abstract&quot;:&quot;Background: Hyaluronic acid (HA), a glycosaminoglycan composed of D-glucuronic acid and N-acetylglucosamine, possesses unique molecular structure and physicochemical properties. It has been proven to be non-immunogenic, biocompatible, and biodegradable in physiological applications. In food processing, HA exhibits moisture absorption, viscoelasticity, film-forming abilities, and antioxidant properties. These remarkable attributes make it a highly promising candidate for enhancing the functional characteristics of food. Scope and approach: This article provides a comprehensive overview of HA, encompassing its physicochemical properties, solution properties, synthesis, and degradation. Additionally, it delves into the research advancements in HA modification, with a primary focus on the chemical modifications of its functional groups to produce a variety of HA derivatives, and enzymatic and physical modifications. Furthermore, the review explores the various applications of HA in the food industry. Key findings and conclusions: HA, renowned for its unique physical and chemical properties, finds widespread uses in non-food technological fields. Recently, its application has extended to the food industry. Through modifications to HA's functional groups, alterations in its conformation, or combination with biopolymers, a plethora of options are available for creating new derivatives. At present, HA has been approved by a number of countries as a novel food ingredient, additive, healthy food or dietary supplement. Furthermore, research has been delving deeper into HA's food applications, including nutritional supplementation, food safety testing, food packaging, food delivery system, and food quality enhancers. Overall, HA exhibits great potential in the food industry for enhancing the functional properties of food products.&quot;,&quot;publisher&quot;:&quot;Elsevier Ltd&quot;,&quot;volume&quot;:&quot;142&quot;},&quot;isTemporary&quot;:false}]},{&quot;citationID&quot;:&quot;MENDELEY_CITATION_72975beb-091c-4fc7-8e38-e28048617064&quot;,&quot;properties&quot;:{&quot;noteIndex&quot;:0},&quot;isEdited&quot;:false,&quot;manualOverride&quot;:{&quot;isManuallyOverridden&quot;:false,&quot;citeprocText&quot;:&quot;(Syed et al., 2020)&quot;,&quot;manualOverrideText&quot;:&quot;&quot;},&quot;citationTag&quot;:&quot;MENDELEY_CITATION_v3_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&quot;,&quot;citationItems&quot;:[{&quot;id&quot;:&quot;f01d464e-7bbb-3de9-8759-5eab8239d5ab&quot;,&quot;itemData&quot;:{&quot;type&quot;:&quot;article&quot;,&quot;id&quot;:&quot;f01d464e-7bbb-3de9-8759-5eab8239d5ab&quot;,&quot;title&quot;:&quot;A Review on Hydroxamic Acids: Widespectrum Chemotherapeutic Agents&quot;,&quot;author&quot;:[{&quot;family&quot;:&quot;Syed&quot;,&quot;given&quot;:&quot;Zainab&quot;,&quot;parse-names&quot;:false,&quot;dropping-particle&quot;:&quot;&quot;,&quot;non-dropping-particle&quot;:&quot;&quot;},{&quot;family&quot;:&quot;Sonu&quot;,&quot;given&quot;:&quot;Kumar&quot;,&quot;parse-names&quot;:false,&quot;dropping-particle&quot;:&quot;&quot;,&quot;non-dropping-particle&quot;:&quot;&quot;},{&quot;family&quot;:&quot;Dongre&quot;,&quot;given&quot;:&quot;Aman&quot;,&quot;parse-names&quot;:false,&quot;dropping-particle&quot;:&quot;&quot;,&quot;non-dropping-particle&quot;:&quot;&quot;},{&quot;family&quot;:&quot;Sharma&quot;,&quot;given&quot;:&quot;Gopesh&quot;,&quot;parse-names&quot;:false,&quot;dropping-particle&quot;:&quot;&quot;,&quot;non-dropping-particle&quot;:&quot;&quot;},{&quot;family&quot;:&quot;Sogani&quot;,&quot;given&quot;:&quot;Monika&quot;,&quot;parse-names&quot;:false,&quot;dropping-particle&quot;:&quot;&quot;,&quot;non-dropping-particle&quot;:&quot;&quot;}],&quot;container-title&quot;:&quot;International Journal of Biology and Biomedical Engineering&quot;,&quot;DOI&quot;:&quot;10.46300/91011.2020.14.12&quot;,&quot;ISSN&quot;:&quot;19984510&quot;,&quot;issued&quot;:{&quot;date-parts&quot;:[[2020]]},&quot;page&quot;:&quot;75-88&quot;,&quot;abstract&quot;:&quot;Recent developments in drug discovery have highlighted the ability of hydroxamic acids to form complexes with various metal ions, in particular iron, zinc, magnesium and calcium, and this imparts them with a number of unique biological and pharmacological properties. This review provides information on the most significant developments of the hydroxamate compounds in the medicinal area with a focus on Suberoylanilide hydroxamic acid (SAHA) and its derivatives with antibacterial, antifungal, antiviral, antimalarial, antitubercular and anticancer effect and their possible molecular mechanisms. One of the latest favorable developments has been on developing SAHA and its hybrids as potent anti-tuberculosis drugs. Moreover, the combination of the hydroxamic acids with other pharmacophore groups in one molecule can lead to the creation of a huge number of new compounds with promising properties as a multifunctional drug. Also, within the last decade, active research has focused to create these compounds into a class of new antiviral drugs designed to treat influenza, hepatitis C, and other viral infections. Thus, both linear hydroxamic acids and cyclic acids having the uniqueness of the set of bioactive properties, have been compiled here and could be looked forward as the basis for the development of effective drugs and forpilot scale productions through nitrile and amides via chemical and biological transformations using amidase and acyltransferase enzymes. Such synthesis of medicinally significant compounds from amide containing waste derived feedstocks using microbial agents is also a key factor for stimulating bioeconomy.&quot;,&quot;publisher&quot;:&quot;North Atlantic University Union NAUN&quot;,&quot;volume&quot;:&quot;14&quot;,&quot;container-title-short&quot;:&quot;&quot;},&quot;isTemporary&quot;:false}]},{&quot;citationID&quot;:&quot;MENDELEY_CITATION_abb6f193-1d97-4f0c-b4c1-4a85cd84c222&quot;,&quot;properties&quot;:{&quot;noteIndex&quot;:0},&quot;isEdited&quot;:false,&quot;manualOverride&quot;:{&quot;isManuallyOverridden&quot;:false,&quot;citeprocText&quot;:&quot;(Haider et al., 2017; Verma et al., 2021)&quot;,&quot;manualOverrideText&quot;:&quot;&quot;},&quot;citationTag&quot;:&quot;MENDELEY_CITATION_v3_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&quot;,&quot;citationItems&quot;:[{&quot;id&quot;:&quot;8187173f-bac5-3a0f-8c02-d27a8a1191ee&quot;,&quot;itemData&quot;:{&quot;type&quot;:&quot;article&quot;,&quot;id&quot;:&quot;8187173f-bac5-3a0f-8c02-d27a8a1191ee&quot;,&quot;title&quot;:&quot;Recent Advances in the Synthesis, Functionalization and Biomedical Applications of Hydroxyapatite: A Review&quot;,&quot;author&quot;:[{&quot;family&quot;:&quot;Haider&quot;,&quot;given&quot;:&quot;Adnan&quot;,&quot;parse-names&quot;:false,&quot;dropping-particle&quot;:&quot;&quot;,&quot;non-dropping-particle&quot;:&quot;&quot;},{&quot;family&quot;:&quot;Haider&quot;,&quot;given&quot;:&quot;Sajjad&quot;,&quot;parse-names&quot;:false,&quot;dropping-particle&quot;:&quot;&quot;,&quot;non-dropping-particle&quot;:&quot;&quot;},{&quot;family&quot;:&quot;Han&quot;,&quot;given&quot;:&quot;Sung Soo&quot;,&quot;parse-names&quot;:false,&quot;dropping-particle&quot;:&quot;&quot;,&quot;non-dropping-particle&quot;:&quot;&quot;},{&quot;family&quot;:&quot;Kang&quot;,&quot;given&quot;:&quot;Inn Kyu&quot;,&quot;parse-names&quot;:false,&quot;dropping-particle&quot;:&quot;&quot;,&quot;non-dropping-particle&quot;:&quot;&quot;}],&quot;container-title&quot;:&quot;RSC Advances&quot;,&quot;container-title-short&quot;:&quot;RSC Adv&quot;,&quot;DOI&quot;:&quot;10.1039/c6ra26124h&quot;,&quot;ISSN&quot;:&quot;20462069&quot;,&quot;issued&quot;:{&quot;date-parts&quot;:[[2017]]},&quot;page&quot;:&quot;7442-7458&quot;,&quot;abstract&quot;:&quot;Hydroxyapatite (HA) is a member of the Ca apatite family. It resembles natural bone in both structure and chemical composition. HA, owing to its bioactive and biocompatible properties, has been commonly used as an implant material in bone tissue regeneration (osteogenesis), and as a drug carrier in drug and gene delivery systems. With the advances in research on the use of HA, an increasing number of researchers are exploring new synthesis processes, characterization and functionalization techniques for HA and its potential role in various fields such as magnetic resonance, controlled delivery of therapeutic drugs, cell separation, bio imaging and treatment of hyperthermia. Therefore, in this review, we highlight the composition of HA, the advances in its synthesis processes, characterization and functionalization techniques, and its importance in the biomedical field in general, and in emerging areas such as implants, drug delivery, composites, coatings, and ceramic materials in particular. The idea behind writing this review was to collect and summarize the most recent studies involving HA, so that researchers can easily find HA-related information compiled in a single document. In addition, we have also discussed the future prospects of HA. We believe that readers will not only conveniently obtain the desired information from this review, but will also get to the core of the information more easily.&quot;,&quot;publisher&quot;:&quot;Royal Society of Chemistry&quot;,&quot;issue&quot;:&quot;13&quot;,&quot;volume&quot;:&quot;7&quot;},&quot;isTemporary&quot;:false},{&quot;id&quot;:&quot;1d9433f8-3b5b-3cee-b4ba-61b9cc8af3b3&quot;,&quot;itemData&quot;:{&quot;type&quot;:&quot;article&quot;,&quot;id&quot;:&quot;1d9433f8-3b5b-3cee-b4ba-61b9cc8af3b3&quot;,&quot;title&quot;:&quot;Recent Developments in Sustainable Corrosion Inhibitors: Design, Performance and Industrial Scale Applications&quot;,&quot;author&quot;:[{&quot;family&quot;:&quot;Verma&quot;,&quot;given&quot;:&quot;Chandrabhan&quot;,&quot;parse-names&quot;:false,&quot;dropping-particle&quot;:&quot;&quot;,&quot;non-dropping-particle&quot;:&quot;&quot;},{&quot;family&quot;:&quot;Ebenso&quot;,&quot;given&quot;:&quot;Eno E.&quot;,&quot;parse-names&quot;:false,&quot;dropping-particle&quot;:&quot;&quot;,&quot;non-dropping-particle&quot;:&quot;&quot;},{&quot;family&quot;:&quot;Quraishi&quot;,&quot;given&quot;:&quot;M. A.&quot;,&quot;parse-names&quot;:false,&quot;dropping-particle&quot;:&quot;&quot;,&quot;non-dropping-particle&quot;:&quot;&quot;},{&quot;family&quot;:&quot;Hussain&quot;,&quot;given&quot;:&quot;Chaudhery Mustansar&quot;,&quot;parse-names&quot;:false,&quot;dropping-particle&quot;:&quot;&quot;,&quot;non-dropping-particle&quot;:&quot;&quot;}],&quot;container-title&quot;:&quot;Materials Advances&quot;,&quot;container-title-short&quot;:&quot;Mater Adv&quot;,&quot;DOI&quot;:&quot;10.1039/d0ma00681e&quot;,&quot;ISSN&quot;:&quot;26335409&quot;,&quot;issued&quot;:{&quot;date-parts&quot;:[[2021,6,21]]},&quot;page&quot;:&quot;3806-3850&quot;,&quot;abstract&quot;:&quot;Recently, research studies in the fields of science and engineering are directed towards the synthesis, design, development, and consumption of environment-friendly chemical species to replace traditional toxic chemicals. This is because of the escalating demands of conservation understanding and stringent ecological rules. Currently, various environment-friendly alternatives derived from natural resources such as biopolymers, plant extracts, chemical medicines (drugs), etc. are widely used to replace toxic corrosion inhibitors. Moreover, various biopolymers in their pure and modified forms are extensively employed as environment-friendly corrosion inhibitors. Compounds derived through multicomponent reactions (MCRs), and microwave (MW) and ultrasound (US) irradiations are also considered as environment-friendly alternatives. Polyethylene glycol (PEG) and ionic liquids (ILs) possess low vapor pressure and are regarded as designer environment-friendly alternatives. The chemicals synthesized using green solvents such as water, ILs and supercritical CO2 can also be regarded as environment-friendly chemical species. A comprehensive literature survey reveals that these compounds are extensively utilized as metallic corrosion inhibitors in various corrosive electrolytes. Overall, this review provides a summary of several major reports on environment-friendly corrosion inhibitors.&quot;,&quot;publisher&quot;:&quot;Royal Society of Chemistry&quot;,&quot;issue&quot;:&quot;12&quot;,&quot;volume&quot;:&quot;2&quot;},&quot;isTemporary&quot;:false}]},{&quot;citationID&quot;:&quot;MENDELEY_CITATION_0e3bf468-58cb-4b71-bbbf-3a1bc788a6c9&quot;,&quot;properties&quot;:{&quot;noteIndex&quot;:0},&quot;isEdited&quot;:false,&quot;manualOverride&quot;:{&quot;isManuallyOverridden&quot;:false,&quot;citeprocText&quot;:&quot;(Alterio et al., 2012)&quot;,&quot;manualOverrideText&quot;:&quot;&quot;},&quot;citationTag&quot;:&quot;MENDELEY_CITATION_v3_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&quot;,&quot;citationItems&quot;:[{&quot;id&quot;:&quot;4e4337e6-d7b4-3670-b2c3-5d60ce08e118&quot;,&quot;itemData&quot;:{&quot;type&quot;:&quot;article-journal&quot;,&quot;id&quot;:&quot;4e4337e6-d7b4-3670-b2c3-5d60ce08e118&quot;,&quot;title&quot;:&quot;Multiple Binding Modes of Inhibitors to Carbonic Anhydrases: How to Design Specific Drugs Targeting 15 Different Isoforms?&quot;,&quot;author&quot;:[{&quot;family&quot;:&quot;Alterio&quot;,&quot;given&quot;:&quot;Vincenzo&quot;,&quot;parse-names&quot;:false,&quot;dropping-particle&quot;:&quot;&quot;,&quot;non-dropping-particle&quot;:&quot;&quot;},{&quot;family&quot;:&quot;Fiore&quot;,&quot;given&quot;:&quot;Anna&quot;,&quot;parse-names&quot;:false,&quot;dropping-particle&quot;:&quot;&quot;,&quot;non-dropping-particle&quot;:&quot;Di&quot;},{&quot;family&quot;:&quot;D'Ambrosio&quot;,&quot;given&quot;:&quot;Katia&quot;,&quot;parse-names&quot;:false,&quot;dropping-particle&quot;:&quot;&quot;,&quot;non-dropping-particle&quot;:&quot;&quot;},{&quot;family&quot;:&quot;Supuran&quot;,&quot;given&quot;:&quot;Claudiu T.&quot;,&quot;parse-names&quot;:false,&quot;dropping-particle&quot;:&quot;&quot;,&quot;non-dropping-particle&quot;:&quot;&quot;},{&quot;family&quot;:&quot;Simone&quot;,&quot;given&quot;:&quot;Giuseppina&quot;,&quot;parse-names&quot;:false,&quot;dropping-particle&quot;:&quot;&quot;,&quot;non-dropping-particle&quot;:&quot;De&quot;}],&quot;container-title&quot;:&quot;Chemical reviews&quot;,&quot;container-title-short&quot;:&quot;Chem Rev&quot;,&quot;accessed&quot;:{&quot;date-parts&quot;:[[2025,12,5]]},&quot;DOI&quot;:&quot;10.1021/CR200176R&quot;,&quot;ISSN&quot;:&quot;1520-6890&quot;,&quot;PMID&quot;:&quot;22607219&quot;,&quot;URL&quot;:&quot;https://pubmed.ncbi.nlm.nih.gov/22607219/&quot;,&quot;issued&quot;:{&quot;date-parts&quot;:[[2012,8,8]]},&quot;page&quot;:&quot;4421-4468&quot;,&quot;publisher&quot;:&quot;Chem Rev&quot;,&quot;issue&quot;:&quot;8&quot;,&quot;volume&quot;:&quot;112&quot;},&quot;isTemporary&quot;:false}]},{&quot;citationID&quot;:&quot;MENDELEY_CITATION_c4d28637-b81e-40fa-8bfa-1e1c9ba0c236&quot;,&quot;properties&quot;:{&quot;noteIndex&quot;:0},&quot;isEdited&quot;:false,&quot;manualOverride&quot;:{&quot;isManuallyOverridden&quot;:false,&quot;citeprocText&quot;:&quot;(Citarella et al., 2021)&quot;,&quot;manualOverrideText&quot;:&quot;&quot;},&quot;citationTag&quot;:&quot;MENDELEY_CITATION_v3_eyJjaXRhdGlvbklEIjoiTUVOREVMRVlfQ0lUQVRJT05fYzRkMjg2MzctYjgxZS00MGZhLThiZmEtMWUxYzliYTBjMjM2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ID&quot;:&quot;MENDELEY_CITATION_28a3878c-2393-4310-b85f-b2f920428233&quot;,&quot;properties&quot;:{&quot;noteIndex&quot;:0},&quot;isEdited&quot;:false,&quot;manualOverride&quot;:{&quot;isManuallyOverridden&quot;:false,&quot;citeprocText&quot;:&quot;(Mann et al., 1989)&quot;,&quot;manualOverrideText&quot;:&quot;&quot;},&quot;citationTag&quot;:&quot;MENDELEY_CITATION_v3_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&quot;,&quot;citationItems&quot;:[{&quot;id&quot;:&quot;a35da92c-4832-3a3c-b697-ee0a052707f4&quot;,&quot;itemData&quot;:{&quot;type&quot;:&quot;article-journal&quot;,&quot;id&quot;:&quot;a35da92c-4832-3a3c-b697-ee0a052707f4&quot;,&quot;title&quot;:&quot;Management of Acute Iron Overdose.&quot;,&quot;author&quot;:[{&quot;family&quot;:&quot;Mann&quot;,&quot;given&quot;:&quot;K.&quot;,&quot;parse-names&quot;:false,&quot;dropping-particle&quot;:&quot;V.&quot;,&quot;non-dropping-particle&quot;:&quot;&quot;},{&quot;family&quot;:&quot;Picciotti&quot;,&quot;given&quot;:&quot;M. A.&quot;,&quot;parse-names&quot;:false,&quot;dropping-particle&quot;:&quot;&quot;,&quot;non-dropping-particle&quot;:&quot;&quot;},{&quot;family&quot;:&quot;Spevack&quot;,&quot;given&quot;:&quot;T. A.&quot;,&quot;parse-names&quot;:false,&quot;dropping-particle&quot;:&quot;&quot;,&quot;non-dropping-particle&quot;:&quot;&quot;},{&quot;family&quot;:&quot;Durbin&quot;,&quot;given&quot;:&quot;D. R.&quot;,&quot;parse-names&quot;:false,&quot;dropping-particle&quot;:&quot;&quot;,&quot;non-dropping-particle&quot;:&quot;&quot;}],&quot;container-title&quot;:&quot;Clinical Pharmacy&quot;,&quot;container-title-short&quot;:&quot;Clin Pharm&quot;,&quot;accessed&quot;:{&quot;date-parts&quot;:[[2025,12,5]]},&quot;ISSN&quot;:&quot;0278-2677&quot;,&quot;PMID&quot;:&quot;2663331&quot;,&quot;URL&quot;:&quot;https://europepmc.org/article/med/2663331&quot;,&quot;issued&quot;:{&quot;date-parts&quot;:[[1989,6,1]]},&quot;page&quot;:&quot;428-440&quot;,&quot;abstract&quot;:&quot;Treatment of severe iron overdose in two children is described, and the pathophysiology of iron toxicity and management of acute iron poisonings are reviewed. An 11-month-old boy was comatose and in shock several hours after ingesting approximately 50 ferrous sulfate tablets (elemental iron 390 mg/kg). He had hyperglycemia and leukocytosis. Lavage was performed with a solution containing deferoxamine and sodium bicarbonate, and deferoxamine was given by continuous i.v. infusion for 48 hours. The initial serum iron (SI) concentration of 14,250 μg/dL decreased to 657 μg/dL nine hours after i.v. deferoxamine therapy was initiated. A roentgenogram showed tablets in the stomach and small bowel. Packed red blood cells were administered to treat apparent necrotizing gastroenteritis. SI concentration returned to normal by day five, and the child recovered. A 2.5-year-old boy was examined 1.25 hr after ingesting an estimated 55 tablets of ferrous gluconate 325 mg (elemental iron 130 mg/kg). Initial SI concentration was 134 μg/dL, and total iron-binding capacity (TIBC) was 219 μg/dL. A roentgenogram indicated iron concretion in the stomach and iron tablets in the small bowel. He underwent lavage with solution containing sodium bicarbonate. An i.m. dose of deferoxamine was administered, followed by i.v. deferoxamine therapy. SI concentration eight hours after the ingestion was 290 μg/dL, and whole-bowel irrigation was begun with polyethylene glycol-electrolyte solution. The irrigation and deferoxamine therapy were discontinued 20 hours after the ingestion, when SI concentration was 73 μg/dL, and the child recovered. Acute iron ingestions of more than 60 mg/kg are potentially serious. Patient 1 had severe iron intoxication, while aggressive treatment prevented severe toxicity in patient 2. Acute iron toxicity includes effects on the GI tract and the cardiovascular, metabolic, hepatic, and central nervous systems. Guidelines for assessing the severity of an overdose and selecting the most appropriate therapy are provided. The indications for chelation therapy with deferoxamine, gastric decontamination procedures including use of lavage solutions and whole-bowel irrigation, and adjunctive measures are described. Management of acute iron overdose includes supportive care, GI decontamination, and chelation therapy.&quot;,&quot;issue&quot;:&quot;6&quot;,&quot;volume&quot;:&quot;8&quot;},&quot;isTemporary&quot;:false,&quot;suppress-author&quot;:false,&quot;composite&quot;:false,&quot;author-only&quot;:false}]},{&quot;citationID&quot;:&quot;MENDELEY_CITATION_cac48363-6aac-4222-b7bb-9d145ae14571&quot;,&quot;properties&quot;:{&quot;noteIndex&quot;:0},&quot;isEdited&quot;:false,&quot;manualOverride&quot;:{&quot;isManuallyOverridden&quot;:false,&quot;citeprocText&quot;:&quot;(Citarella et al., 2021)&quot;,&quot;manualOverrideText&quot;:&quot;&quot;},&quot;citationTag&quot;:&quot;MENDELEY_CITATION_v3_eyJjaXRhdGlvbklEIjoiTUVOREVMRVlfQ0lUQVRJT05fY2FjNDgzNjMtNmFhYy00MjIyLWI3YmItOWQxNDVhZTE0NTcx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ID&quot;:&quot;MENDELEY_CITATION_d90dc2fd-dea1-4cdd-9aca-85e3442bcdd5&quot;,&quot;properties&quot;:{&quot;noteIndex&quot;:0},&quot;isEdited&quot;:false,&quot;manualOverride&quot;:{&quot;isManuallyOverridden&quot;:false,&quot;citeprocText&quot;:&quot;(Dushanan et al., 2021)&quot;,&quot;manualOverrideText&quot;:&quot;&quot;},&quot;citationTag&quot;:&quot;MENDELEY_CITATION_v3_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&quot;,&quot;citationItems&quot;:[{&quot;id&quot;:&quot;fcb2338d-0b52-3586-9c04-ca5afdfa0355&quot;,&quot;itemData&quot;:{&quot;type&quot;:&quot;article-journal&quot;,&quot;id&quot;:&quot;fcb2338d-0b52-3586-9c04-ca5afdfa0355&quot;,&quot;title&quot;:&quot;An In-Silico Approach to Evaluate the Inhibitory Potency of Selected Hydroxamic Acid Derivatives on Zinc-Dependent Histone Deacetylase Enzyme&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Computational Biophysics and Chemistry&quot;,&quot;DOI&quot;:&quot;10.1142/S2737416521500356&quot;,&quot;ISSN&quot;:&quot;27374173&quot;,&quot;issued&quot;:{&quot;date-parts&quot;:[[2021]]},&quot;page&quot;:&quot;603-618&quot;,&quot;abstract&quot;:&quot;Histone deacetylase (HDAC) enzymes modify the histone by removing the acetyl group from the lysine residues, known as histone deacetylation. HDACs have been involved in altering gene expressions, resulting in cancer cells in the body. This study focuses on HDAC inhibitors' impact on histone deacetylase-like protein (HDLP) stability through computational techniques. Molecular dynamics (MD) analyses were used to examine the atomic-level description of drug binding sites and how the HDAC inhibitors change the HDLP enzyme environment. In this study, two hydroxamic acid-derived inhibitors, such as m-Carboxycinnamic acid bis-hydroxamide (CBHA) and scriptaid (GCK1026), were selected to examine the inhibition ability in terms with suberanilohydroxamic acid (SAHA) as a reference drug. The crystal structure of the HDLP was downloaded from the Protein Data Bank. The structures of inhibitors were optimized using the G09W package. Docking studies were done by AutoDock-Vina, and the resultant complex was used to initiate MD studies. The trajectories obtained from MD simulation were used to perform the structural analysis. Root-mean-square deviation (RMSD), radius of gyration, hydrogen bond, binding free energy and interaction energy studies revealed that the stability of HDLP-SAHA and HDLP-CBHA is higher than the free HDLP enzyme. The HDLP-CBHA complex shows an increased number of hydrogen bonds (5), high MM-PBSA binding free energy (-328.1±3.4kJ/mol), high interaction energy (-227.13±1.7kJ/mol), and an increased number of alpha-helical amino acids (130) compared with HDLP-SAHA. It concluded that the CBHA has the relatively same potential as SAHA to inhibit the HDLP. Consequently, the use of CBHA in clinical application is recommended through this in-silico method.&quot;,&quot;issue&quot;:&quot;6&quot;,&quot;volume&quot;:&quot;20&quot;,&quot;container-title-short&quot;:&quot;&quot;},&quot;isTemporary&quot;:false}]},{&quot;citationID&quot;:&quot;MENDELEY_CITATION_f5e4519e-cf3a-475c-b82e-8df0b1ea8e2b&quot;,&quot;properties&quot;:{&quot;noteIndex&quot;:0},&quot;isEdited&quot;:false,&quot;manualOverride&quot;:{&quot;isManuallyOverridden&quot;:false,&quot;citeprocText&quot;:&quot;(Dushanan et al., 2022b)&quot;,&quot;manualOverrideText&quot;:&quot;&quot;},&quot;citationTag&quot;:&quot;MENDELEY_CITATION_v3_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&quot;,&quot;citationItems&quot;:[{&quot;id&quot;:&quot;8a0393ec-16d3-3b81-8e9e-7c3624a2042e&quot;,&quot;itemData&quot;:{&quot;type&quot;:&quot;article-journal&quot;,&quot;id&quot;:&quot;8a0393ec-16d3-3b81-8e9e-7c3624a2042e&quot;,&quot;title&quot;:&quot;Driving the New Generation Histone Deacetylase Inhibitors in Cancer Therapy; Manipulation of the Histone Abbreviation at the Epigenetic Level: An In-Silico Approach&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Canadian Journal of Chemistry&quot;,&quot;container-title-short&quot;:&quot;Can J Chem&quot;,&quot;accessed&quot;:{&quot;date-parts&quot;:[[2022,8,31]]},&quot;DOI&quot;:&quot;10.1139/CJC-2022-0056&quot;,&quot;ISSN&quot;:&quot;0008-4042&quot;,&quot;issued&quot;:{&quot;date-parts&quot;:[[2022,8,18]]},&quot;page&quot;:&quot;880-890&quot;,&quot;abstract&quot;:&quot;Histone deacetylase (HDAC) is an enzyme that deacetylates the histone protein by removing the acetyl group from the lysine residues. The over-expression of the HDAC enzyme alters the gene expressio...&quot;,&quot;issue&quot;:&quot;12&quot;,&quot;volume&quot;:&quot;100&quot;},&quot;isTemporary&quot;:false}]},{&quot;citationID&quot;:&quot;MENDELEY_CITATION_37f8d8aa-0c83-4e41-8e9c-eb8baa2a6e30&quot;,&quot;properties&quot;:{&quot;noteIndex&quot;:0},&quot;isEdited&quot;:false,&quot;manualOverride&quot;:{&quot;isManuallyOverridden&quot;:false,&quot;citeprocText&quot;:&quot;(Dushanan et al., 2022a)&quot;,&quot;manualOverrideText&quot;:&quot;&quot;},&quot;citationTag&quot;:&quot;MENDELEY_CITATION_v3_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&quot;,&quot;citationItems&quot;:[{&quot;id&quot;:&quot;28616db6-1c16-309e-aa15-35ccd443d3da&quot;,&quot;itemData&quot;:{&quot;type&quot;:&quot;article-journal&quot;,&quot;id&quot;:&quot;28616db6-1c16-309e-aa15-35ccd443d3da&quot;,&quot;title&quot;:&quot;Cracking a Cancer Code Histone Deacetylation in Epigenetic: the Implication from Molecular Dynamics Simulations on Efficacy Assessment of Histone Deacetylase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Biomolecular Structure and Dynamics&quot;,&quot;container-title-short&quot;:&quot;J Biomol Struct Dyn&quot;,&quot;DOI&quot;:&quot;10.1080/07391102.2020.1838328&quot;,&quot;ISSN&quot;:&quot;15380254&quot;,&quot;URL&quot;:&quot;https://doi.org/10.1080/07391102.2020.1838328&quot;,&quot;issued&quot;:{&quot;date-parts&quot;:[[2022]]},&quot;page&quot;:&quot;2352-2368&quot;,&quot;abstract&quot;:&quot;Epigenetic changes, histone acetylation and deacetylation in chromatin have been intensively studied due to their significance in regulating the gene expression. According to the type of tumor, the levels of histone deacetylases (HDAC) are varied. HDAC inhibitors are a new promising class of compounds that inhibit the proliferation of tumor cells. In this study, the inhibitory efficacy of some HDAC inhibitors such as vorinostat, panobinostat, abexinostat, belinostat, resminostat, dacinostat and pracinostat was studied using molecular dynamics simulation. The inhibitory efficacy was estimated by computing the enzyme’s stability, positional stability of the individual amino acids and interaction energies of HDLP-inhibitor complexes. It is hoped that this investigation may improve our understanding of the atomic-level description of the inhibitor binding site and how the HDAC inhibitors change the environment of the enzyme’s active site. The results obtained from the root-mean-square deviation, the radius of gyration, solvent-accessible surface area, root-mean-square fluctuation, stride server and Ramachandran plot have revealed that the stability of HDLP enzyme with vorinostat, panobinostat and abexinostat is higher than the other studied complexes. According to the calculated values for MM-PBSA, LIE, semi-LIE binding free energies and interaction energies, the stability of the HDLP enzyme varies as panobinostat &gt; abexinostat &gt; vorinostat where resminostat complex showed relatively low stability. The ligandability and drugability values also give the same trend as above. The findings revealed that the panobinostat and abexinostat are potential lead compounds as reference inhibitor vorinostat. Therefore, it is possible to use these drugs as HDAC inhibitors in clinical practices. Also, the outcomes of this study could be utilized to identify new inhibitors for clinical research.&quot;,&quot;publisher&quot;:&quot;Taylor &amp; Francis&quot;,&quot;issue&quot;:&quot;5&quot;,&quot;volume&quot;:&quot;40&quot;},&quot;isTemporary&quot;:false}]},{&quot;citationID&quot;:&quot;MENDELEY_CITATION_f5e16fb6-f57c-441a-819b-a14bb01faac5&quot;,&quot;properties&quot;:{&quot;noteIndex&quot;:0},&quot;isEdited&quot;:false,&quot;manualOverride&quot;:{&quot;isManuallyOverridden&quot;:false,&quot;citeprocText&quot;:&quot;(Dushanan et al., 2022c)&quot;,&quot;manualOverrideText&quot;:&quot;&quot;},&quot;citationTag&quot;:&quot;MENDELEY_CITATION_v3_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&quot;,&quot;citationItems&quot;:[{&quot;id&quot;:&quot;cfd3983e-2209-322b-904f-3f1b9233857b&quot;,&quot;itemData&quot;:{&quot;type&quot;:&quot;article-journal&quot;,&quot;id&quot;:&quot;cfd3983e-2209-322b-904f-3f1b9233857b&quot;,&quot;title&quot;:&quot;Implication of Ab Initio, QM/MM, and Molecular Dynamics Calculations on the Prediction of the Therapeutic Potential of Some Selected HDAC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Molecular Simulation&quot;,&quot;container-title-short&quot;:&quot;Mol Simul&quot;,&quot;DOI&quot;:&quot;10.1080/08927022.2022.2097672&quot;,&quot;ISSN&quot;:&quot;0892-7022&quot;,&quot;URL&quot;:&quot;https://doi.org/10.1080/08927022.2022.2097672&quot;,&quot;issued&quot;:{&quot;date-parts&quot;:[[2022]]},&quot;page&quot;:&quot;1464-1475&quot;,&quot;issue&quot;:&quot;16&quot;,&quot;volume&quot;:&quot;48&quot;},&quot;isTemporary&quot;:false}]},{&quot;citationID&quot;:&quot;MENDELEY_CITATION_9ac49b52-3591-4c7d-b051-d1b51274b148&quot;,&quot;properties&quot;:{&quot;noteIndex&quot;:0},&quot;isEdited&quot;:false,&quot;manualOverride&quot;:{&quot;isManuallyOverridden&quot;:false,&quot;citeprocText&quot;:&quot;(Kakkar, 2013)&quot;,&quot;manualOverrideText&quot;:&quot;&quot;},&quot;citationItems&quot;:[{&quot;id&quot;:&quot;635ef389-c1d5-3d45-a8df-c35b28f3a367&quot;,&quot;itemData&quot;:{&quot;type&quot;:&quot;book&quot;,&quot;id&quot;:&quot;635ef389-c1d5-3d45-a8df-c35b28f3a367&quot;,&quot;title&quot;:&quot;Theoretical Studies on Hydroxamic Acids&quot;,&quot;author&quot;:[{&quot;family&quot;:&quot;Kakkar&quot;,&quot;given&quot;:&quot;Rita&quot;,&quot;parse-names&quot;:false,&quot;dropping-particle&quot;:&quot;&quot;,&quot;non-dropping-particle&quot;:&quot;&quot;}],&quot;container-title&quot;:&quot;Hydroxamic Acids: A Unique Family of Chemicals with Multiple Biological Activities&quot;,&quot;accessed&quot;:{&quot;date-parts&quot;:[[2025,12,5]]},&quot;DOI&quot;:&quot;10.1007/978-3-642-38111-9_2&quot;,&quot;ISBN&quot;:&quot;978-3-642-38111-9&quot;,&quot;URL&quot;:&quot;https://link.springer.com/chapter/10.1007/978-3-642-38111-9_2&quot;,&quot;issued&quot;:{&quot;date-parts&quot;:[[2013,7,1]]},&quot;number-of-pages&quot;:&quot;19-53&quot;,&quot;abstract&quot;:&quot;Hydroxamic acids find many applications in chemistry and biology and have been the subject of many experimental investigations. Theoretical studies are not as frequent. However, the smallest homolog, formohydroxamic acid (FHA), has been studied at various levels,...&quot;,&quot;publisher&quot;:&quot;Springer, Berlin, Heidelberg&quot;,&quot;container-title-short&quot;:&quot;&quot;},&quot;isTemporary&quot;:false,&quot;suppress-author&quot;:false,&quot;composite&quot;:false,&quot;author-only&quot;:false}],&quot;citationTag&quot;:&quot;MENDELEY_CITATION_v3_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&quot;},{&quot;citationID&quot;:&quot;MENDELEY_CITATION_93cf54dc-131e-4357-ae55-0f7c8cf0c0b2&quot;,&quot;properties&quot;:{&quot;noteIndex&quot;:0},&quot;isEdited&quot;:false,&quot;manualOverride&quot;:{&quot;isManuallyOverridden&quot;:false,&quot;citeprocText&quot;:&quot;(Fazary, 2005)&quot;,&quot;manualOverrideText&quot;:&quot;&quot;},&quot;citationItems&quot;:[{&quot;id&quot;:&quot;7168e64d-9c9d-3b7e-8c52-286ad1ffa2d6&quot;,&quot;itemData&quot;:{&quot;type&quot;:&quot;article-journal&quot;,&quot;id&quot;:&quot;7168e64d-9c9d-3b7e-8c52-286ad1ffa2d6&quot;,&quot;title&quot;:&quot;Thermodynamic Studies on the Protonation Equilibria of Some Hydroxamic Acids in NaNO3 Solutions in Water and in Mixtures of&quot;,&quot;author&quot;:[{&quot;family&quot;:&quot;Fazary&quot;,&quot;given&quot;:&quot;Ahmed&quot;,&quot;parse-names&quot;:false,&quot;dropping-particle&quot;:&quot;&quot;,&quot;non-dropping-particle&quot;:&quot;&quot;}],&quot;container-title&quot;:&quot;Article in Journal of Chemical &amp; Engineering Data&quot;,&quot;accessed&quot;:{&quot;date-parts&quot;:[[2025,12,5]]},&quot;DOI&quot;:&quot;10.1021/je0496185&quot;,&quot;ISBN&quot;:&quot;2027483187&quot;,&quot;URL&quot;:&quot;https://www.researchgate.net/publication/231535854&quot;,&quot;issued&quot;:{&quot;date-parts&quot;:[[2005]]},&quot;page&quot;:&quot;888-895&quot;,&quot;issue&quot;:&quot;3&quot;,&quot;volume&quot;:&quot;50&quot;,&quot;container-title-short&quot;:&quot;&quot;},&quot;isTemporary&quot;:false}],&quot;citationTag&quot;:&quot;MENDELEY_CITATION_v3_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&quot;},{&quot;citationID&quot;:&quot;MENDELEY_CITATION_92bfbd95-0441-493d-9487-19194d0a6d07&quot;,&quot;properties&quot;:{&quot;noteIndex&quot;:0},&quot;isEdited&quot;:false,&quot;manualOverride&quot;:{&quot;isManuallyOverridden&quot;:false,&quot;citeprocText&quot;:&quot;(Citarella et al., 2021)&quot;,&quot;manualOverrideText&quot;:&quot;&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Tag&quot;:&quot;MENDELEY_CITATION_v3_eyJjaXRhdGlvbklEIjoiTUVOREVMRVlfQ0lUQVRJT05fOTJiZmJkOTUtMDQ0MS00OTNkLTk0ODctMTkxOTRkMGE2ZDA3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quot;citationID&quot;:&quot;MENDELEY_CITATION_294de6c0-e51d-49c2-9b4b-f1a48bf6f589&quot;,&quot;properties&quot;:{&quot;noteIndex&quot;:0},&quot;isEdited&quot;:false,&quot;manualOverride&quot;:{&quot;isManuallyOverridden&quot;:false,&quot;citeprocText&quot;:&quot;(Fazary, 2005)&quot;,&quot;manualOverrideText&quot;:&quot;&quot;},&quot;citationItems&quot;:[{&quot;id&quot;:&quot;7168e64d-9c9d-3b7e-8c52-286ad1ffa2d6&quot;,&quot;itemData&quot;:{&quot;type&quot;:&quot;article-journal&quot;,&quot;id&quot;:&quot;7168e64d-9c9d-3b7e-8c52-286ad1ffa2d6&quot;,&quot;title&quot;:&quot;Thermodynamic Studies on the Protonation Equilibria of Some Hydroxamic Acids in NaNO3 Solutions in Water and in Mixtures of&quot;,&quot;author&quot;:[{&quot;family&quot;:&quot;Fazary&quot;,&quot;given&quot;:&quot;Ahmed&quot;,&quot;parse-names&quot;:false,&quot;dropping-particle&quot;:&quot;&quot;,&quot;non-dropping-particle&quot;:&quot;&quot;}],&quot;container-title&quot;:&quot;Article in Journal of Chemical &amp; Engineering Data&quot;,&quot;accessed&quot;:{&quot;date-parts&quot;:[[2025,12,5]]},&quot;DOI&quot;:&quot;10.1021/je0496185&quot;,&quot;ISBN&quot;:&quot;2027483187&quot;,&quot;URL&quot;:&quot;https://www.researchgate.net/publication/231535854&quot;,&quot;issued&quot;:{&quot;date-parts&quot;:[[2005]]},&quot;page&quot;:&quot;888-895&quot;,&quot;issue&quot;:&quot;3&quot;,&quot;volume&quot;:&quot;50&quot;,&quot;container-title-short&quot;:&quot;&quot;},&quot;isTemporary&quot;:false,&quot;suppress-author&quot;:false,&quot;composite&quot;:false,&quot;author-only&quot;:false}],&quot;citationTag&quot;:&quot;MENDELEY_CITATION_v3_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&quot;},{&quot;citationID&quot;:&quot;MENDELEY_CITATION_b2919916-ded8-4775-98bd-157325b5ec08&quot;,&quot;properties&quot;:{&quot;noteIndex&quot;:0},&quot;isEdited&quot;:false,&quot;manualOverride&quot;:{&quot;isManuallyOverridden&quot;:false,&quot;citeprocText&quot;:&quot;(Mann et al., 1989)&quot;,&quot;manualOverrideText&quot;:&quot;&quot;},&quot;citationItems&quot;:[{&quot;id&quot;:&quot;a35da92c-4832-3a3c-b697-ee0a052707f4&quot;,&quot;itemData&quot;:{&quot;type&quot;:&quot;article-journal&quot;,&quot;id&quot;:&quot;a35da92c-4832-3a3c-b697-ee0a052707f4&quot;,&quot;title&quot;:&quot;Management of Acute Iron Overdose.&quot;,&quot;author&quot;:[{&quot;family&quot;:&quot;Mann&quot;,&quot;given&quot;:&quot;K.&quot;,&quot;parse-names&quot;:false,&quot;dropping-particle&quot;:&quot;V.&quot;,&quot;non-dropping-particle&quot;:&quot;&quot;},{&quot;family&quot;:&quot;Picciotti&quot;,&quot;given&quot;:&quot;M. A.&quot;,&quot;parse-names&quot;:false,&quot;dropping-particle&quot;:&quot;&quot;,&quot;non-dropping-particle&quot;:&quot;&quot;},{&quot;family&quot;:&quot;Spevack&quot;,&quot;given&quot;:&quot;T. A.&quot;,&quot;parse-names&quot;:false,&quot;dropping-particle&quot;:&quot;&quot;,&quot;non-dropping-particle&quot;:&quot;&quot;},{&quot;family&quot;:&quot;Durbin&quot;,&quot;given&quot;:&quot;D. R.&quot;,&quot;parse-names&quot;:false,&quot;dropping-particle&quot;:&quot;&quot;,&quot;non-dropping-particle&quot;:&quot;&quot;}],&quot;container-title&quot;:&quot;Clinical Pharmacy&quot;,&quot;container-title-short&quot;:&quot;Clin Pharm&quot;,&quot;accessed&quot;:{&quot;date-parts&quot;:[[2025,12,5]]},&quot;ISSN&quot;:&quot;0278-2677&quot;,&quot;PMID&quot;:&quot;2663331&quot;,&quot;URL&quot;:&quot;https://europepmc.org/article/med/2663331&quot;,&quot;issued&quot;:{&quot;date-parts&quot;:[[1989,6,1]]},&quot;page&quot;:&quot;428-440&quot;,&quot;abstract&quot;:&quot;Treatment of severe iron overdose in two children is described, and the pathophysiology of iron toxicity and management of acute iron poisonings are reviewed. An 11-month-old boy was comatose and in shock several hours after ingesting approximately 50 ferrous sulfate tablets (elemental iron 390 mg/kg). He had hyperglycemia and leukocytosis. Lavage was performed with a solution containing deferoxamine and sodium bicarbonate, and deferoxamine was given by continuous i.v. infusion for 48 hours. The initial serum iron (SI) concentration of 14,250 μg/dL decreased to 657 μg/dL nine hours after i.v. deferoxamine therapy was initiated. A roentgenogram showed tablets in the stomach and small bowel. Packed red blood cells were administered to treat apparent necrotizing gastroenteritis. SI concentration returned to normal by day five, and the child recovered. A 2.5-year-old boy was examined 1.25 hr after ingesting an estimated 55 tablets of ferrous gluconate 325 mg (elemental iron 130 mg/kg). Initial SI concentration was 134 μg/dL, and total iron-binding capacity (TIBC) was 219 μg/dL. A roentgenogram indicated iron concretion in the stomach and iron tablets in the small bowel. He underwent lavage with solution containing sodium bicarbonate. An i.m. dose of deferoxamine was administered, followed by i.v. deferoxamine therapy. SI concentration eight hours after the ingestion was 290 μg/dL, and whole-bowel irrigation was begun with polyethylene glycol-electrolyte solution. The irrigation and deferoxamine therapy were discontinued 20 hours after the ingestion, when SI concentration was 73 μg/dL, and the child recovered. Acute iron ingestions of more than 60 mg/kg are potentially serious. Patient 1 had severe iron intoxication, while aggressive treatment prevented severe toxicity in patient 2. Acute iron toxicity includes effects on the GI tract and the cardiovascular, metabolic, hepatic, and central nervous systems. Guidelines for assessing the severity of an overdose and selecting the most appropriate therapy are provided. The indications for chelation therapy with deferoxamine, gastric decontamination procedures including use of lavage solutions and whole-bowel irrigation, and adjunctive measures are described. Management of acute iron overdose includes supportive care, GI decontamination, and chelation therapy.&quot;,&quot;issue&quot;:&quot;6&quot;,&quot;volume&quot;:&quot;8&quot;},&quot;isTemporary&quot;:false,&quot;suppress-author&quot;:false,&quot;composite&quot;:false,&quot;author-only&quot;:false}],&quot;citationTag&quot;:&quot;MENDELEY_CITATION_v3_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&quot;},{&quot;citationID&quot;:&quot;MENDELEY_CITATION_b91cfde0-bb69-4152-9249-2f9dc49292f3&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suppress-author&quot;:false,&quot;composite&quot;:false,&quot;author-only&quot;:false}],&quot;citationTag&quot;:&quot;MENDELEY_CITATION_v3_eyJjaXRhdGlvbklEIjoiTUVOREVMRVlfQ0lUQVRJT05fYjkxY2ZkZTAtYmI2OS00MTUyLTkyNDktMmY5ZGM0OTI5MmYz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LCJzdXBwcmVzcy1hdXRob3IiOmZhbHNlLCJjb21wb3NpdGUiOmZhbHNlLCJhdXRob3Itb25seSI6ZmFsc2V9XX0=&quot;},{&quot;citationID&quot;:&quot;MENDELEY_CITATION_d76b4367-ad4c-4ead-b47b-b46f0decbd56&quot;,&quot;properties&quot;:{&quot;noteIndex&quot;:0},&quot;isEdited&quot;:false,&quot;manualOverride&quot;:{&quot;isManuallyOverridden&quot;:false,&quot;citeprocText&quot;:&quot;(Griffith et al., 2011)&quot;,&quot;manualOverrideText&quot;:&quot;&quot;},&quot;citationItems&quot;:[{&quot;id&quot;:&quot;c220a5d1-f702-35f9-9a13-d26fb15d7dd9&quot;,&quot;itemData&quot;:{&quot;type&quot;:&quot;article-journal&quot;,&quot;id&quot;:&quot;c220a5d1-f702-35f9-9a13-d26fb15d7dd9&quot;,&quot;title&quot;:&quot;Suberoylanilide Hydroxamic Acid, a Potent Histone Deacetylase Inhibitor; its X-ray Crystal Structure and Solid State and Solution studies of its Zn(II), Ni(II), Cu(II) and Fe(III) Complexes&quot;,&quot;author&quot;:[{&quot;family&quot;:&quot;Griffith&quot;,&quot;given&quot;:&quot;Darren M.&quot;,&quot;parse-names&quot;:false,&quot;dropping-particle&quot;:&quot;&quot;,&quot;non-dropping-particle&quot;:&quot;&quot;},{&quot;family&quot;:&quot;Szocs&quot;,&quot;given&quot;:&quot;Béla&quot;,&quot;parse-names&quot;:false,&quot;dropping-particle&quot;:&quot;&quot;,&quot;non-dropping-particle&quot;:&quot;&quot;},{&quot;family&quot;:&quot;Keogh&quot;,&quot;given&quot;:&quot;Tomás&quot;,&quot;parse-names&quot;:false,&quot;dropping-particle&quot;:&quot;&quot;,&quot;non-dropping-particle&quot;:&quot;&quot;},{&quot;family&quot;:&quot;Suponitsky&quot;,&quot;given&quot;:&quot;Kyrill Yu&quot;,&quot;parse-names&quot;:false,&quot;dropping-particle&quot;:&quot;&quot;,&quot;non-dropping-particle&quot;:&quot;&quot;},{&quot;family&quot;:&quot;Farkas&quot;,&quot;given&quot;:&quot;Etelka&quot;,&quot;parse-names&quot;:false,&quot;dropping-particle&quot;:&quot;&quot;,&quot;non-dropping-particle&quot;:&quot;&quot;},{&quot;family&quot;:&quot;Buglyó&quot;,&quot;given&quot;:&quot;Péter&quot;,&quot;parse-names&quot;:false,&quot;dropping-particle&quot;:&quot;&quot;,&quot;non-dropping-particle&quot;:&quot;&quot;},{&quot;family&quot;:&quot;Marmion&quot;,&quot;given&quot;:&quot;Celine J.&quot;,&quot;parse-names&quot;:false,&quot;dropping-particle&quot;:&quot;&quot;,&quot;non-dropping-particle&quot;:&quot;&quot;}],&quot;container-title&quot;:&quot;Journal of Inorganic Biochemistry&quot;,&quot;container-title-short&quot;:&quot;J Inorg Biochem&quot;,&quot;accessed&quot;:{&quot;date-parts&quot;:[[2025,12,5]]},&quot;DOI&quot;:&quot;10.1016/J.JINORGBIO.2011.03.003&quot;,&quot;ISSN&quot;:&quot;0162-0134&quot;,&quot;PMID&quot;:&quot;21496451&quot;,&quot;URL&quot;:&quot;https://www.sciencedirect.com/science/article/abs/pii/S0162013411000444&quot;,&quot;issued&quot;:{&quot;date-parts&quot;:[[2011,6,1]]},&quot;page&quot;:&quot;763-769&quot;,&quot;abstract&quot;:&quot;Reaction of the potent hydroxamate-based histone deacetylase (HDAC) inhibitor, suberoylanilide hydroxamic acid (SAHA), with hydrated metal salts of Fe(III), Cu(II), Ni(II) and Zn(II) yielded a tris-hydroxamato complex in the case of Fe(III) and bis-hydroxamato complexes in the case of Cu(II), Ni(II) and Zn(II) both in the solid state and in solution. Reaction of the secondary hydroxamic acid, N-Me-SAHA, also yielded a tris-hydroxamato complex in the case of Fe(III) and bis-hydroxamato complexes in the case of Cu(II), Ni(II) and Zn(II) in solution. These metal complexes have the hydroxamato moiety coordinated in an O,O′-bidentate fashion. Stability constants of the metal complexes formed with SAHA and N-Me-SAHA in a DMSO/H2O 70/30%(v/v) mixture are described. A novel crystal structure of SAHA together with a novel synthesis for N-Me-SAHA are also reported. © 2011 Elsevier Inc. All rights reserved.&quot;,&quot;publisher&quot;:&quot;Elsevier&quot;,&quot;issue&quot;:&quot;6&quot;,&quot;volume&quot;:&quot;105&quot;},&quot;isTemporary&quot;:false}],&quot;citationTag&quot;:&quot;MENDELEY_CITATION_v3_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&quot;},{&quot;citationID&quot;:&quot;MENDELEY_CITATION_17e62f21-cec3-48d5-9271-b24d0dff9425&quot;,&quot;properties&quot;:{&quot;noteIndex&quot;:0},&quot;isEdited&quot;:false,&quot;manualOverride&quot;:{&quot;isManuallyOverridden&quot;:false,&quot;citeprocText&quot;:&quot;(Kurzak et al., 1992)&quot;,&quot;manualOverrideText&quot;:&quot;&quot;},&quot;citationItems&quot;:[{&quot;id&quot;:&quot;75aee84f-df5c-3bbc-997a-6e56fd876453&quot;,&quot;itemData&quot;:{&quot;type&quot;:&quot;article-journal&quot;,&quot;id&quot;:&quot;75aee84f-df5c-3bbc-997a-6e56fd876453&quot;,&quot;title&quot;:&quot;Hydroxamic and Aminohydroxamic Acids and their Complexes with Metal Ions&quot;,&quot;author&quot;:[{&quot;family&quot;:&quot;Kurzak&quot;,&quot;given&quot;:&quot;Barbara&quot;,&quot;parse-names&quot;:false,&quot;dropping-particle&quot;:&quot;&quot;,&quot;non-dropping-particle&quot;:&quot;&quot;},{&quot;family&quot;:&quot;Kozlowski&quot;,&quot;given&quot;:&quot;Henryk&quot;,&quot;parse-names&quot;:false,&quot;dropping-particle&quot;:&quot;&quot;,&quot;non-dropping-particle&quot;:&quot;&quot;},{&quot;family&quot;:&quot;Farkas&quot;,&quot;given&quot;:&quot;Etelka&quot;,&quot;parse-names&quot;:false,&quot;dropping-particle&quot;:&quot;&quot;,&quot;non-dropping-particle&quot;:&quot;&quot;}],&quot;container-title&quot;:&quot;Coordination Chemistry Reviews&quot;,&quot;container-title-short&quot;:&quot;Coord Chem Rev&quot;,&quot;accessed&quot;:{&quot;date-parts&quot;:[[2025,12,5]]},&quot;issued&quot;:{&quot;date-parts&quot;:[[1992]]},&quot;page&quot;:&quot;169-200&quot;,&quot;issue&quot;:&quot;2&quot;,&quot;volume&quot;:&quot;114&quot;},&quot;isTemporary&quot;:false}],&quot;citationTag&quot;:&quot;MENDELEY_CITATION_v3_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&quot;},{&quot;citationID&quot;:&quot;MENDELEY_CITATION_ec19a244-c511-4868-bd11-6eb30a934a1d&quot;,&quot;properties&quot;:{&quot;noteIndex&quot;:0},&quot;isEdited&quot;:false,&quot;manualOverride&quot;:{&quot;isManuallyOverridden&quot;:false,&quot;citeprocText&quot;:&quot;(Scolnick et al., 1997)&quot;,&quot;manualOverrideText&quot;:&quot;&quot;},&quot;citationItems&quot;:[{&quot;id&quot;:&quot;d5b0c751-9936-3ef3-9df7-0c6e9751ca2e&quot;,&quot;itemData&quot;:{&quot;type&quot;:&quot;article-journal&quot;,&quot;id&quot;:&quot;d5b0c751-9936-3ef3-9df7-0c6e9751ca2e&quot;,&quot;title&quot;:&quot;Novel Binding Mode of Hydroxamate Inhibitors to Human Carbonic Anhydrase II&quot;,&quot;author&quot;:[{&quot;family&quot;:&quot;Scolnick&quot;,&quot;given&quot;:&quot;L. R.&quot;,&quot;parse-names&quot;:false,&quot;dropping-particle&quot;:&quot;&quot;,&quot;non-dropping-particle&quot;:&quot;&quot;},{&quot;family&quot;:&quot;Clements&quot;,&quot;given&quot;:&quot;A. M.&quot;,&quot;parse-names&quot;:false,&quot;dropping-particle&quot;:&quot;&quot;,&quot;non-dropping-particle&quot;:&quot;&quot;},{&quot;family&quot;:&quot;Liao&quot;,&quot;given&quot;:&quot;J.&quot;,&quot;parse-names&quot;:false,&quot;dropping-particle&quot;:&quot;&quot;,&quot;non-dropping-particle&quot;:&quot;&quot;},{&quot;family&quot;:&quot;Crenshaw&quot;,&quot;given&quot;:&quot;L.&quot;,&quot;parse-names&quot;:false,&quot;dropping-particle&quot;:&quot;&quot;,&quot;non-dropping-particle&quot;:&quot;&quot;},{&quot;family&quot;:&quot;Hellberg&quot;,&quot;given&quot;:&quot;M.&quot;,&quot;parse-names&quot;:false,&quot;dropping-particle&quot;:&quot;&quot;,&quot;non-dropping-particle&quot;:&quot;&quot;},{&quot;family&quot;:&quot;May&quot;,&quot;given&quot;:&quot;J.&quot;,&quot;parse-names&quot;:false,&quot;dropping-particle&quot;:&quot;&quot;,&quot;non-dropping-particle&quot;:&quot;&quot;},{&quot;family&quot;:&quot;Dean&quot;,&quot;given&quot;:&quot;T. R.&quot;,&quot;parse-names&quot;:false,&quot;dropping-particle&quot;:&quot;&quot;,&quot;non-dropping-particle&quot;:&quot;&quot;},{&quot;family&quot;:&quot;Christianson&quot;,&quot;given&quot;:&quot;D. W.&quot;,&quot;parse-names&quot;:false,&quot;dropping-particle&quot;:&quot;&quot;,&quot;non-dropping-particle&quot;:&quot;&quot;}],&quot;container-title&quot;:&quot;Journal of the American Chemical Society&quot;,&quot;container-title-short&quot;:&quot;J Am Chem Soc&quot;,&quot;accessed&quot;:{&quot;date-parts&quot;:[[2025,12,5]]},&quot;DOI&quot;:&quot;10.1021/JA963832Z&quot;,&quot;ISSN&quot;:&quot;00027863&quot;,&quot;URL&quot;:&quot;https://pubs.acs.org/doi/full/10.1021/ja963832z&quot;,&quot;issued&quot;:{&quot;date-parts&quot;:[[1997]]},&quot;page&quot;:&quot;850-851&quot;,&quot;publisher&quot;:&quot; American Chemical Society &quot;,&quot;issue&quot;:&quot;4&quot;,&quot;volume&quot;:&quot;119&quot;},&quot;isTemporary&quot;:false}],&quot;citationTag&quot;:&quot;MENDELEY_CITATION_v3_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&quot;},{&quot;citationID&quot;:&quot;MENDELEY_CITATION_6cdf2ecc-3b89-443e-afc0-5adcd9acb080&quot;,&quot;properties&quot;:{&quot;noteIndex&quot;:0},&quot;isEdited&quot;:false,&quot;manualOverride&quot;:{&quot;isManuallyOverridden&quot;:false,&quot;citeprocText&quot;:&quot;(Cal et al., 2013)&quot;,&quot;manualOverrideText&quot;:&quot;&quot;},&quot;citationItems&quot;:[{&quot;id&quot;:&quot;66bdd942-eaf2-3033-afd1-acc3145cf368&quot;,&quot;itemData&quot;:{&quot;type&quot;:&quot;article-journal&quot;,&quot;id&quot;:&quot;66bdd942-eaf2-3033-afd1-acc3145cf368&quot;,&quot;title&quot;:&quot;Solid Phase Synthesis of Peptide Hydroxamic Acids on Poly(ethylene glycol)-Based Support&quot;,&quot;author&quot;:[{&quot;family&quot;:&quot;Cal&quot;,&quot;given&quot;:&quot;Marta&quot;,&quot;parse-names&quot;:false,&quot;dropping-particle&quot;:&quot;&quot;,&quot;non-dropping-particle&quot;:&quot;&quot;},{&quot;family&quot;:&quot;Jaremko&quot;,&quot;given&quot;:&quot;Mariusz&quot;,&quot;parse-names&quot;:false,&quot;dropping-particle&quot;:&quot;&quot;,&quot;non-dropping-particle&quot;:&quot;&quot;},{&quot;family&quot;:&quot;Jaremko&quot;,&quot;given&quot;:&quot;Łukasz&quot;,&quot;parse-names&quot;:false,&quot;dropping-particle&quot;:&quot;&quot;,&quot;non-dropping-particle&quot;:&quot;&quot;},{&quot;family&quot;:&quot;Stefanowicz&quot;,&quot;given&quot;:&quot;Piotr&quot;,&quot;parse-names&quot;:false,&quot;dropping-particle&quot;:&quot;&quot;,&quot;non-dropping-particle&quot;:&quot;&quot;}],&quot;container-title&quot;:&quot;Journal of Peptide Science&quot;,&quot;accessed&quot;:{&quot;date-parts&quot;:[[2025,12,5]]},&quot;DOI&quot;:&quot;10.1002/PSC.2466;JOURNAL:JOURNAL:10991387;ISSUE:ISSUE:DOI&quot;,&quot;ISSN&quot;:&quot;10752617&quot;,&quot;PMID&quot;:&quot;23225761&quot;,&quot;URL&quot;:&quot;/doi/pdf/10.1002/psc.2466&quot;,&quot;issued&quot;:{&quot;date-parts&quot;:[[2013,1,1]]},&quot;page&quot;:&quot;9-15&quot;,&quot;abstract&quot;:&quot;A novel resin designed for solid-phase synthesis of peptide hydroxamic acids (PHA) combining the trityl linker with poly(ethylene glycol)-based support, ChemMatrix® type, is described. The synthesis of PHA can be performed according to a standard protocol, providing products in excellent purity and reasonable yields. © 2012 European Peptide Society and John Wiley &amp; Sons, Ltd. A novel resin designed for solid-phase synthesis of peptide hydroxamic acids (PHA) combining the trityl linker with poly(ethylene glycol)-based support, ChemMatrix® type, is described. The synthesis of PHA can be performed according to a standard protocol, providing products in excellent purity and reasonable yields. © 2012 European Peptide Society and John Wiley &amp; Sons, Ltd.&quot;,&quot;publisher&quot;:&quot;John Wiley &amp; Sons, Ltd&quot;,&quot;issue&quot;:&quot;1&quot;,&quot;volume&quot;:&quot;19&quot;,&quot;container-title-short&quot;:&quot;&quot;},&quot;isTemporary&quot;:false}],&quot;citationTag&quot;:&quot;MENDELEY_CITATION_v3_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&quot;},{&quot;citationID&quot;:&quot;MENDELEY_CITATION_bb3507a8-82c7-4909-92a9-6adfd5c703ec&quot;,&quot;properties&quot;:{&quot;noteIndex&quot;:0},&quot;isEdited&quot;:false,&quot;manualOverride&quot;:{&quot;isManuallyOverridden&quot;:false,&quot;citeprocText&quot;:&quot;(Hugenberg et al., 2013)&quot;,&quot;manualOverrideText&quot;:&quot;&quot;},&quot;citationItems&quot;:[{&quot;id&quot;:&quot;64e59ee2-65b2-3fca-9059-564015b602e1&quot;,&quot;itemData&quot;:{&quot;type&quot;:&quot;article-journal&quot;,&quot;id&quot;:&quot;64e59ee2-65b2-3fca-9059-564015b602e1&quot;,&quot;title&quot;:&quot;Inverse 1,2,3-Triazole-1-yl-ethyl Substituted Hydroxamates as Highly Potent Matrix Metalloproteinase Inhibitors: (Radio)synthesis, in Vitro and First in Vivo Evaluation&quot;,&quot;author&quot;:[{&quot;family&quot;:&quot;Hugenberg&quot;,&quot;given&quot;:&quot;Verena&quot;,&quot;parse-names&quot;:false,&quot;dropping-particle&quot;:&quot;&quot;,&quot;non-dropping-particle&quot;:&quot;&quot;},{&quot;family&quot;:&quot;Riemann&quot;,&quot;given&quot;:&quot;Burkhard&quot;,&quot;parse-names&quot;:false,&quot;dropping-particle&quot;:&quot;&quot;,&quot;non-dropping-particle&quot;:&quot;&quot;},{&quot;family&quot;:&quot;Hermann&quot;,&quot;given&quot;:&quot;Sven&quot;,&quot;parse-names&quot;:false,&quot;dropping-particle&quot;:&quot;&quot;,&quot;non-dropping-particle&quot;:&quot;&quot;},{&quot;family&quot;:&quot;Schober&quot;,&quot;given&quot;:&quot;Otmar&quot;,&quot;parse-names&quot;:false,&quot;dropping-particle&quot;:&quot;&quot;,&quot;non-dropping-particle&quot;:&quot;&quot;},{&quot;family&quot;:&quot;Schäfers&quot;,&quot;given&quot;:&quot;Michael&quot;,&quot;parse-names&quot;:false,&quot;dropping-particle&quot;:&quot;&quot;,&quot;non-dropping-particle&quot;:&quot;&quot;},{&quot;family&quot;:&quot;Szardenings&quot;,&quot;given&quot;:&quot;Katrin&quot;,&quot;parse-names&quot;:false,&quot;dropping-particle&quot;:&quot;&quot;,&quot;non-dropping-particle&quot;:&quot;&quot;},{&quot;family&quot;:&quot;Lebedev&quot;,&quot;given&quot;:&quot;Artem&quot;,&quot;parse-names&quot;:false,&quot;dropping-particle&quot;:&quot;&quot;,&quot;non-dropping-particle&quot;:&quot;&quot;},{&quot;family&quot;:&quot;Gangadharmath&quot;,&quot;given&quot;:&quot;Umesh&quot;,&quot;parse-names&quot;:false,&quot;dropping-particle&quot;:&quot;&quot;,&quot;non-dropping-particle&quot;:&quot;&quot;},{&quot;family&quot;:&quot;Kolb&quot;,&quot;given&quot;:&quot;Hartmuth&quot;,&quot;parse-names&quot;:false,&quot;dropping-particle&quot;:&quot;&quot;,&quot;non-dropping-particle&quot;:&quot;&quot;},{&quot;family&quot;:&quot;Walsh&quot;,&quot;given&quot;:&quot;Joseph&quot;,&quot;parse-names&quot;:false,&quot;dropping-particle&quot;:&quot;&quot;,&quot;non-dropping-particle&quot;:&quot;&quot;},{&quot;family&quot;:&quot;Zhang&quot;,&quot;given&quot;:&quot;Wei&quot;,&quot;parse-names&quot;:false,&quot;dropping-particle&quot;:&quot;&quot;,&quot;non-dropping-particle&quot;:&quot;&quot;},{&quot;family&quot;:&quot;Kopka&quot;,&quot;given&quot;:&quot;Klaus&quot;,&quot;parse-names&quot;:false,&quot;dropping-particle&quot;:&quot;&quot;,&quot;non-dropping-particle&quot;:&quot;&quot;},{&quot;family&quot;:&quot;Wagner&quot;,&quot;given&quot;:&quot;Stefan&quot;,&quot;parse-names&quot;:false,&quot;dropping-particle&quot;:&quot;&quot;,&quot;non-dropping-particle&quot;:&quot;&quot;}],&quot;container-title&quot;:&quot;Journal of Medicinal Chemistry&quot;,&quot;container-title-short&quot;:&quot;J Med Chem&quot;,&quot;accessed&quot;:{&quot;date-parts&quot;:[[2025,12,5]]},&quot;DOI&quot;:&quot;10.1021/JM4006753&quot;,&quot;ISSN&quot;:&quot;00222623&quot;,&quot;PMID&quot;:&quot;23899323&quot;,&quot;URL&quot;:&quot;https://pubs.acs.org/doi/abs/10.1021/jm4006753&quot;,&quot;issued&quot;:{&quot;date-parts&quot;:[[2013,9,12]]},&quot;page&quot;:&quot;6858-6870&quot;,&quot;abstract&quot;:&quot;Noninvasive imaging and quantification of matrix metalloproteinase (MMP) activity in vivo are of great (pre)clinical interest. This can potentially be realized by using radiolabeled MMP inhibitors (MMPIs) as positron emission tomography (PET) imaging agents. Triazole-substituted MMPIs, discovered by our group, are highly potent inhibitors of MMP-2, -8, -9, and -13. The triazole ring and its position contribute significantly to the potency of the MMP inhibitor. To evaluate structure–activity relationships (SARs) of the initially discovered triazole-substituted MMPIs, an additional CH2-group between the backbone of the molecule and the triazole core was inserted, and the triazole ring was “inversed” by switching the alkyne and azide groups. Similar to the original triazole-substituted hydroxamates, the inverse triazole MMPIs are excellent inhibitors with promising in vivo properties. Pharmacokinetic properties and metabolic stability of an 18F-labeled candidate in mice were investigated.&quot;,&quot;publisher&quot;:&quot;American Chemical Society&quot;,&quot;issue&quot;:&quot;17&quot;,&quot;volume&quot;:&quot;56&quot;},&quot;isTemporary&quot;:false}],&quot;citationTag&quot;:&quot;MENDELEY_CITATION_v3_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&quot;},{&quot;citationID&quot;:&quot;MENDELEY_CITATION_be417293-6661-4020-9d9d-934fd85b174c&quot;,&quot;properties&quot;:{&quot;noteIndex&quot;:0},&quot;isEdited&quot;:false,&quot;manualOverride&quot;:{&quot;isManuallyOverridden&quot;:false,&quot;citeprocText&quot;:&quot;(Giacomelli et al., 2003)&quot;,&quot;manualOverrideText&quot;:&quot;&quot;},&quot;citationItems&quot;:[{&quot;id&quot;:&quot;c7d2a0be-0447-36ab-a7dd-ac90757ce8e8&quot;,&quot;itemData&quot;:{&quot;type&quot;:&quot;article-journal&quot;,&quot;id&quot;:&quot;c7d2a0be-0447-36ab-a7dd-ac90757ce8e8&quot;,&quot;title&quot;:&quot;Simple One-Flask Method for the Preparation of Hydroxamic Acids&quot;,&quot;author&quot;:[{&quot;family&quot;:&quot;Giacomelli&quot;,&quot;given&quot;:&quot;Giampaolo&quot;,&quot;parse-names&quot;:false,&quot;dropping-particle&quot;:&quot;&quot;,&quot;non-dropping-particle&quot;:&quot;&quot;},{&quot;family&quot;:&quot;Porcheddu&quot;,&quot;given&quot;:&quot;Andrea&quot;,&quot;parse-names&quot;:false,&quot;dropping-particle&quot;:&quot;&quot;,&quot;non-dropping-particle&quot;:&quot;&quot;},{&quot;family&quot;:&quot;Salaris&quot;,&quot;given&quot;:&quot;Margherita&quot;,&quot;parse-names&quot;:false,&quot;dropping-particle&quot;:&quot;&quot;,&quot;non-dropping-particle&quot;:&quot;&quot;}],&quot;container-title&quot;:&quot;Organic Letters&quot;,&quot;container-title-short&quot;:&quot;Org Lett&quot;,&quot;accessed&quot;:{&quot;date-parts&quot;:[[2025,12,5]]},&quot;DOI&quot;:&quot;10.1021/OL034903J&quot;,&quot;ISSN&quot;:&quot;15237060&quot;,&quot;PMID&quot;:&quot;12868897&quot;,&quot;URL&quot;:&quot;https://pubs.acs.org/doi/abs/10.1021/ol034903j&quot;,&quot;issued&quot;:{&quot;date-parts&quot;:[[2003,7,24]]},&quot;page&quot;:&quot;2715-2717&quot;,&quot;abstract&quot;:&quot;A one-step conversion of carboxylic acids to hydroxamic acids under very mild conditions is described. This simple and efficient method has been applied for the synthesis of enantiopure hydroxamate of α-amino acids and peptides.&quot;,&quot;publisher&quot;:&quot; American Chemical Society &quot;,&quot;issue&quot;:&quot;15&quot;,&quot;volume&quot;:&quot;5&quot;},&quot;isTemporary&quot;:false}],&quot;citationTag&quot;:&quot;MENDELEY_CITATION_v3_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&quot;},{&quot;citationID&quot;:&quot;MENDELEY_CITATION_fc20b575-0a63-4c05-8667-a0f260467e5d&quot;,&quot;properties&quot;:{&quot;noteIndex&quot;:0},&quot;isEdited&quot;:false,&quot;manualOverride&quot;:{&quot;isManuallyOverridden&quot;:false,&quot;citeprocText&quot;:&quot;(Bouchain et al., 2003)&quot;,&quot;manualOverrideText&quot;:&quot;&quot;},&quot;citationItems&quot;:[{&quot;id&quot;:&quot;9a692512-c014-3f98-bfa1-a7397596cc34&quot;,&quot;itemData&quot;:{&quot;type&quot;:&quot;article-journal&quot;,&quot;id&quot;:&quot;9a692512-c014-3f98-bfa1-a7397596cc34&quot;,&quot;title&quot;:&quot;Development of Potential Antitumor Agents. Synthesis and Biological Evaluation of a New Set of Sulfonamide Derivatives as Histone Deacetylase Inhibitors&quot;,&quot;author&quot;:[{&quot;family&quot;:&quot;Bouchain&quot;,&quot;given&quot;:&quot;Giliane&quot;,&quot;parse-names&quot;:false,&quot;dropping-particle&quot;:&quot;&quot;,&quot;non-dropping-particle&quot;:&quot;&quot;},{&quot;family&quot;:&quot;Leit&quot;,&quot;given&quot;:&quot;Silvana&quot;,&quot;parse-names&quot;:false,&quot;dropping-particle&quot;:&quot;&quot;,&quot;non-dropping-particle&quot;:&quot;&quot;},{&quot;family&quot;:&quot;Frechette&quot;,&quot;given&quot;:&quot;Sylvie&quot;,&quot;parse-names&quot;:false,&quot;dropping-particle&quot;:&quot;&quot;,&quot;non-dropping-particle&quot;:&quot;&quot;},{&quot;family&quot;:&quot;Abou Khalil&quot;,&quot;given&quot;:&quot;Elie&quot;,&quot;parse-names&quot;:false,&quot;dropping-particle&quot;:&quot;&quot;,&quot;non-dropping-particle&quot;:&quot;&quot;},{&quot;family&quot;:&quot;Lavoie&quot;,&quot;given&quot;:&quot;Rico&quot;,&quot;parse-names&quot;:false,&quot;dropping-particle&quot;:&quot;&quot;,&quot;non-dropping-particle&quot;:&quot;&quot;},{&quot;family&quot;:&quot;Moradei&quot;,&quot;given&quot;:&quot;Oscar&quot;,&quot;parse-names&quot;:false,&quot;dropping-particle&quot;:&quot;&quot;,&quot;non-dropping-particle&quot;:&quot;&quot;},{&quot;family&quot;:&quot;Woo&quot;,&quot;given&quot;:&quot;Soon Hyung&quot;,&quot;parse-names&quot;:false,&quot;dropping-particle&quot;:&quot;&quot;,&quot;non-dropping-particle&quot;:&quot;&quot;},{&quot;family&quot;:&quot;Fournel&quot;,&quot;given&quot;:&quot;Marielle&quot;,&quot;parse-names&quot;:false,&quot;dropping-particle&quot;:&quot;&quot;,&quot;non-dropping-particle&quot;:&quot;&quot;},{&quot;family&quot;:&quot;Yan&quot;,&quot;given&quot;:&quot;Pu T.&quot;,&quot;parse-names&quot;:false,&quot;dropping-particle&quot;:&quot;&quot;,&quot;non-dropping-particle&quot;:&quot;&quot;},{&quot;family&quot;:&quot;Kalita&quot;,&quot;given&quot;:&quot;Ann&quot;,&quot;parse-names&quot;:false,&quot;dropping-particle&quot;:&quot;&quot;,&quot;non-dropping-particle&quot;:&quot;&quot;},{&quot;family&quot;:&quot;Trachy-Bourget&quot;,&quot;given&quot;:&quot;Marie Claude&quot;,&quot;parse-names&quot;:false,&quot;dropping-particle&quot;:&quot;&quot;,&quot;non-dropping-particle&quot;:&quot;&quot;},{&quot;family&quot;:&quot;Beaulieu&quot;,&quot;given&quot;:&quot;Carole&quot;,&quot;parse-names&quot;:false,&quot;dropping-particle&quot;:&quot;&quot;,&quot;non-dropping-particle&quot;:&quot;&quot;},{&quot;family&quot;:&quot;Li&quot;,&quot;given&quot;:&quot;Zuomei&quot;,&quot;parse-names&quot;:false,&quot;dropping-particle&quot;:&quot;&quot;,&quot;non-dropping-particle&quot;:&quot;&quot;},{&quot;family&quot;:&quot;Robert&quot;,&quot;given&quot;:&quot;Marie France&quot;,&quot;parse-names&quot;:false,&quot;dropping-particle&quot;:&quot;&quot;,&quot;non-dropping-particle&quot;:&quot;&quot;},{&quot;family&quot;:&quot;MacLeod&quot;,&quot;given&quot;:&quot;A. Robert&quot;,&quot;parse-names&quot;:false,&quot;dropping-particle&quot;:&quot;&quot;,&quot;non-dropping-particle&quot;:&quot;&quot;},{&quot;family&quot;:&quot;Besterman&quot;,&quot;given&quot;:&quot;Jeffrey M.&quot;,&quot;parse-names&quot;:false,&quot;dropping-particle&quot;:&quot;&quot;,&quot;non-dropping-particle&quot;:&quot;&quot;},{&quot;family&quot;:&quot;Delorme&quot;,&quot;given&quot;:&quot;Daniel&quot;,&quot;parse-names&quot;:false,&quot;dropping-particle&quot;:&quot;&quot;,&quot;non-dropping-particle&quot;:&quot;&quot;}],&quot;container-title&quot;:&quot;Journal of Medicinal Chemistry&quot;,&quot;container-title-short&quot;:&quot;J Med Chem&quot;,&quot;accessed&quot;:{&quot;date-parts&quot;:[[2025,12,5]]},&quot;DOI&quot;:&quot;10.1021/JM020377A&quot;,&quot;ISSN&quot;:&quot;00222623&quot;,&quot;PMID&quot;:&quot;12593661&quot;,&quot;URL&quot;:&quot;https://pubs.acs.org/doi/abs/10.1021/jm020377a&quot;,&quot;issued&quot;:{&quot;date-parts&quot;:[[2003,2,27]]},&quot;page&quot;:&quot;820-830&quot;,&quot;abstract&quot;:&quot;A series of sulfonamide hydroxamic acids and anilides have been synthesized and studied as histone deacetylase (HDAC) inhibitors that can induce hyperacetylation of histones in human cancer cells. The inhibition of HDAC activity represents a novel approach for intervening in cell cycle regulation. The lead candidates were screened in a panel of human tumor and normal cell lines. They selectively inhibit proliferation, cause cell cycle blocks, and induce apoptosis in human cancer cells but not in normal cells. The structure−activity relationships, the antiproliferative activity, and the in vivo efficacy are described.&quot;,&quot;publisher&quot;:&quot; American Chemical Society &quot;,&quot;issue&quot;:&quot;5&quot;,&quot;volume&quot;:&quot;46&quot;},&quot;isTemporary&quot;:false}],&quot;citationTag&quot;:&quot;MENDELEY_CITATION_v3_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&quot;},{&quot;citationID&quot;:&quot;MENDELEY_CITATION_c76e4e83-b995-4bf6-bc58-fb165831d2c9&quot;,&quot;properties&quot;:{&quot;noteIndex&quot;:0},&quot;isEdited&quot;:false,&quot;manualOverride&quot;:{&quot;isManuallyOverridden&quot;:false,&quot;citeprocText&quot;:&quot;(Deprez-Poulain et al., 2012)&quot;,&quot;manualOverrideText&quot;:&quot;&quot;},&quot;citationItems&quot;:[{&quot;id&quot;:&quot;a79d1cee-69ef-3302-87ae-32e9c578416c&quot;,&quot;itemData&quot;:{&quot;type&quot;:&quot;article-journal&quot;,&quot;id&quot;:&quot;a79d1cee-69ef-3302-87ae-32e9c578416c&quot;,&quot;title&quot;:&quot;Structure–Activity Relationships and Blood Distribution of Antiplasmodial Aminopeptidase-1 Inhibitors&quot;,&quot;author&quot;:[{&quot;family&quot;:&quot;Deprez-Poulain&quot;,&quot;given&quot;:&quot;Rebecca&quot;,&quot;parse-names&quot;:false,&quot;dropping-particle&quot;:&quot;&quot;,&quot;non-dropping-particle&quot;:&quot;&quot;},{&quot;family&quot;:&quot;Flipo&quot;,&quot;given&quot;:&quot;Marion&quot;,&quot;parse-names&quot;:false,&quot;dropping-particle&quot;:&quot;&quot;,&quot;non-dropping-particle&quot;:&quot;&quot;},{&quot;family&quot;:&quot;Piveteau&quot;,&quot;given&quot;:&quot;Catherine&quot;,&quot;parse-names&quot;:false,&quot;dropping-particle&quot;:&quot;&quot;,&quot;non-dropping-particle&quot;:&quot;&quot;},{&quot;family&quot;:&quot;Leroux&quot;,&quot;given&quot;:&quot;Florence&quot;,&quot;parse-names&quot;:false,&quot;dropping-particle&quot;:&quot;&quot;,&quot;non-dropping-particle&quot;:&quot;&quot;},{&quot;family&quot;:&quot;Dassonneville&quot;,&quot;given&quot;:&quot;Sandrine&quot;,&quot;parse-names&quot;:false,&quot;dropping-particle&quot;:&quot;&quot;,&quot;non-dropping-particle&quot;:&quot;&quot;},{&quot;family&quot;:&quot;Florent&quot;,&quot;given&quot;:&quot;Isabelle&quot;,&quot;parse-names&quot;:false,&quot;dropping-particle&quot;:&quot;&quot;,&quot;non-dropping-particle&quot;:&quot;&quot;},{&quot;family&quot;:&quot;Maes&quot;,&quot;given&quot;:&quot;Louis&quot;,&quot;parse-names&quot;:false,&quot;dropping-particle&quot;:&quot;&quot;,&quot;non-dropping-particle&quot;:&quot;&quot;},{&quot;family&quot;:&quot;Cos&quot;,&quot;given&quot;:&quot;Paul&quot;,&quot;parse-names&quot;:false,&quot;dropping-particle&quot;:&quot;&quot;,&quot;non-dropping-particle&quot;:&quot;&quot;},{&quot;family&quot;:&quot;Deprez&quot;,&quot;given&quot;:&quot;Benoit&quot;,&quot;parse-names&quot;:false,&quot;dropping-particle&quot;:&quot;&quot;,&quot;non-dropping-particle&quot;:&quot;&quot;}],&quot;container-title&quot;:&quot;Journal of Medicinal Chemistry&quot;,&quot;container-title-short&quot;:&quot;J Med Chem&quot;,&quot;accessed&quot;:{&quot;date-parts&quot;:[[2025,12,5]]},&quot;DOI&quot;:&quot;10.1021/JM301506H&quot;,&quot;ISSN&quot;:&quot;00222623&quot;,&quot;PMID&quot;:&quot;23176597&quot;,&quot;URL&quot;:&quot;https://pubs.acs.org/doi/abs/10.1021/jm301506h&quot;,&quot;issued&quot;:{&quot;date-parts&quot;:[[2012,12,27]]},&quot;page&quot;:&quot;10909-10917&quot;,&quot;abstract&quot;:&quot;Malaria is a severe infectious disease that causes between 655 000 and 1.2 million deaths annually. To overcome the resistance to current drugs, new biological targets are needed for drug development. Aminopeptidase M1 (PfAM1), a zinc metalloprotease, has been proposed as a new drug target to fight malaria. Herein, we disclosed the structure–activity relationships of a selective family of hydroxamate PfAM1 inhibitors based on the malonic template. In particular, we performed a “fluoro-scanning” around hit 1 that enlightened the key positions of the halogen for activity. The docking of the best inhibitor 2 is consistent with in vitro results. The stability of 2 was evaluated in microsomes, in plasma, and toward glutathione. The in vivo distribution study performed with the nanomolar hydroxamate inhibitor 2 (BDM14471) revealed that it reaches its site of action. However, it fails to kill the parasite at concentrations relevant to the enzymatic inhibitory potency, suggesting that killing the parasite remains a challenge for potent and druglike catalytic-site binding PfAM1 inhibitors. In all, this study provides important insights for the design of inhibitors of PfAM1 and the validity of this target.&quot;,&quot;publisher&quot;:&quot;American Chemical Society&quot;,&quot;issue&quot;:&quot;24&quot;,&quot;volume&quot;:&quot;55&quot;},&quot;isTemporary&quot;:false}],&quot;citationTag&quot;:&quot;MENDELEY_CITATION_v3_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&quot;},{&quot;citationID&quot;:&quot;MENDELEY_CITATION_93402a8f-44be-4f37-8371-b0a2d8f518a5&quot;,&quot;properties&quot;:{&quot;noteIndex&quot;:0},&quot;isEdited&quot;:false,&quot;manualOverride&quot;:{&quot;isManuallyOverridden&quot;:false,&quot;citeprocText&quot;:&quot;(Butler et al., 2010; Marson et al., 2005)&quot;,&quot;manualOverrideText&quot;:&quot;&quot;},&quot;citationItems&quot;:[{&quot;id&quot;:&quot;9719c7ea-d2f4-325e-a291-686f2c6ac780&quot;,&quot;itemData&quot;:{&quot;type&quot;:&quot;article-journal&quot;,&quot;id&quot;:&quot;9719c7ea-d2f4-325e-a291-686f2c6ac780&quot;,&quot;title&quot;:&quot;Rational Design and Simple Chemistry Yield a Superior, Neuroprotective HDAC6 Inhibitor, Tubastatin A&quot;,&quot;author&quot;:[{&quot;family&quot;:&quot;Butler&quot;,&quot;given&quot;:&quot;Kyle&quot;,&quot;parse-names&quot;:false,&quot;dropping-particle&quot;:&quot;V.&quot;,&quot;non-dropping-particle&quot;:&quot;&quot;},{&quot;family&quot;:&quot;Kalin&quot;,&quot;given&quot;:&quot;Jay&quot;,&quot;parse-names&quot;:false,&quot;dropping-particle&quot;:&quot;&quot;,&quot;non-dropping-particle&quot;:&quot;&quot;},{&quot;family&quot;:&quot;Brochier&quot;,&quot;given&quot;:&quot;Camille&quot;,&quot;parse-names&quot;:false,&quot;dropping-particle&quot;:&quot;&quot;,&quot;non-dropping-particle&quot;:&quot;&quot;},{&quot;family&quot;:&quot;Vistoli&quot;,&quot;given&quot;:&quot;Guilio&quot;,&quot;parse-names&quot;:false,&quot;dropping-particle&quot;:&quot;&quot;,&quot;non-dropping-particle&quot;:&quot;&quot;},{&quot;family&quot;:&quot;Langley&quot;,&quot;given&quot;:&quot;Brett&quot;,&quot;parse-names&quot;:false,&quot;dropping-particle&quot;:&quot;&quot;,&quot;non-dropping-particle&quot;:&quot;&quot;},{&quot;family&quot;:&quot;Kozikowski&quot;,&quot;given&quot;:&quot;Alan P.&quot;,&quot;parse-names&quot;:false,&quot;dropping-particle&quot;:&quot;&quot;,&quot;non-dropping-particle&quot;:&quot;&quot;}],&quot;container-title&quot;:&quot;Journal of the American Chemical Society&quot;,&quot;container-title-short&quot;:&quot;J Am Chem Soc&quot;,&quot;accessed&quot;:{&quot;date-parts&quot;:[[2025,12,5]]},&quot;DOI&quot;:&quot;10.1021/JA102758V&quot;,&quot;ISSN&quot;:&quot;00027863&quot;,&quot;PMID&quot;:&quot;20614936&quot;,&quot;URL&quot;:&quot;https://pubs.acs.org/doi/abs/10.1021/ja102758v&quot;,&quot;issued&quot;:{&quot;date-parts&quot;:[[2010,8,11]]},&quot;page&quot;:&quot;10842-10846&quot;,&quot;abstract&quot;:&quot;Structure-based drug design combined with homology modeling techniques were used to develop potent inhibitors of HDAC6 that display superior selectivity for the HDAC6 isozyme compared to other inhibitors. These inhibitors can be assembled in a few synthetic steps, and thus are readily scaled up for in vivo studies. An optimized compound from this series, designated Tubastatin A, was tested in primary cortical neuron cultures in which it was found to induce elevated levels of acetylated α-tubulin, but not histone, consistent with its HDAC6 selectivity. Tubastatin A also conferred dose-dependent protection in primary cortical neuron cultures against glutathione depletion-induced oxidative stress. Importantly, when given alone at all concentrations tested, this hydroxamate-containing HDAC6-selective compound displayed no neuronal toxicity, thus, forecasting the potential application of this agent and its analogues to neurodegenerative conditions.&quot;,&quot;publisher&quot;:&quot; American Chemical Society&quot;,&quot;issue&quot;:&quot;31&quot;,&quot;volume&quot;:&quot;132&quot;},&quot;isTemporary&quot;:false},{&quot;id&quot;:&quot;1652b12e-af7e-36f8-b946-c3bce5497a88&quot;,&quot;itemData&quot;:{&quot;type&quot;:&quot;article-journal&quot;,&quot;id&quot;:&quot;1652b12e-af7e-36f8-b946-c3bce5497a88&quot;,&quot;title&quot;:&quot;Aromatic Sulfide Inhibitors of Histone Deacetylase Based on Arylsulfinyl-2,4-hexadienoic Acid Hydroxyamides&quot;,&quot;author&quot;:[{&quot;family&quot;:&quot;Marson&quot;,&quot;given&quot;:&quot;Charles M.&quot;,&quot;parse-names&quot;:false,&quot;dropping-particle&quot;:&quot;&quot;,&quot;non-dropping-particle&quot;:&quot;&quot;},{&quot;family&quot;:&quot;Savy&quot;,&quot;given&quot;:&quot;Pascal&quot;,&quot;parse-names&quot;:false,&quot;dropping-particle&quot;:&quot;&quot;,&quot;non-dropping-particle&quot;:&quot;&quot;},{&quot;family&quot;:&quot;Rioja&quot;,&quot;given&quot;:&quot;Alphonse S.&quot;,&quot;parse-names&quot;:false,&quot;dropping-particle&quot;:&quot;&quot;,&quot;non-dropping-particle&quot;:&quot;&quot;},{&quot;family&quot;:&quot;Mahadevan&quot;,&quot;given&quot;:&quot;Thevaki&quot;,&quot;parse-names&quot;:false,&quot;dropping-particle&quot;:&quot;&quot;,&quot;non-dropping-particle&quot;:&quot;&quot;},{&quot;family&quot;:&quot;Mikol&quot;,&quot;given&quot;:&quot;Catherine&quot;,&quot;parse-names&quot;:false,&quot;dropping-particle&quot;:&quot;&quot;,&quot;non-dropping-particle&quot;:&quot;&quot;},{&quot;family&quot;:&quot;Veerupillai&quot;,&quot;given&quot;:&quot;Arthi&quot;,&quot;parse-names&quot;:false,&quot;dropping-particle&quot;:&quot;&quot;,&quot;non-dropping-particle&quot;:&quot;&quot;},{&quot;family&quot;:&quot;Nsubuga&quot;,&quot;given&quot;:&quot;Eva&quot;,&quot;parse-names&quot;:false,&quot;dropping-particle&quot;:&quot;&quot;,&quot;non-dropping-particle&quot;:&quot;&quot;},{&quot;family&quot;:&quot;Chahwan&quot;,&quot;given&quot;:&quot;Angela&quot;,&quot;parse-names&quot;:false,&quot;dropping-particle&quot;:&quot;&quot;,&quot;non-dropping-particle&quot;:&quot;&quot;},{&quot;family&quot;:&quot;Joel&quot;,&quot;given&quot;:&quot;Simon P.&quot;,&quot;parse-names&quot;:false,&quot;dropping-particle&quot;:&quot;&quot;,&quot;non-dropping-particle&quot;:&quot;&quot;}],&quot;container-title&quot;:&quot;Journal of Medicinal Chemistry&quot;,&quot;container-title-short&quot;:&quot;J Med Chem&quot;,&quot;accessed&quot;:{&quot;date-parts&quot;:[[2025,12,5]]},&quot;DOI&quot;:&quot;10.1021/JM051010J&quot;,&quot;ISSN&quot;:&quot;00222623&quot;,&quot;PMID&quot;:&quot;16420064&quot;,&quot;URL&quot;:&quot;https://pubs.acs.org/doi/abs/10.1021/jm051010j&quot;,&quot;issued&quot;:{&quot;date-parts&quot;:[[2005,1,26]]},&quot;page&quot;:&quot;800-805&quot;,&quot;abstract&quot;:&quot;The synthesis of a novel series of potent inhibitors of histone deacetylases is described, based on arylsulfinyl-2,4-hexadienoic acid hydroxyamides and their derivatives. In vitro IC50 values down to 40 nM were obtained, and several compounds showed inhibition of CEM (human leukemic) cell viability with IC50 of ∼1.5 μM, comparable to or better than that of suberoylanilide hydroxamic acid, an inhibitor of histone deacetylase currently in clinical trials.&quot;,&quot;publisher&quot;:&quot; American Chemical Society &quot;,&quot;issue&quot;:&quot;2&quot;,&quot;volume&quot;:&quot;49&quot;},&quot;isTemporary&quot;:false}],&quot;citationTag&quot;:&quot;MENDELEY_CITATION_v3_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&quot;},{&quot;citationID&quot;:&quot;MENDELEY_CITATION_33feb182-d249-40b1-b779-87b91cc9794a&quot;,&quot;properties&quot;:{&quot;noteIndex&quot;:0},&quot;isEdited&quot;:false,&quot;manualOverride&quot;:{&quot;isManuallyOverridden&quot;:false,&quot;citeprocText&quot;:&quot;(Cho et al., 2013)&quot;,&quot;manualOverrideText&quot;:&quot;&quot;},&quot;citationItems&quot;:[{&quot;id&quot;:&quot;eb2fcd72-3983-389b-8586-dbb4a4e1aed1&quot;,&quot;itemData&quot;:{&quot;type&quot;:&quot;article-journal&quot;,&quot;id&quot;:&quot;eb2fcd72-3983-389b-8586-dbb4a4e1aed1&quot;,&quot;title&quot;:&quot;Discovery of Pyridone-Based Histone Deacetylase Inhibitors: Approaches for Metabolic Stability&quot;,&quot;author&quot;:[{&quot;family&quot;:&quot;Cho&quot;,&quot;given&quot;:&quot;Misun&quot;,&quot;parse-names&quot;:false,&quot;dropping-particle&quot;:&quot;&quot;,&quot;non-dropping-particle&quot;:&quot;&quot;},{&quot;family&quot;:&quot;Choi&quot;,&quot;given&quot;:&quot;Eunhyun&quot;,&quot;parse-names&quot;:false,&quot;dropping-particle&quot;:&quot;&quot;,&quot;non-dropping-particle&quot;:&quot;&quot;},{&quot;family&quot;:&quot;Yang&quot;,&quot;given&quot;:&quot;Jee Sun&quot;,&quot;parse-names&quot;:false,&quot;dropping-particle&quot;:&quot;&quot;,&quot;non-dropping-particle&quot;:&quot;&quot;},{&quot;family&quot;:&quot;Lee&quot;,&quot;given&quot;:&quot;Chulho&quot;,&quot;parse-names&quot;:false,&quot;dropping-particle&quot;:&quot;&quot;,&quot;non-dropping-particle&quot;:&quot;&quot;},{&quot;family&quot;:&quot;Seo&quot;,&quot;given&quot;:&quot;Jeong Jea&quot;,&quot;parse-names&quot;:false,&quot;dropping-particle&quot;:&quot;&quot;,&quot;non-dropping-particle&quot;:&quot;&quot;},{&quot;family&quot;:&quot;Kim&quot;,&quot;given&quot;:&quot;Beom Seok&quot;,&quot;parse-names&quot;:false,&quot;dropping-particle&quot;:&quot;&quot;,&quot;non-dropping-particle&quot;:&quot;&quot;},{&quot;family&quot;:&quot;Oh&quot;,&quot;given&quot;:&quot;Soo Jin&quot;,&quot;parse-names&quot;:false,&quot;dropping-particle&quot;:&quot;&quot;,&quot;non-dropping-particle&quot;:&quot;&quot;},{&quot;family&quot;:&quot;Kim&quot;,&quot;given&quot;:&quot;Hwan Mook&quot;,&quot;parse-names&quot;:false,&quot;dropping-particle&quot;:&quot;&quot;,&quot;non-dropping-particle&quot;:&quot;&quot;},{&quot;family&quot;:&quot;Lee&quot;,&quot;given&quot;:&quot;Kiho&quot;,&quot;parse-names&quot;:false,&quot;dropping-particle&quot;:&quot;&quot;,&quot;non-dropping-particle&quot;:&quot;&quot;},{&quot;family&quot;:&quot;Park&quot;,&quot;given&quot;:&quot;Song Kyu&quot;,&quot;parse-names&quot;:false,&quot;dropping-particle&quot;:&quot;&quot;,&quot;non-dropping-particle&quot;:&quot;&quot;},{&quot;family&quot;:&quot;Kwon&quot;,&quot;given&quot;:&quot;Ho Jeong&quot;,&quot;parse-names&quot;:false,&quot;dropping-particle&quot;:&quot;&quot;,&quot;non-dropping-particle&quot;:&quot;&quot;},{&quot;family&quot;:&quot;Han&quot;,&quot;given&quot;:&quot;Gyoonhee&quot;,&quot;parse-names&quot;:false,&quot;dropping-particle&quot;:&quot;&quot;,&quot;non-dropping-particle&quot;:&quot;&quot;}],&quot;container-title&quot;:&quot;ChemMedChem&quot;,&quot;container-title-short&quot;:&quot;ChemMedChem&quot;,&quot;accessed&quot;:{&quot;date-parts&quot;:[[2025,12,5]]},&quot;DOI&quot;:&quot;10.1002/CMDC.201200529;PAGE:STRING:ARTICLE/CHAPTER&quot;,&quot;ISSN&quot;:&quot;18607179&quot;,&quot;PMID&quot;:&quot;23292995&quot;,&quot;URL&quot;:&quot;/doi/pdf/10.1002/cmdc.201200529&quot;,&quot;issued&quot;:{&quot;date-parts&quot;:[[2013,2,1]]},&quot;page&quot;:&quot;272-279&quot;,&quot;abstract&quot;:&quot;Histone deacetylases (HDACs) are important enzymes in epigenetic regulation and are therapeutic targets for cancer. Most zinc-dependent HDACs induce proliferation, dedifferentiation, and anti-apoptotic effects in cancer cells. We designed and synthesized a new series of pyridone-based HDAC inhibitors that have a pyridone ring in the core structure and a conjugated system with an olefin connecting the hydroxamic acid moiety. Consequently, most of the selected pyridone-based HDAC inhibitors showed similar or higher inhibition profiles in addition to remarkable metabolic stability against hydrolysis relative to the corresponding lactam-based HDAC inhibitors. Furthermore, the selectivity of the novel pyridine-based compounds was evaluated across all of the HDAC isoforms. One of these compounds, (E)-N-hydroxy-3-{1-[3-(naphthalen-2-yl)propyl]-2-oxo-1,2-dihydropyridin-3-yl}acrylamide, exhibited the highest level of HDAC inhibition (IC50=0.07μM), highly selective inhibition of classI HDAC1 and classII HDAC6 enzymes, metabolic stability in mouse liver microsomal studies, and effective growth inhibition of various cancer cell lines. Docking studies indicated that a long alkyl linker and bulky hydrophobic cap groups affect invitro activities. Overall, the findings reported herein regarding pyridone-based HDAC inhibitors can be used to guide future research efforts to develop new and effective anticancer therapeutics. © 2013 WILEY-VCH Verlag GmbH &amp; Co. KGaA, Weinheim.&quot;,&quot;publisher&quot;:&quot;John Wiley &amp; Sons, Ltd&quot;,&quot;issue&quot;:&quot;2&quot;,&quot;volume&quot;:&quot;8&quot;},&quot;isTemporary&quot;:false}],&quot;citationTag&quot;:&quot;MENDELEY_CITATION_v3_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&quot;},{&quot;citationID&quot;:&quot;MENDELEY_CITATION_b1adb1fa-655f-4bc6-98aa-d27011ef60fd&quot;,&quot;properties&quot;:{&quot;noteIndex&quot;:0},&quot;isEdited&quot;:false,&quot;manualOverride&quot;:{&quot;isManuallyOverridden&quot;:false,&quot;citeprocText&quot;:&quot;(Pilo et al., 2013)&quot;,&quot;manualOverrideText&quot;:&quot;&quot;},&quot;citationItems&quot;:[{&quot;id&quot;:&quot;3676b04a-7b9b-319c-a6b2-c2f39a186acb&quot;,&quot;itemData&quot;:{&quot;type&quot;:&quot;article-journal&quot;,&quot;id&quot;:&quot;3676b04a-7b9b-319c-a6b2-c2f39a186acb&quot;,&quot;title&quot;:&quot;A Copper-Catalysed Amidation of Aldehydes via N-hydroxysuccinimide Ester Formation&quot;,&quot;author&quot;:[{&quot;family&quot;:&quot;Pilo&quot;,&quot;given&quot;:&quot;Monica&quot;,&quot;parse-names&quot;:false,&quot;dropping-particle&quot;:&quot;&quot;,&quot;non-dropping-particle&quot;:&quot;&quot;},{&quot;family&quot;:&quot;Porcheddu&quot;,&quot;given&quot;:&quot;Andrea&quot;,&quot;parse-names&quot;:false,&quot;dropping-particle&quot;:&quot;&quot;,&quot;non-dropping-particle&quot;:&quot;&quot;},{&quot;family&quot;:&quot;Luca&quot;,&quot;given&quot;:&quot;Lidia&quot;,&quot;parse-names&quot;:false,&quot;dropping-particle&quot;:&quot;&quot;,&quot;non-dropping-particle&quot;:&quot;De&quot;}],&quot;container-title&quot;:&quot;Organic &amp; Biomolecular Chemistry&quot;,&quot;container-title-short&quot;:&quot;Org Biomol Chem&quot;,&quot;accessed&quot;:{&quot;date-parts&quot;:[[2025,12,5]]},&quot;DOI&quot;:&quot;10.1039/C3OB41440J&quot;,&quot;ISSN&quot;:&quot;1477-0539&quot;,&quot;URL&quot;:&quot;https://pubs.rsc.org/en/content/articlehtml/2013/ob/c3ob41440j&quot;,&quot;issued&quot;:{&quot;date-parts&quot;:[[2013,11,13]]},&quot;page&quot;:&quot;8241-8246&quot;,&quot;abstract&quot;:&quot;A copper-catalysed oxidative amidation of aldehydes via N-hydroxysuccinimide ester formation is reported. The methodology employed to prepare amides directly from aldehydes has a very wide scope, is high yielding, and does not need dry conditions. This cross-coupling reaction appears to be simple and makes use of cheap, abundant and easily available reagents.&quot;,&quot;publisher&quot;:&quot;The Royal Society of Chemistry&quot;,&quot;issue&quot;:&quot;47&quot;,&quot;volume&quot;:&quot;11&quot;},&quot;isTemporary&quot;:false}],&quot;citationTag&quot;:&quot;MENDELEY_CITATION_v3_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&quot;},{&quot;citationID&quot;:&quot;MENDELEY_CITATION_1e118d8f-1d8d-471e-a90a-ecc3198f5157&quot;,&quot;properties&quot;:{&quot;noteIndex&quot;:0},&quot;isEdited&quot;:false,&quot;manualOverride&quot;:{&quot;isManuallyOverridden&quot;:false,&quot;citeprocText&quot;:&quot;(Dettori et al., 2014)&quot;,&quot;manualOverrideText&quot;:&quot;&quot;},&quot;citationItems&quot;:[{&quot;id&quot;:&quot;fed40988-85a5-306e-8373-c92cb0cd7a0b&quot;,&quot;itemData&quot;:{&quot;type&quot;:&quot;article-journal&quot;,&quot;id&quot;:&quot;fed40988-85a5-306e-8373-c92cb0cd7a0b&quot;,&quot;title&quot;:&quot;One-Pot Synthesis of Hydroxamic Acids from Aldehydes and Hydroxylamine&quot;,&quot;author&quot;:[{&quot;family&quot;:&quot;Dettori&quot;,&quot;given&quot;:&quot;Giovanna&quot;,&quot;parse-names&quot;:false,&quot;dropping-particle&quot;:&quot;&quot;,&quot;non-dropping-particle&quot;:&quot;&quot;},{&quot;family&quot;:&quot;Gaspa&quot;,&quot;given&quot;:&quot;Silvia&quot;,&quot;parse-names&quot;:false,&quot;dropping-particle&quot;:&quot;&quot;,&quot;non-dropping-particle&quot;:&quot;&quot;},{&quot;family&quot;:&quot;Porcheddu&quot;,&quot;given&quot;:&quot;Andrea&quot;,&quot;parse-names&quot;:false,&quot;dropping-particle&quot;:&quot;&quot;,&quot;non-dropping-particle&quot;:&quot;&quot;},{&quot;family&quot;:&quot;Luca&quot;,&quot;given&quot;:&quot;Lidia&quot;,&quot;parse-names&quot;:false,&quot;dropping-particle&quot;:&quot;&quot;,&quot;non-dropping-particle&quot;:&quot;De&quot;}],&quot;container-title&quot;:&quot;Advanced Synthesis &amp; Catalysis&quot;,&quot;container-title-short&quot;:&quot;Adv Synth Catal&quot;,&quot;accessed&quot;:{&quot;date-parts&quot;:[[2025,12,5]]},&quot;DOI&quot;:&quot;10.1002/ADSC.201400188&quot;,&quot;ISSN&quot;:&quot;1615-4169&quot;,&quot;URL&quot;:&quot;/doi/pdf/10.1002/adsc.201400188&quot;,&quot;issued&quot;:{&quot;date-parts&quot;:[[2014,8,11]]},&quot;page&quot;:&quot;2709-2713&quot;,&quot;abstract&quot;:&quot;A one-pot oxidative transformation of aldehydes into hydroxamic acids by the use of an aqueous solution of hydroxylamine is reported. The methodology gives high yields and makes use of cheap, abundant and easily available reagents. © 2014 WILEY-VCH Verlag GmbH &amp; Co. KGaA, Weinheim.&quot;,&quot;publisher&quot;:&quot;John Wiley &amp; Sons, Ltd&quot;,&quot;issue&quot;:&quot;11-12&quot;,&quot;volume&quot;:&quot;356&quot;},&quot;isTemporary&quot;:false}],&quot;citationTag&quot;:&quot;MENDELEY_CITATION_v3_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&quot;},{&quot;citationID&quot;:&quot;MENDELEY_CITATION_0a125fb4-ab10-4dbb-a864-47593c7f92f2&quot;,&quot;properties&quot;:{&quot;noteIndex&quot;:0},&quot;isEdited&quot;:false,&quot;manualOverride&quot;:{&quot;isManuallyOverridden&quot;:false,&quot;citeprocText&quot;:&quot;(Ganeshpurkar et al., 2018)&quot;,&quot;manualOverrideText&quot;:&quot;&quot;},&quot;citationItems&quot;:[{&quot;id&quot;:&quot;01b9f424-c67e-3ebd-82b6-76fe6429de04&quot;,&quot;itemData&quot;:{&quot;type&quot;:&quot;article-journal&quot;,&quot;id&quot;:&quot;01b9f424-c67e-3ebd-82b6-76fe6429de04&quot;,&quot;title&quot;:&quot;Strategies for the Synthesis of Hydroxamic Acids&quot;,&quot;author&quot;:[{&quot;family&quot;:&quot;Ganeshpurkar&quot;,&quot;given&quot;:&quot;Ankit&quot;,&quot;parse-names&quot;:false,&quot;dropping-particle&quot;:&quot;&quot;,&quot;non-dropping-particle&quot;:&quot;&quot;},{&quot;family&quot;:&quot;Kumar&quot;,&quot;given&quot;:&quot;Devendra&quot;,&quot;parse-names&quot;:false,&quot;dropping-particle&quot;:&quot;&quot;,&quot;non-dropping-particle&quot;:&quot;&quot;},{&quot;family&quot;:&quot;Singh&quot;,&quot;given&quot;:&quot;Sushil K.&quot;,&quot;parse-names&quot;:false,&quot;dropping-particle&quot;:&quot;&quot;,&quot;non-dropping-particle&quot;:&quot;&quot;}],&quot;container-title&quot;:&quot;Current Organic Synthesis&quot;,&quot;container-title-short&quot;:&quot;Curr Org Synth&quot;,&quot;accessed&quot;:{&quot;date-parts&quot;:[[2025,12,5]]},&quot;DOI&quot;:&quot;10.2174/1570179414666170614123508/CITE/REFWORKS&quot;,&quot;ISSN&quot;:&quot;15701794&quot;,&quot;URL&quot;:&quot;https://www.benthamdirect.com/content/journals/cos/10.2174/1570179414666170614123508&quot;,&quot;issued&quot;:{&quot;date-parts&quot;:[[2018,4,24]]},&quot;page&quot;:&quot;154-165&quot;,&quot;abstract&quot;:&quot;© 2018 Bentham Science Publishers. Background: Hydroxamic acids are a major class of organic compounds. They have a wide variety of pharmacological actions in targeting cancers, cardiovascular diseases, HIV, Alzheimer’s disease, Malaria, Allergic diseases. Objective: The present review focuses on the chemistry of conventional and non-conventional routes for the synthesis of hydroxamic acids reported till date. Conclusion: The hydroxamic acids are conventionally synthesized via carboxylic acid and their acid chloride derivatives. However, some other functional groups i.e. aldehyde, amine, amide and alcohol can also be converted to hydroxamate with ease. The solid phase synthesis techniques are also gaining importance for the synthesis of hydroxamic acids and these pathways have opened a wide arena for the synthesis of diverse and complex hydroxamic acids.&quot;,&quot;publisher&quot;:&quot;Bentham Science Publishers Ltd.&quot;,&quot;issue&quot;:&quot;2&quot;,&quot;volume&quot;:&quot;15&quot;},&quot;isTemporary&quot;:false}],&quot;citationTag&quot;:&quot;MENDELEY_CITATION_v3_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&quot;},{&quot;citationID&quot;:&quot;MENDELEY_CITATION_b7b18bbf-22c7-420e-a75e-1f726ce69252&quot;,&quot;properties&quot;:{&quot;noteIndex&quot;:0},&quot;isEdited&quot;:false,&quot;manualOverride&quot;:{&quot;isManuallyOverridden&quot;:false,&quot;citeprocText&quot;:&quot;(Agarwal et al., 2013)&quot;,&quot;manualOverrideText&quot;:&quot;&quot;},&quot;citationItems&quot;:[{&quot;id&quot;:&quot;78c8fb42-6a71-3114-99ca-fd853ef58f1b&quot;,&quot;itemData&quot;:{&quot;type&quot;:&quot;article-journal&quot;,&quot;id&quot;:&quot;78c8fb42-6a71-3114-99ca-fd853ef58f1b&quot;,&quot;title&quot;:&quot;Bioprocess Development for Nicotinic Acid Hydroxamate Synthesis by Acyltransferase Activity of Bacillus Smithii Strain IITR6b2&quot;,&quot;author&quot;:[{&quot;family&quot;:&quot;Agarwal&quot;,&quot;given&quot;:&quot;Shilpi&quot;,&quot;parse-names&quot;:false,&quot;dropping-particle&quot;:&quot;&quot;,&quot;non-dropping-particle&quot;:&quot;&quot;},{&quot;family&quot;:&quot;Gupta&quot;,&quot;given&quot;:&quot;Meenu&quot;,&quot;parse-names&quot;:false,&quot;dropping-particle&quot;:&quot;&quot;,&quot;non-dropping-particle&quot;:&quot;&quot;},{&quot;family&quot;:&quot;Choudhury&quot;,&quot;given&quot;:&quot;Bijan&quot;,&quot;parse-names&quot;:false,&quot;dropping-particle&quot;:&quot;&quot;,&quot;non-dropping-particle&quot;:&quot;&quot;}],&quot;container-title&quot;:&quot;Journal of Industrial Microbiology and Biotechnology&quot;,&quot;container-title-short&quot;:&quot;J Ind Microbiol Biotechnol&quot;,&quot;accessed&quot;:{&quot;date-parts&quot;:[[2025,12,5]]},&quot;DOI&quot;:&quot;10.1007/S10295-013-1299-X&quot;,&quot;ISSN&quot;:&quot;1367-5435&quot;,&quot;PMID&quot;:&quot;23794117&quot;,&quot;URL&quot;:&quot;https://dx.doi.org/10.1007/s10295-013-1299-x&quot;,&quot;issued&quot;:{&quot;date-parts&quot;:[[2013,9,1]]},&quot;page&quot;:&quot;937-946&quot;,&quot;abstract&quot;:&quot;In this work, acyltransferase activity of a new bacterial isolate Bacillus smithii strain IITR6b2 was utilized for the synthesis of nicotinic acid hydroxamate (NAH), a heterocyclic class of hydroxamic acid. NAH is an important pyridine derivative and has found its role as bioligand, urease inhibitor, antityrosinase, antioxidant, antimetastatic, and vasodilating agents. Amidase having acyltransferase activity with nicotinamide is suitable for nicotinic acid hydroxamate production. However, amidase can also simultaneously hydrolyze nicotinamide and nicotinic acid hydroxamate to nicotinic acid. Nicotinic acid is an undesirable by-product and thus any biocatalytic process involving amidase for nicotinic acid hydroxamate production needs to have high ratios of acyltransferase to amide hydrolase and acyltransferase to nicotinic acid hydroxamate hydrolase activity. Isolate Bacillus smithii strain IITR6b2 was found to have 28- and 12.3-fold higher acyltransferase to amide and hydroxamic acid hydrolase activities, respectively. This higher ratio resulted in a limited undesirable by-product, nicotinic acid (NA) synthesis. The optimal substrate/co-substrate ratio, pH, temperature, incubation time, and resting cells concentration were 200/250 mM, 7, 30 C, 40 min, and 0.7 mgDCW ml-1, respectively, and 94.5 % molar conversion of nicotinamide to nicotinic acid hydroxamate was achieved under these reaction conditions. To avoid substrate inhibition effect, a fed-batch process based on the optimized parameters with two feedings of substrates (200/200 mM) at 40-min intervals was developed and a molar conversion yield of 89.4 % with the productivity of 52.9 g h-1 g DCW-1 was achieved at laboratory scale. Finally, 6.4 g of powder containing 58.5 % (w/w) nicotinic acid hydroxamate was recovered after lyophilization and further purification resulted in 95 % pure product. © 2013 Society for Industrial Microbiology and Biotechnology.&quot;,&quot;publisher&quot;:&quot;Oxford Academic&quot;,&quot;issue&quot;:&quot;9&quot;,&quot;volume&quot;:&quot;40&quot;},&quot;isTemporary&quot;:false}],&quot;citationTag&quot;:&quot;MENDELEY_CITATION_v3_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&quot;},{&quot;citationID&quot;:&quot;MENDELEY_CITATION_e10b9be4-2bd7-4ee3-9db7-aec0ccf5c1b1&quot;,&quot;properties&quot;:{&quot;noteIndex&quot;:0},&quot;isEdited&quot;:false,&quot;manualOverride&quot;:{&quot;isManuallyOverridden&quot;:false,&quot;citeprocText&quot;:&quot;(Dushanan et al., 2022a)&quot;,&quot;manualOverrideText&quot;:&quot;&quot;},&quot;citationItems&quot;:[{&quot;id&quot;:&quot;28616db6-1c16-309e-aa15-35ccd443d3da&quot;,&quot;itemData&quot;:{&quot;type&quot;:&quot;article-journal&quot;,&quot;id&quot;:&quot;28616db6-1c16-309e-aa15-35ccd443d3da&quot;,&quot;title&quot;:&quot;Cracking a Cancer Code Histone Deacetylation in Epigenetic: the Implication from Molecular Dynamics Simulations on Efficacy Assessment of Histone Deacetylase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Journal of Biomolecular Structure and Dynamics&quot;,&quot;container-title-short&quot;:&quot;J Biomol Struct Dyn&quot;,&quot;DOI&quot;:&quot;10.1080/07391102.2020.1838328&quot;,&quot;ISSN&quot;:&quot;15380254&quot;,&quot;URL&quot;:&quot;https://doi.org/10.1080/07391102.2020.1838328&quot;,&quot;issued&quot;:{&quot;date-parts&quot;:[[2022]]},&quot;page&quot;:&quot;2352-2368&quot;,&quot;abstract&quot;:&quot;Epigenetic changes, histone acetylation and deacetylation in chromatin have been intensively studied due to their significance in regulating the gene expression. According to the type of tumor, the levels of histone deacetylases (HDAC) are varied. HDAC inhibitors are a new promising class of compounds that inhibit the proliferation of tumor cells. In this study, the inhibitory efficacy of some HDAC inhibitors such as vorinostat, panobinostat, abexinostat, belinostat, resminostat, dacinostat and pracinostat was studied using molecular dynamics simulation. The inhibitory efficacy was estimated by computing the enzyme’s stability, positional stability of the individual amino acids and interaction energies of HDLP-inhibitor complexes. It is hoped that this investigation may improve our understanding of the atomic-level description of the inhibitor binding site and how the HDAC inhibitors change the environment of the enzyme’s active site. The results obtained from the root-mean-square deviation, the radius of gyration, solvent-accessible surface area, root-mean-square fluctuation, stride server and Ramachandran plot have revealed that the stability of HDLP enzyme with vorinostat, panobinostat and abexinostat is higher than the other studied complexes. According to the calculated values for MM-PBSA, LIE, semi-LIE binding free energies and interaction energies, the stability of the HDLP enzyme varies as panobinostat &gt; abexinostat &gt; vorinostat where resminostat complex showed relatively low stability. The ligandability and drugability values also give the same trend as above. The findings revealed that the panobinostat and abexinostat are potential lead compounds as reference inhibitor vorinostat. Therefore, it is possible to use these drugs as HDAC inhibitors in clinical practices. Also, the outcomes of this study could be utilized to identify new inhibitors for clinical research.&quot;,&quot;publisher&quot;:&quot;Taylor &amp; Francis&quot;,&quot;issue&quot;:&quot;5&quot;,&quot;volume&quot;:&quot;40&quot;},&quot;isTemporary&quot;:false}],&quot;citationTag&quot;:&quot;MENDELEY_CITATION_v3_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&quot;},{&quot;citationID&quot;:&quot;MENDELEY_CITATION_2e27548e-5655-461c-af33-80d104f5fa9b&quot;,&quot;properties&quot;:{&quot;noteIndex&quot;:0},&quot;isEdited&quot;:false,&quot;manualOverride&quot;:{&quot;isManuallyOverridden&quot;:false,&quot;citeprocText&quot;:&quot;(Dushanan et al., 2022c)&quot;,&quot;manualOverrideText&quot;:&quot;&quot;},&quot;citationItems&quot;:[{&quot;id&quot;:&quot;cfd3983e-2209-322b-904f-3f1b9233857b&quot;,&quot;itemData&quot;:{&quot;type&quot;:&quot;article-journal&quot;,&quot;id&quot;:&quot;cfd3983e-2209-322b-904f-3f1b9233857b&quot;,&quot;title&quot;:&quot;Implication of Ab Initio, QM/MM, and Molecular Dynamics Calculations on the Prediction of the Therapeutic Potential of Some Selected HDAC Inhibitors&quot;,&quot;author&quot;:[{&quot;family&quot;:&quot;Dushanan&quot;,&quot;given&quot;:&quot;Ramachandren&quot;,&quot;parse-names&quot;:false,&quot;dropping-particle&quot;:&quot;&quot;,&quot;non-dropping-particle&quot;:&quot;&quot;},{&quot;family&quot;:&quot;Weerasinghe&quot;,&quot;given&quot;:&quot;Samantha&quot;,&quot;parse-names&quot;:false,&quot;dropping-particle&quot;:&quot;&quot;,&quot;non-dropping-particle&quot;:&quot;&quot;},{&quot;family&quot;:&quot;Dissanayake&quot;,&quot;given&quot;:&quot;Dhammike&quot;,&quot;parse-names&quot;:false,&quot;dropping-particle&quot;:&quot;&quot;,&quot;non-dropping-particle&quot;:&quot;&quot;},{&quot;family&quot;:&quot;Senthilnithy&quot;,&quot;given&quot;:&quot;Rajendram&quot;,&quot;parse-names&quot;:false,&quot;dropping-particle&quot;:&quot;&quot;,&quot;non-dropping-particle&quot;:&quot;&quot;}],&quot;container-title&quot;:&quot;Molecular Simulation&quot;,&quot;container-title-short&quot;:&quot;Mol Simul&quot;,&quot;DOI&quot;:&quot;10.1080/08927022.2022.2097672&quot;,&quot;ISSN&quot;:&quot;0892-7022&quot;,&quot;URL&quot;:&quot;https://doi.org/10.1080/08927022.2022.2097672&quot;,&quot;issued&quot;:{&quot;date-parts&quot;:[[2022]]},&quot;page&quot;:&quot;1464-1475&quot;,&quot;issue&quot;:&quot;16&quot;,&quot;volume&quot;:&quot;48&quot;},&quot;isTemporary&quot;:false}],&quot;citationTag&quot;:&quot;MENDELEY_CITATION_v3_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&quot;},{&quot;citationID&quot;:&quot;MENDELEY_CITATION_e620aa90-24be-47cb-96fe-3a53cbee50f1&quot;,&quot;properties&quot;:{&quot;noteIndex&quot;:0},&quot;isEdited&quot;:false,&quot;manualOverride&quot;:{&quot;isManuallyOverridden&quot;:false,&quot;citeprocText&quot;:&quot;(Sixto-López et al., 2020)&quot;,&quot;manualOverrideText&quot;:&quot;&quot;},&quot;citationItems&quot;:[{&quot;id&quot;:&quot;779cd5a0-7806-31ba-a466-4bfe82b69daa&quot;,&quot;itemData&quot;:{&quot;type&quot;:&quot;article-journal&quot;,&quot;id&quot;:&quot;779cd5a0-7806-31ba-a466-4bfe82b69daa&quot;,&quot;title&quot;:&quot;Hydroxamic Acid Derivatives Aa HDAC1, HDAC6 And HDAC8 Inhibitors with Antiproliferative Activity in Cancer Cell Lines&quot;,&quot;author&quot;:[{&quot;family&quot;:&quot;Sixto-López&quot;,&quot;given&quot;:&quot;Yudibeth&quot;,&quot;parse-names&quot;:false,&quot;dropping-particle&quot;:&quot;&quot;,&quot;non-dropping-particle&quot;:&quot;&quot;},{&quot;family&quot;:&quot;Gómez-Vidal&quot;,&quot;given&quot;:&quot;José Antonio&quot;,&quot;parse-names&quot;:false,&quot;dropping-particle&quot;:&quot;&quot;,&quot;non-dropping-particle&quot;:&quot;&quot;},{&quot;family&quot;:&quot;Pedro&quot;,&quot;given&quot;:&quot;Nuria&quot;,&quot;parse-names&quot;:false,&quot;dropping-particle&quot;:&quot;&quot;,&quot;non-dropping-particle&quot;:&quot;de&quot;},{&quot;family&quot;:&quot;Bello&quot;,&quot;given&quot;:&quot;Martiniano&quot;,&quot;parse-names&quot;:false,&quot;dropping-particle&quot;:&quot;&quot;,&quot;non-dropping-particle&quot;:&quot;&quot;},{&quot;family&quot;:&quot;Rosales-Hernández&quot;,&quot;given&quot;:&quot;Martha Cecilia&quot;,&quot;parse-names&quot;:false,&quot;dropping-particle&quot;:&quot;&quot;,&quot;non-dropping-particle&quot;:&quot;&quot;},{&quot;family&quot;:&quot;Correa-Basurto&quot;,&quot;given&quot;:&quot;José&quot;,&quot;parse-names&quot;:false,&quot;dropping-particle&quot;:&quot;&quot;,&quot;non-dropping-particle&quot;:&quot;&quot;}],&quot;container-title&quot;:&quot;Scientific Reports&quot;,&quot;container-title-short&quot;:&quot;Sci Rep&quot;,&quot;DOI&quot;:&quot;10.1038/s41598-020-67112-4&quot;,&quot;ISSN&quot;:&quot;20452322&quot;,&quot;PMID&quot;:&quot;32591593&quot;,&quot;issued&quot;:{&quot;date-parts&quot;:[[2020,12,1]]},&quot;abstract&quot;:&quot;Histone deacetylases (HDACs) belong to a family of enzymes that remove acetyl groups from the ɛ-amino of histone and nonhistone proteins. Additionally, HDACs participate in the genesis and development of cancer diseases as promising therapeutic targets to treat cancer. Therefore, in this work, we designed and evaluated a set of hydroxamic acid derivatives that contain a hydrophobic moiety as antiproliferative HDAC inhibitors. For the chemical structure design, in silico tools (molecular docking, molecular dynamic (MD) simulations, ADME/Tox properties were used to target Zn2+ atoms and HDAC hydrophobic cavities. The most promising compounds were assayed in different cancer cell lines, including hepatocellular carcinoma (HepG2), pancreatic cancer (MIA PaCa-2), breast cancer (MCF-7 and HCC1954), renal cancer (RCC4-VHL and RCC4-VA) and neuroblastoma (SH-SY5Y). Molecular docking and MD simulations coupled to the MMGBSA approach showed that the target compounds have affinity for HDAC1, HDAC6 and HDAC8. Of all the compounds evaluated, YSL-109 showed the best activity against hepatocellular carcinoma (HepG2 cell line, IC50 = 3.39 µM), breast cancer (MCF-7 cell line, IC50 = 3.41 µM; HCC1954 cell line, IC50 = 3.41 µM) and neuroblastoma (SH-SY5Y cell line, IC50 = 6.42 µM). In vitro inhibition assays of compound YSL-109 against the HDACs showed IC50 values of 259.439 µM for HDAC1, 0.537 nM for HDAC6 and 2.24 µM for HDAC8.&quot;,&quot;publisher&quot;:&quot;Nature Research&quot;,&quot;issue&quot;:&quot;1&quot;,&quot;volume&quot;:&quot;10&quot;},&quot;isTemporary&quot;:false}],&quot;citationTag&quot;:&quot;MENDELEY_CITATION_v3_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&quot;},{&quot;citationID&quot;:&quot;MENDELEY_CITATION_3f396247-2872-4313-9417-d5f1a26240c4&quot;,&quot;properties&quot;:{&quot;noteIndex&quot;:0},&quot;isEdited&quot;:false,&quot;manualOverride&quot;:{&quot;isManuallyOverridden&quot;:false,&quot;citeprocText&quot;:&quot;(Whittaker et al., 1999)&quot;,&quot;manualOverrideText&quot;:&quot;&quot;},&quot;citationItems&quot;:[{&quot;id&quot;:&quot;f2cf5d18-931b-3ea6-b312-89966adb46db&quot;,&quot;itemData&quot;:{&quot;type&quot;:&quot;article-journal&quot;,&quot;id&quot;:&quot;f2cf5d18-931b-3ea6-b312-89966adb46db&quot;,&quot;title&quot;:&quot;Design and Therapeutic Application of Matrix Metalloproteinase Inhibitors&quot;,&quot;author&quot;:[{&quot;family&quot;:&quot;Whittaker&quot;,&quot;given&quot;:&quot;Mark&quot;,&quot;parse-names&quot;:false,&quot;dropping-particle&quot;:&quot;&quot;,&quot;non-dropping-particle&quot;:&quot;&quot;},{&quot;family&quot;:&quot;Floyd&quot;,&quot;given&quot;:&quot;Christopher D.&quot;,&quot;parse-names&quot;:false,&quot;dropping-particle&quot;:&quot;&quot;,&quot;non-dropping-particle&quot;:&quot;&quot;},{&quot;family&quot;:&quot;Brown&quot;,&quot;given&quot;:&quot;Peter&quot;,&quot;parse-names&quot;:false,&quot;dropping-particle&quot;:&quot;&quot;,&quot;non-dropping-particle&quot;:&quot;&quot;},{&quot;family&quot;:&quot;Gearing&quot;,&quot;given&quot;:&quot;Andrew J.H.&quot;,&quot;parse-names&quot;:false,&quot;dropping-particle&quot;:&quot;&quot;,&quot;non-dropping-particle&quot;:&quot;&quot;}],&quot;container-title&quot;:&quot;Chemical Reviews&quot;,&quot;container-title-short&quot;:&quot;Chem Rev&quot;,&quot;accessed&quot;:{&quot;date-parts&quot;:[[2025,12,5]]},&quot;DOI&quot;:&quot;10.1021/CR9804543&quot;,&quot;ISSN&quot;:&quot;00092665&quot;,&quot;PMID&quot;:&quot;11749499&quot;,&quot;URL&quot;:&quot;https://pubs.acs.org/doi/abs/10.1021/cr9804543&quot;,&quot;issued&quot;:{&quot;date-parts&quot;:[[1999]]},&quot;page&quot;:&quot;2735-2776&quot;,&quot;publisher&quot;:&quot; American Chemical Society &quot;,&quot;issue&quot;:&quot;9&quot;,&quot;volume&quot;:&quot;99&quot;},&quot;isTemporary&quot;:false}],&quot;citationTag&quot;:&quot;MENDELEY_CITATION_v3_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&quot;},{&quot;citationID&quot;:&quot;MENDELEY_CITATION_f0a2ad7f-4d61-47d8-8da7-8f48fb6e0ecd&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ZjBhMmFkN2YtNGQ2MS00N2Q4LThkYTctOGY0OGZiNmUwZWNk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48731ea5-3df5-4c02-8b54-16a125e1d81c&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NDg3MzFlYTUtM2RmNS00YzAyLThiNTQtMTZhMTI1ZTFkODFj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a2b72212-d893-4b74-bbc3-05926786416a&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YTJiNzIyMTItZDg5My00Yjc0LWJiYzMtMDU5MjY3ODY0MTZh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cd2fbdd6-0e95-422c-bd6b-e9362afc1f6e&quot;,&quot;properties&quot;:{&quot;noteIndex&quot;:0},&quot;isEdited&quot;:false,&quot;manualOverride&quot;:{&quot;isManuallyOverridden&quot;:false,&quot;citeprocText&quot;:&quot;(Morina et al., 2016)&quot;,&quot;manualOverrideText&quot;:&quot;&quot;},&quot;citationItems&quot;:[{&quot;id&quot;:&quot;8f1ac94f-33e0-3e85-8211-7332c402f596&quot;,&quot;itemData&quot;:{&quot;type&quot;:&quot;article-journal&quot;,&quot;id&quot;:&quot;8f1ac94f-33e0-3e85-8211-7332c402f596&quot;,&quot;title&quot;:&quot;Maximum Time of the Effect of Antileukotriene - Zileuton in Treatment of Patients with Bronchial Asthma&quot;,&quot;author&quot;:[{&quot;family&quot;:&quot;Morina&quot;,&quot;given&quot;:&quot;Naim&quot;,&quot;parse-names&quot;:false,&quot;dropping-particle&quot;:&quot;&quot;,&quot;non-dropping-particle&quot;:&quot;&quot;},{&quot;family&quot;:&quot;Boçari&quot;,&quot;given&quot;:&quot;Gëzim&quot;,&quot;parse-names&quot;:false,&quot;dropping-particle&quot;:&quot;&quot;,&quot;non-dropping-particle&quot;:&quot;&quot;},{&quot;family&quot;:&quot;Iljazi&quot;,&quot;given&quot;:&quot;Ali&quot;,&quot;parse-names&quot;:false,&quot;dropping-particle&quot;:&quot;&quot;,&quot;non-dropping-particle&quot;:&quot;&quot;},{&quot;family&quot;:&quot;Hyseini&quot;,&quot;given&quot;:&quot;Kadir&quot;,&quot;parse-names&quot;:false,&quot;dropping-particle&quot;:&quot;&quot;,&quot;non-dropping-particle&quot;:&quot;&quot;},{&quot;family&quot;:&quot;Halac&quot;,&quot;given&quot;:&quot;Gunay&quot;,&quot;parse-names&quot;:false,&quot;dropping-particle&quot;:&quot;&quot;,&quot;non-dropping-particle&quot;:&quot;&quot;}],&quot;container-title&quot;:&quot;Acta Informatica Medica&quot;,&quot;DOI&quot;:&quot;10.5455/aim.2016.24.16-19&quot;,&quot;ISSN&quot;:&quot;19865988&quot;,&quot;issued&quot;:{&quot;date-parts&quot;:[[2016]]},&quot;page&quot;:&quot;16-19&quot;,&quot;abstract&quot;:&quot;Objective: Maximum time of the effect of antileukotriene substances - Zileuton in the treatment of patients with bronchial asthma and increased bronchial reactivity and of the salbutamol as agonist of the beta2 adrenergic receptor studied in this work. Methods: Parameters of the lung function are determined with Body plethysmography. Raw and ITGV were registered and specific resistance (SRaw) was calculated. Zileuton (Zyflo, tbl. 600 mg), producer Cornerstone Therapeutics, USA was used in the research. Results: Results of this research, in patients with bronchial asthma, indicate that antileukotriene substances-Zileuton administered in a dose of 600 mg first day (oral route of administration 4 x 1 tbl.) has not caused significant decrease of the specific resistance of the airways (SRaw) (p value 0.1 &gt; Alpha 0.05), whereas Zileuton administered two days in a row, in a dose of 600 mg (4 x 1 tbl. a day), has caused significant decrease of the specific resistance of the airways (SRaw) (P value 0.03 &lt; Alpha 0.05). Effect of the control with salbutamol (beta2-adrenergic receptor agonist) is efficient in the removal of the increased bronchomotor tone, causing significant decrease of the resistance (Raw), respectively of the specific resistance (SRaw), (p value 0.05 = Alpha 0.05). Conclusion: Formation of leukotrienes depends on the lypoxygenation of the arachidonic acid by 5-lypoxygenase. Zileuton is an active and powerful inhibitor of the activity of 5- lypoxygenase and as such inhibits generation of its products. Consequently, besides inhibition of cys-LTs', zileuton also inhibits the formation of leukotriene B4 (LTB4), which is a powerful chemotactic of other eicosanoids too, which depend on the synthesis of lekotriene A4 (LTA4). This suggests that the effect of antileukotrienes (Zileuton) is not immediate after oral administration, but the powerful effect of the Zileuton seen only after two days of inhibition of cys-LTs', and inhibition of leukotriene B4 (LTB4) and A4 (LTA4).&quot;,&quot;publisher&quot;:&quot;Avicena Publishing&quot;,&quot;issue&quot;:&quot;1&quot;,&quot;volume&quot;:&quot;24&quot;,&quot;container-title-short&quot;:&quot;&quot;},&quot;isTemporary&quot;:false}],&quot;citationTag&quot;:&quot;MENDELEY_CITATION_v3_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&quot;},{&quot;citationID&quot;:&quot;MENDELEY_CITATION_41e5fa4f-5d1e-48b1-9fa6-5882c079c78a&quot;,&quot;properties&quot;:{&quot;noteIndex&quot;:0},&quot;isEdited&quot;:false,&quot;manualOverride&quot;:{&quot;isManuallyOverridden&quot;:false,&quot;citeprocText&quot;:&quot;(Nikolaou et al., 2018)&quot;,&quot;manualOverrideText&quot;:&quot;&quot;},&quot;citationItems&quot;:[{&quot;id&quot;:&quot;d21fd9be-ed07-3250-8b3f-364a28d6d683&quot;,&quot;itemData&quot;:{&quot;type&quot;:&quot;article-journal&quot;,&quot;id&quot;:&quot;d21fd9be-ed07-3250-8b3f-364a28d6d683&quot;,&quot;title&quot;:&quot;Hydroxamic Acids Constitute a Novel Class of Autotaxin Inhibitors that Exhibit in Vivo Efficacy in a Pulmonary Fibrosis Model&quot;,&quot;author&quot;:[{&quot;family&quot;:&quot;Nikolaou&quot;,&quot;given&quot;:&quot;Aikaterini&quot;,&quot;parse-names&quot;:false,&quot;dropping-particle&quot;:&quot;&quot;,&quot;non-dropping-particle&quot;:&quot;&quot;},{&quot;family&quot;:&quot;Ninou&quot;,&quot;given&quot;:&quot;Ioanna&quot;,&quot;parse-names&quot;:false,&quot;dropping-particle&quot;:&quot;&quot;,&quot;non-dropping-particle&quot;:&quot;&quot;},{&quot;family&quot;:&quot;Kokotou&quot;,&quot;given&quot;:&quot;Maroula G.&quot;,&quot;parse-names&quot;:false,&quot;dropping-particle&quot;:&quot;&quot;,&quot;non-dropping-particle&quot;:&quot;&quot;},{&quot;family&quot;:&quot;Kaffe&quot;,&quot;given&quot;:&quot;Eleanna&quot;,&quot;parse-names&quot;:false,&quot;dropping-particle&quot;:&quot;&quot;,&quot;non-dropping-particle&quot;:&quot;&quot;},{&quot;family&quot;:&quot;Afantitis&quot;,&quot;given&quot;:&quot;Antreas&quot;,&quot;parse-names&quot;:false,&quot;dropping-particle&quot;:&quot;&quot;,&quot;non-dropping-particle&quot;:&quot;&quot;},{&quot;family&quot;:&quot;Aidinis&quot;,&quot;given&quot;:&quot;Vassilis&quot;,&quot;parse-names&quot;:false,&quot;dropping-particle&quot;:&quot;&quot;,&quot;non-dropping-particle&quot;:&quot;&quot;},{&quot;family&quot;:&quot;Kokotos&quot;,&quot;given&quot;:&quot;George&quot;,&quot;parse-names&quot;:false,&quot;dropping-particle&quot;:&quot;&quot;,&quot;non-dropping-particle&quot;:&quot;&quot;}],&quot;container-title&quot;:&quot;Journal of Medicinal Chemistry&quot;,&quot;container-title-short&quot;:&quot;J Med Chem&quot;,&quot;accessed&quot;:{&quot;date-parts&quot;:[[2025,12,5]]},&quot;DOI&quot;:&quot;10.1021/ACS.JMEDCHEM.8B00232/SUPPL_FILE/JM8B00232_SI_002.CSV&quot;,&quot;ISSN&quot;:&quot;15204804&quot;,&quot;PMID&quot;:&quot;29620892&quot;,&quot;URL&quot;:&quot;https://pubs.acs.org/doi/abs/10.1021/acs.jmedchem.8b00232&quot;,&quot;issued&quot;:{&quot;date-parts&quot;:[[2018,4,26]]},&quot;page&quot;:&quot;3697-3711&quot;,&quot;abstract&quot;:&quot;Autotaxin (ATX) catalyzes the hydrolysis of lysophosphatidylcholine (LPC) generating the lipid mediator lysophosphatidic acid (LPA). Both ATX and LPA are involved in various pathological inflammatory conditions, including fibrosis and cancer, and have attracted great interest as medicinal targets over the past decade. Thus, the development of novel potent ATX inhibitors is of great importance. We have developed a novel class of ATX inhibitors containing the zinc binding functionality of hydroxamic acid. Such novel hydroxamic acids that incorporate a non-natural δ-amino acid residue exhibit high in vitro inhibitory potency over ATX (IC 50 values 50-60 nM). Inhibitor 32, based on δ-norleucine, was tested for its efficacy in a mouse model of pulmonary inflammation and fibrosis induced by bleomycin and exhibited promising efficacy. The novel hydroxamic ATX inhibitors provide excellent tools for the study of the role of the enzyme and could contribute to the development of novel therapeutic agents for the treatment of fibrosis and other chronic inflammatory diseases.&quot;,&quot;publisher&quot;:&quot;American Chemical Society&quot;,&quot;issue&quot;:&quot;8&quot;,&quot;volume&quot;:&quot;61&quot;},&quot;isTemporary&quot;:false}],&quot;citationTag&quot;:&quot;MENDELEY_CITATION_v3_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&quot;},{&quot;citationID&quot;:&quot;MENDELEY_CITATION_ca05991a-b30b-4124-a167-674f836cc3b0&quot;,&quot;properties&quot;:{&quot;noteIndex&quot;:0},&quot;isEdited&quot;:false,&quot;manualOverride&quot;:{&quot;isManuallyOverridden&quot;:false,&quot;citeprocText&quot;:&quot;(Chen et al., 2019)&quot;,&quot;manualOverrideText&quot;:&quot;&quot;},&quot;citationItems&quot;:[{&quot;id&quot;:&quot;cf6d3d9e-c73a-3eb3-918d-55c7758dd5b4&quot;,&quot;itemData&quot;:{&quot;type&quot;:&quot;article-journal&quot;,&quot;id&quot;:&quot;cf6d3d9e-c73a-3eb3-918d-55c7758dd5b4&quot;,&quot;title&quot;:&quot;Targeting Metalloenzymes for Therapeutic Intervention&quot;,&quot;author&quot;:[{&quot;family&quot;:&quot;Chen&quot;,&quot;given&quot;:&quot;Allie Y.&quot;,&quot;parse-names&quot;:false,&quot;dropping-particle&quot;:&quot;&quot;,&quot;non-dropping-particle&quot;:&quot;&quot;},{&quot;family&quot;:&quot;Adamek&quot;,&quot;given&quot;:&quot;Rebecca N.&quot;,&quot;parse-names&quot;:false,&quot;dropping-particle&quot;:&quot;&quot;,&quot;non-dropping-particle&quot;:&quot;&quot;},{&quot;family&quot;:&quot;Dick&quot;,&quot;given&quot;:&quot;Benjamin L.&quot;,&quot;parse-names&quot;:false,&quot;dropping-particle&quot;:&quot;&quot;,&quot;non-dropping-particle&quot;:&quot;&quot;},{&quot;family&quot;:&quot;Credille&quot;,&quot;given&quot;:&quot;Cy&quot;,&quot;parse-names&quot;:false,&quot;dropping-particle&quot;:&quot;V.&quot;,&quot;non-dropping-particle&quot;:&quot;&quot;},{&quot;family&quot;:&quot;Morrison&quot;,&quot;given&quot;:&quot;Christine N.&quot;,&quot;parse-names&quot;:false,&quot;dropping-particle&quot;:&quot;&quot;,&quot;non-dropping-particle&quot;:&quot;&quot;},{&quot;family&quot;:&quot;Cohen&quot;,&quot;given&quot;:&quot;Seth M.&quot;,&quot;parse-names&quot;:false,&quot;dropping-particle&quot;:&quot;&quot;,&quot;non-dropping-particle&quot;:&quot;&quot;}],&quot;container-title&quot;:&quot;Chemical Reviews&quot;,&quot;container-title-short&quot;:&quot;Chem Rev&quot;,&quot;accessed&quot;:{&quot;date-parts&quot;:[[2025,12,5]]},&quot;DOI&quot;:&quot;10.1021/ACS.CHEMREV.8B00201&quot;,&quot;ISSN&quot;:&quot;15206890&quot;,&quot;PMID&quot;:&quot;30192523&quot;,&quot;URL&quot;:&quot;https://pubs.acs.org/doi/abs/10.1021/acs.chemrev.8b00201&quot;,&quot;issued&quot;:{&quot;date-parts&quot;:[[2019,1,23]]},&quot;page&quot;:&quot;1323-1455&quot;,&quot;abstract&quot;:&quot;Metalloenzymes are central to a wide range of essential biological activities, including nucleic acid modification, protein degradation, and many others. The role of metalloenzymes in these processes also makes them central for the progression of many diseases and, as such, makes metalloenzymes attractive targets for therapeutic intervention. Increasing awareness of the role metalloenzymes play in disease and their importance as a class of targets has amplified interest in the development of new strategies to develop inhibitors and ultimately useful drugs. In this Review, we provide a broad overview of several drug discovery efforts focused on metalloenzymes and attempt to map out the current landscape of high-value metalloenzyme targets.&quot;,&quot;publisher&quot;:&quot;American Chemical Society&quot;,&quot;issue&quot;:&quot;2&quot;,&quot;volume&quot;:&quot;119&quot;},&quot;isTemporary&quot;:false}],&quot;citationTag&quot;:&quot;MENDELEY_CITATION_v3_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&quot;},{&quot;citationID&quot;:&quot;MENDELEY_CITATION_a8bab4da-1d30-462a-8ac8-bec3e4a75b50&quot;,&quot;properties&quot;:{&quot;noteIndex&quot;:0},&quot;isEdited&quot;:false,&quot;manualOverride&quot;:{&quot;isManuallyOverridden&quot;:false,&quot;citeprocText&quot;:&quot;(Ho et al., 2005)&quot;,&quot;manualOverrideText&quot;:&quot;&quot;},&quot;citationItems&quot;:[{&quot;id&quot;:&quot;cd543ae2-0439-3011-b658-8481df8b699d&quot;,&quot;itemData&quot;:{&quot;type&quot;:&quot;article-journal&quot;,&quot;id&quot;:&quot;cd543ae2-0439-3011-b658-8481df8b699d&quot;,&quot;title&quot;:&quot;Improved Solution- and Solid-Phase Preparation of Hydroxamic Acids from Esters&quot;,&quot;author&quot;:[{&quot;family&quot;:&quot;Ho&quot;,&quot;given&quot;:&quot;Chih Y.&quot;,&quot;parse-names&quot;:false,&quot;dropping-particle&quot;:&quot;&quot;,&quot;non-dropping-particle&quot;:&quot;&quot;},{&quot;family&quot;:&quot;Strobel&quot;,&quot;given&quot;:&quot;Eric&quot;,&quot;parse-names&quot;:false,&quot;dropping-particle&quot;:&quot;&quot;,&quot;non-dropping-particle&quot;:&quot;&quot;},{&quot;family&quot;:&quot;Ralbovsky&quot;,&quot;given&quot;:&quot;Janet&quot;,&quot;parse-names&quot;:false,&quot;dropping-particle&quot;:&quot;&quot;,&quot;non-dropping-particle&quot;:&quot;&quot;},{&quot;family&quot;:&quot;Galemmo&quot;,&quot;given&quot;:&quot;Robert A.&quot;,&quot;parse-names&quot;:false,&quot;dropping-particle&quot;:&quot;&quot;,&quot;non-dropping-particle&quot;:&quot;&quot;}],&quot;container-title&quot;:&quot;Journal of Organic Chemistry&quot;,&quot;accessed&quot;:{&quot;date-parts&quot;:[[2025,12,5]]},&quot;DOI&quot;:&quot;10.1021/JO050036F&quot;,&quot;ISSN&quot;:&quot;00223263&quot;,&quot;PMID&quot;:&quot;15932334&quot;,&quot;URL&quot;:&quot;https://pubs.acs.org/doi/abs/10.1021/jo050036f&quot;,&quot;issued&quot;:{&quot;date-parts&quot;:[[2005,6,12]]},&quot;page&quot;:&quot;4873-4875&quot;,&quot;abstract&quot;:&quot;The addition of small amounts of solid KCN to solution and solid-phase esters in THF/MeOH/50% aqueous NH2OH increases the efficiency of their transformation to the corresponding hydroxamic acids.&quot;,&quot;publisher&quot;:&quot; American Chemical Society &quot;,&quot;issue&quot;:&quot;12&quot;,&quot;volume&quot;:&quot;70&quot;,&quot;container-title-short&quot;:&quot;&quot;},&quot;isTemporary&quot;:false}],&quot;citationTag&quot;:&quot;MENDELEY_CITATION_v3_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&quot;},{&quot;citationID&quot;:&quot;MENDELEY_CITATION_938f0b74-0058-4da1-bc06-b4fb658f48c8&quot;,&quot;properties&quot;:{&quot;noteIndex&quot;:0},&quot;isEdited&quot;:false,&quot;manualOverride&quot;:{&quot;isManuallyOverridden&quot;:false,&quot;citeprocText&quot;:&quot;(Gora-Tybor &amp;#38; Robak, 1995)&quot;,&quot;manualOverrideText&quot;:&quot;&quot;},&quot;citationItems&quot;:[{&quot;id&quot;:&quot;de69f80a-79de-35b9-829e-e0e3b8cb0f8f&quot;,&quot;itemData&quot;:{&quot;type&quot;:&quot;article-journal&quot;,&quot;id&quot;:&quot;de69f80a-79de-35b9-829e-e0e3b8cb0f8f&quot;,&quot;title&quot;:&quot;Clinical Pharmacology of Hydroxyurea&quot;,&quot;author&quot;:[{&quot;family&quot;:&quot;Gora-Tybor&quot;,&quot;given&quot;:&quot;J.&quot;,&quot;parse-names&quot;:false,&quot;dropping-particle&quot;:&quot;&quot;,&quot;non-dropping-particle&quot;:&quot;&quot;},{&quot;family&quot;:&quot;Robak&quot;,&quot;given&quot;:&quot;T.&quot;,&quot;parse-names&quot;:false,&quot;dropping-particle&quot;:&quot;&quot;,&quot;non-dropping-particle&quot;:&quot;&quot;}],&quot;container-title&quot;:&quot;Acta Haematologica Polonica&quot;,&quot;container-title-short&quot;:&quot;Acta Haematol Pol&quot;,&quot;accessed&quot;:{&quot;date-parts&quot;:[[2025,12,5]]},&quot;ISSN&quot;:&quot;0001-5814&quot;,&quot;PMID&quot;:&quot;7747561&quot;,&quot;URL&quot;:&quot;https://europepmc.org/article/med/7747561&quot;,&quot;issued&quot;:{&quot;date-parts&quot;:[[1995,1,1]]},&quot;page&quot;:&quot;39-45&quot;,&quot;abstract&quot;:&quot;Hydroxyurea, an antineoplastic drug evaluated clinically more than 30 years ago,is still the principal drug in patients with myeloproliferative syndromes. It is suggested now that it should be used as initial therapy for chronic myelogenous leukemia. Recently hydroxyurea is used in the treatment of patients with sickle cell disease. It has been shown to augment production of fetal hemoglobin and decrease the propensity of abnormal hemoglobin to polymerise and from the sickle cells in this way.&quot;,&quot;publisher&quot;:&quot;Urban and Partner&quot;,&quot;issue&quot;:&quot;1&quot;,&quot;volume&quot;:&quot;26&quot;},&quot;isTemporary&quot;:false,&quot;suppress-author&quot;:false,&quot;composite&quot;:false,&quot;author-only&quot;:false}],&quot;citationTag&quot;:&quot;MENDELEY_CITATION_v3_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&quot;},{&quot;citationID&quot;:&quot;MENDELEY_CITATION_105fdfcb-e08b-4d74-9bd7-84064859de0a&quot;,&quot;properties&quot;:{&quot;noteIndex&quot;:0},&quot;isEdited&quot;:false,&quot;manualOverride&quot;:{&quot;isManuallyOverridden&quot;:false,&quot;citeprocText&quot;:&quot;(Neilands, 1995)&quot;,&quot;manualOverrideText&quot;:&quot;&quot;},&quot;citationItems&quot;:[{&quot;id&quot;:&quot;a9af8e95-3f78-340b-b1ab-6449c44f8f08&quot;,&quot;itemData&quot;:{&quot;type&quot;:&quot;article-journal&quot;,&quot;id&quot;:&quot;a9af8e95-3f78-340b-b1ab-6449c44f8f08&quot;,&quot;title&quot;:&quot;Siderophores: Structure and Function of Microbial Iron Transport Compounds&quot;,&quot;author&quot;:[{&quot;family&quot;:&quot;Neilands&quot;,&quot;given&quot;:&quot;J. B.&quot;,&quot;parse-names&quot;:false,&quot;dropping-particle&quot;:&quot;&quot;,&quot;non-dropping-particle&quot;:&quot;&quot;}],&quot;container-title&quot;:&quot;Journal of Biological Chemistry&quot;,&quot;accessed&quot;:{&quot;date-parts&quot;:[[2025,12,5]]},&quot;DOI&quot;:&quot;10.1074/jbc.270.45.26723&quot;,&quot;ISSN&quot;:&quot;00219258&quot;,&quot;PMID&quot;:&quot;7592901&quot;,&quot;URL&quot;:&quot;https://www.jbc.org/action/showFullText?pii=S002192581888053X&quot;,&quot;issued&quot;:{&quot;date-parts&quot;:[[1995,11,10]]},&quot;page&quot;:&quot;26723-26726&quot;,&quot;publisher&quot;:&quot;American Society for Biochemistry and Molecular Biology Inc.&quot;,&quot;issue&quot;:&quot;45&quot;,&quot;volume&quot;:&quot;270&quot;,&quot;container-title-short&quot;:&quot;&quot;},&quot;isTemporary&quot;:false,&quot;suppress-author&quot;:false,&quot;composite&quot;:false,&quot;author-only&quot;:false}],&quot;citationTag&quot;:&quot;MENDELEY_CITATION_v3_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&quot;},{&quot;citationID&quot;:&quot;MENDELEY_CITATION_11c26404-33e6-433d-817e-998fbc7a6b01&quot;,&quot;properties&quot;:{&quot;noteIndex&quot;:0},&quot;isEdited&quot;:false,&quot;manualOverride&quot;:{&quot;isManuallyOverridden&quot;:false,&quot;citeprocText&quot;:&quot;(Thomas et al., 2019)&quot;,&quot;manualOverrideText&quot;:&quot;&quot;},&quot;citationItems&quot;:[{&quot;id&quot;:&quot;0f10b93c-ec0e-3c57-8dc7-1f9de4675551&quot;,&quot;itemData&quot;:{&quot;type&quot;:&quot;article-journal&quot;,&quot;id&quot;:&quot;0f10b93c-ec0e-3c57-8dc7-1f9de4675551&quot;,&quot;title&quot;:&quot;The Lossen Rearrangement from Free Hydroxamic Acids&quot;,&quot;author&quot;:[{&quot;family&quot;:&quot;Thomas&quot;,&quot;given&quot;:&quot;Mikaël&quot;,&quot;parse-names&quot;:false,&quot;dropping-particle&quot;:&quot;&quot;,&quot;non-dropping-particle&quot;:&quot;&quot;},{&quot;family&quot;:&quot;Alsarraf&quot;,&quot;given&quot;:&quot;Jérôme&quot;,&quot;parse-names&quot;:false,&quot;dropping-particle&quot;:&quot;&quot;,&quot;non-dropping-particle&quot;:&quot;&quot;},{&quot;family&quot;:&quot;Araji&quot;,&quot;given&quot;:&quot;Nahla&quot;,&quot;parse-names&quot;:false,&quot;dropping-particle&quot;:&quot;&quot;,&quot;non-dropping-particle&quot;:&quot;&quot;},{&quot;family&quot;:&quot;Tranoy-Opalinski&quot;,&quot;given&quot;:&quot;Isabelle&quot;,&quot;parse-names&quot;:false,&quot;dropping-particle&quot;:&quot;&quot;,&quot;non-dropping-particle&quot;:&quot;&quot;},{&quot;family&quot;:&quot;Renoux&quot;,&quot;given&quot;:&quot;Brigitte&quot;,&quot;parse-names&quot;:false,&quot;dropping-particle&quot;:&quot;&quot;,&quot;non-dropping-particle&quot;:&quot;&quot;},{&quot;family&quot;:&quot;Papot&quot;,&quot;given&quot;:&quot;Sébastien&quot;,&quot;parse-names&quot;:false,&quot;dropping-particle&quot;:&quot;&quot;,&quot;non-dropping-particle&quot;:&quot;&quot;}],&quot;container-title&quot;:&quot;Organic &amp; Biomolecular Chemistry&quot;,&quot;container-title-short&quot;:&quot;Org Biomol Chem&quot;,&quot;accessed&quot;:{&quot;date-parts&quot;:[[2025,12,5]]},&quot;DOI&quot;:&quot;10.1039/C9OB00789J&quot;,&quot;ISSN&quot;:&quot;1477-0539&quot;,&quot;PMID&quot;:&quot;31090777&quot;,&quot;URL&quot;:&quot;https://pubs.rsc.org/en/content/articlehtml/2019/ob/c9ob00789j&quot;,&quot;issued&quot;:{&quot;date-parts&quot;:[[2019,6,5]]},&quot;page&quot;:&quot;5420-5427&quot;,&quot;abstract&quot;:&quot;The Lossen rearrangement, that allows the conversion of hydroxamic acids into isocyanates, was discovered almost 150 years ago. For more than a century, this transformation was supposed to occur exclusively in the presence of stoichiometric amounts of activating reagents devoted to promoting the dehydration of primary hydroxamic acids. Very recently, it was demonstrated that the Lossen rearrangement can take place directly from free hydroxamic acids offering a renewal of interest for such a reaction. This short review summarizes advances in this field by describing successively the metal-assisted, the self-propagative and the promoted self-propagative Lossen rearrangement with a special emphasis on their mechanisms.&quot;,&quot;publisher&quot;:&quot;The Royal Society of Chemistry&quot;,&quot;issue&quot;:&quot;22&quot;,&quot;volume&quot;:&quot;17&quot;},&quot;isTemporary&quot;:false}],&quot;citationTag&quot;:&quot;MENDELEY_CITATION_v3_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&quot;},{&quot;citationID&quot;:&quot;MENDELEY_CITATION_216a9cb6-d6c5-4753-a1d9-2cfa2f5c577a&quot;,&quot;properties&quot;:{&quot;noteIndex&quot;:0},&quot;isEdited&quot;:false,&quot;manualOverride&quot;:{&quot;isManuallyOverridden&quot;:true,&quot;citeprocText&quot;:&quot;(Konnert et al., 2017; Yan et al., 2025)&quot;,&quot;manualOverrideText&quot;:&quot;(Konnert et al., 2017)&quot;},&quot;citationItems&quot;:[{&quot;id&quot;:&quot;3bcc0f5d-ffc0-3a69-bf03-a48dd3b06a8d&quot;,&quot;itemData&quot;:{&quot;type&quot;:&quot;article&quot;,&quot;id&quot;:&quot;3bcc0f5d-ffc0-3a69-bf03-a48dd3b06a8d&quot;,&quot;title&quot;:&quot;Recent Advances in the Synthesis of Hydantoins: The State of the Art of a Valuable Scaffold&quot;,&quot;author&quot;:[{&quot;family&quot;:&quot;Konnert&quot;,&quot;given&quot;:&quot;Laure&quot;,&quot;parse-names&quot;:false,&quot;dropping-particle&quot;:&quot;&quot;,&quot;non-dropping-particle&quot;:&quot;&quot;},{&quot;family&quot;:&quot;Lamaty&quot;,&quot;given&quot;:&quot;Frédéric&quot;,&quot;parse-names&quot;:false,&quot;dropping-particle&quot;:&quot;&quot;,&quot;non-dropping-particle&quot;:&quot;&quot;},{&quot;family&quot;:&quot;Martinez&quot;,&quot;given&quot;:&quot;Jean&quot;,&quot;parse-names&quot;:false,&quot;dropping-particle&quot;:&quot;&quot;,&quot;non-dropping-particle&quot;:&quot;&quot;},{&quot;family&quot;:&quot;Colacino&quot;,&quot;given&quot;:&quot;Evelina&quot;,&quot;parse-names&quot;:false,&quot;dropping-particle&quot;:&quot;&quot;,&quot;non-dropping-particle&quot;:&quot;&quot;}],&quot;container-title&quot;:&quot;Chemical Reviews&quot;,&quot;container-title-short&quot;:&quot;Chem Rev&quot;,&quot;DOI&quot;:&quot;10.1021/acs.chemrev.7b00067&quot;,&quot;ISSN&quot;:&quot;15206890&quot;,&quot;PMID&quot;:&quot;28644621&quot;,&quot;issued&quot;:{&quot;date-parts&quot;:[[2017,12,13]]},&quot;page&quot;:&quot;13757-13809&quot;,&quot;abstract&quot;:&quot;The review highlights the hydantoin syntheses presented from the point of view of the preparation methods. Novel synthetic routes to various hydantoin structures, the advances brought to the classical methods in the aim of producing more sustainable and environmentally friendly procedures for the preparation of these biomolecules, and a critical comparison of the different synthetic approaches developed in the last twelve years are also described. The review is composed of 95 schemes, 8 figures and 528 references for the last 12 years and includes the description of the hydantoin-based marketed drugs and clinical candidates.&quot;,&quot;publisher&quot;:&quot;American Chemical Society&quot;,&quot;issue&quot;:&quot;23&quot;,&quot;volume&quot;:&quot;117&quot;},&quot;isTemporary&quot;:false},{&quot;id&quot;:&quot;3f07cf90-453e-3a30-adf3-38d03f10ac7c&quot;,&quot;itemData&quot;:{&quot;type&quot;:&quot;article-journal&quot;,&quot;id&quot;:&quot;3f07cf90-453e-3a30-adf3-38d03f10ac7c&quot;,&quot;title&quot;:&quot;Design, Synthesis and Antifungal Activity of Novel Matrine Hydroxamic Acid Derivatives Containing Benzene Sulfonamide&quot;,&quot;author&quot;:[{&quot;family&quot;:&quot;Yan&quot;,&quot;given&quot;:&quot;Suzhen&quot;,&quot;parse-names&quot;:false,&quot;dropping-particle&quot;:&quot;&quot;,&quot;non-dropping-particle&quot;:&quot;&quot;},{&quot;family&quot;:&quot;Kowah&quot;,&quot;given&quot;:&quot;Jamal A.H.&quot;,&quot;parse-names&quot;:false,&quot;dropping-particle&quot;:&quot;&quot;,&quot;non-dropping-particle&quot;:&quot;&quot;},{&quot;family&quot;:&quot;Long&quot;,&quot;given&quot;:&quot;Qingfeng&quot;,&quot;parse-names&quot;:false,&quot;dropping-particle&quot;:&quot;&quot;,&quot;non-dropping-particle&quot;:&quot;&quot;},{&quot;family&quot;:&quot;Liu&quot;,&quot;given&quot;:&quot;Qian&quot;,&quot;parse-names&quot;:false,&quot;dropping-particle&quot;:&quot;&quot;,&quot;non-dropping-particle&quot;:&quot;&quot;},{&quot;family&quot;:&quot;Zhang&quot;,&quot;given&quot;:&quot;Hanqing&quot;,&quot;parse-names&quot;:false,&quot;dropping-particle&quot;:&quot;&quot;,&quot;non-dropping-particle&quot;:&quot;&quot;},{&quot;family&quot;:&quot;Lu&quot;,&quot;given&quot;:&quot;Siying&quot;,&quot;parse-names&quot;:false,&quot;dropping-particle&quot;:&quot;&quot;,&quot;non-dropping-particle&quot;:&quot;&quot;},{&quot;family&quot;:&quot;Wang&quot;,&quot;given&quot;:&quot;Lisheng&quot;,&quot;parse-names&quot;:false,&quot;dropping-particle&quot;:&quot;&quot;,&quot;non-dropping-particle&quot;:&quot;&quot;},{&quot;family&quot;:&quot;Yu&quot;,&quot;given&quot;:&quot;Haixia&quot;,&quot;parse-names&quot;:false,&quot;dropping-particle&quot;:&quot;&quot;,&quot;non-dropping-particle&quot;:&quot;&quot;}],&quot;container-title&quot;:&quot;RSC Advances&quot;,&quot;container-title-short&quot;:&quot;RSC Adv&quot;,&quot;DOI&quot;:&quot;10.1039/d5ra01689d&quot;,&quot;ISSN&quot;:&quot;20462069&quot;,&quot;issued&quot;:{&quot;date-parts&quot;:[[2025,5,19]]},&quot;page&quot;:&quot;16510-16524&quot;,&quot;abstract&quot;:&quot;To address the urgent need for novel antibacterial drugs, herein, a series of 27 novel matrine derivatives incorporating hydroxamic acid and benzene sulfonamide moieties were designed and synthesized. Antimicrobial testing demonstrated exceptional inhibitory activity against Candida albicans, with the most potent compound (10g) showing a MIC value of 0.062 mg mL−1, which was significantly lower than that of the clinical antibiotic fluconazole (8.590 mg mL−1). 3D-QSAR analysis identified the phenylsulfonyl group as crucial for activity, particularly when substituted with a 4-(CH3)3 group. The hydroxamic acid moiety was also found to contribute positively to the antifungal effects. Mechanistic studies indicated that these compounds act by both preventing biofilm formation and disrupting established biofilms. Furthermore, molecular docking studies of compounds 9j and 10g with fungal proteins (PDB: 2QZX) revealed that their antifungal activity involves multiple interactions, including hydrogen bonding, hydrophobic interactions, and van der Waals forces. These findings position compound 10g as a particularly promising lead candidate for the development of new antifungal agents.&quot;,&quot;publisher&quot;:&quot;Royal Society of Chemistry&quot;,&quot;issue&quot;:&quot;21&quot;,&quot;volume&quot;:&quot;15&quot;},&quot;isTemporary&quot;:false}],&quot;citationTag&quot;:&quot;MENDELEY_CITATION_v3_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&quot;},{&quot;citationID&quot;:&quot;MENDELEY_CITATION_2a9158ae-c0b1-4e46-87d9-c405be76a962&quot;,&quot;properties&quot;:{&quot;noteIndex&quot;:0},&quot;isEdited&quot;:false,&quot;manualOverride&quot;:{&quot;isManuallyOverridden&quot;:false,&quot;citeprocText&quot;:&quot;(Shen &amp;#38; Kozikowski, 2016)&quot;,&quot;manualOverrideText&quot;:&quot;&quot;},&quot;citationItems&quot;:[{&quot;id&quot;:&quot;5d400322-5e4f-3713-b13d-4ac71519b0ae&quot;,&quot;itemData&quot;:{&quot;type&quot;:&quot;article&quot;,&quot;id&quot;:&quot;5d400322-5e4f-3713-b13d-4ac71519b0ae&quot;,&quot;title&quot;:&quot;Why Hydroxamates May Not Be the Best Histone Deacetylase Inhibitors - What Some May Have Forgotten or Would Rather Forget?&quot;,&quot;author&quot;:[{&quot;family&quot;:&quot;Shen&quot;,&quot;given&quot;:&quot;Sida&quot;,&quot;parse-names&quot;:false,&quot;dropping-particle&quot;:&quot;&quot;,&quot;non-dropping-particle&quot;:&quot;&quot;},{&quot;family&quot;:&quot;Kozikowski&quot;,&quot;given&quot;:&quot;Alan P.&quot;,&quot;parse-names&quot;:false,&quot;dropping-particle&quot;:&quot;&quot;,&quot;non-dropping-particle&quot;:&quot;&quot;}],&quot;container-title&quot;:&quot;ChemMedChem&quot;,&quot;container-title-short&quot;:&quot;ChemMedChem&quot;,&quot;DOI&quot;:&quot;10.1002/cmdc.201500486&quot;,&quot;ISSN&quot;:&quot;18607187&quot;,&quot;PMID&quot;:&quot;26603496&quot;,&quot;issued&quot;:{&quot;date-parts&quot;:[[2016,1,5]]},&quot;page&quot;:&quot;15-21&quot;,&quot;abstract&quot;:&quot;Hydroxamate-based histone deacetylase inhibitors (HDACIs) have been approved as therapeutic agents by the US Food and Drug Administration for use in oncology applications. While the potential utility of such HDACIs in other areas of medicinal chemistry is tremendous, there are significant concerns that \&quot;pan-HDAC inhibitors\&quot; may be too broadly acting and/or toxic for clinical use beyond oncology. In addition to the isozyme selectivity challenge, the potential mutagenicity of hydroxamate-containing HDAC inhibitors represents a major hindrance in their application to other therapeutic areas. Herein we report on the mutagenicity of known hydroxamates, discuss the mechanisms responsible for their genotoxicity, and review some of the current alternatives to hydroxamates. We conclude that the hydroxamate group, while providing high-potency HDACIs, is not necessarily the best zinc-binding group for HDACI drug discovery.&quot;,&quot;publisher&quot;:&quot;John Wiley and Sons Ltd&quot;,&quot;issue&quot;:&quot;1&quot;,&quot;volume&quot;:&quot;11&quot;},&quot;isTemporary&quot;:false}],&quot;citationTag&quot;:&quot;MENDELEY_CITATION_v3_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&quot;},{&quot;citationID&quot;:&quot;MENDELEY_CITATION_83891458-bbd5-47cd-8d5f-55f7184118a4&quot;,&quot;properties&quot;:{&quot;noteIndex&quot;:0},&quot;isEdited&quot;:false,&quot;manualOverride&quot;:{&quot;isManuallyOverridden&quot;:false,&quot;citeprocText&quot;:&quot;(Yan et al., 2025)&quot;,&quot;manualOverrideText&quot;:&quot;&quot;},&quot;citationItems&quot;:[{&quot;id&quot;:&quot;3f07cf90-453e-3a30-adf3-38d03f10ac7c&quot;,&quot;itemData&quot;:{&quot;type&quot;:&quot;article-journal&quot;,&quot;id&quot;:&quot;3f07cf90-453e-3a30-adf3-38d03f10ac7c&quot;,&quot;title&quot;:&quot;Design, Synthesis and Antifungal Activity of Novel Matrine Hydroxamic Acid Derivatives Containing Benzene Sulfonamide&quot;,&quot;author&quot;:[{&quot;family&quot;:&quot;Yan&quot;,&quot;given&quot;:&quot;Suzhen&quot;,&quot;parse-names&quot;:false,&quot;dropping-particle&quot;:&quot;&quot;,&quot;non-dropping-particle&quot;:&quot;&quot;},{&quot;family&quot;:&quot;Kowah&quot;,&quot;given&quot;:&quot;Jamal A.H.&quot;,&quot;parse-names&quot;:false,&quot;dropping-particle&quot;:&quot;&quot;,&quot;non-dropping-particle&quot;:&quot;&quot;},{&quot;family&quot;:&quot;Long&quot;,&quot;given&quot;:&quot;Qingfeng&quot;,&quot;parse-names&quot;:false,&quot;dropping-particle&quot;:&quot;&quot;,&quot;non-dropping-particle&quot;:&quot;&quot;},{&quot;family&quot;:&quot;Liu&quot;,&quot;given&quot;:&quot;Qian&quot;,&quot;parse-names&quot;:false,&quot;dropping-particle&quot;:&quot;&quot;,&quot;non-dropping-particle&quot;:&quot;&quot;},{&quot;family&quot;:&quot;Zhang&quot;,&quot;given&quot;:&quot;Hanqing&quot;,&quot;parse-names&quot;:false,&quot;dropping-particle&quot;:&quot;&quot;,&quot;non-dropping-particle&quot;:&quot;&quot;},{&quot;family&quot;:&quot;Lu&quot;,&quot;given&quot;:&quot;Siying&quot;,&quot;parse-names&quot;:false,&quot;dropping-particle&quot;:&quot;&quot;,&quot;non-dropping-particle&quot;:&quot;&quot;},{&quot;family&quot;:&quot;Wang&quot;,&quot;given&quot;:&quot;Lisheng&quot;,&quot;parse-names&quot;:false,&quot;dropping-particle&quot;:&quot;&quot;,&quot;non-dropping-particle&quot;:&quot;&quot;},{&quot;family&quot;:&quot;Yu&quot;,&quot;given&quot;:&quot;Haixia&quot;,&quot;parse-names&quot;:false,&quot;dropping-particle&quot;:&quot;&quot;,&quot;non-dropping-particle&quot;:&quot;&quot;}],&quot;container-title&quot;:&quot;RSC Advances&quot;,&quot;container-title-short&quot;:&quot;RSC Adv&quot;,&quot;DOI&quot;:&quot;10.1039/d5ra01689d&quot;,&quot;ISSN&quot;:&quot;20462069&quot;,&quot;issued&quot;:{&quot;date-parts&quot;:[[2025,5,19]]},&quot;page&quot;:&quot;16510-16524&quot;,&quot;abstract&quot;:&quot;To address the urgent need for novel antibacterial drugs, herein, a series of 27 novel matrine derivatives incorporating hydroxamic acid and benzene sulfonamide moieties were designed and synthesized. Antimicrobial testing demonstrated exceptional inhibitory activity against Candida albicans, with the most potent compound (10g) showing a MIC value of 0.062 mg mL−1, which was significantly lower than that of the clinical antibiotic fluconazole (8.590 mg mL−1). 3D-QSAR analysis identified the phenylsulfonyl group as crucial for activity, particularly when substituted with a 4-(CH3)3 group. The hydroxamic acid moiety was also found to contribute positively to the antifungal effects. Mechanistic studies indicated that these compounds act by both preventing biofilm formation and disrupting established biofilms. Furthermore, molecular docking studies of compounds 9j and 10g with fungal proteins (PDB: 2QZX) revealed that their antifungal activity involves multiple interactions, including hydrogen bonding, hydrophobic interactions, and van der Waals forces. These findings position compound 10g as a particularly promising lead candidate for the development of new antifungal agents.&quot;,&quot;publisher&quot;:&quot;Royal Society of Chemistry&quot;,&quot;issue&quot;:&quot;21&quot;,&quot;volume&quot;:&quot;15&quot;},&quot;isTemporary&quot;:false}],&quot;citationTag&quot;:&quot;MENDELEY_CITATION_v3_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&quot;},{&quot;citationID&quot;:&quot;MENDELEY_CITATION_27d62636-3509-451d-a21f-d806df096dd1&quot;,&quot;properties&quot;:{&quot;noteIndex&quot;:0},&quot;isEdited&quot;:false,&quot;manualOverride&quot;:{&quot;isManuallyOverridden&quot;:false,&quot;citeprocText&quot;:&quot;(Citarella et al., 2021)&quot;,&quot;manualOverrideText&quot;:&quot;&quot;},&quot;citationItems&quot;:[{&quot;id&quot;:&quot;a52c939c-ab47-31ff-917a-0fb965e0e80f&quot;,&quot;itemData&quot;:{&quot;type&quot;:&quot;article&quot;,&quot;id&quot;:&quot;a52c939c-ab47-31ff-917a-0fb965e0e80f&quot;,&quot;title&quot;:&quot;Hydroxamic Acid Derivatives: From Synthetic Strategies to Medicinal Chemistry Applications&quot;,&quot;author&quot;:[{&quot;family&quot;:&quot;Citarella&quot;,&quot;given&quot;:&quot;Andrea&quot;,&quot;parse-names&quot;:false,&quot;dropping-particle&quot;:&quot;&quot;,&quot;non-dropping-particle&quot;:&quot;&quot;},{&quot;family&quot;:&quot;Moi&quot;,&quot;given&quot;:&quot;Davide&quot;,&quot;parse-names&quot;:false,&quot;dropping-particle&quot;:&quot;&quot;,&quot;non-dropping-particle&quot;:&quot;&quot;},{&quot;family&quot;:&quot;Pinzi&quot;,&quot;given&quot;:&quot;Luca&quot;,&quot;parse-names&quot;:false,&quot;dropping-particle&quot;:&quot;&quot;,&quot;non-dropping-particle&quot;:&quot;&quot;},{&quot;family&quot;:&quot;Bonanni&quot;,&quot;given&quot;:&quot;Davide&quot;,&quot;parse-names&quot;:false,&quot;dropping-particle&quot;:&quot;&quot;,&quot;non-dropping-particle&quot;:&quot;&quot;},{&quot;family&quot;:&quot;Rastelli&quot;,&quot;given&quot;:&quot;Giulio&quot;,&quot;parse-names&quot;:false,&quot;dropping-particle&quot;:&quot;&quot;,&quot;non-dropping-particle&quot;:&quot;&quot;}],&quot;container-title&quot;:&quot;ACS Omega&quot;,&quot;container-title-short&quot;:&quot;ACS Omega&quot;,&quot;DOI&quot;:&quot;10.1021/acsomega.1c03628&quot;,&quot;ISSN&quot;:&quot;24701343&quot;,&quot;issued&quot;:{&quot;date-parts&quot;:[[2021,8,31]]},&quot;page&quot;:&quot;21843-21849&quot;,&quot;abstract&quot;:&quot;Since the approval of three hydroxamic acid-based HDAC inhibitors as anticancer drugs, such functional groups acquired even more notoriety in synthetic medicinal chemistry. The ability of hydroxamic acids (HAs) to chelate metal ions makes this moiety an attractive metal binding group - in particular, Fe(III) and Zn(II) - so that HA derivatives find wide applications as metalloenzymes inhibitors. In this minireview, we will discuss the most relevant features concerning hydroxamic acid derivatives. In a first instance, the physicochemical characteristics of HAs will be summarized; then, an exhaustive description of the most relevant methods for the introduction of such moiety into organic substrates and an overview of their uses in medicinal chemistry will be presented.&quot;,&quot;publisher&quot;:&quot;American Chemical Society&quot;,&quot;issue&quot;:&quot;34&quot;,&quot;volume&quot;:&quot;6&quot;},&quot;isTemporary&quot;:false}],&quot;citationTag&quot;:&quot;MENDELEY_CITATION_v3_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E04BB-E3FC-4FC4-82E1-A9F7AE84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103</TotalTime>
  <Pages>13</Pages>
  <Words>12436</Words>
  <Characters>70891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83161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Asus</cp:lastModifiedBy>
  <cp:revision>14</cp:revision>
  <cp:lastPrinted>2025-12-21T14:09:00Z</cp:lastPrinted>
  <dcterms:created xsi:type="dcterms:W3CDTF">2025-12-21T13:54:00Z</dcterms:created>
  <dcterms:modified xsi:type="dcterms:W3CDTF">2025-12-22T16:34:00Z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6e35574c-d29c-4d41-a32b-042380081f75</vt:lpwstr>
  </property>
  <property fmtid="{D5CDD505-2E9C-101B-9397-08002B2CF9AE}" pid="3" name="ZOTERO_PREF_1">
    <vt:lpwstr>&lt;data data-version="3" zotero-version="7.0.30"&gt;&lt;session id="kMNawuVp"/&gt;&lt;style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