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98" w:rsidRDefault="00E84598" w:rsidP="00E84598">
      <w:pPr>
        <w:jc w:val="both"/>
        <w:rPr>
          <w:rFonts w:ascii="Times New Roman" w:hAnsi="Times New Roman" w:cs="Times New Roman"/>
          <w:b/>
          <w:bCs/>
          <w:sz w:val="24"/>
          <w:szCs w:val="24"/>
        </w:rPr>
      </w:pPr>
      <w:bookmarkStart w:id="0" w:name="_Hlk216949287"/>
      <w:r w:rsidRPr="00E84598">
        <w:rPr>
          <w:rFonts w:ascii="Times New Roman" w:hAnsi="Times New Roman" w:cs="Times New Roman"/>
          <w:b/>
          <w:bCs/>
          <w:sz w:val="24"/>
          <w:szCs w:val="24"/>
        </w:rPr>
        <w:t>ANALYSIS OF REGIONAL DEVELOPMENT STRATEGIES BASED ON LEADING SECTORS IN BABUSSALAM SUB-DISTRICT, ACEH TENGGARA REGENCY</w:t>
      </w:r>
    </w:p>
    <w:bookmarkEnd w:id="0"/>
    <w:p w:rsidR="00211C00" w:rsidRDefault="00211C00" w:rsidP="00E84598">
      <w:pPr>
        <w:jc w:val="both"/>
        <w:rPr>
          <w:rFonts w:ascii="Times New Roman" w:hAnsi="Times New Roman" w:cs="Times New Roman"/>
          <w:b/>
          <w:bCs/>
          <w:sz w:val="24"/>
          <w:szCs w:val="24"/>
        </w:rPr>
      </w:pPr>
    </w:p>
    <w:p w:rsidR="00E84598" w:rsidRPr="00E84598" w:rsidRDefault="00E84598" w:rsidP="00E84598">
      <w:pPr>
        <w:jc w:val="both"/>
        <w:rPr>
          <w:rFonts w:ascii="Times New Roman" w:hAnsi="Times New Roman" w:cs="Times New Roman"/>
          <w:b/>
          <w:bCs/>
          <w:sz w:val="24"/>
          <w:szCs w:val="24"/>
        </w:rPr>
      </w:pPr>
      <w:bookmarkStart w:id="1" w:name="_GoBack"/>
      <w:bookmarkEnd w:id="1"/>
      <w:r w:rsidRPr="00E84598">
        <w:rPr>
          <w:rFonts w:ascii="Times New Roman" w:hAnsi="Times New Roman" w:cs="Times New Roman"/>
          <w:b/>
          <w:bCs/>
          <w:sz w:val="24"/>
          <w:szCs w:val="24"/>
        </w:rPr>
        <w:t>Abstract</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This study aims to identify leading sectors in Babussalam Sub-district, Aceh Tenggara Regency, and to formulate evidence-based and context-relevant regional development strategies grounded in these leading sectors to support sustainable local economic growth. The study employs a quantitative approach with descriptive analysis. The </w:t>
      </w:r>
      <w:r w:rsidRPr="003D000A">
        <w:rPr>
          <w:rFonts w:ascii="Times New Roman" w:hAnsi="Times New Roman" w:cs="Times New Roman"/>
          <w:b/>
          <w:color w:val="FF0000"/>
          <w:sz w:val="24"/>
          <w:szCs w:val="24"/>
        </w:rPr>
        <w:t>Location Quotient</w:t>
      </w:r>
      <w:r w:rsidRPr="00E84598">
        <w:rPr>
          <w:rFonts w:ascii="Times New Roman" w:hAnsi="Times New Roman" w:cs="Times New Roman"/>
          <w:sz w:val="24"/>
          <w:szCs w:val="24"/>
        </w:rPr>
        <w:t xml:space="preserve"> (LQ) method is used to identify leading sectors, while the Klassen Typology is applied to map sectoral growth dynamics. A SWOT analysis is conducted to formulate development strategies that are both evidence-based and contextually relevant. The findings indicate that the agricultural sector—particularly </w:t>
      </w:r>
      <w:r w:rsidRPr="003D000A">
        <w:rPr>
          <w:rFonts w:ascii="Times New Roman" w:hAnsi="Times New Roman" w:cs="Times New Roman"/>
          <w:b/>
          <w:color w:val="FF0000"/>
          <w:sz w:val="24"/>
          <w:szCs w:val="24"/>
        </w:rPr>
        <w:t>Arabica coffee and cocoa—constitutes</w:t>
      </w:r>
      <w:r w:rsidRPr="00E84598">
        <w:rPr>
          <w:rFonts w:ascii="Times New Roman" w:hAnsi="Times New Roman" w:cs="Times New Roman"/>
          <w:sz w:val="24"/>
          <w:szCs w:val="24"/>
        </w:rPr>
        <w:t xml:space="preserve"> a leading sector, although it experiences a shift in its relative advantage during 2022–2023. The wholesale and retail trade sector shows stable growth and reaches Quadrant I in 2023, indicating its </w:t>
      </w:r>
      <w:r w:rsidRPr="003D000A">
        <w:rPr>
          <w:rFonts w:ascii="Times New Roman" w:hAnsi="Times New Roman" w:cs="Times New Roman"/>
          <w:b/>
          <w:color w:val="FF0000"/>
          <w:sz w:val="24"/>
          <w:szCs w:val="24"/>
        </w:rPr>
        <w:t>increasingly</w:t>
      </w:r>
      <w:r w:rsidRPr="00E84598">
        <w:rPr>
          <w:rFonts w:ascii="Times New Roman" w:hAnsi="Times New Roman" w:cs="Times New Roman"/>
          <w:sz w:val="24"/>
          <w:szCs w:val="24"/>
        </w:rPr>
        <w:t xml:space="preserve"> important role. The transportation and warehousing sector also contributes substantially to the economy, although its growth is slower than that of the trade sector. The construction sector plays an important role in infrastructure development that supports other sectors. Strengthening infrastructure, increasing agricultural productivity through technology adoption, and diversifying the economy through nature-based tourism development are strategic measures that can support the development of Babussalam’s leading sectors. This study is limited to the analysis of leading sectors in Babussalam Sub-district and does not examine broader socio-economic aspects of Aceh Tenggara Regency. The study integrates quantitative analysis with qualitative interviews to provide a more comprehensive depiction of Babussalam’s leading sectors and to formulate evidence-based, contextually grounded regional development strategies.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Keywords:</w:t>
      </w:r>
      <w:r w:rsidRPr="00E84598">
        <w:rPr>
          <w:rFonts w:ascii="Times New Roman" w:hAnsi="Times New Roman" w:cs="Times New Roman"/>
          <w:sz w:val="24"/>
          <w:szCs w:val="24"/>
        </w:rPr>
        <w:t xml:space="preserve"> Regional development, leading sectors, Location Quotient (LQ), Klassen Typology, Babussalam, Aceh Tenggara.</w:t>
      </w:r>
    </w:p>
    <w:p w:rsidR="00E84598" w:rsidRPr="00E84598" w:rsidRDefault="00E84598" w:rsidP="00E84598">
      <w:pPr>
        <w:jc w:val="both"/>
        <w:rPr>
          <w:rFonts w:ascii="Times New Roman" w:hAnsi="Times New Roman" w:cs="Times New Roman"/>
          <w:sz w:val="24"/>
          <w:szCs w:val="24"/>
        </w:rPr>
      </w:pPr>
    </w:p>
    <w:p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Pr="00E84598">
        <w:rPr>
          <w:rFonts w:ascii="Times New Roman" w:hAnsi="Times New Roman" w:cs="Times New Roman"/>
          <w:b/>
          <w:bCs/>
          <w:sz w:val="24"/>
          <w:szCs w:val="24"/>
        </w:rPr>
        <w:t>Introduction</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Regional development is a key instrument for improving community welfare through the effective utilization of local potential. In Aceh Tenggara Regency, leading sectors such as agriculture and trade have considerable potential but have not yet been optimized. Therefore, it is essential to analyze these sectors in order to formulate development strategies that are grounded in local strengths (Puspita et al., 2017).</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Babussalam Sub-district holds a strategic role as the economic and administrative center of Aceh Tenggara. However, key sectors such as agriculture remain largely dependent on traditional methods, and limited infrastructure constrains their growth (Nofitasari et al., n.d.). Location Quotient (LQ) analysis can assist in identifying leading sectors that require greater attention within regional development planning (Hidayat&amp; Darwin, 2017).</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LQ enables policymakers to map sectors that possess comparative advantages and thus have stronger potential for further development. It provides an overview of sectors that are more dominant locally than in other regions, which indicates substantial opportunities for growth </w:t>
      </w:r>
      <w:r w:rsidRPr="00E84598">
        <w:rPr>
          <w:rFonts w:ascii="Times New Roman" w:hAnsi="Times New Roman" w:cs="Times New Roman"/>
          <w:sz w:val="24"/>
          <w:szCs w:val="24"/>
        </w:rPr>
        <w:lastRenderedPageBreak/>
        <w:t xml:space="preserve">(Rico, 2023). In addition, the Klassen Typology is used to describe the position of each sector in the economic structure based on its contribution and growth rate </w:t>
      </w:r>
      <w:r w:rsidRPr="003D000A">
        <w:rPr>
          <w:rFonts w:ascii="Times New Roman" w:hAnsi="Times New Roman" w:cs="Times New Roman"/>
          <w:b/>
          <w:color w:val="FF0000"/>
          <w:sz w:val="24"/>
          <w:szCs w:val="24"/>
        </w:rPr>
        <w:t>(Simanjuntak, 2025).</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Klassen Typology helps classify sectors according to their contribution to Gross Regional Domestic Product (GRDP) and their growth rates. This classification enables planners to prioritize sectors that are not only dominant but also exhibit high growth potential (Putra &amp;Kasmiati, 2018). In the Babussalam context, both the agricultural and trade sectors show significant potential, although they require stronger policy support and improved infrastructure.</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agricultural sector—especially coffee and cocoa—remains a backbone of Babussalam’s economy. Nevertheless, challenges such as price fluctuations and limited market access hinder the sector’s potential (Faes&amp;Zuhriyah, 2023). Therefore, policies focused on improving productivity and market access are required to strengthen agriculture in Babussalam.</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trade sector, both wholesale and retail, has shown notable growth in Babussalam. Improvements in infrastructure and regional accessibility are critical factors driving this sector’s development (Mailendra et al., 2018). The government should enhance logistics systems and improve market facilities to support continued growth in the trade sector.</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transportation and warehousing sector is also crucial in facilitating the distribution of goods and agricultural outputs. Developing this sector can increase distribution efficiency and reduce logistics costs, thereby supporting other sectors such as trade and agriculture (Hidayat&amp; Darwin, 2017). Strengthening transportation infrastructure should therefore become a priority to enhance regional competitiveness.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construction sector plays an enabling role by developing infrastructure that supports other sectors. Adequate infrastructure strengthens interregional connectivity and improves market access for leading sectors such as agriculture and trade (Putra &amp;Kasmiati, 2018). Thus, infrastructure development in Babussalam should emphasize construction projects that generate multiplier effects for broader economic growth.</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In formulating regional development strategies, SWOT analysis can be employed to identify strengths, weaknesses, opportunities, and threats affecting leading sectors. SWOT supports more focused strategy formulation by considering both internal and external dynamics (Mufarrij, 2025). Through this approach, the resulting strategies become more applicable and evidence-based.</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This study addresses a gap in the literature on leading sector-based regional development at the sub-district level. Most previous research focuses on the regency or provincial level, while sub-district-level development is often overlooked. The integrative approach combining quantitative and qualitative analysis provides a more comprehensive understanding of the potential and challenges of Babussalam’s leading sectors (Novita et al., 2023).</w:t>
      </w:r>
    </w:p>
    <w:p w:rsidR="00E84598" w:rsidRPr="00E84598" w:rsidRDefault="00E84598" w:rsidP="00E84598">
      <w:pPr>
        <w:jc w:val="both"/>
        <w:rPr>
          <w:rFonts w:ascii="Times New Roman" w:hAnsi="Times New Roman" w:cs="Times New Roman"/>
          <w:sz w:val="24"/>
          <w:szCs w:val="24"/>
        </w:rPr>
      </w:pPr>
    </w:p>
    <w:p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Pr="00E84598">
        <w:rPr>
          <w:rFonts w:ascii="Times New Roman" w:hAnsi="Times New Roman" w:cs="Times New Roman"/>
          <w:b/>
          <w:bCs/>
          <w:sz w:val="24"/>
          <w:szCs w:val="24"/>
        </w:rPr>
        <w:t>Research Methods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lastRenderedPageBreak/>
        <w:t>This study employs a quantitative approach with descriptive analysis to identify and formulate leading sector-based regional development strategies in Babussalam Sub-district, Aceh Tenggara Regency. The methods include Location Quotient (LQ) analysis to identify leading sectors, the Klassen Typology to map sectoral growth dynamics, and SWOT analysis to formulate strategies based on strengths, weaknesses, opportunities, and threats.</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Research Approach and Type</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This is a descriptive study with a quantitative approach. The study aims to describe the leading sectors in Babussalam and the corresponding development strategies based on the results of LQ, Klassen Typology, and SWOT analyses. In addition, qualitative data from interviews with local stakeholders are incorporated to enrich the quantitative findings.</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Research Location and Period</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study was conducted in Babussalam Sub-district, Aceh Tenggara Regency, which serves as the administrative and economic center of the regency. Data collection was carried out from January to March 2025 to obtain the most recent information regarding sectoral economic development in the area.</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Types and Sources of Data</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This study uses both primary and secondary data. Primary data were collected through semi-structured interviews with sub-district government officials, regional planning agency (Bappeda) representatives, business </w:t>
      </w:r>
      <w:r w:rsidRPr="004C4D91">
        <w:rPr>
          <w:rFonts w:ascii="Times New Roman" w:hAnsi="Times New Roman" w:cs="Times New Roman"/>
          <w:b/>
          <w:color w:val="FF0000"/>
          <w:sz w:val="24"/>
          <w:szCs w:val="24"/>
        </w:rPr>
        <w:t>actors</w:t>
      </w:r>
      <w:r w:rsidRPr="00E84598">
        <w:rPr>
          <w:rFonts w:ascii="Times New Roman" w:hAnsi="Times New Roman" w:cs="Times New Roman"/>
          <w:sz w:val="24"/>
          <w:szCs w:val="24"/>
        </w:rPr>
        <w:t>, and local farmers. Secondary data were obtained from the Central Bureau of Statistics (BPS) of Aceh Tenggara, including GRDP data and other economic indicators for the period 2019–2023.</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Data Collection Techniques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data collection techniques were as follows:</w:t>
      </w:r>
    </w:p>
    <w:p w:rsidR="00E84598" w:rsidRPr="00E84598" w:rsidRDefault="00E84598" w:rsidP="00E84598">
      <w:pPr>
        <w:numPr>
          <w:ilvl w:val="0"/>
          <w:numId w:val="1"/>
        </w:numPr>
        <w:jc w:val="both"/>
        <w:rPr>
          <w:rFonts w:ascii="Times New Roman" w:hAnsi="Times New Roman" w:cs="Times New Roman"/>
          <w:sz w:val="24"/>
          <w:szCs w:val="24"/>
        </w:rPr>
      </w:pPr>
      <w:r w:rsidRPr="00E84598">
        <w:rPr>
          <w:rFonts w:ascii="Times New Roman" w:hAnsi="Times New Roman" w:cs="Times New Roman"/>
          <w:b/>
          <w:bCs/>
          <w:sz w:val="24"/>
          <w:szCs w:val="24"/>
        </w:rPr>
        <w:t>Semi-Structured Interviews:</w:t>
      </w:r>
      <w:r w:rsidRPr="00E84598">
        <w:rPr>
          <w:rFonts w:ascii="Times New Roman" w:hAnsi="Times New Roman" w:cs="Times New Roman"/>
          <w:sz w:val="24"/>
          <w:szCs w:val="24"/>
        </w:rPr>
        <w:t xml:space="preserve"> Interviews were conducted with stakeholders such as sub-district officials, Bappeda representatives, business actors, and farmers to explore perceptions of leading sector potential and challenges in regional development.</w:t>
      </w:r>
    </w:p>
    <w:p w:rsidR="00E84598" w:rsidRPr="00E84598" w:rsidRDefault="00E84598" w:rsidP="00E84598">
      <w:pPr>
        <w:numPr>
          <w:ilvl w:val="0"/>
          <w:numId w:val="1"/>
        </w:numPr>
        <w:jc w:val="both"/>
        <w:rPr>
          <w:rFonts w:ascii="Times New Roman" w:hAnsi="Times New Roman" w:cs="Times New Roman"/>
          <w:sz w:val="24"/>
          <w:szCs w:val="24"/>
        </w:rPr>
      </w:pPr>
      <w:r w:rsidRPr="00E84598">
        <w:rPr>
          <w:rFonts w:ascii="Times New Roman" w:hAnsi="Times New Roman" w:cs="Times New Roman"/>
          <w:b/>
          <w:bCs/>
          <w:sz w:val="24"/>
          <w:szCs w:val="24"/>
        </w:rPr>
        <w:t>Document Review:</w:t>
      </w:r>
      <w:r w:rsidRPr="00E84598">
        <w:rPr>
          <w:rFonts w:ascii="Times New Roman" w:hAnsi="Times New Roman" w:cs="Times New Roman"/>
          <w:sz w:val="24"/>
          <w:szCs w:val="24"/>
        </w:rPr>
        <w:t xml:space="preserve"> Secondary data from BPS, regional planning documents, and other relevant reports were used to obtain information on sectoral contributions to GRDP.</w:t>
      </w:r>
    </w:p>
    <w:p w:rsidR="00E84598" w:rsidRPr="00E84598" w:rsidRDefault="00E84598" w:rsidP="00E84598">
      <w:pPr>
        <w:numPr>
          <w:ilvl w:val="0"/>
          <w:numId w:val="1"/>
        </w:numPr>
        <w:jc w:val="both"/>
        <w:rPr>
          <w:rFonts w:ascii="Times New Roman" w:hAnsi="Times New Roman" w:cs="Times New Roman"/>
          <w:sz w:val="24"/>
          <w:szCs w:val="24"/>
        </w:rPr>
      </w:pPr>
      <w:r w:rsidRPr="00E84598">
        <w:rPr>
          <w:rFonts w:ascii="Times New Roman" w:hAnsi="Times New Roman" w:cs="Times New Roman"/>
          <w:b/>
          <w:bCs/>
          <w:sz w:val="24"/>
          <w:szCs w:val="24"/>
        </w:rPr>
        <w:t>Field Observation:</w:t>
      </w:r>
      <w:r w:rsidRPr="00E84598">
        <w:rPr>
          <w:rFonts w:ascii="Times New Roman" w:hAnsi="Times New Roman" w:cs="Times New Roman"/>
          <w:sz w:val="24"/>
          <w:szCs w:val="24"/>
        </w:rPr>
        <w:t xml:space="preserve"> Field observations were undertaken to understand the actual conditions of leading sectors and the supporting infrastructure.</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Data Analysis Techniques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This study applies three main analytical methods: Location Quotient (LQ), Klassen Typology, and SWOT analysis.</w:t>
      </w:r>
    </w:p>
    <w:p w:rsidR="00E84598" w:rsidRPr="00E84598" w:rsidRDefault="00E84598" w:rsidP="00E84598">
      <w:pPr>
        <w:numPr>
          <w:ilvl w:val="0"/>
          <w:numId w:val="2"/>
        </w:numPr>
        <w:jc w:val="both"/>
        <w:rPr>
          <w:rFonts w:ascii="Times New Roman" w:hAnsi="Times New Roman" w:cs="Times New Roman"/>
          <w:sz w:val="24"/>
          <w:szCs w:val="24"/>
        </w:rPr>
      </w:pPr>
      <w:r w:rsidRPr="00E84598">
        <w:rPr>
          <w:rFonts w:ascii="Times New Roman" w:hAnsi="Times New Roman" w:cs="Times New Roman"/>
          <w:b/>
          <w:bCs/>
          <w:sz w:val="24"/>
          <w:szCs w:val="24"/>
        </w:rPr>
        <w:t>Location Quotient (LQ) Analysis:</w:t>
      </w:r>
      <w:r w:rsidRPr="00E84598">
        <w:rPr>
          <w:rFonts w:ascii="Times New Roman" w:hAnsi="Times New Roman" w:cs="Times New Roman"/>
          <w:sz w:val="24"/>
          <w:szCs w:val="24"/>
        </w:rPr>
        <w:br/>
        <w:t>LQ is used to identify leading sectors by comparing a sector’s contribution to the local GRDP with the contribution of the same sector at the provincial or national reference level. The LQ formula is as follows:</w:t>
      </w:r>
    </w:p>
    <w:p w:rsidR="00E84598" w:rsidRPr="00E84598" w:rsidRDefault="00E84598" w:rsidP="00E84598">
      <w:pPr>
        <w:jc w:val="both"/>
        <w:rPr>
          <w:rFonts w:ascii="Times New Roman" w:hAnsi="Times New Roman" w:cs="Times New Roman"/>
          <w:sz w:val="24"/>
          <w:szCs w:val="24"/>
        </w:rPr>
      </w:pPr>
      <m:oMathPara>
        <m:oMath>
          <m:r>
            <w:rPr>
              <w:rFonts w:ascii="Cambria Math" w:hAnsi="Cambria Math" w:cs="Times New Roman"/>
              <w:sz w:val="24"/>
              <w:szCs w:val="24"/>
            </w:rPr>
            <w:lastRenderedPageBreak/>
            <m:t>L</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m:rPr>
                              <m:nor/>
                            </m:rPr>
                            <w:rPr>
                              <w:rFonts w:ascii="Times New Roman" w:hAnsi="Times New Roman" w:cs="Times New Roman"/>
                              <w:sz w:val="24"/>
                              <w:szCs w:val="24"/>
                            </w:rPr>
                            <m:t>region</m:t>
                          </m:r>
                        </m:sub>
                      </m:sSub>
                    </m:num>
                    <m:den>
                      <m:sSub>
                        <m:sSubPr>
                          <m:ctrlPr>
                            <w:rPr>
                              <w:rFonts w:ascii="Cambria Math" w:hAnsi="Cambria Math" w:cs="Times New Roman"/>
                              <w:sz w:val="24"/>
                              <w:szCs w:val="24"/>
                            </w:rPr>
                          </m:ctrlPr>
                        </m:sSubPr>
                        <m:e>
                          <m:r>
                            <w:rPr>
                              <w:rFonts w:ascii="Cambria Math" w:hAnsi="Cambria Math" w:cs="Times New Roman"/>
                              <w:sz w:val="24"/>
                              <w:szCs w:val="24"/>
                            </w:rPr>
                            <m:t>X</m:t>
                          </m:r>
                        </m:e>
                        <m:sub>
                          <m:r>
                            <m:rPr>
                              <m:nor/>
                            </m:rPr>
                            <w:rPr>
                              <w:rFonts w:ascii="Times New Roman" w:hAnsi="Times New Roman" w:cs="Times New Roman"/>
                              <w:sz w:val="24"/>
                              <w:szCs w:val="24"/>
                            </w:rPr>
                            <m:t>total,region</m:t>
                          </m:r>
                        </m:sub>
                      </m:sSub>
                    </m:den>
                  </m:f>
                </m:e>
              </m:d>
            </m:num>
            <m:den>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m:rPr>
                              <m:nor/>
                            </m:rPr>
                            <w:rPr>
                              <w:rFonts w:ascii="Times New Roman" w:hAnsi="Times New Roman" w:cs="Times New Roman"/>
                              <w:sz w:val="24"/>
                              <w:szCs w:val="24"/>
                            </w:rPr>
                            <m:t>reference</m:t>
                          </m:r>
                        </m:sub>
                      </m:sSub>
                    </m:num>
                    <m:den>
                      <m:sSub>
                        <m:sSubPr>
                          <m:ctrlPr>
                            <w:rPr>
                              <w:rFonts w:ascii="Cambria Math" w:hAnsi="Cambria Math" w:cs="Times New Roman"/>
                              <w:sz w:val="24"/>
                              <w:szCs w:val="24"/>
                            </w:rPr>
                          </m:ctrlPr>
                        </m:sSubPr>
                        <m:e>
                          <m:r>
                            <w:rPr>
                              <w:rFonts w:ascii="Cambria Math" w:hAnsi="Cambria Math" w:cs="Times New Roman"/>
                              <w:sz w:val="24"/>
                              <w:szCs w:val="24"/>
                            </w:rPr>
                            <m:t>X</m:t>
                          </m:r>
                        </m:e>
                        <m:sub>
                          <m:r>
                            <m:rPr>
                              <m:nor/>
                            </m:rPr>
                            <w:rPr>
                              <w:rFonts w:ascii="Times New Roman" w:hAnsi="Times New Roman" w:cs="Times New Roman"/>
                              <w:sz w:val="24"/>
                              <w:szCs w:val="24"/>
                            </w:rPr>
                            <m:t>total,reference</m:t>
                          </m:r>
                        </m:sub>
                      </m:sSub>
                    </m:den>
                  </m:f>
                </m:e>
              </m:d>
            </m:den>
          </m:f>
          <m:r>
            <m:rPr>
              <m:sty m:val="p"/>
            </m:rPr>
            <w:rPr>
              <w:rFonts w:ascii="Times New Roman" w:hAnsi="Times New Roman" w:cs="Times New Roman"/>
              <w:sz w:val="24"/>
              <w:szCs w:val="24"/>
            </w:rPr>
            <w:br/>
          </m:r>
        </m:oMath>
      </m:oMathPara>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Where:</w:t>
      </w:r>
    </w:p>
    <w:p w:rsidR="00E84598" w:rsidRPr="00E84598" w:rsidRDefault="0089350F" w:rsidP="00E84598">
      <w:pPr>
        <w:numPr>
          <w:ilvl w:val="0"/>
          <w:numId w:val="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m:rPr>
                <m:nor/>
              </m:rPr>
              <w:rPr>
                <w:rFonts w:ascii="Times New Roman" w:hAnsi="Times New Roman" w:cs="Times New Roman"/>
                <w:sz w:val="24"/>
                <w:szCs w:val="24"/>
              </w:rPr>
              <m:t>region</m:t>
            </m:r>
          </m:sub>
        </m:sSub>
      </m:oMath>
      <w:r w:rsidR="00E84598" w:rsidRPr="00E84598">
        <w:rPr>
          <w:rFonts w:ascii="Times New Roman" w:hAnsi="Times New Roman" w:cs="Times New Roman"/>
          <w:sz w:val="24"/>
          <w:szCs w:val="24"/>
        </w:rPr>
        <w:t xml:space="preserve">is the contribution of sector </w:t>
      </w:r>
      <m:oMath>
        <m:r>
          <w:rPr>
            <w:rFonts w:ascii="Cambria Math" w:hAnsi="Cambria Math" w:cs="Times New Roman"/>
            <w:sz w:val="24"/>
            <w:szCs w:val="24"/>
          </w:rPr>
          <m:t>i</m:t>
        </m:r>
      </m:oMath>
      <w:r w:rsidR="00E84598" w:rsidRPr="00E84598">
        <w:rPr>
          <w:rFonts w:ascii="Times New Roman" w:hAnsi="Times New Roman" w:cs="Times New Roman"/>
          <w:sz w:val="24"/>
          <w:szCs w:val="24"/>
        </w:rPr>
        <w:t>to the region’s GRDP.</w:t>
      </w:r>
    </w:p>
    <w:p w:rsidR="00E84598" w:rsidRPr="00E84598" w:rsidRDefault="0089350F" w:rsidP="00E84598">
      <w:pPr>
        <w:numPr>
          <w:ilvl w:val="0"/>
          <w:numId w:val="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m:rPr>
                <m:nor/>
              </m:rPr>
              <w:rPr>
                <w:rFonts w:ascii="Times New Roman" w:hAnsi="Times New Roman" w:cs="Times New Roman"/>
                <w:sz w:val="24"/>
                <w:szCs w:val="24"/>
              </w:rPr>
              <m:t>total,region</m:t>
            </m:r>
          </m:sub>
        </m:sSub>
      </m:oMath>
      <w:r w:rsidR="00E84598" w:rsidRPr="00E84598">
        <w:rPr>
          <w:rFonts w:ascii="Times New Roman" w:hAnsi="Times New Roman" w:cs="Times New Roman"/>
          <w:sz w:val="24"/>
          <w:szCs w:val="24"/>
        </w:rPr>
        <w:t>is the total GRDP contribution of the region.</w:t>
      </w:r>
    </w:p>
    <w:p w:rsidR="00E84598" w:rsidRPr="00E84598" w:rsidRDefault="0089350F" w:rsidP="00E84598">
      <w:pPr>
        <w:numPr>
          <w:ilvl w:val="0"/>
          <w:numId w:val="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m:rPr>
                <m:nor/>
              </m:rPr>
              <w:rPr>
                <w:rFonts w:ascii="Times New Roman" w:hAnsi="Times New Roman" w:cs="Times New Roman"/>
                <w:sz w:val="24"/>
                <w:szCs w:val="24"/>
              </w:rPr>
              <m:t>reference</m:t>
            </m:r>
          </m:sub>
        </m:sSub>
      </m:oMath>
      <w:r w:rsidR="00E84598" w:rsidRPr="00E84598">
        <w:rPr>
          <w:rFonts w:ascii="Times New Roman" w:hAnsi="Times New Roman" w:cs="Times New Roman"/>
          <w:sz w:val="24"/>
          <w:szCs w:val="24"/>
        </w:rPr>
        <w:t xml:space="preserve">is the contribution of sector </w:t>
      </w:r>
      <m:oMath>
        <m:r>
          <w:rPr>
            <w:rFonts w:ascii="Cambria Math" w:hAnsi="Cambria Math" w:cs="Times New Roman"/>
            <w:sz w:val="24"/>
            <w:szCs w:val="24"/>
          </w:rPr>
          <m:t>i</m:t>
        </m:r>
      </m:oMath>
      <w:r w:rsidR="00E84598" w:rsidRPr="00E84598">
        <w:rPr>
          <w:rFonts w:ascii="Times New Roman" w:hAnsi="Times New Roman" w:cs="Times New Roman"/>
          <w:sz w:val="24"/>
          <w:szCs w:val="24"/>
        </w:rPr>
        <w:t>to the reference GRDP (province/national).</w:t>
      </w:r>
    </w:p>
    <w:p w:rsidR="00E84598" w:rsidRPr="00E84598" w:rsidRDefault="0089350F" w:rsidP="00E84598">
      <w:pPr>
        <w:numPr>
          <w:ilvl w:val="0"/>
          <w:numId w:val="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m:rPr>
                <m:nor/>
              </m:rPr>
              <w:rPr>
                <w:rFonts w:ascii="Times New Roman" w:hAnsi="Times New Roman" w:cs="Times New Roman"/>
                <w:sz w:val="24"/>
                <w:szCs w:val="24"/>
              </w:rPr>
              <m:t>total,reference</m:t>
            </m:r>
          </m:sub>
        </m:sSub>
      </m:oMath>
      <w:r w:rsidR="00E84598" w:rsidRPr="00E84598">
        <w:rPr>
          <w:rFonts w:ascii="Times New Roman" w:hAnsi="Times New Roman" w:cs="Times New Roman"/>
          <w:sz w:val="24"/>
          <w:szCs w:val="24"/>
        </w:rPr>
        <w:t>is the total GRDP contribution of the reference area.</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A sector with an LQ greater than 1 indicates a leading sector with potential for further development.</w:t>
      </w:r>
    </w:p>
    <w:p w:rsidR="00E84598" w:rsidRPr="00E84598" w:rsidRDefault="00E84598" w:rsidP="00E84598">
      <w:pPr>
        <w:numPr>
          <w:ilvl w:val="0"/>
          <w:numId w:val="4"/>
        </w:numPr>
        <w:jc w:val="both"/>
        <w:rPr>
          <w:rFonts w:ascii="Times New Roman" w:hAnsi="Times New Roman" w:cs="Times New Roman"/>
          <w:sz w:val="24"/>
          <w:szCs w:val="24"/>
        </w:rPr>
      </w:pPr>
      <w:r w:rsidRPr="00E84598">
        <w:rPr>
          <w:rFonts w:ascii="Times New Roman" w:hAnsi="Times New Roman" w:cs="Times New Roman"/>
          <w:b/>
          <w:bCs/>
          <w:sz w:val="24"/>
          <w:szCs w:val="24"/>
        </w:rPr>
        <w:t>Klassen Typology Analysis:</w:t>
      </w:r>
      <w:r w:rsidRPr="00E84598">
        <w:rPr>
          <w:rFonts w:ascii="Times New Roman" w:hAnsi="Times New Roman" w:cs="Times New Roman"/>
          <w:sz w:val="24"/>
          <w:szCs w:val="24"/>
        </w:rPr>
        <w:br/>
        <w:t>The Klassen Typology maps economic sectors based on two main variables: contribution to GRDP and sectoral growth rate. Sectors are classified into four quadrants:</w:t>
      </w:r>
    </w:p>
    <w:p w:rsidR="00E84598" w:rsidRPr="00E84598" w:rsidRDefault="00E84598" w:rsidP="00E84598">
      <w:pPr>
        <w:numPr>
          <w:ilvl w:val="0"/>
          <w:numId w:val="5"/>
        </w:numPr>
        <w:jc w:val="both"/>
        <w:rPr>
          <w:rFonts w:ascii="Times New Roman" w:hAnsi="Times New Roman" w:cs="Times New Roman"/>
          <w:sz w:val="24"/>
          <w:szCs w:val="24"/>
        </w:rPr>
      </w:pPr>
      <w:r w:rsidRPr="00E84598">
        <w:rPr>
          <w:rFonts w:ascii="Times New Roman" w:hAnsi="Times New Roman" w:cs="Times New Roman"/>
          <w:b/>
          <w:bCs/>
          <w:sz w:val="24"/>
          <w:szCs w:val="24"/>
        </w:rPr>
        <w:t>Quadrant I:</w:t>
      </w:r>
      <w:r w:rsidRPr="00E84598">
        <w:rPr>
          <w:rFonts w:ascii="Times New Roman" w:hAnsi="Times New Roman" w:cs="Times New Roman"/>
          <w:sz w:val="24"/>
          <w:szCs w:val="24"/>
        </w:rPr>
        <w:t xml:space="preserve"> Advanced and rapidly growing sectors.</w:t>
      </w:r>
    </w:p>
    <w:p w:rsidR="00E84598" w:rsidRPr="00E84598" w:rsidRDefault="00E84598" w:rsidP="00E84598">
      <w:pPr>
        <w:numPr>
          <w:ilvl w:val="0"/>
          <w:numId w:val="5"/>
        </w:numPr>
        <w:jc w:val="both"/>
        <w:rPr>
          <w:rFonts w:ascii="Times New Roman" w:hAnsi="Times New Roman" w:cs="Times New Roman"/>
          <w:sz w:val="24"/>
          <w:szCs w:val="24"/>
        </w:rPr>
      </w:pPr>
      <w:r w:rsidRPr="00E84598">
        <w:rPr>
          <w:rFonts w:ascii="Times New Roman" w:hAnsi="Times New Roman" w:cs="Times New Roman"/>
          <w:b/>
          <w:bCs/>
          <w:sz w:val="24"/>
          <w:szCs w:val="24"/>
        </w:rPr>
        <w:t>Quadrant II:</w:t>
      </w:r>
      <w:r w:rsidRPr="00E84598">
        <w:rPr>
          <w:rFonts w:ascii="Times New Roman" w:hAnsi="Times New Roman" w:cs="Times New Roman"/>
          <w:sz w:val="24"/>
          <w:szCs w:val="24"/>
        </w:rPr>
        <w:t xml:space="preserve"> Advanced but pressured sectors.</w:t>
      </w:r>
    </w:p>
    <w:p w:rsidR="00E84598" w:rsidRPr="00E84598" w:rsidRDefault="00E84598" w:rsidP="00E84598">
      <w:pPr>
        <w:numPr>
          <w:ilvl w:val="0"/>
          <w:numId w:val="5"/>
        </w:numPr>
        <w:jc w:val="both"/>
        <w:rPr>
          <w:rFonts w:ascii="Times New Roman" w:hAnsi="Times New Roman" w:cs="Times New Roman"/>
          <w:sz w:val="24"/>
          <w:szCs w:val="24"/>
        </w:rPr>
      </w:pPr>
      <w:r w:rsidRPr="00E84598">
        <w:rPr>
          <w:rFonts w:ascii="Times New Roman" w:hAnsi="Times New Roman" w:cs="Times New Roman"/>
          <w:b/>
          <w:bCs/>
          <w:sz w:val="24"/>
          <w:szCs w:val="24"/>
        </w:rPr>
        <w:t>Quadrant III:</w:t>
      </w:r>
      <w:r w:rsidRPr="00E84598">
        <w:rPr>
          <w:rFonts w:ascii="Times New Roman" w:hAnsi="Times New Roman" w:cs="Times New Roman"/>
          <w:sz w:val="24"/>
          <w:szCs w:val="24"/>
        </w:rPr>
        <w:t xml:space="preserve"> Rapidly growing sectors.</w:t>
      </w:r>
    </w:p>
    <w:p w:rsidR="00E84598" w:rsidRPr="00E84598" w:rsidRDefault="00E84598" w:rsidP="00E84598">
      <w:pPr>
        <w:numPr>
          <w:ilvl w:val="0"/>
          <w:numId w:val="5"/>
        </w:numPr>
        <w:jc w:val="both"/>
        <w:rPr>
          <w:rFonts w:ascii="Times New Roman" w:hAnsi="Times New Roman" w:cs="Times New Roman"/>
          <w:sz w:val="24"/>
          <w:szCs w:val="24"/>
        </w:rPr>
      </w:pPr>
      <w:r w:rsidRPr="00E84598">
        <w:rPr>
          <w:rFonts w:ascii="Times New Roman" w:hAnsi="Times New Roman" w:cs="Times New Roman"/>
          <w:b/>
          <w:bCs/>
          <w:sz w:val="24"/>
          <w:szCs w:val="24"/>
        </w:rPr>
        <w:t>Quadrant IV:</w:t>
      </w:r>
      <w:r w:rsidRPr="00E84598">
        <w:rPr>
          <w:rFonts w:ascii="Times New Roman" w:hAnsi="Times New Roman" w:cs="Times New Roman"/>
          <w:sz w:val="24"/>
          <w:szCs w:val="24"/>
        </w:rPr>
        <w:t xml:space="preserve"> Underdeveloped sectors.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computation uses GRDP data and annual sectoral growth rates.</w:t>
      </w:r>
    </w:p>
    <w:p w:rsidR="00E84598" w:rsidRPr="00E84598" w:rsidRDefault="00E84598" w:rsidP="00E84598">
      <w:pPr>
        <w:numPr>
          <w:ilvl w:val="0"/>
          <w:numId w:val="6"/>
        </w:numPr>
        <w:jc w:val="both"/>
        <w:rPr>
          <w:rFonts w:ascii="Times New Roman" w:hAnsi="Times New Roman" w:cs="Times New Roman"/>
          <w:sz w:val="24"/>
          <w:szCs w:val="24"/>
        </w:rPr>
      </w:pPr>
      <w:r w:rsidRPr="00E84598">
        <w:rPr>
          <w:rFonts w:ascii="Times New Roman" w:hAnsi="Times New Roman" w:cs="Times New Roman"/>
          <w:b/>
          <w:bCs/>
          <w:sz w:val="24"/>
          <w:szCs w:val="24"/>
        </w:rPr>
        <w:t>SWOT Analysis:</w:t>
      </w:r>
      <w:r w:rsidRPr="00E84598">
        <w:rPr>
          <w:rFonts w:ascii="Times New Roman" w:hAnsi="Times New Roman" w:cs="Times New Roman"/>
          <w:sz w:val="24"/>
          <w:szCs w:val="24"/>
        </w:rPr>
        <w:br/>
        <w:t>SWOT analysis assesses the strengths, weaknesses, opportunities, and threats faced by Babussalam’s leading sectors. The analysis identifies internal factors (strengths and weaknesses) and external factors (opportunities and threats) influencing leading-sector development. Information from interviews and field observations is used to develop the SWOT matrix to support strategy formulation.</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Data Validity and Reliability</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To ensure data validity and reliability, this study employs data triangulation by cross-checking quantitative and qualitative data. Moreover, interviews with diverse stakeholders help ensure that the information reflects actual conditions.</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Analytical Workflow</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analytical process begins with secondary data collection, followed by stakeholder interviews. The collected data are analyzed using LQ and Klassen Typology to identify leading sectors. These results are integrated with interview findings to construct the SWOT analysis, which is then used to develop strategic recommendations.</w:t>
      </w:r>
    </w:p>
    <w:p w:rsidR="00E84598" w:rsidRPr="00E84598" w:rsidRDefault="00E84598" w:rsidP="00E84598">
      <w:pPr>
        <w:jc w:val="both"/>
        <w:rPr>
          <w:rFonts w:ascii="Times New Roman" w:hAnsi="Times New Roman" w:cs="Times New Roman"/>
          <w:sz w:val="24"/>
          <w:szCs w:val="24"/>
        </w:rPr>
      </w:pPr>
    </w:p>
    <w:p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III. </w:t>
      </w:r>
      <w:r w:rsidRPr="00E84598">
        <w:rPr>
          <w:rFonts w:ascii="Times New Roman" w:hAnsi="Times New Roman" w:cs="Times New Roman"/>
          <w:b/>
          <w:bCs/>
          <w:sz w:val="24"/>
          <w:szCs w:val="24"/>
        </w:rPr>
        <w:t>Results and Discussion</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This study aims to identify leading sectors in Babussalam Sub-district, Aceh Tenggara Regency, and to formulate development strategies based on these sectors. The results reveal significant findings regarding sectors that can drive local economic growth. Based on Location Quotient (LQ), Klassen Typology, and SWOT analyses, several leading sectors are identified as having strong development potential.</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General Overview of Babussalam Sub-district</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Babussalam Sub-district is the administrative and economic center of Aceh Tenggara Regency. The area has relatively good accessibility, supported by main transportation routes connecting Babussalam with Kutacane and Medan. Along with continuous economic development, sectors such as agriculture, trade, and transportation contribute substantially to local GRDP. Based on BPS 2025 data, the GRDP of Aceh Tenggara Regency shows a positive trend, although disparities remain among key sectors in terms of their contributions to the economy.</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Identification of Leading Sectors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Agriculture:</w:t>
      </w:r>
      <w:r w:rsidRPr="00E84598">
        <w:rPr>
          <w:rFonts w:ascii="Times New Roman" w:hAnsi="Times New Roman" w:cs="Times New Roman"/>
          <w:sz w:val="24"/>
          <w:szCs w:val="24"/>
        </w:rPr>
        <w:br/>
        <w:t>Based on Location Quotient (LQ) analysis, the agricultural sector—particularly Arabica coffee and cocoa—shows an LQ greater than 1 during 2019–2021, indicating that it is a leading sector in Aceh Tenggara Regency. However, in 2022–2023, the sector shifts toward a non-base classification, although it continues to contribute substantially to local GRDP. This finding suggests that agriculture requires further support through productivity improvements and expanded market access.</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Table 1 GRDP of the Agricultural Sector in Babussalam Sub-district (2010 Constant Prices; billion rupiah)</w:t>
      </w:r>
      <w:r w:rsidRPr="00E84598">
        <w:rPr>
          <w:rFonts w:ascii="Times New Roman" w:hAnsi="Times New Roman" w:cs="Times New Roman"/>
          <w:sz w:val="24"/>
          <w:szCs w:val="24"/>
        </w:rPr>
        <w:br/>
      </w:r>
    </w:p>
    <w:tbl>
      <w:tblPr>
        <w:tblStyle w:val="TableGrid"/>
        <w:tblW w:w="0" w:type="auto"/>
        <w:tblLook w:val="04A0"/>
      </w:tblPr>
      <w:tblGrid>
        <w:gridCol w:w="696"/>
        <w:gridCol w:w="5178"/>
        <w:gridCol w:w="3368"/>
      </w:tblGrid>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Year</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GRDP of the Agricultural Sector (billion rupiah)</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Proportion of Total GRDP (%)</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2019</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2,055.98</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40.64</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2020</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2,190.47</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40.40</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2021</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2,416.48</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41.46</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2022</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2,634.57</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42.10</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2023</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2,905.26</w:t>
            </w:r>
          </w:p>
        </w:tc>
        <w:tc>
          <w:tcPr>
            <w:tcW w:w="0" w:type="auto"/>
            <w:hideMark/>
          </w:tcPr>
          <w:p w:rsidR="00E84598" w:rsidRPr="00E84598" w:rsidRDefault="00E84598" w:rsidP="00E84598">
            <w:pPr>
              <w:spacing w:after="160" w:line="259" w:lineRule="auto"/>
              <w:jc w:val="both"/>
              <w:rPr>
                <w:rFonts w:ascii="Times New Roman" w:hAnsi="Times New Roman" w:cs="Times New Roman"/>
                <w:sz w:val="24"/>
                <w:szCs w:val="24"/>
              </w:rPr>
            </w:pPr>
            <w:r w:rsidRPr="00E84598">
              <w:rPr>
                <w:rFonts w:ascii="Times New Roman" w:hAnsi="Times New Roman" w:cs="Times New Roman"/>
                <w:sz w:val="24"/>
                <w:szCs w:val="24"/>
              </w:rPr>
              <w:t>43.13</w:t>
            </w:r>
          </w:p>
        </w:tc>
      </w:tr>
    </w:tbl>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w:t>
      </w:r>
      <w:r w:rsidRPr="006C6BA1">
        <w:rPr>
          <w:rFonts w:ascii="Times New Roman" w:hAnsi="Times New Roman" w:cs="Times New Roman"/>
          <w:b/>
          <w:color w:val="FF0000"/>
          <w:sz w:val="24"/>
          <w:szCs w:val="24"/>
        </w:rPr>
        <w:t xml:space="preserve">table </w:t>
      </w:r>
      <w:r w:rsidRPr="00E84598">
        <w:rPr>
          <w:rFonts w:ascii="Times New Roman" w:hAnsi="Times New Roman" w:cs="Times New Roman"/>
          <w:sz w:val="24"/>
          <w:szCs w:val="24"/>
        </w:rPr>
        <w:t>above shows the contribution of the agricultural sector to Babussalam’s GRDP from 2019 to 2023. The agricultural sector demonstrates a steady increase in both GRDP value and its proportion of total local GRDP. In 2019, the sector accounted for 40.64% of GRDP, and this proportion increased to 43.13% in 2023. This upward trend reflects the central role of agriculture—particularly leading commodities such as coffee and cocoa—in the local economy. Although fluctuations occur in certain years, agriculture remains the backbone of Babussalam’s economy, with a consistently increasing contribution over time.</w:t>
      </w:r>
    </w:p>
    <w:p w:rsid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lastRenderedPageBreak/>
        <w:t>Wholesale and Retail Trade:</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br/>
        <w:t>The trade sector shows a significant upward trend based on LQ results. In 2021, this sector shifts from non-base to base status and remains a stable base sector, reaching Quadrant I in 2023. This indicates that the sector has strong potential to support economic development in Babussalam. Ongoing infrastructure development and improved market access are key factors in this sector’s expansion.</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 xml:space="preserve">Table 2 GRDP of the Wholesale and Retail Trade Sector in Babussalam Sub-district </w:t>
      </w:r>
    </w:p>
    <w:tbl>
      <w:tblPr>
        <w:tblStyle w:val="TableGrid"/>
        <w:tblW w:w="0" w:type="auto"/>
        <w:tblLook w:val="04A0"/>
      </w:tblPr>
      <w:tblGrid>
        <w:gridCol w:w="696"/>
        <w:gridCol w:w="5329"/>
        <w:gridCol w:w="3217"/>
      </w:tblGrid>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Year</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GRDP of Wholesale and Retail Trade (billion rupiah)</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Proportion of Total GRDP (%)</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2019</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703.87</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13.91</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2020</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753.56</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13.90</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2021</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802.39</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13.77</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2022</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892.65</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14.26</w:t>
            </w:r>
          </w:p>
        </w:tc>
      </w:tr>
      <w:tr w:rsidR="00E84598" w:rsidRPr="00E84598" w:rsidTr="00E84598">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2023</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935.60</w:t>
            </w:r>
          </w:p>
        </w:tc>
        <w:tc>
          <w:tcPr>
            <w:tcW w:w="0" w:type="auto"/>
            <w:hideMark/>
          </w:tcPr>
          <w:p w:rsidR="00E84598" w:rsidRPr="00E84598" w:rsidRDefault="00E84598" w:rsidP="00E84598">
            <w:pPr>
              <w:spacing w:after="160" w:line="259" w:lineRule="auto"/>
              <w:jc w:val="both"/>
              <w:rPr>
                <w:rFonts w:ascii="Times New Roman" w:hAnsi="Times New Roman" w:cs="Times New Roman"/>
                <w:b/>
                <w:bCs/>
                <w:sz w:val="24"/>
                <w:szCs w:val="24"/>
              </w:rPr>
            </w:pPr>
            <w:r w:rsidRPr="00E84598">
              <w:rPr>
                <w:rFonts w:ascii="Times New Roman" w:hAnsi="Times New Roman" w:cs="Times New Roman"/>
                <w:b/>
                <w:bCs/>
                <w:sz w:val="24"/>
                <w:szCs w:val="24"/>
              </w:rPr>
              <w:t>13.89</w:t>
            </w:r>
          </w:p>
        </w:tc>
      </w:tr>
    </w:tbl>
    <w:p w:rsidR="00E84598" w:rsidRPr="00E84598" w:rsidRDefault="00E84598" w:rsidP="00E84598">
      <w:pPr>
        <w:jc w:val="both"/>
        <w:rPr>
          <w:rFonts w:ascii="Times New Roman" w:hAnsi="Times New Roman" w:cs="Times New Roman"/>
          <w:sz w:val="24"/>
          <w:szCs w:val="24"/>
        </w:rPr>
      </w:pP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w:t>
      </w:r>
      <w:r w:rsidRPr="006C6BA1">
        <w:rPr>
          <w:rFonts w:ascii="Times New Roman" w:hAnsi="Times New Roman" w:cs="Times New Roman"/>
          <w:b/>
          <w:color w:val="FF0000"/>
          <w:sz w:val="24"/>
          <w:szCs w:val="24"/>
        </w:rPr>
        <w:t>table</w:t>
      </w:r>
      <w:r w:rsidRPr="00E84598">
        <w:rPr>
          <w:rFonts w:ascii="Times New Roman" w:hAnsi="Times New Roman" w:cs="Times New Roman"/>
          <w:sz w:val="24"/>
          <w:szCs w:val="24"/>
        </w:rPr>
        <w:t xml:space="preserve"> above shows the contribution of the wholesale and retail trade sector to Babussalam’s GRDP from 2019 to 2023. While the sector’s proportion of GRDP fluctuates slightly, the GRDP value of the trade sector increases each year. In 2019, the sector contributed 13.91% of GRDP, and it reached 13.89% in 2023. This indicates that the trade sector—which includes goods and service exchanges—continues to expand and plays an important role in Babussalam’s economy. Improvements in infrastructure and regional accessibility are key drivers of growth in this sector.</w:t>
      </w:r>
    </w:p>
    <w:p w:rsid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Transportation and Warehousing:</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transportation and warehousing sector in Babussalam also functions as a base sector from 2019 to 2023. This sector is essential for supporting the distribution of goods and agricultural outputs from Babussalam to local markets and external regions. Strengthening transportation and warehousing infrastructure would improve connectivity and distribution efficiency, thereby supporting the growth of the trade and agricultural sectors.</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Klassen Typology Analysis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Based on the Klassen Typology analysis, the agricultural sector in Babussalam falls into Quadrant III (rapidly growing sector), indicating high growth potential, although its contribution to GRDP is relatively lower than that of the trade sector. In contrast, the wholesale and retail trade sector is classified in Quadrant I (advanced and rapidly growing sector), indicating that it has already developed rapidly and contributes substantially to the local economy.</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The transportation and warehousing sector remains in Quadrant II (advanced but pressured sector), reflecting stability in its contribution to GRDP, but a slower growth rate compared to </w:t>
      </w:r>
      <w:r w:rsidRPr="00E84598">
        <w:rPr>
          <w:rFonts w:ascii="Times New Roman" w:hAnsi="Times New Roman" w:cs="Times New Roman"/>
          <w:sz w:val="24"/>
          <w:szCs w:val="24"/>
        </w:rPr>
        <w:lastRenderedPageBreak/>
        <w:t>the trade sector. Therefore, this sector requires greater attention—particularly in infrastructure development—to achieve faster growth.</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SWOT Analysis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Strengths:</w:t>
      </w:r>
    </w:p>
    <w:p w:rsidR="00E84598" w:rsidRPr="00E84598" w:rsidRDefault="00E84598" w:rsidP="00E84598">
      <w:pPr>
        <w:numPr>
          <w:ilvl w:val="0"/>
          <w:numId w:val="7"/>
        </w:numPr>
        <w:jc w:val="both"/>
        <w:rPr>
          <w:rFonts w:ascii="Times New Roman" w:hAnsi="Times New Roman" w:cs="Times New Roman"/>
          <w:sz w:val="24"/>
          <w:szCs w:val="24"/>
        </w:rPr>
      </w:pPr>
      <w:r w:rsidRPr="00E84598">
        <w:rPr>
          <w:rFonts w:ascii="Times New Roman" w:hAnsi="Times New Roman" w:cs="Times New Roman"/>
          <w:sz w:val="24"/>
          <w:szCs w:val="24"/>
        </w:rPr>
        <w:t>Abundant natural resources, particularly in agriculture (coffee and cocoa).</w:t>
      </w:r>
    </w:p>
    <w:p w:rsidR="00E84598" w:rsidRPr="00E84598" w:rsidRDefault="00E84598" w:rsidP="00E84598">
      <w:pPr>
        <w:numPr>
          <w:ilvl w:val="0"/>
          <w:numId w:val="7"/>
        </w:numPr>
        <w:jc w:val="both"/>
        <w:rPr>
          <w:rFonts w:ascii="Times New Roman" w:hAnsi="Times New Roman" w:cs="Times New Roman"/>
          <w:sz w:val="24"/>
          <w:szCs w:val="24"/>
        </w:rPr>
      </w:pPr>
      <w:r w:rsidRPr="00E84598">
        <w:rPr>
          <w:rFonts w:ascii="Times New Roman" w:hAnsi="Times New Roman" w:cs="Times New Roman"/>
          <w:sz w:val="24"/>
          <w:szCs w:val="24"/>
        </w:rPr>
        <w:t>Babussalam’s strategic position as an administrative and trade center.</w:t>
      </w:r>
    </w:p>
    <w:p w:rsidR="00E84598" w:rsidRPr="00E84598" w:rsidRDefault="00E84598" w:rsidP="00E84598">
      <w:pPr>
        <w:numPr>
          <w:ilvl w:val="0"/>
          <w:numId w:val="7"/>
        </w:numPr>
        <w:jc w:val="both"/>
        <w:rPr>
          <w:rFonts w:ascii="Times New Roman" w:hAnsi="Times New Roman" w:cs="Times New Roman"/>
          <w:sz w:val="24"/>
          <w:szCs w:val="24"/>
        </w:rPr>
      </w:pPr>
      <w:r w:rsidRPr="00E84598">
        <w:rPr>
          <w:rFonts w:ascii="Times New Roman" w:hAnsi="Times New Roman" w:cs="Times New Roman"/>
          <w:sz w:val="24"/>
          <w:szCs w:val="24"/>
        </w:rPr>
        <w:t>Developing infrastructure, including main roads connecting Babussalam to other regions.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Weaknesses:</w:t>
      </w:r>
    </w:p>
    <w:p w:rsidR="00E84598" w:rsidRPr="00E84598" w:rsidRDefault="00E84598" w:rsidP="00E84598">
      <w:pPr>
        <w:numPr>
          <w:ilvl w:val="0"/>
          <w:numId w:val="8"/>
        </w:numPr>
        <w:jc w:val="both"/>
        <w:rPr>
          <w:rFonts w:ascii="Times New Roman" w:hAnsi="Times New Roman" w:cs="Times New Roman"/>
          <w:sz w:val="24"/>
          <w:szCs w:val="24"/>
        </w:rPr>
      </w:pPr>
      <w:r w:rsidRPr="00E84598">
        <w:rPr>
          <w:rFonts w:ascii="Times New Roman" w:hAnsi="Times New Roman" w:cs="Times New Roman"/>
          <w:sz w:val="24"/>
          <w:szCs w:val="24"/>
        </w:rPr>
        <w:t>Limited market access for agricultural products, constraining agricultural expansion.</w:t>
      </w:r>
    </w:p>
    <w:p w:rsidR="00E84598" w:rsidRPr="00E84598" w:rsidRDefault="00E84598" w:rsidP="00E84598">
      <w:pPr>
        <w:numPr>
          <w:ilvl w:val="0"/>
          <w:numId w:val="8"/>
        </w:numPr>
        <w:jc w:val="both"/>
        <w:rPr>
          <w:rFonts w:ascii="Times New Roman" w:hAnsi="Times New Roman" w:cs="Times New Roman"/>
          <w:sz w:val="24"/>
          <w:szCs w:val="24"/>
        </w:rPr>
      </w:pPr>
      <w:r w:rsidRPr="00E84598">
        <w:rPr>
          <w:rFonts w:ascii="Times New Roman" w:hAnsi="Times New Roman" w:cs="Times New Roman"/>
          <w:sz w:val="24"/>
          <w:szCs w:val="24"/>
        </w:rPr>
        <w:t>Suboptimal warehousing and transportation infrastructure for efficient distribution.</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Opportunities:</w:t>
      </w:r>
    </w:p>
    <w:p w:rsidR="00E84598" w:rsidRPr="00E84598" w:rsidRDefault="00E84598" w:rsidP="00E84598">
      <w:pPr>
        <w:numPr>
          <w:ilvl w:val="0"/>
          <w:numId w:val="9"/>
        </w:numPr>
        <w:jc w:val="both"/>
        <w:rPr>
          <w:rFonts w:ascii="Times New Roman" w:hAnsi="Times New Roman" w:cs="Times New Roman"/>
          <w:sz w:val="24"/>
          <w:szCs w:val="24"/>
        </w:rPr>
      </w:pPr>
      <w:r w:rsidRPr="00E84598">
        <w:rPr>
          <w:rFonts w:ascii="Times New Roman" w:hAnsi="Times New Roman" w:cs="Times New Roman"/>
          <w:sz w:val="24"/>
          <w:szCs w:val="24"/>
        </w:rPr>
        <w:t>Growing global demand for high-quality agricultural products, such as Arabica coffee and cocoa.</w:t>
      </w:r>
    </w:p>
    <w:p w:rsidR="00E84598" w:rsidRPr="00E84598" w:rsidRDefault="00E84598" w:rsidP="00E84598">
      <w:pPr>
        <w:numPr>
          <w:ilvl w:val="0"/>
          <w:numId w:val="9"/>
        </w:numPr>
        <w:jc w:val="both"/>
        <w:rPr>
          <w:rFonts w:ascii="Times New Roman" w:hAnsi="Times New Roman" w:cs="Times New Roman"/>
          <w:sz w:val="24"/>
          <w:szCs w:val="24"/>
        </w:rPr>
      </w:pPr>
      <w:r w:rsidRPr="00E84598">
        <w:rPr>
          <w:rFonts w:ascii="Times New Roman" w:hAnsi="Times New Roman" w:cs="Times New Roman"/>
          <w:sz w:val="24"/>
          <w:szCs w:val="24"/>
        </w:rPr>
        <w:t>Untapped potential for nature-based tourism, including GunungLeuser National Park.</w:t>
      </w:r>
    </w:p>
    <w:p w:rsidR="00E84598" w:rsidRPr="00E84598" w:rsidRDefault="00E84598" w:rsidP="00E84598">
      <w:pPr>
        <w:numPr>
          <w:ilvl w:val="0"/>
          <w:numId w:val="9"/>
        </w:numPr>
        <w:jc w:val="both"/>
        <w:rPr>
          <w:rFonts w:ascii="Times New Roman" w:hAnsi="Times New Roman" w:cs="Times New Roman"/>
          <w:sz w:val="24"/>
          <w:szCs w:val="24"/>
        </w:rPr>
      </w:pPr>
      <w:r w:rsidRPr="00E84598">
        <w:rPr>
          <w:rFonts w:ascii="Times New Roman" w:hAnsi="Times New Roman" w:cs="Times New Roman"/>
          <w:sz w:val="24"/>
          <w:szCs w:val="24"/>
        </w:rPr>
        <w:t>Expansion of trade with stronger infrastructure support.</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b/>
          <w:bCs/>
          <w:sz w:val="24"/>
          <w:szCs w:val="24"/>
        </w:rPr>
        <w:t>Threats:</w:t>
      </w:r>
    </w:p>
    <w:p w:rsidR="00E84598" w:rsidRPr="00E84598" w:rsidRDefault="00E84598" w:rsidP="00E84598">
      <w:pPr>
        <w:numPr>
          <w:ilvl w:val="0"/>
          <w:numId w:val="10"/>
        </w:numPr>
        <w:jc w:val="both"/>
        <w:rPr>
          <w:rFonts w:ascii="Times New Roman" w:hAnsi="Times New Roman" w:cs="Times New Roman"/>
          <w:sz w:val="24"/>
          <w:szCs w:val="24"/>
        </w:rPr>
      </w:pPr>
      <w:r w:rsidRPr="00E84598">
        <w:rPr>
          <w:rFonts w:ascii="Times New Roman" w:hAnsi="Times New Roman" w:cs="Times New Roman"/>
          <w:sz w:val="24"/>
          <w:szCs w:val="24"/>
        </w:rPr>
        <w:t>Global price fluctuations that affect farmers’ incomes.</w:t>
      </w:r>
    </w:p>
    <w:p w:rsidR="00E84598" w:rsidRPr="00E84598" w:rsidRDefault="00E84598" w:rsidP="00E84598">
      <w:pPr>
        <w:numPr>
          <w:ilvl w:val="0"/>
          <w:numId w:val="10"/>
        </w:numPr>
        <w:jc w:val="both"/>
        <w:rPr>
          <w:rFonts w:ascii="Times New Roman" w:hAnsi="Times New Roman" w:cs="Times New Roman"/>
          <w:sz w:val="24"/>
          <w:szCs w:val="24"/>
        </w:rPr>
      </w:pPr>
      <w:r w:rsidRPr="00E84598">
        <w:rPr>
          <w:rFonts w:ascii="Times New Roman" w:hAnsi="Times New Roman" w:cs="Times New Roman"/>
          <w:sz w:val="24"/>
          <w:szCs w:val="24"/>
        </w:rPr>
        <w:t>Climate change impacts that may threaten agricultural production.</w:t>
      </w:r>
    </w:p>
    <w:p w:rsidR="00E84598" w:rsidRPr="00E84598" w:rsidRDefault="00E84598" w:rsidP="00E84598">
      <w:pPr>
        <w:numPr>
          <w:ilvl w:val="0"/>
          <w:numId w:val="10"/>
        </w:numPr>
        <w:jc w:val="both"/>
        <w:rPr>
          <w:rFonts w:ascii="Times New Roman" w:hAnsi="Times New Roman" w:cs="Times New Roman"/>
          <w:sz w:val="24"/>
          <w:szCs w:val="24"/>
        </w:rPr>
      </w:pPr>
      <w:r w:rsidRPr="00E84598">
        <w:rPr>
          <w:rFonts w:ascii="Times New Roman" w:hAnsi="Times New Roman" w:cs="Times New Roman"/>
          <w:sz w:val="24"/>
          <w:szCs w:val="24"/>
        </w:rPr>
        <w:t>Competition with other regions in trade and tourism sectors.</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Recommended Regional Development Strategies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Based on the LQ, Klassen Typology, and SWOT analyses, the following strategies are recommended for regional development in Babussalam:</w:t>
      </w:r>
    </w:p>
    <w:p w:rsidR="00E84598" w:rsidRPr="00E84598" w:rsidRDefault="00E84598" w:rsidP="00E84598">
      <w:pPr>
        <w:numPr>
          <w:ilvl w:val="0"/>
          <w:numId w:val="11"/>
        </w:numPr>
        <w:jc w:val="both"/>
        <w:rPr>
          <w:rFonts w:ascii="Times New Roman" w:hAnsi="Times New Roman" w:cs="Times New Roman"/>
          <w:sz w:val="24"/>
          <w:szCs w:val="24"/>
        </w:rPr>
      </w:pPr>
      <w:r w:rsidRPr="00E84598">
        <w:rPr>
          <w:rFonts w:ascii="Times New Roman" w:hAnsi="Times New Roman" w:cs="Times New Roman"/>
          <w:b/>
          <w:bCs/>
          <w:sz w:val="24"/>
          <w:szCs w:val="24"/>
        </w:rPr>
        <w:t>Infrastructure Strengthening:</w:t>
      </w:r>
    </w:p>
    <w:p w:rsidR="00E84598" w:rsidRPr="00E84598" w:rsidRDefault="00E84598" w:rsidP="00E84598">
      <w:pPr>
        <w:numPr>
          <w:ilvl w:val="0"/>
          <w:numId w:val="12"/>
        </w:numPr>
        <w:jc w:val="both"/>
        <w:rPr>
          <w:rFonts w:ascii="Times New Roman" w:hAnsi="Times New Roman" w:cs="Times New Roman"/>
          <w:sz w:val="24"/>
          <w:szCs w:val="24"/>
        </w:rPr>
      </w:pPr>
      <w:r w:rsidRPr="00E84598">
        <w:rPr>
          <w:rFonts w:ascii="Times New Roman" w:hAnsi="Times New Roman" w:cs="Times New Roman"/>
          <w:sz w:val="24"/>
          <w:szCs w:val="24"/>
        </w:rPr>
        <w:t>Improve road quality and warehousing facilities to support trade and agriculture.</w:t>
      </w:r>
    </w:p>
    <w:p w:rsidR="00E84598" w:rsidRPr="00E84598" w:rsidRDefault="00E84598" w:rsidP="00E84598">
      <w:pPr>
        <w:numPr>
          <w:ilvl w:val="0"/>
          <w:numId w:val="12"/>
        </w:numPr>
        <w:jc w:val="both"/>
        <w:rPr>
          <w:rFonts w:ascii="Times New Roman" w:hAnsi="Times New Roman" w:cs="Times New Roman"/>
          <w:sz w:val="24"/>
          <w:szCs w:val="24"/>
        </w:rPr>
      </w:pPr>
      <w:r w:rsidRPr="00E84598">
        <w:rPr>
          <w:rFonts w:ascii="Times New Roman" w:hAnsi="Times New Roman" w:cs="Times New Roman"/>
          <w:sz w:val="24"/>
          <w:szCs w:val="24"/>
        </w:rPr>
        <w:t>Develop efficient logistics systems to reduce distribution costs and enhance local product competitiveness.</w:t>
      </w:r>
    </w:p>
    <w:p w:rsidR="00E84598" w:rsidRPr="00E84598" w:rsidRDefault="00E84598" w:rsidP="00E84598">
      <w:pPr>
        <w:numPr>
          <w:ilvl w:val="0"/>
          <w:numId w:val="13"/>
        </w:numPr>
        <w:jc w:val="both"/>
        <w:rPr>
          <w:rFonts w:ascii="Times New Roman" w:hAnsi="Times New Roman" w:cs="Times New Roman"/>
          <w:sz w:val="24"/>
          <w:szCs w:val="24"/>
        </w:rPr>
      </w:pPr>
      <w:r w:rsidRPr="00E84598">
        <w:rPr>
          <w:rFonts w:ascii="Times New Roman" w:hAnsi="Times New Roman" w:cs="Times New Roman"/>
          <w:b/>
          <w:bCs/>
          <w:sz w:val="24"/>
          <w:szCs w:val="24"/>
        </w:rPr>
        <w:t>Enhancing Agricultural Capacity:</w:t>
      </w:r>
    </w:p>
    <w:p w:rsidR="00E84598" w:rsidRPr="00E84598" w:rsidRDefault="00E84598" w:rsidP="00E84598">
      <w:pPr>
        <w:numPr>
          <w:ilvl w:val="0"/>
          <w:numId w:val="14"/>
        </w:numPr>
        <w:jc w:val="both"/>
        <w:rPr>
          <w:rFonts w:ascii="Times New Roman" w:hAnsi="Times New Roman" w:cs="Times New Roman"/>
          <w:sz w:val="24"/>
          <w:szCs w:val="24"/>
        </w:rPr>
      </w:pPr>
      <w:r w:rsidRPr="00E84598">
        <w:rPr>
          <w:rFonts w:ascii="Times New Roman" w:hAnsi="Times New Roman" w:cs="Times New Roman"/>
          <w:sz w:val="24"/>
          <w:szCs w:val="24"/>
        </w:rPr>
        <w:t>Increase agricultural productivity through the adoption of more advanced and environmentally sustainable agricultural technologies.</w:t>
      </w:r>
    </w:p>
    <w:p w:rsidR="00E84598" w:rsidRPr="00E84598" w:rsidRDefault="00E84598" w:rsidP="00E84598">
      <w:pPr>
        <w:numPr>
          <w:ilvl w:val="0"/>
          <w:numId w:val="14"/>
        </w:numPr>
        <w:jc w:val="both"/>
        <w:rPr>
          <w:rFonts w:ascii="Times New Roman" w:hAnsi="Times New Roman" w:cs="Times New Roman"/>
          <w:sz w:val="24"/>
          <w:szCs w:val="24"/>
        </w:rPr>
      </w:pPr>
      <w:r w:rsidRPr="00E84598">
        <w:rPr>
          <w:rFonts w:ascii="Times New Roman" w:hAnsi="Times New Roman" w:cs="Times New Roman"/>
          <w:sz w:val="24"/>
          <w:szCs w:val="24"/>
        </w:rPr>
        <w:t>Expand market access for agricultural products at both local and international levels.</w:t>
      </w:r>
    </w:p>
    <w:p w:rsidR="00E84598" w:rsidRPr="00E84598" w:rsidRDefault="00E84598" w:rsidP="00E84598">
      <w:pPr>
        <w:numPr>
          <w:ilvl w:val="0"/>
          <w:numId w:val="15"/>
        </w:numPr>
        <w:jc w:val="both"/>
        <w:rPr>
          <w:rFonts w:ascii="Times New Roman" w:hAnsi="Times New Roman" w:cs="Times New Roman"/>
          <w:sz w:val="24"/>
          <w:szCs w:val="24"/>
        </w:rPr>
      </w:pPr>
      <w:r w:rsidRPr="00E84598">
        <w:rPr>
          <w:rFonts w:ascii="Times New Roman" w:hAnsi="Times New Roman" w:cs="Times New Roman"/>
          <w:b/>
          <w:bCs/>
          <w:sz w:val="24"/>
          <w:szCs w:val="24"/>
        </w:rPr>
        <w:t>Economic Diversification:</w:t>
      </w:r>
    </w:p>
    <w:p w:rsidR="00E84598" w:rsidRPr="00E84598" w:rsidRDefault="00E84598" w:rsidP="00E84598">
      <w:pPr>
        <w:numPr>
          <w:ilvl w:val="0"/>
          <w:numId w:val="16"/>
        </w:numPr>
        <w:jc w:val="both"/>
        <w:rPr>
          <w:rFonts w:ascii="Times New Roman" w:hAnsi="Times New Roman" w:cs="Times New Roman"/>
          <w:sz w:val="24"/>
          <w:szCs w:val="24"/>
        </w:rPr>
      </w:pPr>
      <w:r w:rsidRPr="00E84598">
        <w:rPr>
          <w:rFonts w:ascii="Times New Roman" w:hAnsi="Times New Roman" w:cs="Times New Roman"/>
          <w:sz w:val="24"/>
          <w:szCs w:val="24"/>
        </w:rPr>
        <w:lastRenderedPageBreak/>
        <w:t>Promote nature-based tourism development by leveraging the potential of Gunung</w:t>
      </w:r>
      <w:r w:rsidR="006C6BA1">
        <w:rPr>
          <w:rFonts w:ascii="Times New Roman" w:hAnsi="Times New Roman" w:cs="Times New Roman"/>
          <w:sz w:val="24"/>
          <w:szCs w:val="24"/>
        </w:rPr>
        <w:t xml:space="preserve"> </w:t>
      </w:r>
      <w:r w:rsidRPr="00E84598">
        <w:rPr>
          <w:rFonts w:ascii="Times New Roman" w:hAnsi="Times New Roman" w:cs="Times New Roman"/>
          <w:sz w:val="24"/>
          <w:szCs w:val="24"/>
        </w:rPr>
        <w:t>Leuser National Park as a global tourism attraction.</w:t>
      </w:r>
    </w:p>
    <w:p w:rsidR="00E84598" w:rsidRPr="00E84598" w:rsidRDefault="00E84598" w:rsidP="00E84598">
      <w:pPr>
        <w:numPr>
          <w:ilvl w:val="0"/>
          <w:numId w:val="16"/>
        </w:numPr>
        <w:jc w:val="both"/>
        <w:rPr>
          <w:rFonts w:ascii="Times New Roman" w:hAnsi="Times New Roman" w:cs="Times New Roman"/>
          <w:sz w:val="24"/>
          <w:szCs w:val="24"/>
        </w:rPr>
      </w:pPr>
      <w:r w:rsidRPr="00E84598">
        <w:rPr>
          <w:rFonts w:ascii="Times New Roman" w:hAnsi="Times New Roman" w:cs="Times New Roman"/>
          <w:sz w:val="24"/>
          <w:szCs w:val="24"/>
        </w:rPr>
        <w:t>Strengthen service sectors, such as micro-banking and logistics services, to support MSMEs and agriculture.</w:t>
      </w:r>
    </w:p>
    <w:p w:rsidR="00E84598" w:rsidRPr="00E84598" w:rsidRDefault="00E84598" w:rsidP="00E84598">
      <w:pPr>
        <w:numPr>
          <w:ilvl w:val="0"/>
          <w:numId w:val="17"/>
        </w:numPr>
        <w:jc w:val="both"/>
        <w:rPr>
          <w:rFonts w:ascii="Times New Roman" w:hAnsi="Times New Roman" w:cs="Times New Roman"/>
          <w:sz w:val="24"/>
          <w:szCs w:val="24"/>
        </w:rPr>
      </w:pPr>
      <w:r w:rsidRPr="00E84598">
        <w:rPr>
          <w:rFonts w:ascii="Times New Roman" w:hAnsi="Times New Roman" w:cs="Times New Roman"/>
          <w:b/>
          <w:bCs/>
          <w:sz w:val="24"/>
          <w:szCs w:val="24"/>
        </w:rPr>
        <w:t>Collaboration and Inclusive Policies:</w:t>
      </w:r>
    </w:p>
    <w:p w:rsidR="00E84598" w:rsidRPr="00E84598" w:rsidRDefault="00E84598" w:rsidP="00E84598">
      <w:pPr>
        <w:numPr>
          <w:ilvl w:val="0"/>
          <w:numId w:val="18"/>
        </w:numPr>
        <w:jc w:val="both"/>
        <w:rPr>
          <w:rFonts w:ascii="Times New Roman" w:hAnsi="Times New Roman" w:cs="Times New Roman"/>
          <w:sz w:val="24"/>
          <w:szCs w:val="24"/>
        </w:rPr>
      </w:pPr>
      <w:r w:rsidRPr="00E84598">
        <w:rPr>
          <w:rFonts w:ascii="Times New Roman" w:hAnsi="Times New Roman" w:cs="Times New Roman"/>
          <w:sz w:val="24"/>
          <w:szCs w:val="24"/>
        </w:rPr>
        <w:t>Enhance synergy among government, the private sector, and communities in formulating policies that support leading-sector development.</w:t>
      </w:r>
    </w:p>
    <w:p w:rsidR="00E84598" w:rsidRPr="00E84598" w:rsidRDefault="00E84598" w:rsidP="00E84598">
      <w:pPr>
        <w:numPr>
          <w:ilvl w:val="0"/>
          <w:numId w:val="18"/>
        </w:numPr>
        <w:jc w:val="both"/>
        <w:rPr>
          <w:rFonts w:ascii="Times New Roman" w:hAnsi="Times New Roman" w:cs="Times New Roman"/>
          <w:sz w:val="24"/>
          <w:szCs w:val="24"/>
        </w:rPr>
      </w:pPr>
      <w:r w:rsidRPr="00E84598">
        <w:rPr>
          <w:rFonts w:ascii="Times New Roman" w:hAnsi="Times New Roman" w:cs="Times New Roman"/>
          <w:sz w:val="24"/>
          <w:szCs w:val="24"/>
        </w:rPr>
        <w:t>Develop partnerships between business actors and farmers through MSME clusters based on agriculture and trade.</w:t>
      </w: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Discussion</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results indicate that the agricultural sector—particularly Arabica coffee and cocoa—constitutes a leading sector in Babussalam Sub-district, although its relative advantage shifts during 2022–2023. This shift highlights the need for policies that support productivity improvement and broader market access. In contrast, the trade sector shows significant growth and reaches Quadrant I in 2023, indicating stability and strong growth potential. Strengthening trade infrastructure and logistics is therefore key to enhancing local product competitiveness.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The transportation and warehousing sector is also critical in supporting goods distribution, although its growth is slower than that of the trade sector. Improvements in transportation infrastructure will enhance connectivity and distribution efficiency. The construction sector, while contributing less directly, supports the development of essential infrastructure for other sectors. Based on SWOT analysis, Babussalam’s leading sectors benefit from strong natural resource potential, but they must address threats such as price volatility and climate change impacts. Accordingly, development strategies should include agricultural upgrading, infrastructure strengthening, and diversification of the economic base to foster sustainable growth.</w:t>
      </w:r>
    </w:p>
    <w:p w:rsidR="00E84598" w:rsidRPr="00E84598" w:rsidRDefault="00E84598" w:rsidP="00E84598">
      <w:pPr>
        <w:jc w:val="both"/>
        <w:rPr>
          <w:rFonts w:ascii="Times New Roman" w:hAnsi="Times New Roman" w:cs="Times New Roman"/>
          <w:sz w:val="24"/>
          <w:szCs w:val="24"/>
        </w:rPr>
      </w:pPr>
    </w:p>
    <w:p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84598">
        <w:rPr>
          <w:rFonts w:ascii="Times New Roman" w:hAnsi="Times New Roman" w:cs="Times New Roman"/>
          <w:b/>
          <w:bCs/>
          <w:sz w:val="24"/>
          <w:szCs w:val="24"/>
        </w:rPr>
        <w:t>Conclusion</w:t>
      </w:r>
      <w:r>
        <w:rPr>
          <w:rFonts w:ascii="Times New Roman" w:hAnsi="Times New Roman" w:cs="Times New Roman"/>
          <w:b/>
          <w:bCs/>
          <w:sz w:val="24"/>
          <w:szCs w:val="24"/>
        </w:rPr>
        <w:t xml:space="preserve"> and Recommendations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This study identifies leading sectors in Babussalam Sub-district, Aceh Tenggara Regency, and formulates development strategies based on these sectors. The agricultural sector—particularly Arabica coffee and cocoa—despite fluctuations in its contribution and relative advantage, retains strong potential for further development. The trade sector shows significant and stable development, while the transportation and warehousing sector remains a key pillar supporting goods distribution. Although the construction sector contributes less directly, it plays an important supporting role by enabling infrastructure development required for other leading sectors.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 xml:space="preserve">SWOT analysis indicates that Babussalam’s leading sectors benefit from abundant natural resources, but they face external challenges such as global price fluctuations and climate change impacts. The trade and transportation sectors display more stable growth potential, while agriculture requires greater attention in terms of productivity enhancement and market </w:t>
      </w:r>
      <w:r w:rsidRPr="00E84598">
        <w:rPr>
          <w:rFonts w:ascii="Times New Roman" w:hAnsi="Times New Roman" w:cs="Times New Roman"/>
          <w:sz w:val="24"/>
          <w:szCs w:val="24"/>
        </w:rPr>
        <w:lastRenderedPageBreak/>
        <w:t>access expansion. Therefore, the development of these sectors should be supported by policies that promote sustainable growth.</w:t>
      </w:r>
    </w:p>
    <w:p w:rsidR="00E84598" w:rsidRPr="00E84598" w:rsidRDefault="00E84598" w:rsidP="00E84598">
      <w:pPr>
        <w:jc w:val="both"/>
        <w:rPr>
          <w:rFonts w:ascii="Times New Roman" w:hAnsi="Times New Roman" w:cs="Times New Roman"/>
          <w:sz w:val="24"/>
          <w:szCs w:val="24"/>
        </w:rPr>
      </w:pPr>
    </w:p>
    <w:p w:rsidR="00E84598" w:rsidRPr="00E84598" w:rsidRDefault="00E84598" w:rsidP="00E84598">
      <w:pPr>
        <w:jc w:val="both"/>
        <w:rPr>
          <w:rFonts w:ascii="Times New Roman" w:hAnsi="Times New Roman" w:cs="Times New Roman"/>
          <w:b/>
          <w:bCs/>
          <w:sz w:val="24"/>
          <w:szCs w:val="24"/>
        </w:rPr>
      </w:pPr>
      <w:r>
        <w:rPr>
          <w:rFonts w:ascii="Times New Roman" w:hAnsi="Times New Roman" w:cs="Times New Roman"/>
          <w:b/>
          <w:bCs/>
          <w:sz w:val="24"/>
          <w:szCs w:val="24"/>
        </w:rPr>
        <w:t>Recommendations</w:t>
      </w:r>
    </w:p>
    <w:p w:rsidR="00E84598" w:rsidRPr="00E84598" w:rsidRDefault="00E84598" w:rsidP="00E84598">
      <w:pPr>
        <w:jc w:val="both"/>
        <w:rPr>
          <w:rFonts w:ascii="Times New Roman" w:hAnsi="Times New Roman" w:cs="Times New Roman"/>
          <w:sz w:val="24"/>
          <w:szCs w:val="24"/>
        </w:rPr>
      </w:pPr>
      <w:r w:rsidRPr="00E84598">
        <w:rPr>
          <w:rFonts w:ascii="Times New Roman" w:hAnsi="Times New Roman" w:cs="Times New Roman"/>
          <w:sz w:val="24"/>
          <w:szCs w:val="24"/>
        </w:rPr>
        <w:t>First, the local government should prioritize infrastructure strengthening to support trade and goods distribution, including improvements to roads, warehousing, and logistics facilities. Second, for the agricultural sector, farmer capacity should be enhanced through training and the adoption of environmentally sustainable agricultural technologies, alongside expanded access to local and international markets. Third, economic diversification through nature-based tourism development should be optimized, given Babussalam’s considerable potential in this sector—particularly due to the presence of GunungLeuser National Park as a major nature tourism attraction.</w:t>
      </w:r>
    </w:p>
    <w:p w:rsidR="00E84598" w:rsidRPr="00E84598" w:rsidRDefault="00E84598" w:rsidP="00E84598">
      <w:pPr>
        <w:jc w:val="both"/>
        <w:rPr>
          <w:rFonts w:ascii="Times New Roman" w:hAnsi="Times New Roman" w:cs="Times New Roman"/>
          <w:sz w:val="24"/>
          <w:szCs w:val="24"/>
        </w:rPr>
      </w:pPr>
    </w:p>
    <w:p w:rsidR="00E84598" w:rsidRPr="00E84598" w:rsidRDefault="00E84598" w:rsidP="00E84598">
      <w:pPr>
        <w:jc w:val="both"/>
        <w:rPr>
          <w:rFonts w:ascii="Times New Roman" w:hAnsi="Times New Roman" w:cs="Times New Roman"/>
          <w:b/>
          <w:bCs/>
          <w:sz w:val="24"/>
          <w:szCs w:val="24"/>
        </w:rPr>
      </w:pPr>
      <w:r w:rsidRPr="00E84598">
        <w:rPr>
          <w:rFonts w:ascii="Times New Roman" w:hAnsi="Times New Roman" w:cs="Times New Roman"/>
          <w:b/>
          <w:bCs/>
          <w:sz w:val="24"/>
          <w:szCs w:val="24"/>
        </w:rPr>
        <w:t>References</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Agastya, A. A. R. U., &amp;Ariyani, A. H. M. (2023). Development strategy for the agropolitan area of ​​coffee commodities in Wonosalam District, Jombang Regency. Agriscience, 3(3), 732–751. </w:t>
      </w:r>
      <w:r w:rsidR="00B50E51" w:rsidRPr="00B50E51">
        <w:rPr>
          <w:rFonts w:ascii="Times New Roman" w:hAnsi="Times New Roman" w:cs="Times New Roman"/>
          <w:sz w:val="24"/>
          <w:szCs w:val="24"/>
        </w:rPr>
        <w:t>https://doi.org/10.21107/agriscience.v3i3.16757</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Faes, M., &amp;Zuhriyah, A. (2023). Development strategy for leading agricultural commodities in Tanjungbumi District, Bangkalan Regency, East Java. Agriscience, 4(1), 137–150. https://doi.org/10.21107/agriscience.v4i1.15617</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Hidayat, M., &amp; Darwin, R. (2017). Analysis of leading sectors in regional development of Meranti Islands Regency. Media Trend, 12(2), 156–167. </w:t>
      </w:r>
      <w:r w:rsidR="00B50E51" w:rsidRPr="00B50E51">
        <w:rPr>
          <w:rFonts w:ascii="Times New Roman" w:hAnsi="Times New Roman" w:cs="Times New Roman"/>
          <w:sz w:val="24"/>
          <w:szCs w:val="24"/>
        </w:rPr>
        <w:t>https://doi.org/10.21107/mediatrend.v12i2.3081</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Simanjuntak, S. H., &amp; Widodo, W. (2025). Analysis of the Impact of Economic Structural Changes in the Multiregional System in Indonesia. Journal of Management, Business and Economics (JIMBE), 3(1), 28–41. https://doi.org/10.59971/jimbe.v3i1.392</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Mailendra, M., Astuti, P., Mardianto, M., &amp;Muliana, R. (2018). The regional development based on leading sectors in Kuantan Singingi Regency, Riau Province. Proceedings of CELSciTech, 3, 7–16.</w:t>
      </w:r>
      <w:r w:rsidR="00B50E51" w:rsidRPr="00B50E51">
        <w:rPr>
          <w:rFonts w:ascii="Times New Roman" w:hAnsi="Times New Roman" w:cs="Times New Roman"/>
          <w:sz w:val="24"/>
          <w:szCs w:val="24"/>
        </w:rPr>
        <w:t>https://journal.umri.ac.id/index.php/CELSciTech/article/view/1099</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Mufarrij, M., Adhini, N. P., Pratama, R. N., Putri, L. D., Muna, N. M., Ayuningtyas, A. R., Pramono, W. N. P., &amp;Rahmawati. (2025). Determination of Key Commodities in the Agropolitan Sector of Subang Regency. Journal of Regional and Rural Studies, 3(1), 1–10. </w:t>
      </w:r>
      <w:r w:rsidR="00B50E51" w:rsidRPr="00B50E51">
        <w:rPr>
          <w:rFonts w:ascii="Times New Roman" w:hAnsi="Times New Roman" w:cs="Times New Roman"/>
          <w:sz w:val="24"/>
          <w:szCs w:val="24"/>
        </w:rPr>
        <w:t>https://doi.org/10.21776/rrs.v3i1.51</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Novita, D., Riyadh, M. I., Asaad, M., &amp;Rinanda, T. (2023). Potential and development of leading commodities in the agricultural sector in North Sumatra Province. JurnalAgrica, 16(1), 102–113. </w:t>
      </w:r>
      <w:r w:rsidR="00B50E51" w:rsidRPr="00B50E51">
        <w:rPr>
          <w:rFonts w:ascii="Times New Roman" w:hAnsi="Times New Roman" w:cs="Times New Roman"/>
          <w:sz w:val="24"/>
          <w:szCs w:val="24"/>
        </w:rPr>
        <w:t>https://doi.org/10.31289/agrica.v16i1.8434</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Paramata, S., &amp;Yaluminah, H. (2023). Regional development strategy based on the potential of leading sectors in Bone Bolango Regency. JPPE: </w:t>
      </w:r>
      <w:r w:rsidRPr="00D235DF">
        <w:rPr>
          <w:rFonts w:ascii="Times New Roman" w:hAnsi="Times New Roman" w:cs="Times New Roman"/>
          <w:sz w:val="24"/>
          <w:szCs w:val="24"/>
        </w:rPr>
        <w:lastRenderedPageBreak/>
        <w:t>JurnalPerencanaan&amp;PengembanganEkonomi, 6(1), 33–46. http://dx.doi.org/10.31314/jppe.v6i1.2350</w:t>
      </w:r>
    </w:p>
    <w:p w:rsidR="00D235DF" w:rsidRPr="00D235DF"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Putra, E. P., &amp;Kasmiati, K. (2018). Regional development based on the potential of leading sectors in Gowa Regency. Mega Aktiva: JurnalEkonomi dan Manajemen, 7(2), 122–135. </w:t>
      </w:r>
      <w:r w:rsidR="00B50E51" w:rsidRPr="00B50E51">
        <w:rPr>
          <w:rFonts w:ascii="Times New Roman" w:hAnsi="Times New Roman" w:cs="Times New Roman"/>
          <w:sz w:val="24"/>
          <w:szCs w:val="24"/>
        </w:rPr>
        <w:t>https://doi.org/10.32833/majem.v7i2.73</w:t>
      </w:r>
    </w:p>
    <w:p w:rsidR="00456BAD" w:rsidRPr="00E84598" w:rsidRDefault="00D235DF" w:rsidP="00D235DF">
      <w:pPr>
        <w:ind w:left="567" w:hanging="567"/>
        <w:jc w:val="both"/>
        <w:rPr>
          <w:rFonts w:ascii="Times New Roman" w:hAnsi="Times New Roman" w:cs="Times New Roman"/>
          <w:sz w:val="24"/>
          <w:szCs w:val="24"/>
        </w:rPr>
      </w:pPr>
      <w:r w:rsidRPr="00D235DF">
        <w:rPr>
          <w:rFonts w:ascii="Times New Roman" w:hAnsi="Times New Roman" w:cs="Times New Roman"/>
          <w:sz w:val="24"/>
          <w:szCs w:val="24"/>
        </w:rPr>
        <w:t xml:space="preserve">Puspita, C. W., Rachmawati, F., &amp;Sumarsono, H. (2017). Strategy to increase regional competitiveness in development region one of Malang Regency (Doctoral dissertation, State University of Malang). </w:t>
      </w:r>
      <w:r w:rsidR="00B50E51" w:rsidRPr="00B50E51">
        <w:rPr>
          <w:rFonts w:ascii="Times New Roman" w:hAnsi="Times New Roman" w:cs="Times New Roman"/>
          <w:sz w:val="24"/>
          <w:szCs w:val="24"/>
        </w:rPr>
        <w:t>https://doi.org/10.17977/jptpp.v2i3.8641</w:t>
      </w:r>
    </w:p>
    <w:sectPr w:rsidR="00456BAD" w:rsidRPr="00E84598" w:rsidSect="008463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FF7" w:rsidRDefault="00CD3FF7" w:rsidP="00211C00">
      <w:pPr>
        <w:spacing w:after="0" w:line="240" w:lineRule="auto"/>
      </w:pPr>
      <w:r>
        <w:separator/>
      </w:r>
    </w:p>
  </w:endnote>
  <w:endnote w:type="continuationSeparator" w:id="1">
    <w:p w:rsidR="00CD3FF7" w:rsidRDefault="00CD3FF7" w:rsidP="00211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00" w:rsidRDefault="00211C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00" w:rsidRDefault="00211C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00" w:rsidRDefault="00211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FF7" w:rsidRDefault="00CD3FF7" w:rsidP="00211C00">
      <w:pPr>
        <w:spacing w:after="0" w:line="240" w:lineRule="auto"/>
      </w:pPr>
      <w:r>
        <w:separator/>
      </w:r>
    </w:p>
  </w:footnote>
  <w:footnote w:type="continuationSeparator" w:id="1">
    <w:p w:rsidR="00CD3FF7" w:rsidRDefault="00CD3FF7" w:rsidP="00211C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00" w:rsidRDefault="0089350F">
    <w:pPr>
      <w:pStyle w:val="Header"/>
    </w:pPr>
    <w:r w:rsidRPr="008935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00" w:rsidRDefault="0089350F">
    <w:pPr>
      <w:pStyle w:val="Header"/>
    </w:pPr>
    <w:r w:rsidRPr="008935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00" w:rsidRDefault="0089350F">
    <w:pPr>
      <w:pStyle w:val="Header"/>
    </w:pPr>
    <w:r w:rsidRPr="0089350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3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7CB"/>
    <w:multiLevelType w:val="multilevel"/>
    <w:tmpl w:val="B8F05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E66A6"/>
    <w:multiLevelType w:val="multilevel"/>
    <w:tmpl w:val="9074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A43BE"/>
    <w:multiLevelType w:val="multilevel"/>
    <w:tmpl w:val="105AC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876A86"/>
    <w:multiLevelType w:val="multilevel"/>
    <w:tmpl w:val="B65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67FFD"/>
    <w:multiLevelType w:val="multilevel"/>
    <w:tmpl w:val="E70C5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606F7"/>
    <w:multiLevelType w:val="multilevel"/>
    <w:tmpl w:val="C0DE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855AA7"/>
    <w:multiLevelType w:val="multilevel"/>
    <w:tmpl w:val="0ED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820B3"/>
    <w:multiLevelType w:val="multilevel"/>
    <w:tmpl w:val="6F102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982FA1"/>
    <w:multiLevelType w:val="multilevel"/>
    <w:tmpl w:val="E41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AC1DA5"/>
    <w:multiLevelType w:val="multilevel"/>
    <w:tmpl w:val="E6FC0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1D6504"/>
    <w:multiLevelType w:val="multilevel"/>
    <w:tmpl w:val="1F96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FB2CE4"/>
    <w:multiLevelType w:val="multilevel"/>
    <w:tmpl w:val="C316C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F65FC4"/>
    <w:multiLevelType w:val="multilevel"/>
    <w:tmpl w:val="429C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1D09A8"/>
    <w:multiLevelType w:val="multilevel"/>
    <w:tmpl w:val="639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883CB8"/>
    <w:multiLevelType w:val="multilevel"/>
    <w:tmpl w:val="3FBE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CC40DC"/>
    <w:multiLevelType w:val="multilevel"/>
    <w:tmpl w:val="00C0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66D8E"/>
    <w:multiLevelType w:val="multilevel"/>
    <w:tmpl w:val="7A50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D6743F"/>
    <w:multiLevelType w:val="multilevel"/>
    <w:tmpl w:val="D38C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6"/>
  </w:num>
  <w:num w:numId="4">
    <w:abstractNumId w:val="0"/>
  </w:num>
  <w:num w:numId="5">
    <w:abstractNumId w:val="12"/>
  </w:num>
  <w:num w:numId="6">
    <w:abstractNumId w:val="9"/>
  </w:num>
  <w:num w:numId="7">
    <w:abstractNumId w:val="13"/>
  </w:num>
  <w:num w:numId="8">
    <w:abstractNumId w:val="3"/>
  </w:num>
  <w:num w:numId="9">
    <w:abstractNumId w:val="15"/>
  </w:num>
  <w:num w:numId="10">
    <w:abstractNumId w:val="14"/>
  </w:num>
  <w:num w:numId="11">
    <w:abstractNumId w:val="5"/>
  </w:num>
  <w:num w:numId="12">
    <w:abstractNumId w:val="16"/>
  </w:num>
  <w:num w:numId="13">
    <w:abstractNumId w:val="11"/>
  </w:num>
  <w:num w:numId="14">
    <w:abstractNumId w:val="8"/>
  </w:num>
  <w:num w:numId="15">
    <w:abstractNumId w:val="4"/>
  </w:num>
  <w:num w:numId="16">
    <w:abstractNumId w:val="1"/>
  </w:num>
  <w:num w:numId="17">
    <w:abstractNumId w:val="7"/>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84598"/>
    <w:rsid w:val="00057C5F"/>
    <w:rsid w:val="00141748"/>
    <w:rsid w:val="00160929"/>
    <w:rsid w:val="00211C00"/>
    <w:rsid w:val="002530F4"/>
    <w:rsid w:val="00263A3D"/>
    <w:rsid w:val="00264AF0"/>
    <w:rsid w:val="002B7746"/>
    <w:rsid w:val="003065CD"/>
    <w:rsid w:val="003D000A"/>
    <w:rsid w:val="00405CEE"/>
    <w:rsid w:val="00456BAD"/>
    <w:rsid w:val="004A171E"/>
    <w:rsid w:val="004C4D91"/>
    <w:rsid w:val="005A27CC"/>
    <w:rsid w:val="0065182D"/>
    <w:rsid w:val="006C6BA1"/>
    <w:rsid w:val="0084635F"/>
    <w:rsid w:val="0089350F"/>
    <w:rsid w:val="00924467"/>
    <w:rsid w:val="00B50E51"/>
    <w:rsid w:val="00CD3FF7"/>
    <w:rsid w:val="00D235DF"/>
    <w:rsid w:val="00E021AE"/>
    <w:rsid w:val="00E84598"/>
    <w:rsid w:val="00ED5D1E"/>
    <w:rsid w:val="00FC6C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5F"/>
  </w:style>
  <w:style w:type="paragraph" w:styleId="Heading1">
    <w:name w:val="heading 1"/>
    <w:basedOn w:val="Normal"/>
    <w:next w:val="Normal"/>
    <w:link w:val="Heading1Char"/>
    <w:uiPriority w:val="9"/>
    <w:qFormat/>
    <w:rsid w:val="00E84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5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5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5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5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5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5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5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598"/>
    <w:rPr>
      <w:rFonts w:eastAsiaTheme="majorEastAsia" w:cstheme="majorBidi"/>
      <w:color w:val="272727" w:themeColor="text1" w:themeTint="D8"/>
    </w:rPr>
  </w:style>
  <w:style w:type="paragraph" w:styleId="Title">
    <w:name w:val="Title"/>
    <w:basedOn w:val="Normal"/>
    <w:next w:val="Normal"/>
    <w:link w:val="TitleChar"/>
    <w:uiPriority w:val="10"/>
    <w:qFormat/>
    <w:rsid w:val="00E84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598"/>
    <w:pPr>
      <w:spacing w:before="160"/>
      <w:jc w:val="center"/>
    </w:pPr>
    <w:rPr>
      <w:i/>
      <w:iCs/>
      <w:color w:val="404040" w:themeColor="text1" w:themeTint="BF"/>
    </w:rPr>
  </w:style>
  <w:style w:type="character" w:customStyle="1" w:styleId="QuoteChar">
    <w:name w:val="Quote Char"/>
    <w:basedOn w:val="DefaultParagraphFont"/>
    <w:link w:val="Quote"/>
    <w:uiPriority w:val="29"/>
    <w:rsid w:val="00E84598"/>
    <w:rPr>
      <w:i/>
      <w:iCs/>
      <w:color w:val="404040" w:themeColor="text1" w:themeTint="BF"/>
    </w:rPr>
  </w:style>
  <w:style w:type="paragraph" w:styleId="ListParagraph">
    <w:name w:val="List Paragraph"/>
    <w:basedOn w:val="Normal"/>
    <w:uiPriority w:val="34"/>
    <w:qFormat/>
    <w:rsid w:val="00E84598"/>
    <w:pPr>
      <w:ind w:left="720"/>
      <w:contextualSpacing/>
    </w:pPr>
  </w:style>
  <w:style w:type="character" w:styleId="IntenseEmphasis">
    <w:name w:val="Intense Emphasis"/>
    <w:basedOn w:val="DefaultParagraphFont"/>
    <w:uiPriority w:val="21"/>
    <w:qFormat/>
    <w:rsid w:val="00E84598"/>
    <w:rPr>
      <w:i/>
      <w:iCs/>
      <w:color w:val="2F5496" w:themeColor="accent1" w:themeShade="BF"/>
    </w:rPr>
  </w:style>
  <w:style w:type="paragraph" w:styleId="IntenseQuote">
    <w:name w:val="Intense Quote"/>
    <w:basedOn w:val="Normal"/>
    <w:next w:val="Normal"/>
    <w:link w:val="IntenseQuoteChar"/>
    <w:uiPriority w:val="30"/>
    <w:qFormat/>
    <w:rsid w:val="00E84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598"/>
    <w:rPr>
      <w:i/>
      <w:iCs/>
      <w:color w:val="2F5496" w:themeColor="accent1" w:themeShade="BF"/>
    </w:rPr>
  </w:style>
  <w:style w:type="character" w:styleId="IntenseReference">
    <w:name w:val="Intense Reference"/>
    <w:basedOn w:val="DefaultParagraphFont"/>
    <w:uiPriority w:val="32"/>
    <w:qFormat/>
    <w:rsid w:val="00E84598"/>
    <w:rPr>
      <w:b/>
      <w:bCs/>
      <w:smallCaps/>
      <w:color w:val="2F5496" w:themeColor="accent1" w:themeShade="BF"/>
      <w:spacing w:val="5"/>
    </w:rPr>
  </w:style>
  <w:style w:type="character" w:styleId="Hyperlink">
    <w:name w:val="Hyperlink"/>
    <w:basedOn w:val="DefaultParagraphFont"/>
    <w:uiPriority w:val="99"/>
    <w:unhideWhenUsed/>
    <w:rsid w:val="00E84598"/>
    <w:rPr>
      <w:color w:val="0563C1" w:themeColor="hyperlink"/>
      <w:u w:val="single"/>
    </w:rPr>
  </w:style>
  <w:style w:type="character" w:customStyle="1" w:styleId="UnresolvedMention">
    <w:name w:val="Unresolved Mention"/>
    <w:basedOn w:val="DefaultParagraphFont"/>
    <w:uiPriority w:val="99"/>
    <w:semiHidden/>
    <w:unhideWhenUsed/>
    <w:rsid w:val="00E84598"/>
    <w:rPr>
      <w:color w:val="605E5C"/>
      <w:shd w:val="clear" w:color="auto" w:fill="E1DFDD"/>
    </w:rPr>
  </w:style>
  <w:style w:type="table" w:styleId="TableGrid">
    <w:name w:val="Table Grid"/>
    <w:basedOn w:val="TableNormal"/>
    <w:uiPriority w:val="39"/>
    <w:rsid w:val="00E84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1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00"/>
  </w:style>
  <w:style w:type="paragraph" w:styleId="Footer">
    <w:name w:val="footer"/>
    <w:basedOn w:val="Normal"/>
    <w:link w:val="FooterChar"/>
    <w:uiPriority w:val="99"/>
    <w:unhideWhenUsed/>
    <w:rsid w:val="00211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00"/>
  </w:style>
  <w:style w:type="paragraph" w:styleId="BalloonText">
    <w:name w:val="Balloon Text"/>
    <w:basedOn w:val="Normal"/>
    <w:link w:val="BalloonTextChar"/>
    <w:uiPriority w:val="99"/>
    <w:semiHidden/>
    <w:unhideWhenUsed/>
    <w:rsid w:val="003D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10</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Solution</dc:creator>
  <cp:lastModifiedBy>Speed</cp:lastModifiedBy>
  <cp:revision>5</cp:revision>
  <dcterms:created xsi:type="dcterms:W3CDTF">2025-12-19T06:49:00Z</dcterms:created>
  <dcterms:modified xsi:type="dcterms:W3CDTF">2025-12-20T07:54:00Z</dcterms:modified>
</cp:coreProperties>
</file>