
<file path=[Content_Types].xml><?xml version="1.0" encoding="utf-8"?>
<Types xmlns="http://schemas.openxmlformats.org/package/2006/content-types">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charts/chart4.xml" ContentType="application/vnd.openxmlformats-officedocument.drawingml.chart+xml"/>
  <Override PartName="/word/charts/style4.xml" ContentType="application/vnd.ms-office.chartstyle+xml"/>
  <Override PartName="/word/charts/colors4.xml" ContentType="application/vnd.ms-office.chartcolorstyle+xml"/>
  <Override PartName="/word/charts/chart5.xml" ContentType="application/vnd.openxmlformats-officedocument.drawingml.chart+xml"/>
  <Override PartName="/word/charts/style5.xml" ContentType="application/vnd.ms-office.chartstyle+xml"/>
  <Override PartName="/word/charts/colors5.xml" ContentType="application/vnd.ms-office.chartcolorstyle+xml"/>
  <Override PartName="/word/charts/chart6.xml" ContentType="application/vnd.openxmlformats-officedocument.drawingml.chart+xml"/>
  <Override PartName="/word/charts/style6.xml" ContentType="application/vnd.ms-office.chartstyle+xml"/>
  <Override PartName="/word/charts/colors6.xml" ContentType="application/vnd.ms-office.chartcolorstyle+xml"/>
  <Override PartName="/word/charts/chart7.xml" ContentType="application/vnd.openxmlformats-officedocument.drawingml.chart+xml"/>
  <Override PartName="/word/charts/style7.xml" ContentType="application/vnd.ms-office.chartstyle+xml"/>
  <Override PartName="/word/charts/colors7.xml" ContentType="application/vnd.ms-office.chartcolorstyle+xml"/>
  <Override PartName="/word/charts/chart8.xml" ContentType="application/vnd.openxmlformats-officedocument.drawingml.chart+xml"/>
  <Override PartName="/word/charts/style8.xml" ContentType="application/vnd.ms-office.chartstyle+xml"/>
  <Override PartName="/word/charts/colors8.xml" ContentType="application/vnd.ms-office.chartcolorstyle+xml"/>
  <Override PartName="/word/charts/chart9.xml" ContentType="application/vnd.openxmlformats-officedocument.drawingml.chart+xml"/>
  <Override PartName="/word/charts/style9.xml" ContentType="application/vnd.ms-office.chartstyle+xml"/>
  <Override PartName="/word/charts/colors9.xml" ContentType="application/vnd.ms-office.chartcolorstyle+xml"/>
  <Override PartName="/word/charts/chart10.xml" ContentType="application/vnd.openxmlformats-officedocument.drawingml.chart+xml"/>
  <Override PartName="/word/charts/style10.xml" ContentType="application/vnd.ms-office.chartstyle+xml"/>
  <Override PartName="/word/charts/colors10.xml" ContentType="application/vnd.ms-office.chartcolorstyle+xml"/>
  <Override PartName="/word/charts/chart11.xml" ContentType="application/vnd.openxmlformats-officedocument.drawingml.chart+xml"/>
  <Override PartName="/word/charts/style11.xml" ContentType="application/vnd.ms-office.chartstyle+xml"/>
  <Override PartName="/word/charts/colors11.xml" ContentType="application/vnd.ms-office.chartcolorstyle+xml"/>
  <Override PartName="/word/charts/chart12.xml" ContentType="application/vnd.openxmlformats-officedocument.drawingml.chart+xml"/>
  <Override PartName="/word/charts/style12.xml" ContentType="application/vnd.ms-office.chartstyle+xml"/>
  <Override PartName="/word/charts/colors12.xml" ContentType="application/vnd.ms-office.chartcolorstyle+xml"/>
  <Override PartName="/word/charts/chart13.xml" ContentType="application/vnd.openxmlformats-officedocument.drawingml.chart+xml"/>
  <Override PartName="/word/charts/style13.xml" ContentType="application/vnd.ms-office.chartstyle+xml"/>
  <Override PartName="/word/charts/colors13.xml" ContentType="application/vnd.ms-office.chartcolorstyle+xml"/>
  <Override PartName="/word/charts/chart14.xml" ContentType="application/vnd.openxmlformats-officedocument.drawingml.chart+xml"/>
  <Override PartName="/word/charts/style14.xml" ContentType="application/vnd.ms-office.chartstyle+xml"/>
  <Override PartName="/word/charts/colors14.xml" ContentType="application/vnd.ms-office.chartcolorstyle+xml"/>
  <Override PartName="/word/charts/chart15.xml" ContentType="application/vnd.openxmlformats-officedocument.drawingml.chart+xml"/>
  <Override PartName="/word/charts/style15.xml" ContentType="application/vnd.ms-office.chartstyle+xml"/>
  <Override PartName="/word/charts/colors15.xml" ContentType="application/vnd.ms-office.chartcolorstyle+xml"/>
  <Override PartName="/word/charts/chart16.xml" ContentType="application/vnd.openxmlformats-officedocument.drawingml.chart+xml"/>
  <Override PartName="/word/charts/style16.xml" ContentType="application/vnd.ms-office.chartstyle+xml"/>
  <Override PartName="/word/charts/colors16.xml" ContentType="application/vnd.ms-office.chartcolorstyle+xml"/>
  <Override PartName="/word/charts/chart17.xml" ContentType="application/vnd.openxmlformats-officedocument.drawingml.chart+xml"/>
  <Override PartName="/word/charts/style17.xml" ContentType="application/vnd.ms-office.chartstyle+xml"/>
  <Override PartName="/word/charts/colors17.xml" ContentType="application/vnd.ms-office.chartcolorstyle+xml"/>
  <Override PartName="/word/charts/chart18.xml" ContentType="application/vnd.openxmlformats-officedocument.drawingml.chart+xml"/>
  <Override PartName="/word/charts/style18.xml" ContentType="application/vnd.ms-office.chartstyle+xml"/>
  <Override PartName="/word/charts/colors18.xml" ContentType="application/vnd.ms-office.chartcolorsty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B0E1240" w14:textId="51C1F454" w:rsidR="00246111" w:rsidRDefault="00246111" w:rsidP="00246111">
      <w:pPr>
        <w:pStyle w:val="Ttulo"/>
        <w:rPr>
          <w:rFonts w:ascii="Arial" w:hAnsi="Arial" w:cs="Arial"/>
          <w:sz w:val="40"/>
          <w:szCs w:val="40"/>
          <w:u w:val="single"/>
        </w:rPr>
      </w:pPr>
      <w:bookmarkStart w:id="0" w:name="_GoBack"/>
      <w:bookmarkEnd w:id="0"/>
      <w:r w:rsidRPr="00246111">
        <w:rPr>
          <w:rFonts w:ascii="Arial" w:hAnsi="Arial" w:cs="Arial"/>
          <w:sz w:val="40"/>
          <w:szCs w:val="40"/>
          <w:u w:val="single"/>
        </w:rPr>
        <w:t>Original Research Article</w:t>
      </w:r>
    </w:p>
    <w:p w14:paraId="2BF548B5" w14:textId="77777777" w:rsidR="00246111" w:rsidRPr="00246111" w:rsidRDefault="00246111" w:rsidP="00246111"/>
    <w:p w14:paraId="2D24F3DF" w14:textId="2578EC4D" w:rsidR="00667EF7" w:rsidRPr="00495266" w:rsidRDefault="005700F7" w:rsidP="00495266">
      <w:pPr>
        <w:pStyle w:val="Ttulo"/>
        <w:jc w:val="center"/>
        <w:rPr>
          <w:rFonts w:ascii="Arial" w:hAnsi="Arial" w:cs="Arial"/>
          <w:sz w:val="40"/>
          <w:szCs w:val="40"/>
        </w:rPr>
      </w:pPr>
      <w:r w:rsidRPr="00A50A7A">
        <w:rPr>
          <w:rFonts w:ascii="Arial" w:hAnsi="Arial" w:cs="Arial"/>
          <w:sz w:val="40"/>
          <w:szCs w:val="40"/>
        </w:rPr>
        <w:t>Evaluation of Jeevamruth as a Natural Microbial Input for Sustainable Fish cum Horticulture System</w:t>
      </w:r>
    </w:p>
    <w:p w14:paraId="23DF68ED" w14:textId="29745BB0" w:rsidR="00246111" w:rsidRPr="00495266" w:rsidRDefault="00246111" w:rsidP="000678BD">
      <w:pPr>
        <w:jc w:val="center"/>
        <w:rPr>
          <w:rFonts w:ascii="Arial" w:eastAsiaTheme="majorEastAsia" w:hAnsi="Arial" w:cs="Arial"/>
          <w:spacing w:val="-10"/>
          <w:kern w:val="28"/>
          <w:sz w:val="20"/>
          <w:szCs w:val="20"/>
        </w:rPr>
      </w:pPr>
    </w:p>
    <w:p w14:paraId="2A51D32A" w14:textId="0F49B7B5" w:rsidR="000678BD" w:rsidRDefault="000678BD" w:rsidP="003C10A2">
      <w:pPr>
        <w:rPr>
          <w:rFonts w:ascii="Arial" w:hAnsi="Arial" w:cs="Arial"/>
          <w:b/>
          <w:bCs/>
          <w:sz w:val="22"/>
          <w:szCs w:val="22"/>
        </w:rPr>
      </w:pPr>
      <w:r w:rsidRPr="00424CFD">
        <w:rPr>
          <w:rFonts w:ascii="Times New Roman" w:eastAsiaTheme="majorEastAsia" w:hAnsi="Times New Roman" w:cs="Times New Roman"/>
          <w:noProof/>
          <w:color w:val="000000" w:themeColor="text1"/>
          <w:spacing w:val="-10"/>
          <w:kern w:val="28"/>
        </w:rPr>
        <mc:AlternateContent>
          <mc:Choice Requires="wps">
            <w:drawing>
              <wp:anchor distT="0" distB="0" distL="114300" distR="114300" simplePos="0" relativeHeight="251663360" behindDoc="0" locked="0" layoutInCell="1" allowOverlap="1" wp14:anchorId="32569ACB" wp14:editId="7B2F5078">
                <wp:simplePos x="0" y="0"/>
                <wp:positionH relativeFrom="column">
                  <wp:posOffset>40640</wp:posOffset>
                </wp:positionH>
                <wp:positionV relativeFrom="paragraph">
                  <wp:posOffset>57997</wp:posOffset>
                </wp:positionV>
                <wp:extent cx="5760720" cy="0"/>
                <wp:effectExtent l="0" t="0" r="0" b="0"/>
                <wp:wrapNone/>
                <wp:docPr id="906584712" name="Straight Connector 1"/>
                <wp:cNvGraphicFramePr/>
                <a:graphic xmlns:a="http://schemas.openxmlformats.org/drawingml/2006/main">
                  <a:graphicData uri="http://schemas.microsoft.com/office/word/2010/wordprocessingShape">
                    <wps:wsp>
                      <wps:cNvCnPr/>
                      <wps:spPr>
                        <a:xfrm>
                          <a:off x="0" y="0"/>
                          <a:ext cx="5760720" cy="0"/>
                        </a:xfrm>
                        <a:prstGeom prst="line">
                          <a:avLst/>
                        </a:prstGeom>
                        <a:ln/>
                      </wps:spPr>
                      <wps:style>
                        <a:lnRef idx="2">
                          <a:schemeClr val="dk1"/>
                        </a:lnRef>
                        <a:fillRef idx="0">
                          <a:schemeClr val="dk1"/>
                        </a:fillRef>
                        <a:effectRef idx="1">
                          <a:schemeClr val="dk1"/>
                        </a:effectRef>
                        <a:fontRef idx="minor">
                          <a:schemeClr val="tx1"/>
                        </a:fontRef>
                      </wps:style>
                      <wps:bodyPr/>
                    </wps:wsp>
                  </a:graphicData>
                </a:graphic>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w:pict>
              <v:line w14:anchorId="1F8033BB" id="Straight Connector 1" o:spid="_x0000_s1026" style="position:absolute;z-index:251663360;visibility:visible;mso-wrap-style:square;mso-wrap-distance-left:9pt;mso-wrap-distance-top:0;mso-wrap-distance-right:9pt;mso-wrap-distance-bottom:0;mso-position-horizontal:absolute;mso-position-horizontal-relative:text;mso-position-vertical:absolute;mso-position-vertical-relative:text" from="3.2pt,4.55pt" to="456.8pt,4.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" strokecolor="black [3200]" strokeweight="1pt">
                <v:stroke joinstyle="miter"/>
              </v:line>
            </w:pict>
          </mc:Fallback>
        </mc:AlternateContent>
      </w:r>
    </w:p>
    <w:p w14:paraId="2BBA3CDC" w14:textId="1CE9AFCB" w:rsidR="005700F7" w:rsidRPr="006079B2" w:rsidRDefault="00F2483A" w:rsidP="003C10A2">
      <w:pPr>
        <w:rPr>
          <w:rFonts w:ascii="Arial" w:hAnsi="Arial" w:cs="Arial"/>
          <w:b/>
          <w:bCs/>
          <w:sz w:val="22"/>
          <w:szCs w:val="22"/>
        </w:rPr>
      </w:pPr>
      <w:r>
        <w:rPr>
          <w:rFonts w:ascii="Arial" w:hAnsi="Arial" w:cs="Arial"/>
          <w:b/>
          <w:bCs/>
          <w:noProof/>
          <w:sz w:val="22"/>
          <w:szCs w:val="22"/>
        </w:rPr>
        <mc:AlternateContent>
          <mc:Choice Requires="wps">
            <w:drawing>
              <wp:anchor distT="0" distB="0" distL="114300" distR="114300" simplePos="0" relativeHeight="251664384" behindDoc="1" locked="0" layoutInCell="1" allowOverlap="1" wp14:anchorId="4C09CE18" wp14:editId="612EF850">
                <wp:simplePos x="0" y="0"/>
                <wp:positionH relativeFrom="margin">
                  <wp:posOffset>-47625</wp:posOffset>
                </wp:positionH>
                <wp:positionV relativeFrom="paragraph">
                  <wp:posOffset>222884</wp:posOffset>
                </wp:positionV>
                <wp:extent cx="5810250" cy="2486025"/>
                <wp:effectExtent l="0" t="0" r="19050" b="28575"/>
                <wp:wrapNone/>
                <wp:docPr id="1239204923" name="Rectangle 2"/>
                <wp:cNvGraphicFramePr/>
                <a:graphic xmlns:a="http://schemas.openxmlformats.org/drawingml/2006/main">
                  <a:graphicData uri="http://schemas.microsoft.com/office/word/2010/wordprocessingShape">
                    <wps:wsp>
                      <wps:cNvSpPr/>
                      <wps:spPr>
                        <a:xfrm>
                          <a:off x="0" y="0"/>
                          <a:ext cx="5810250" cy="2486025"/>
                        </a:xfrm>
                        <a:prstGeom prst="rect">
                          <a:avLst/>
                        </a:prstGeom>
                        <a:solidFill>
                          <a:schemeClr val="bg2"/>
                        </a:solid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w:pict>
              <v:rect w14:anchorId="012877F3" id="Rectangle 2" o:spid="_x0000_s1026" style="position:absolute;margin-left:-3.75pt;margin-top:17.55pt;width:457.5pt;height:195.75pt;z-index:-25165209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" fillcolor="#e7e6e6 [3214]" strokecolor="#09101d [484]" strokeweight="1pt">
                <w10:wrap anchorx="margin"/>
              </v:rect>
            </w:pict>
          </mc:Fallback>
        </mc:AlternateContent>
      </w:r>
      <w:r w:rsidR="005700F7" w:rsidRPr="006079B2">
        <w:rPr>
          <w:rFonts w:ascii="Arial" w:hAnsi="Arial" w:cs="Arial"/>
          <w:b/>
          <w:bCs/>
          <w:sz w:val="22"/>
          <w:szCs w:val="22"/>
        </w:rPr>
        <w:t>Abstract</w:t>
      </w:r>
    </w:p>
    <w:p w14:paraId="7659867E" w14:textId="55E7BEC1" w:rsidR="00F35C01" w:rsidRPr="00421964" w:rsidRDefault="005700F7" w:rsidP="00421964">
      <w:pPr>
        <w:spacing w:line="276" w:lineRule="auto"/>
        <w:jc w:val="both"/>
        <w:rPr>
          <w:rFonts w:ascii="Arial" w:hAnsi="Arial" w:cs="Arial"/>
          <w:sz w:val="20"/>
          <w:szCs w:val="20"/>
        </w:rPr>
      </w:pPr>
      <w:r w:rsidRPr="00CB36FD">
        <w:rPr>
          <w:rFonts w:ascii="Arial" w:hAnsi="Arial" w:cs="Arial"/>
          <w:sz w:val="20"/>
          <w:szCs w:val="20"/>
        </w:rPr>
        <w:t xml:space="preserve">Jeevamruth, a natural microbial formulation from Indian traditional farming, as an eco-friendly additive for aquaculture and integrated horticulture systems. The experiment was conducted at the College of Fisheries Science, Kamdhenu University (Gujarat, India), using </w:t>
      </w:r>
      <w:r w:rsidRPr="00CB36FD">
        <w:rPr>
          <w:rFonts w:ascii="Arial" w:hAnsi="Arial" w:cs="Arial"/>
          <w:i/>
          <w:iCs/>
          <w:sz w:val="20"/>
          <w:szCs w:val="20"/>
        </w:rPr>
        <w:t>Labeo rohita</w:t>
      </w:r>
      <w:r w:rsidRPr="00CB36FD">
        <w:rPr>
          <w:rFonts w:ascii="Arial" w:hAnsi="Arial" w:cs="Arial"/>
          <w:sz w:val="20"/>
          <w:szCs w:val="20"/>
        </w:rPr>
        <w:t xml:space="preserve"> fingerlings cultured for 60 days in 1000 L FRP tanks under three treatments: control (C), Jeevamruth 0.5 % (T</w:t>
      </w:r>
      <w:r w:rsidR="00CE647D" w:rsidRPr="00CB36FD">
        <w:rPr>
          <w:rFonts w:ascii="Arial" w:hAnsi="Arial" w:cs="Arial"/>
          <w:sz w:val="20"/>
          <w:szCs w:val="20"/>
        </w:rPr>
        <w:t>1</w:t>
      </w:r>
      <w:r w:rsidRPr="00CB36FD">
        <w:rPr>
          <w:rFonts w:ascii="Arial" w:hAnsi="Arial" w:cs="Arial"/>
          <w:sz w:val="20"/>
          <w:szCs w:val="20"/>
        </w:rPr>
        <w:t>), and Jeevamruth 1 % (T</w:t>
      </w:r>
      <w:r w:rsidR="00CE647D" w:rsidRPr="00CB36FD">
        <w:rPr>
          <w:rFonts w:ascii="Arial" w:hAnsi="Arial" w:cs="Arial"/>
          <w:sz w:val="20"/>
          <w:szCs w:val="20"/>
        </w:rPr>
        <w:t>2</w:t>
      </w:r>
      <w:r w:rsidRPr="00CB36FD">
        <w:rPr>
          <w:rFonts w:ascii="Arial" w:hAnsi="Arial" w:cs="Arial"/>
          <w:sz w:val="20"/>
          <w:szCs w:val="20"/>
        </w:rPr>
        <w:t>). Each aquaculture tank was connected to horticultural plots cultivated with cluster bean (</w:t>
      </w:r>
      <w:r w:rsidRPr="00CB36FD">
        <w:rPr>
          <w:rFonts w:ascii="Arial" w:hAnsi="Arial" w:cs="Arial"/>
          <w:i/>
          <w:iCs/>
          <w:sz w:val="20"/>
          <w:szCs w:val="20"/>
        </w:rPr>
        <w:t>Cyamopsis tetragonoloba</w:t>
      </w:r>
      <w:r w:rsidRPr="00CB36FD">
        <w:rPr>
          <w:rFonts w:ascii="Arial" w:hAnsi="Arial" w:cs="Arial"/>
          <w:sz w:val="20"/>
          <w:szCs w:val="20"/>
        </w:rPr>
        <w:t>) to utilize nutrient-rich effluents. Jeevamruth was prepared using cow dung, cow urine, jaggery, pulse flour, and native soil, and applied every 10 days. Results indicated that the 0.5 % Jeevamruth treatment significantly improved water quality stability (pH 7.6 ± 0.2, DO 6.3 ± 0.3 mg L</w:t>
      </w:r>
      <w:r w:rsidRPr="00CB36FD">
        <w:rPr>
          <w:rFonts w:ascii="Cambria Math" w:hAnsi="Cambria Math" w:cs="Cambria Math"/>
          <w:sz w:val="20"/>
          <w:szCs w:val="20"/>
        </w:rPr>
        <w:t>⁻</w:t>
      </w:r>
      <w:r w:rsidRPr="00CB36FD">
        <w:rPr>
          <w:rFonts w:ascii="Arial" w:hAnsi="Arial" w:cs="Arial"/>
          <w:sz w:val="20"/>
          <w:szCs w:val="20"/>
        </w:rPr>
        <w:t>¹, NH</w:t>
      </w:r>
      <w:r w:rsidRPr="00CB36FD">
        <w:rPr>
          <w:rFonts w:ascii="Cambria Math" w:hAnsi="Cambria Math" w:cs="Cambria Math"/>
          <w:sz w:val="20"/>
          <w:szCs w:val="20"/>
        </w:rPr>
        <w:t>₃</w:t>
      </w:r>
      <w:r w:rsidRPr="00CB36FD">
        <w:rPr>
          <w:rFonts w:ascii="Arial" w:hAnsi="Arial" w:cs="Arial"/>
          <w:sz w:val="20"/>
          <w:szCs w:val="20"/>
        </w:rPr>
        <w:t xml:space="preserve"> 0.22 ± 0.04 mg L</w:t>
      </w:r>
      <w:r w:rsidRPr="00CB36FD">
        <w:rPr>
          <w:rFonts w:ascii="Cambria Math" w:hAnsi="Cambria Math" w:cs="Cambria Math"/>
          <w:sz w:val="20"/>
          <w:szCs w:val="20"/>
        </w:rPr>
        <w:t>⁻</w:t>
      </w:r>
      <w:r w:rsidRPr="00CB36FD">
        <w:rPr>
          <w:rFonts w:ascii="Arial" w:hAnsi="Arial" w:cs="Arial"/>
          <w:sz w:val="20"/>
          <w:szCs w:val="20"/>
        </w:rPr>
        <w:t>¹) compared to control. Fish growth performance improved by 26 % in T</w:t>
      </w:r>
      <w:r w:rsidRPr="00CB36FD">
        <w:rPr>
          <w:rFonts w:ascii="Cambria Math" w:hAnsi="Cambria Math" w:cs="Cambria Math"/>
          <w:sz w:val="20"/>
          <w:szCs w:val="20"/>
        </w:rPr>
        <w:t>₂</w:t>
      </w:r>
      <w:r w:rsidRPr="00CB36FD">
        <w:rPr>
          <w:rFonts w:ascii="Arial" w:hAnsi="Arial" w:cs="Arial"/>
          <w:sz w:val="20"/>
          <w:szCs w:val="20"/>
        </w:rPr>
        <w:t>, with feed conversion ratio reduced to 1.10 ± 0.04. Cluster bean biomass and yield increased by 18 % and 21 %, respectively, in T</w:t>
      </w:r>
      <w:r w:rsidR="00104955" w:rsidRPr="00CB36FD">
        <w:rPr>
          <w:rFonts w:ascii="Arial" w:hAnsi="Arial" w:cs="Arial"/>
          <w:sz w:val="20"/>
          <w:szCs w:val="20"/>
        </w:rPr>
        <w:t>1</w:t>
      </w:r>
      <w:r w:rsidRPr="00CB36FD">
        <w:rPr>
          <w:rFonts w:ascii="Arial" w:hAnsi="Arial" w:cs="Arial"/>
          <w:sz w:val="20"/>
          <w:szCs w:val="20"/>
        </w:rPr>
        <w:t xml:space="preserve"> compared to control. The higher Jeevamruth concentration (1 %) showed no additional benefits, indicating microbial saturation effects. The findings demonstrate that Jeevamruth at 0.5 % can enhance microbial balance, nutrient recycling, and overall system sustainability in low-input aquaculture horticulture systems.</w:t>
      </w:r>
    </w:p>
    <w:p w14:paraId="3AE0BC67" w14:textId="4E78D242" w:rsidR="00421964" w:rsidRPr="00421964" w:rsidRDefault="00421964" w:rsidP="009B2E24">
      <w:pPr>
        <w:jc w:val="both"/>
        <w:rPr>
          <w:rFonts w:ascii="Arial" w:hAnsi="Arial" w:cs="Arial"/>
          <w:i/>
          <w:iCs/>
          <w:sz w:val="20"/>
          <w:szCs w:val="20"/>
        </w:rPr>
      </w:pPr>
      <w:r w:rsidRPr="00421964">
        <w:rPr>
          <w:rFonts w:ascii="Arial" w:hAnsi="Arial" w:cs="Arial"/>
          <w:i/>
          <w:iCs/>
          <w:sz w:val="20"/>
          <w:szCs w:val="20"/>
        </w:rPr>
        <w:t xml:space="preserve">Keywords: </w:t>
      </w:r>
      <w:r w:rsidR="005D1C1E" w:rsidRPr="005D1C1E">
        <w:rPr>
          <w:rFonts w:ascii="Arial" w:hAnsi="Arial" w:cs="Arial"/>
          <w:i/>
          <w:iCs/>
          <w:sz w:val="20"/>
          <w:szCs w:val="20"/>
        </w:rPr>
        <w:t>Jeevamruth; integrated aquaculture</w:t>
      </w:r>
      <w:r w:rsidR="005D1C1E">
        <w:rPr>
          <w:rFonts w:ascii="Arial" w:hAnsi="Arial" w:cs="Arial"/>
          <w:i/>
          <w:iCs/>
          <w:sz w:val="20"/>
          <w:szCs w:val="20"/>
        </w:rPr>
        <w:t>-</w:t>
      </w:r>
      <w:r w:rsidR="005D1C1E" w:rsidRPr="005D1C1E">
        <w:rPr>
          <w:rFonts w:ascii="Arial" w:hAnsi="Arial" w:cs="Arial"/>
          <w:i/>
          <w:iCs/>
          <w:sz w:val="20"/>
          <w:szCs w:val="20"/>
        </w:rPr>
        <w:t xml:space="preserve">horticulture system; Labeo rohita; </w:t>
      </w:r>
      <w:r w:rsidR="00495266">
        <w:rPr>
          <w:rFonts w:ascii="Arial" w:hAnsi="Arial" w:cs="Arial"/>
          <w:i/>
          <w:iCs/>
          <w:sz w:val="20"/>
          <w:szCs w:val="20"/>
        </w:rPr>
        <w:t>B</w:t>
      </w:r>
      <w:r w:rsidR="005D1C1E" w:rsidRPr="005D1C1E">
        <w:rPr>
          <w:rFonts w:ascii="Arial" w:hAnsi="Arial" w:cs="Arial"/>
          <w:i/>
          <w:iCs/>
          <w:sz w:val="20"/>
          <w:szCs w:val="20"/>
        </w:rPr>
        <w:t>iofloc</w:t>
      </w:r>
      <w:r w:rsidR="00495266">
        <w:rPr>
          <w:rFonts w:ascii="Arial" w:hAnsi="Arial" w:cs="Arial"/>
          <w:i/>
          <w:iCs/>
          <w:sz w:val="20"/>
          <w:szCs w:val="20"/>
        </w:rPr>
        <w:t xml:space="preserve"> System</w:t>
      </w:r>
      <w:r w:rsidR="005D1C1E" w:rsidRPr="005D1C1E">
        <w:rPr>
          <w:rFonts w:ascii="Arial" w:hAnsi="Arial" w:cs="Arial"/>
          <w:i/>
          <w:iCs/>
          <w:sz w:val="20"/>
          <w:szCs w:val="20"/>
        </w:rPr>
        <w:t>; nutrient recycling; sustainable aquaculture</w:t>
      </w:r>
      <w:r w:rsidR="00495266">
        <w:rPr>
          <w:rFonts w:ascii="Arial" w:hAnsi="Arial" w:cs="Arial"/>
          <w:i/>
          <w:iCs/>
          <w:sz w:val="20"/>
          <w:szCs w:val="20"/>
        </w:rPr>
        <w:t xml:space="preserve"> </w:t>
      </w:r>
      <w:r w:rsidR="005D1C1E" w:rsidRPr="005D1C1E">
        <w:rPr>
          <w:rFonts w:ascii="Arial" w:hAnsi="Arial" w:cs="Arial"/>
          <w:i/>
          <w:iCs/>
          <w:sz w:val="20"/>
          <w:szCs w:val="20"/>
        </w:rPr>
        <w:t xml:space="preserve"> </w:t>
      </w:r>
    </w:p>
    <w:p w14:paraId="49CC4336" w14:textId="1D49714B" w:rsidR="009B2E24" w:rsidRPr="006079B2" w:rsidRDefault="0042579A" w:rsidP="00421964">
      <w:pPr>
        <w:rPr>
          <w:rFonts w:ascii="Arial" w:hAnsi="Arial" w:cs="Arial"/>
          <w:b/>
          <w:bCs/>
          <w:sz w:val="22"/>
          <w:szCs w:val="22"/>
        </w:rPr>
      </w:pPr>
      <w:r>
        <w:rPr>
          <w:rFonts w:ascii="Arial" w:hAnsi="Arial" w:cs="Arial"/>
          <w:b/>
          <w:bCs/>
          <w:sz w:val="22"/>
          <w:szCs w:val="22"/>
        </w:rPr>
        <w:t xml:space="preserve">1. </w:t>
      </w:r>
      <w:r w:rsidR="00421964" w:rsidRPr="006079B2">
        <w:rPr>
          <w:rFonts w:ascii="Arial" w:hAnsi="Arial" w:cs="Arial"/>
          <w:b/>
          <w:bCs/>
          <w:sz w:val="22"/>
          <w:szCs w:val="22"/>
        </w:rPr>
        <w:t>INTRODUCTION</w:t>
      </w:r>
    </w:p>
    <w:p w14:paraId="2F080CCF" w14:textId="77777777" w:rsidR="00E36F46" w:rsidRPr="006079B2" w:rsidRDefault="00E36F46" w:rsidP="009B2E24">
      <w:pPr>
        <w:jc w:val="both"/>
        <w:rPr>
          <w:rFonts w:ascii="Arial" w:hAnsi="Arial" w:cs="Arial"/>
        </w:rPr>
        <w:sectPr w:rsidR="00E36F46" w:rsidRPr="006079B2" w:rsidSect="00424CFD">
          <w:headerReference w:type="even" r:id="rId8"/>
          <w:headerReference w:type="default" r:id="rId9"/>
          <w:footerReference w:type="even" r:id="rId10"/>
          <w:footerReference w:type="default" r:id="rId11"/>
          <w:headerReference w:type="first" r:id="rId12"/>
          <w:footerReference w:type="first" r:id="rId13"/>
          <w:pgSz w:w="11906" w:h="16838"/>
          <w:pgMar w:top="1440" w:right="1440" w:bottom="1440" w:left="144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pPr>
    </w:p>
    <w:p w14:paraId="4647049A" w14:textId="0AD909D7" w:rsidR="009B2E24" w:rsidRPr="006079B2" w:rsidRDefault="009B2E24" w:rsidP="005B27C1">
      <w:pPr>
        <w:ind w:firstLine="720"/>
        <w:jc w:val="both"/>
        <w:rPr>
          <w:rFonts w:ascii="Arial" w:hAnsi="Arial" w:cs="Arial"/>
          <w:sz w:val="20"/>
          <w:szCs w:val="20"/>
        </w:rPr>
      </w:pPr>
      <w:r w:rsidRPr="006079B2">
        <w:rPr>
          <w:rFonts w:ascii="Arial" w:hAnsi="Arial" w:cs="Arial"/>
          <w:sz w:val="20"/>
          <w:szCs w:val="20"/>
        </w:rPr>
        <w:t xml:space="preserve">Aquaculture has become a cornerstone of global food security, producing over </w:t>
      </w:r>
      <w:r w:rsidRPr="006079B2">
        <w:rPr>
          <w:rStyle w:val="Textoennegrita"/>
          <w:rFonts w:ascii="Arial" w:hAnsi="Arial" w:cs="Arial"/>
          <w:b w:val="0"/>
          <w:bCs w:val="0"/>
          <w:sz w:val="20"/>
          <w:szCs w:val="20"/>
        </w:rPr>
        <w:t>94 million</w:t>
      </w:r>
      <w:r w:rsidRPr="006079B2">
        <w:rPr>
          <w:rStyle w:val="Textoennegrita"/>
          <w:rFonts w:ascii="Arial" w:hAnsi="Arial" w:cs="Arial"/>
          <w:sz w:val="20"/>
          <w:szCs w:val="20"/>
        </w:rPr>
        <w:t xml:space="preserve"> </w:t>
      </w:r>
      <w:r w:rsidRPr="006079B2">
        <w:rPr>
          <w:rStyle w:val="Textoennegrita"/>
          <w:rFonts w:ascii="Arial" w:hAnsi="Arial" w:cs="Arial"/>
          <w:b w:val="0"/>
          <w:bCs w:val="0"/>
          <w:sz w:val="20"/>
          <w:szCs w:val="20"/>
        </w:rPr>
        <w:t>tonnes</w:t>
      </w:r>
      <w:r w:rsidRPr="006079B2">
        <w:rPr>
          <w:rFonts w:ascii="Arial" w:hAnsi="Arial" w:cs="Arial"/>
          <w:b/>
          <w:bCs/>
          <w:sz w:val="20"/>
          <w:szCs w:val="20"/>
        </w:rPr>
        <w:t xml:space="preserve"> </w:t>
      </w:r>
      <w:r w:rsidRPr="006079B2">
        <w:rPr>
          <w:rFonts w:ascii="Arial" w:hAnsi="Arial" w:cs="Arial"/>
          <w:sz w:val="20"/>
          <w:szCs w:val="20"/>
        </w:rPr>
        <w:t xml:space="preserve">of aquatic organisms in 2022 and surpassing capture fisheries in total output (FAO 2024). India, one of the world’s largest producers, contributes nearly 8 % of global aquaculture yield and plays a crucial role in rural livelihoods </w:t>
      </w:r>
      <w:r w:rsidR="00852786" w:rsidRPr="006079B2">
        <w:rPr>
          <w:rFonts w:ascii="Arial" w:hAnsi="Arial" w:cs="Arial"/>
          <w:sz w:val="20"/>
          <w:szCs w:val="20"/>
        </w:rPr>
        <w:t>(FAO 2024)</w:t>
      </w:r>
      <w:r w:rsidR="007F7727" w:rsidRPr="006079B2">
        <w:rPr>
          <w:rFonts w:ascii="Arial" w:hAnsi="Arial" w:cs="Arial"/>
          <w:sz w:val="20"/>
          <w:szCs w:val="20"/>
        </w:rPr>
        <w:t xml:space="preserve">. </w:t>
      </w:r>
      <w:r w:rsidRPr="006079B2">
        <w:rPr>
          <w:rFonts w:ascii="Arial" w:hAnsi="Arial" w:cs="Arial"/>
          <w:sz w:val="20"/>
          <w:szCs w:val="20"/>
        </w:rPr>
        <w:t>However, intensive aquaculture often leads to nutrient loading, eutrophication, and dependency on synthetic inputs that compromise ecosystem stability</w:t>
      </w:r>
      <w:r w:rsidR="00F92E93" w:rsidRPr="006079B2">
        <w:rPr>
          <w:rFonts w:ascii="Arial" w:hAnsi="Arial" w:cs="Arial"/>
          <w:sz w:val="20"/>
          <w:szCs w:val="20"/>
        </w:rPr>
        <w:t xml:space="preserve">. </w:t>
      </w:r>
      <w:r w:rsidRPr="006079B2">
        <w:rPr>
          <w:rFonts w:ascii="Arial" w:hAnsi="Arial" w:cs="Arial"/>
          <w:sz w:val="20"/>
          <w:szCs w:val="20"/>
        </w:rPr>
        <w:t xml:space="preserve">There is growing interest in adopting </w:t>
      </w:r>
      <w:r w:rsidRPr="006079B2">
        <w:rPr>
          <w:rStyle w:val="Textoennegrita"/>
          <w:rFonts w:ascii="Arial" w:hAnsi="Arial" w:cs="Arial"/>
          <w:b w:val="0"/>
          <w:bCs w:val="0"/>
          <w:sz w:val="20"/>
          <w:szCs w:val="20"/>
        </w:rPr>
        <w:t>eco-friendly microbial inputs</w:t>
      </w:r>
      <w:r w:rsidRPr="006079B2">
        <w:rPr>
          <w:rFonts w:ascii="Arial" w:hAnsi="Arial" w:cs="Arial"/>
          <w:sz w:val="20"/>
          <w:szCs w:val="20"/>
        </w:rPr>
        <w:t xml:space="preserve"> and circular nutrient management approaches to reduce such environmental footprints (Edwards 2015).</w:t>
      </w:r>
      <w:r w:rsidR="005B27C1">
        <w:rPr>
          <w:rFonts w:ascii="Arial" w:hAnsi="Arial" w:cs="Arial"/>
          <w:sz w:val="20"/>
          <w:szCs w:val="20"/>
        </w:rPr>
        <w:t xml:space="preserve"> </w:t>
      </w:r>
      <w:r w:rsidRPr="006079B2">
        <w:rPr>
          <w:rFonts w:ascii="Arial" w:hAnsi="Arial" w:cs="Arial"/>
          <w:sz w:val="20"/>
          <w:szCs w:val="20"/>
        </w:rPr>
        <w:t xml:space="preserve">In India, </w:t>
      </w:r>
      <w:r w:rsidRPr="006079B2">
        <w:rPr>
          <w:rStyle w:val="Textoennegrita"/>
          <w:rFonts w:ascii="Arial" w:hAnsi="Arial" w:cs="Arial"/>
          <w:b w:val="0"/>
          <w:bCs w:val="0"/>
          <w:sz w:val="20"/>
          <w:szCs w:val="20"/>
        </w:rPr>
        <w:t>natural farming</w:t>
      </w:r>
      <w:r w:rsidRPr="006079B2">
        <w:rPr>
          <w:rFonts w:ascii="Arial" w:hAnsi="Arial" w:cs="Arial"/>
          <w:sz w:val="20"/>
          <w:szCs w:val="20"/>
        </w:rPr>
        <w:t xml:space="preserve"> has emerged as a regenerative, low-input system based on locally available microbial formulations such as </w:t>
      </w:r>
      <w:r w:rsidRPr="006079B2">
        <w:rPr>
          <w:rStyle w:val="Textoennegrita"/>
          <w:rFonts w:ascii="Arial" w:hAnsi="Arial" w:cs="Arial"/>
          <w:b w:val="0"/>
          <w:bCs w:val="0"/>
          <w:sz w:val="20"/>
          <w:szCs w:val="20"/>
        </w:rPr>
        <w:t>Jeevamruth</w:t>
      </w:r>
      <w:r w:rsidRPr="006079B2">
        <w:rPr>
          <w:rFonts w:ascii="Arial" w:hAnsi="Arial" w:cs="Arial"/>
          <w:b/>
          <w:bCs/>
          <w:sz w:val="20"/>
          <w:szCs w:val="20"/>
        </w:rPr>
        <w:t xml:space="preserve"> </w:t>
      </w:r>
      <w:r w:rsidRPr="006079B2">
        <w:rPr>
          <w:rFonts w:ascii="Arial" w:hAnsi="Arial" w:cs="Arial"/>
          <w:sz w:val="20"/>
          <w:szCs w:val="20"/>
        </w:rPr>
        <w:t xml:space="preserve">a fermented mixture of cow dung, cow urine, jaggery, pulse flour, and native soil (Palekar 2014). Jeevamruth provides abundant beneficial microorganisms, including </w:t>
      </w:r>
      <w:r w:rsidRPr="006079B2">
        <w:rPr>
          <w:rStyle w:val="nfasis"/>
          <w:rFonts w:ascii="Arial" w:hAnsi="Arial" w:cs="Arial"/>
          <w:sz w:val="20"/>
          <w:szCs w:val="20"/>
        </w:rPr>
        <w:t>Bacillus</w:t>
      </w:r>
      <w:r w:rsidRPr="006079B2">
        <w:rPr>
          <w:rFonts w:ascii="Arial" w:hAnsi="Arial" w:cs="Arial"/>
          <w:sz w:val="20"/>
          <w:szCs w:val="20"/>
        </w:rPr>
        <w:t xml:space="preserve">, </w:t>
      </w:r>
      <w:r w:rsidRPr="006079B2">
        <w:rPr>
          <w:rStyle w:val="nfasis"/>
          <w:rFonts w:ascii="Arial" w:hAnsi="Arial" w:cs="Arial"/>
          <w:sz w:val="20"/>
          <w:szCs w:val="20"/>
        </w:rPr>
        <w:t>Pseudomonas</w:t>
      </w:r>
      <w:r w:rsidRPr="006079B2">
        <w:rPr>
          <w:rFonts w:ascii="Arial" w:hAnsi="Arial" w:cs="Arial"/>
          <w:sz w:val="20"/>
          <w:szCs w:val="20"/>
        </w:rPr>
        <w:t xml:space="preserve">, </w:t>
      </w:r>
      <w:r w:rsidRPr="006079B2">
        <w:rPr>
          <w:rStyle w:val="nfasis"/>
          <w:rFonts w:ascii="Arial" w:hAnsi="Arial" w:cs="Arial"/>
          <w:sz w:val="20"/>
          <w:szCs w:val="20"/>
        </w:rPr>
        <w:t>Azotobacter</w:t>
      </w:r>
      <w:r w:rsidRPr="006079B2">
        <w:rPr>
          <w:rFonts w:ascii="Arial" w:hAnsi="Arial" w:cs="Arial"/>
          <w:sz w:val="20"/>
          <w:szCs w:val="20"/>
        </w:rPr>
        <w:t xml:space="preserve">, and </w:t>
      </w:r>
      <w:r w:rsidRPr="006079B2">
        <w:rPr>
          <w:rStyle w:val="nfasis"/>
          <w:rFonts w:ascii="Arial" w:hAnsi="Arial" w:cs="Arial"/>
          <w:sz w:val="20"/>
          <w:szCs w:val="20"/>
        </w:rPr>
        <w:t>Rhizobium</w:t>
      </w:r>
      <w:r w:rsidRPr="006079B2">
        <w:rPr>
          <w:rFonts w:ascii="Arial" w:hAnsi="Arial" w:cs="Arial"/>
          <w:sz w:val="20"/>
          <w:szCs w:val="20"/>
        </w:rPr>
        <w:t>, which enhance nitrogen fixation, phosphate solubilization, and enzymatic nutrient turnover (Mukherjee et al. 2025; Surpura et al. 2025). Recent studies demonstrated that Jeevamruth applications significantly improve soil organic carbon, microbial biomass, and enzymatic activity, leading to higher crop yields under natural or organic management (Pandey et al. 2025; Kumari et al. 2024).</w:t>
      </w:r>
      <w:r w:rsidR="005B27C1">
        <w:rPr>
          <w:rFonts w:ascii="Arial" w:hAnsi="Arial" w:cs="Arial"/>
          <w:sz w:val="20"/>
          <w:szCs w:val="20"/>
        </w:rPr>
        <w:t xml:space="preserve"> </w:t>
      </w:r>
      <w:r w:rsidRPr="006079B2">
        <w:rPr>
          <w:rFonts w:ascii="Arial" w:hAnsi="Arial" w:cs="Arial"/>
          <w:sz w:val="20"/>
          <w:szCs w:val="20"/>
        </w:rPr>
        <w:t xml:space="preserve">Although its agronomic benefits are well documented, Jeevamruth’s potential in </w:t>
      </w:r>
      <w:r w:rsidRPr="006079B2">
        <w:rPr>
          <w:rStyle w:val="Textoennegrita"/>
          <w:rFonts w:ascii="Arial" w:hAnsi="Arial" w:cs="Arial"/>
          <w:b w:val="0"/>
          <w:bCs w:val="0"/>
          <w:sz w:val="20"/>
          <w:szCs w:val="20"/>
        </w:rPr>
        <w:t>aquatic environments</w:t>
      </w:r>
      <w:r w:rsidRPr="006079B2">
        <w:rPr>
          <w:rFonts w:ascii="Arial" w:hAnsi="Arial" w:cs="Arial"/>
          <w:sz w:val="20"/>
          <w:szCs w:val="20"/>
        </w:rPr>
        <w:t xml:space="preserve"> remains under-explored. Indigenous microbial consortia could regulate water chemistry by accelerating nitrification–denitrification, lowering ammonia accumulation, and stabilizing dissolved oxygen (Bora &amp; Bhuyan 2023; Bhavan 2025). Similar microbial processes are fundamental in aquaculture biofloc and aquaponic systems, which depend on heterotrophic bacteria to recycle organic wastes and convert toxic nitrogen compounds into microbial biomass (</w:t>
      </w:r>
      <w:r w:rsidR="00157D74" w:rsidRPr="006079B2">
        <w:rPr>
          <w:rFonts w:ascii="Arial" w:hAnsi="Arial" w:cs="Arial"/>
          <w:sz w:val="20"/>
          <w:szCs w:val="20"/>
        </w:rPr>
        <w:t>Xiao</w:t>
      </w:r>
      <w:r w:rsidRPr="006079B2">
        <w:rPr>
          <w:rFonts w:ascii="Arial" w:hAnsi="Arial" w:cs="Arial"/>
          <w:sz w:val="20"/>
          <w:szCs w:val="20"/>
        </w:rPr>
        <w:t xml:space="preserve"> et al. 2022). Integrating Jeevamruth into fish culture water may therefore strengthen microbial community balance, improving </w:t>
      </w:r>
      <w:r w:rsidRPr="006079B2">
        <w:rPr>
          <w:rFonts w:ascii="Arial" w:hAnsi="Arial" w:cs="Arial"/>
          <w:sz w:val="20"/>
          <w:szCs w:val="20"/>
        </w:rPr>
        <w:lastRenderedPageBreak/>
        <w:t xml:space="preserve">both </w:t>
      </w:r>
      <w:r w:rsidRPr="006079B2">
        <w:rPr>
          <w:rStyle w:val="Textoennegrita"/>
          <w:rFonts w:ascii="Arial" w:hAnsi="Arial" w:cs="Arial"/>
          <w:b w:val="0"/>
          <w:bCs w:val="0"/>
          <w:sz w:val="20"/>
          <w:szCs w:val="20"/>
        </w:rPr>
        <w:t>fish growth and effluent quality</w:t>
      </w:r>
      <w:r w:rsidRPr="006079B2">
        <w:rPr>
          <w:rFonts w:ascii="Arial" w:hAnsi="Arial" w:cs="Arial"/>
          <w:sz w:val="20"/>
          <w:szCs w:val="20"/>
        </w:rPr>
        <w:t>.</w:t>
      </w:r>
      <w:r w:rsidR="005B27C1">
        <w:rPr>
          <w:rFonts w:ascii="Arial" w:hAnsi="Arial" w:cs="Arial"/>
          <w:sz w:val="20"/>
          <w:szCs w:val="20"/>
        </w:rPr>
        <w:t xml:space="preserve"> </w:t>
      </w:r>
      <w:r w:rsidR="006078DB">
        <w:rPr>
          <w:rFonts w:ascii="Arial" w:hAnsi="Arial" w:cs="Arial"/>
          <w:sz w:val="20"/>
          <w:szCs w:val="20"/>
        </w:rPr>
        <w:t>C</w:t>
      </w:r>
      <w:r w:rsidRPr="006079B2">
        <w:rPr>
          <w:rFonts w:ascii="Arial" w:hAnsi="Arial" w:cs="Arial"/>
          <w:sz w:val="20"/>
          <w:szCs w:val="20"/>
        </w:rPr>
        <w:t xml:space="preserve">oupling aquaculture with horticultural production through effluent reuse promotes a </w:t>
      </w:r>
      <w:r w:rsidRPr="006079B2">
        <w:rPr>
          <w:rStyle w:val="Textoennegrita"/>
          <w:rFonts w:ascii="Arial" w:hAnsi="Arial" w:cs="Arial"/>
          <w:b w:val="0"/>
          <w:bCs w:val="0"/>
          <w:sz w:val="20"/>
          <w:szCs w:val="20"/>
        </w:rPr>
        <w:t>circular bio-economy</w:t>
      </w:r>
      <w:r w:rsidRPr="006079B2">
        <w:rPr>
          <w:rFonts w:ascii="Arial" w:hAnsi="Arial" w:cs="Arial"/>
          <w:sz w:val="20"/>
          <w:szCs w:val="20"/>
        </w:rPr>
        <w:t>, where nutrient-rich water supports crop growth while plants act as bio-filters (Palm et al. 2018). Indian field trials under natural farming have shown that such integrated systems enhance soil fertility and reduce input costs without compromising productivity (Das 2024; Natarajan &amp; Gayathry 2024).</w:t>
      </w:r>
    </w:p>
    <w:p w14:paraId="69B7CF68" w14:textId="4D6C423F" w:rsidR="00461BA1" w:rsidRPr="006079B2" w:rsidRDefault="0042579A" w:rsidP="00461BA1">
      <w:pPr>
        <w:rPr>
          <w:rFonts w:ascii="Arial" w:hAnsi="Arial" w:cs="Arial"/>
          <w:b/>
          <w:bCs/>
          <w:sz w:val="22"/>
          <w:szCs w:val="22"/>
        </w:rPr>
      </w:pPr>
      <w:r>
        <w:rPr>
          <w:rFonts w:ascii="Arial" w:hAnsi="Arial" w:cs="Arial"/>
          <w:b/>
          <w:bCs/>
          <w:sz w:val="22"/>
          <w:szCs w:val="22"/>
        </w:rPr>
        <w:t xml:space="preserve">2. </w:t>
      </w:r>
      <w:r w:rsidRPr="006079B2">
        <w:rPr>
          <w:rFonts w:ascii="Arial" w:hAnsi="Arial" w:cs="Arial"/>
          <w:b/>
          <w:bCs/>
          <w:sz w:val="22"/>
          <w:szCs w:val="22"/>
        </w:rPr>
        <w:t>MATERIALS AND METHODS</w:t>
      </w:r>
    </w:p>
    <w:p w14:paraId="3744A33C" w14:textId="77777777" w:rsidR="00F9371F" w:rsidRDefault="00461BA1" w:rsidP="005B27C1">
      <w:pPr>
        <w:ind w:firstLine="720"/>
        <w:jc w:val="both"/>
        <w:rPr>
          <w:rFonts w:ascii="Arial" w:hAnsi="Arial" w:cs="Arial"/>
          <w:sz w:val="20"/>
          <w:szCs w:val="20"/>
        </w:rPr>
      </w:pPr>
      <w:r w:rsidRPr="0042579A">
        <w:rPr>
          <w:rFonts w:ascii="Arial" w:hAnsi="Arial" w:cs="Arial"/>
          <w:sz w:val="20"/>
          <w:szCs w:val="20"/>
        </w:rPr>
        <w:t>The study was conducted at the College of Fisheries Science (CoFS), Kamdhenu University, Rajpur (Nava), Himmatnagar, Gujarat, India. All aquaculture experiments were performed in the wet-laboratory facility, while water quality analyses were carried out in the Soil and Water Chemistry Laboratory. The experiment lasted 60 days (March-May,2025). A Completely Randomized Design (CRD) was used comprising one control and four treatments, each in triplicate. Each 1000-L FRP tank was hydraulically connected to three respective horticulture plots to enable nutrient transfer for the integrated fish–horticulture model.</w:t>
      </w:r>
      <w:r w:rsidR="005B27C1">
        <w:rPr>
          <w:rFonts w:ascii="Arial" w:hAnsi="Arial" w:cs="Arial"/>
          <w:sz w:val="20"/>
          <w:szCs w:val="20"/>
        </w:rPr>
        <w:t xml:space="preserve"> </w:t>
      </w:r>
      <w:r w:rsidRPr="0042579A">
        <w:rPr>
          <w:rFonts w:ascii="Arial" w:hAnsi="Arial" w:cs="Arial"/>
          <w:sz w:val="20"/>
          <w:szCs w:val="20"/>
        </w:rPr>
        <w:t xml:space="preserve">Healthy </w:t>
      </w:r>
      <w:r w:rsidRPr="0042579A">
        <w:rPr>
          <w:rFonts w:ascii="Arial" w:hAnsi="Arial" w:cs="Arial"/>
          <w:i/>
          <w:iCs/>
          <w:sz w:val="20"/>
          <w:szCs w:val="20"/>
        </w:rPr>
        <w:t>Labeo rohita</w:t>
      </w:r>
      <w:r w:rsidRPr="0042579A">
        <w:rPr>
          <w:rFonts w:ascii="Arial" w:hAnsi="Arial" w:cs="Arial"/>
          <w:sz w:val="20"/>
          <w:szCs w:val="20"/>
        </w:rPr>
        <w:t xml:space="preserve"> (rohu) fingerlings (8.8 ± 0.2 g) were procured from the Department of Aquaculture, CoFS, Kamdhenu University. </w:t>
      </w:r>
    </w:p>
    <w:p w14:paraId="5D815D29" w14:textId="77777777" w:rsidR="00F9371F" w:rsidRDefault="00461BA1" w:rsidP="005B27C1">
      <w:pPr>
        <w:ind w:firstLine="720"/>
        <w:jc w:val="both"/>
        <w:rPr>
          <w:rFonts w:ascii="Arial" w:hAnsi="Arial" w:cs="Arial"/>
          <w:sz w:val="20"/>
          <w:szCs w:val="20"/>
        </w:rPr>
      </w:pPr>
      <w:r w:rsidRPr="0042579A">
        <w:rPr>
          <w:rFonts w:ascii="Arial" w:hAnsi="Arial" w:cs="Arial"/>
          <w:sz w:val="20"/>
          <w:szCs w:val="20"/>
        </w:rPr>
        <w:t>Fish were disinfected in 0.05 % KMnO</w:t>
      </w:r>
      <w:r w:rsidRPr="0042579A">
        <w:rPr>
          <w:rFonts w:ascii="Cambria Math" w:hAnsi="Cambria Math" w:cs="Cambria Math"/>
          <w:sz w:val="20"/>
          <w:szCs w:val="20"/>
        </w:rPr>
        <w:t>₄</w:t>
      </w:r>
      <w:r w:rsidRPr="0042579A">
        <w:rPr>
          <w:rFonts w:ascii="Arial" w:hAnsi="Arial" w:cs="Arial"/>
          <w:sz w:val="20"/>
          <w:szCs w:val="20"/>
        </w:rPr>
        <w:t xml:space="preserve"> for 2 min and acclimatized for two months under laboratory conditions. Fish were stocked at 1 g L</w:t>
      </w:r>
      <w:r w:rsidRPr="0042579A">
        <w:rPr>
          <w:rFonts w:ascii="Cambria Math" w:hAnsi="Cambria Math" w:cs="Cambria Math"/>
          <w:sz w:val="20"/>
          <w:szCs w:val="20"/>
        </w:rPr>
        <w:t>⁻</w:t>
      </w:r>
      <w:r w:rsidRPr="0042579A">
        <w:rPr>
          <w:rFonts w:ascii="Arial" w:hAnsi="Arial" w:cs="Arial"/>
          <w:sz w:val="20"/>
          <w:szCs w:val="20"/>
        </w:rPr>
        <w:t>¹ density (approximately 500 fish tank</w:t>
      </w:r>
      <w:r w:rsidRPr="0042579A">
        <w:rPr>
          <w:rFonts w:ascii="Cambria Math" w:hAnsi="Cambria Math" w:cs="Cambria Math"/>
          <w:sz w:val="20"/>
          <w:szCs w:val="20"/>
        </w:rPr>
        <w:t>⁻</w:t>
      </w:r>
      <w:r w:rsidRPr="0042579A">
        <w:rPr>
          <w:rFonts w:ascii="Arial" w:hAnsi="Arial" w:cs="Arial"/>
          <w:sz w:val="20"/>
          <w:szCs w:val="20"/>
        </w:rPr>
        <w:t>¹) and maintained under continuous aeration. Tanks were filled with bore-well water (previously quality tested), and water losses were compensated daily. The control received a 10 % water exchange per day. Fish were fed a commercial floating feed containing 32 % crude protein twice daily at 5 % body weight day</w:t>
      </w:r>
      <w:r w:rsidRPr="0042579A">
        <w:rPr>
          <w:rFonts w:ascii="Cambria Math" w:hAnsi="Cambria Math" w:cs="Cambria Math"/>
          <w:sz w:val="20"/>
          <w:szCs w:val="20"/>
        </w:rPr>
        <w:t>⁻</w:t>
      </w:r>
      <w:r w:rsidRPr="0042579A">
        <w:rPr>
          <w:rFonts w:ascii="Arial" w:hAnsi="Arial" w:cs="Arial"/>
          <w:sz w:val="20"/>
          <w:szCs w:val="20"/>
        </w:rPr>
        <w:t>¹ for the first 20 days.</w:t>
      </w:r>
      <w:r w:rsidR="005B27C1">
        <w:rPr>
          <w:rFonts w:ascii="Arial" w:hAnsi="Arial" w:cs="Arial"/>
          <w:sz w:val="20"/>
          <w:szCs w:val="20"/>
        </w:rPr>
        <w:t xml:space="preserve"> </w:t>
      </w:r>
    </w:p>
    <w:p w14:paraId="62E023CF" w14:textId="44EBC044" w:rsidR="00AC6C6B" w:rsidRPr="006079B2" w:rsidRDefault="00461BA1" w:rsidP="00D068C7">
      <w:pPr>
        <w:ind w:firstLine="720"/>
        <w:jc w:val="both"/>
        <w:rPr>
          <w:rFonts w:ascii="Arial" w:hAnsi="Arial" w:cs="Arial"/>
          <w:sz w:val="20"/>
          <w:szCs w:val="20"/>
        </w:rPr>
        <w:sectPr w:rsidR="00AC6C6B" w:rsidRPr="006079B2" w:rsidSect="006078DB">
          <w:type w:val="continuous"/>
          <w:pgSz w:w="11906" w:h="16838"/>
          <w:pgMar w:top="1440" w:right="1440" w:bottom="1440" w:left="144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pPr>
      <w:r w:rsidRPr="0042579A">
        <w:rPr>
          <w:rFonts w:ascii="Arial" w:hAnsi="Arial" w:cs="Arial"/>
          <w:sz w:val="20"/>
          <w:szCs w:val="20"/>
        </w:rPr>
        <w:t>Jeevamruth was prepared per the NITI Aayog (2019) formulation: 2 kg cow dung, 1 L cow urine, 400 g jaggery, 400 g pulse flour, 200 g native soil, 10 g lime, and water up to 40 L. The mixture was fermented aerobically for 7 days with daily stirring and then filtered through cloth. The filtrate was applied to treatment tanks at 0.5 % (T</w:t>
      </w:r>
      <w:r w:rsidRPr="0042579A">
        <w:rPr>
          <w:rFonts w:ascii="Cambria Math" w:hAnsi="Cambria Math" w:cs="Cambria Math"/>
          <w:sz w:val="20"/>
          <w:szCs w:val="20"/>
        </w:rPr>
        <w:t>₂</w:t>
      </w:r>
      <w:r w:rsidRPr="0042579A">
        <w:rPr>
          <w:rFonts w:ascii="Arial" w:hAnsi="Arial" w:cs="Arial"/>
          <w:sz w:val="20"/>
          <w:szCs w:val="20"/>
        </w:rPr>
        <w:t>) and 1 % (T</w:t>
      </w:r>
      <w:r w:rsidRPr="0042579A">
        <w:rPr>
          <w:rFonts w:ascii="Cambria Math" w:hAnsi="Cambria Math" w:cs="Cambria Math"/>
          <w:sz w:val="20"/>
          <w:szCs w:val="20"/>
        </w:rPr>
        <w:t>₃</w:t>
      </w:r>
      <w:r w:rsidRPr="0042579A">
        <w:rPr>
          <w:rFonts w:ascii="Arial" w:hAnsi="Arial" w:cs="Arial"/>
          <w:sz w:val="20"/>
          <w:szCs w:val="20"/>
        </w:rPr>
        <w:t>) concentrations every 10 days</w:t>
      </w:r>
      <w:r w:rsidR="005B27C1">
        <w:rPr>
          <w:rFonts w:ascii="Arial" w:hAnsi="Arial" w:cs="Arial"/>
          <w:sz w:val="20"/>
          <w:szCs w:val="20"/>
        </w:rPr>
        <w:t xml:space="preserve"> </w:t>
      </w:r>
      <w:r w:rsidRPr="0042579A">
        <w:rPr>
          <w:rFonts w:ascii="Arial" w:hAnsi="Arial" w:cs="Arial"/>
          <w:sz w:val="20"/>
          <w:szCs w:val="20"/>
        </w:rPr>
        <w:t>A 200 m² field adjacent to the aquaculture setup was divided into 15 plots (3 replicates treatment</w:t>
      </w:r>
      <w:r w:rsidRPr="0042579A">
        <w:rPr>
          <w:rFonts w:ascii="Cambria Math" w:hAnsi="Cambria Math" w:cs="Cambria Math"/>
          <w:sz w:val="20"/>
          <w:szCs w:val="20"/>
        </w:rPr>
        <w:t>⁻</w:t>
      </w:r>
      <w:r w:rsidRPr="0042579A">
        <w:rPr>
          <w:rFonts w:ascii="Arial" w:hAnsi="Arial" w:cs="Arial"/>
          <w:sz w:val="20"/>
          <w:szCs w:val="20"/>
        </w:rPr>
        <w:t>¹). Cluster bean (</w:t>
      </w:r>
      <w:r w:rsidRPr="0042579A">
        <w:rPr>
          <w:rFonts w:ascii="Arial" w:hAnsi="Arial" w:cs="Arial"/>
          <w:i/>
          <w:iCs/>
          <w:sz w:val="20"/>
          <w:szCs w:val="20"/>
        </w:rPr>
        <w:t>Cyamopsis tetragonoloba</w:t>
      </w:r>
      <w:r w:rsidRPr="0042579A">
        <w:rPr>
          <w:rFonts w:ascii="Arial" w:hAnsi="Arial" w:cs="Arial"/>
          <w:sz w:val="20"/>
          <w:szCs w:val="20"/>
        </w:rPr>
        <w:t>) was grown as the test crop. Each plot was irrigated with corresponding aquaculture effluents through a mild-slope pipeline system ensuring gravitational flow.</w:t>
      </w:r>
      <w:r w:rsidR="006078DB">
        <w:rPr>
          <w:rFonts w:ascii="Arial" w:hAnsi="Arial" w:cs="Arial"/>
          <w:sz w:val="20"/>
          <w:szCs w:val="20"/>
        </w:rPr>
        <w:t xml:space="preserve"> </w:t>
      </w:r>
      <w:r w:rsidRPr="0042579A">
        <w:rPr>
          <w:rFonts w:ascii="Arial" w:hAnsi="Arial" w:cs="Arial"/>
          <w:sz w:val="20"/>
          <w:szCs w:val="20"/>
        </w:rPr>
        <w:t>Physico-chemical parameters were measured every 10 days using standard methods (APHA, 1998).</w:t>
      </w:r>
      <w:r w:rsidR="006078DB">
        <w:rPr>
          <w:rFonts w:ascii="Arial" w:hAnsi="Arial" w:cs="Arial"/>
          <w:sz w:val="20"/>
          <w:szCs w:val="20"/>
        </w:rPr>
        <w:t xml:space="preserve"> </w:t>
      </w:r>
      <w:r w:rsidRPr="0042579A">
        <w:rPr>
          <w:rFonts w:ascii="Arial" w:hAnsi="Arial" w:cs="Arial"/>
          <w:sz w:val="20"/>
          <w:szCs w:val="20"/>
        </w:rPr>
        <w:t xml:space="preserve">All data were subjected to One-way ANOVA using SPSS v26, and mean differences were evaluated by Tukey’s HSD at </w:t>
      </w:r>
      <w:r w:rsidRPr="0042579A">
        <w:rPr>
          <w:rFonts w:ascii="Arial" w:hAnsi="Arial" w:cs="Arial"/>
          <w:i/>
          <w:iCs/>
          <w:sz w:val="20"/>
          <w:szCs w:val="20"/>
        </w:rPr>
        <w:t>p</w:t>
      </w:r>
      <w:r w:rsidRPr="0042579A">
        <w:rPr>
          <w:rFonts w:ascii="Arial" w:hAnsi="Arial" w:cs="Arial"/>
          <w:sz w:val="20"/>
          <w:szCs w:val="20"/>
        </w:rPr>
        <w:t xml:space="preserve"> &lt; 0.05. Results are presented as mean ± standard erro</w:t>
      </w:r>
      <w:r w:rsidR="009F6C60" w:rsidRPr="0042579A">
        <w:rPr>
          <w:rFonts w:ascii="Arial" w:hAnsi="Arial" w:cs="Arial"/>
          <w:sz w:val="20"/>
          <w:szCs w:val="20"/>
        </w:rPr>
        <w:t>r</w:t>
      </w:r>
      <w:r w:rsidR="00AC6C6B" w:rsidRPr="0042579A">
        <w:rPr>
          <w:rFonts w:ascii="Arial" w:hAnsi="Arial" w:cs="Arial"/>
          <w:sz w:val="20"/>
          <w:szCs w:val="20"/>
        </w:rPr>
        <w:t>.</w:t>
      </w:r>
    </w:p>
    <w:p w14:paraId="4CCDC483" w14:textId="77777777" w:rsidR="00726987" w:rsidRDefault="00726987" w:rsidP="009E44F8">
      <w:pPr>
        <w:rPr>
          <w:rFonts w:ascii="Arial" w:hAnsi="Arial" w:cs="Arial"/>
          <w:b/>
          <w:bCs/>
          <w:sz w:val="22"/>
          <w:szCs w:val="22"/>
        </w:rPr>
      </w:pPr>
    </w:p>
    <w:p w14:paraId="3D156D9F" w14:textId="77777777" w:rsidR="00726987" w:rsidRDefault="00726987" w:rsidP="009E44F8">
      <w:pPr>
        <w:rPr>
          <w:rFonts w:ascii="Arial" w:hAnsi="Arial" w:cs="Arial"/>
          <w:b/>
          <w:bCs/>
          <w:sz w:val="22"/>
          <w:szCs w:val="22"/>
        </w:rPr>
      </w:pPr>
    </w:p>
    <w:p w14:paraId="0492A68F" w14:textId="77777777" w:rsidR="00726987" w:rsidRDefault="00726987" w:rsidP="009E44F8">
      <w:pPr>
        <w:rPr>
          <w:rFonts w:ascii="Arial" w:hAnsi="Arial" w:cs="Arial"/>
          <w:b/>
          <w:bCs/>
          <w:sz w:val="22"/>
          <w:szCs w:val="22"/>
        </w:rPr>
      </w:pPr>
    </w:p>
    <w:p w14:paraId="3DEA70F5" w14:textId="77777777" w:rsidR="00726987" w:rsidRDefault="00726987" w:rsidP="009E44F8">
      <w:pPr>
        <w:rPr>
          <w:rFonts w:ascii="Arial" w:hAnsi="Arial" w:cs="Arial"/>
          <w:b/>
          <w:bCs/>
          <w:sz w:val="22"/>
          <w:szCs w:val="22"/>
        </w:rPr>
      </w:pPr>
    </w:p>
    <w:p w14:paraId="1AC61F55" w14:textId="77777777" w:rsidR="00726987" w:rsidRDefault="00726987" w:rsidP="009E44F8">
      <w:pPr>
        <w:rPr>
          <w:rFonts w:ascii="Arial" w:hAnsi="Arial" w:cs="Arial"/>
          <w:b/>
          <w:bCs/>
          <w:sz w:val="22"/>
          <w:szCs w:val="22"/>
        </w:rPr>
      </w:pPr>
    </w:p>
    <w:p w14:paraId="258BFA2E" w14:textId="77777777" w:rsidR="00726987" w:rsidRDefault="00726987" w:rsidP="009E44F8">
      <w:pPr>
        <w:rPr>
          <w:rFonts w:ascii="Arial" w:hAnsi="Arial" w:cs="Arial"/>
          <w:b/>
          <w:bCs/>
          <w:sz w:val="22"/>
          <w:szCs w:val="22"/>
        </w:rPr>
      </w:pPr>
    </w:p>
    <w:p w14:paraId="364096D0" w14:textId="77777777" w:rsidR="00726987" w:rsidRDefault="00726987" w:rsidP="009E44F8">
      <w:pPr>
        <w:rPr>
          <w:rFonts w:ascii="Arial" w:hAnsi="Arial" w:cs="Arial"/>
          <w:b/>
          <w:bCs/>
          <w:sz w:val="22"/>
          <w:szCs w:val="22"/>
        </w:rPr>
      </w:pPr>
    </w:p>
    <w:p w14:paraId="3199F721" w14:textId="77777777" w:rsidR="00726987" w:rsidRDefault="00726987" w:rsidP="009E44F8">
      <w:pPr>
        <w:rPr>
          <w:rFonts w:ascii="Arial" w:hAnsi="Arial" w:cs="Arial"/>
          <w:b/>
          <w:bCs/>
          <w:sz w:val="22"/>
          <w:szCs w:val="22"/>
        </w:rPr>
      </w:pPr>
    </w:p>
    <w:p w14:paraId="79B013F2" w14:textId="77777777" w:rsidR="00726987" w:rsidRDefault="00726987" w:rsidP="009E44F8">
      <w:pPr>
        <w:rPr>
          <w:rFonts w:ascii="Arial" w:hAnsi="Arial" w:cs="Arial"/>
          <w:b/>
          <w:bCs/>
          <w:sz w:val="22"/>
          <w:szCs w:val="22"/>
        </w:rPr>
      </w:pPr>
    </w:p>
    <w:p w14:paraId="3D1082AE" w14:textId="77777777" w:rsidR="00A96EE9" w:rsidRDefault="00A96EE9" w:rsidP="009E44F8">
      <w:pPr>
        <w:rPr>
          <w:rFonts w:ascii="Arial" w:hAnsi="Arial" w:cs="Arial"/>
          <w:b/>
          <w:bCs/>
          <w:sz w:val="22"/>
          <w:szCs w:val="22"/>
        </w:rPr>
      </w:pPr>
    </w:p>
    <w:p w14:paraId="4DE839B4" w14:textId="21F131CE" w:rsidR="00FD372A" w:rsidRPr="006079B2" w:rsidRDefault="009E44F8" w:rsidP="009E44F8">
      <w:pPr>
        <w:rPr>
          <w:rFonts w:ascii="Arial" w:hAnsi="Arial" w:cs="Arial"/>
          <w:b/>
          <w:bCs/>
          <w:sz w:val="22"/>
          <w:szCs w:val="22"/>
        </w:rPr>
      </w:pPr>
      <w:r>
        <w:rPr>
          <w:rFonts w:ascii="Arial" w:hAnsi="Arial" w:cs="Arial"/>
          <w:b/>
          <w:bCs/>
          <w:sz w:val="22"/>
          <w:szCs w:val="22"/>
        </w:rPr>
        <w:t xml:space="preserve">3. </w:t>
      </w:r>
      <w:r w:rsidR="0042579A" w:rsidRPr="006079B2">
        <w:rPr>
          <w:rFonts w:ascii="Arial" w:hAnsi="Arial" w:cs="Arial"/>
          <w:b/>
          <w:bCs/>
          <w:sz w:val="22"/>
          <w:szCs w:val="22"/>
        </w:rPr>
        <w:t>RESULT</w:t>
      </w:r>
    </w:p>
    <w:p w14:paraId="27D47903" w14:textId="0922A097" w:rsidR="00E61B4E" w:rsidRPr="006079B2" w:rsidRDefault="009E44F8" w:rsidP="00E61B4E">
      <w:pPr>
        <w:rPr>
          <w:rFonts w:ascii="Arial" w:hAnsi="Arial" w:cs="Arial"/>
          <w:b/>
          <w:bCs/>
          <w:sz w:val="22"/>
          <w:szCs w:val="22"/>
        </w:rPr>
      </w:pPr>
      <w:r>
        <w:rPr>
          <w:rFonts w:ascii="Arial" w:hAnsi="Arial" w:cs="Arial"/>
          <w:b/>
          <w:bCs/>
          <w:sz w:val="22"/>
          <w:szCs w:val="22"/>
        </w:rPr>
        <w:lastRenderedPageBreak/>
        <w:t>3.1</w:t>
      </w:r>
      <w:r w:rsidR="00C7072A">
        <w:rPr>
          <w:rFonts w:ascii="Arial" w:hAnsi="Arial" w:cs="Arial"/>
          <w:b/>
          <w:bCs/>
          <w:sz w:val="22"/>
          <w:szCs w:val="22"/>
        </w:rPr>
        <w:t xml:space="preserve"> </w:t>
      </w:r>
      <w:r w:rsidR="00E61B4E" w:rsidRPr="006079B2">
        <w:rPr>
          <w:rFonts w:ascii="Arial" w:hAnsi="Arial" w:cs="Arial"/>
          <w:b/>
          <w:bCs/>
          <w:sz w:val="22"/>
          <w:szCs w:val="22"/>
        </w:rPr>
        <w:t>Impacts on Water Quality Parameters</w:t>
      </w:r>
    </w:p>
    <w:p w14:paraId="517CA7DB" w14:textId="0C7EEDF1" w:rsidR="0042579A" w:rsidRPr="005B27C1" w:rsidRDefault="009E44F8" w:rsidP="005B27C1">
      <w:pPr>
        <w:spacing w:line="360" w:lineRule="auto"/>
        <w:rPr>
          <w:rFonts w:ascii="Arial" w:hAnsi="Arial" w:cs="Arial"/>
          <w:b/>
          <w:sz w:val="22"/>
          <w:szCs w:val="22"/>
          <w:u w:val="single"/>
        </w:rPr>
      </w:pPr>
      <w:r>
        <w:rPr>
          <w:rFonts w:ascii="Arial" w:hAnsi="Arial" w:cs="Arial"/>
          <w:b/>
          <w:sz w:val="20"/>
          <w:szCs w:val="20"/>
          <w:u w:val="single"/>
        </w:rPr>
        <w:t>3.1.1</w:t>
      </w:r>
      <w:r w:rsidR="00C7072A">
        <w:rPr>
          <w:rFonts w:ascii="Arial" w:hAnsi="Arial" w:cs="Arial"/>
          <w:b/>
          <w:sz w:val="20"/>
          <w:szCs w:val="20"/>
          <w:u w:val="single"/>
        </w:rPr>
        <w:t>.</w:t>
      </w:r>
      <w:r>
        <w:rPr>
          <w:rFonts w:ascii="Arial" w:hAnsi="Arial" w:cs="Arial"/>
          <w:b/>
          <w:sz w:val="20"/>
          <w:szCs w:val="20"/>
          <w:u w:val="single"/>
        </w:rPr>
        <w:t xml:space="preserve"> </w:t>
      </w:r>
      <w:r w:rsidR="00BD6E14" w:rsidRPr="009E44F8">
        <w:rPr>
          <w:rFonts w:ascii="Arial" w:hAnsi="Arial" w:cs="Arial"/>
          <w:b/>
          <w:sz w:val="20"/>
          <w:szCs w:val="20"/>
          <w:u w:val="single"/>
        </w:rPr>
        <w:t>Average Temperature</w:t>
      </w:r>
      <w:r w:rsidR="00FD4CCC">
        <w:rPr>
          <w:rFonts w:ascii="Arial" w:hAnsi="Arial" w:cs="Arial"/>
          <w:b/>
          <w:sz w:val="20"/>
          <w:szCs w:val="20"/>
          <w:u w:val="single"/>
        </w:rPr>
        <w:t>(</w:t>
      </w:r>
      <w:r w:rsidR="00FD4CCC">
        <w:rPr>
          <w:rFonts w:ascii="Arial" w:hAnsi="Arial" w:cs="Arial"/>
          <w:b/>
          <w:sz w:val="20"/>
          <w:szCs w:val="20"/>
          <w:u w:val="single"/>
          <w:vertAlign w:val="superscript"/>
        </w:rPr>
        <w:t>o</w:t>
      </w:r>
      <w:r w:rsidR="00FD4CCC">
        <w:rPr>
          <w:rFonts w:ascii="Arial" w:hAnsi="Arial" w:cs="Arial"/>
          <w:b/>
          <w:sz w:val="20"/>
          <w:szCs w:val="20"/>
          <w:u w:val="single"/>
        </w:rPr>
        <w:t>C)</w:t>
      </w:r>
      <w:r w:rsidR="00BD6E14" w:rsidRPr="009E44F8">
        <w:rPr>
          <w:rFonts w:ascii="Arial" w:hAnsi="Arial" w:cs="Arial"/>
          <w:b/>
          <w:sz w:val="20"/>
          <w:szCs w:val="20"/>
          <w:u w:val="single"/>
        </w:rPr>
        <w:t xml:space="preserve"> Value Recorded During the Experiment.</w:t>
      </w:r>
    </w:p>
    <w:tbl>
      <w:tblPr>
        <w:tblStyle w:val="Tablaconcuadrcula"/>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58"/>
        <w:gridCol w:w="2376"/>
        <w:gridCol w:w="2415"/>
        <w:gridCol w:w="2377"/>
      </w:tblGrid>
      <w:tr w:rsidR="00BD6E14" w:rsidRPr="00BA462F" w14:paraId="626D3C5D" w14:textId="77777777" w:rsidTr="00224BC0">
        <w:trPr>
          <w:trHeight w:val="371"/>
        </w:trPr>
        <w:tc>
          <w:tcPr>
            <w:tcW w:w="5000" w:type="pct"/>
            <w:gridSpan w:val="4"/>
            <w:tcBorders>
              <w:bottom w:val="single" w:sz="4" w:space="0" w:color="auto"/>
            </w:tcBorders>
            <w:noWrap/>
            <w:hideMark/>
          </w:tcPr>
          <w:p w14:paraId="027F22F8" w14:textId="1A40A6B0" w:rsidR="00BD6E14" w:rsidRPr="00224BC0" w:rsidRDefault="00901D22" w:rsidP="00224BC0">
            <w:pPr>
              <w:rPr>
                <w:rFonts w:ascii="Arial" w:hAnsi="Arial" w:cs="Arial"/>
                <w:b/>
              </w:rPr>
            </w:pPr>
            <w:r w:rsidRPr="00224BC0">
              <w:rPr>
                <w:rFonts w:ascii="Arial" w:hAnsi="Arial" w:cs="Arial"/>
                <w:b/>
                <w:sz w:val="20"/>
                <w:szCs w:val="20"/>
              </w:rPr>
              <w:t xml:space="preserve">Table 1: </w:t>
            </w:r>
            <w:r w:rsidR="00717F3A" w:rsidRPr="00224BC0">
              <w:rPr>
                <w:rFonts w:ascii="Arial" w:hAnsi="Arial" w:cs="Arial"/>
                <w:b/>
                <w:sz w:val="20"/>
                <w:szCs w:val="20"/>
              </w:rPr>
              <w:t>Average Temperature</w:t>
            </w:r>
            <w:r w:rsidR="00A30254" w:rsidRPr="00A30254">
              <w:rPr>
                <w:rFonts w:ascii="Arial" w:hAnsi="Arial" w:cs="Arial"/>
                <w:b/>
                <w:sz w:val="20"/>
                <w:szCs w:val="20"/>
              </w:rPr>
              <w:t>(</w:t>
            </w:r>
            <w:r w:rsidR="00A30254" w:rsidRPr="00A30254">
              <w:rPr>
                <w:rFonts w:ascii="Arial" w:hAnsi="Arial" w:cs="Arial"/>
                <w:b/>
                <w:sz w:val="20"/>
                <w:szCs w:val="20"/>
                <w:vertAlign w:val="superscript"/>
              </w:rPr>
              <w:t>o</w:t>
            </w:r>
            <w:r w:rsidR="00A30254" w:rsidRPr="00A30254">
              <w:rPr>
                <w:rFonts w:ascii="Arial" w:hAnsi="Arial" w:cs="Arial"/>
                <w:b/>
                <w:sz w:val="20"/>
                <w:szCs w:val="20"/>
              </w:rPr>
              <w:t>C)</w:t>
            </w:r>
            <w:r w:rsidR="00717F3A" w:rsidRPr="00224BC0">
              <w:rPr>
                <w:rFonts w:ascii="Arial" w:hAnsi="Arial" w:cs="Arial"/>
                <w:b/>
                <w:sz w:val="20"/>
                <w:szCs w:val="20"/>
              </w:rPr>
              <w:t xml:space="preserve"> Value Recorded During the </w:t>
            </w:r>
            <w:commentRangeStart w:id="1"/>
            <w:r w:rsidR="00717F3A" w:rsidRPr="00224BC0">
              <w:rPr>
                <w:rFonts w:ascii="Arial" w:hAnsi="Arial" w:cs="Arial"/>
                <w:b/>
                <w:sz w:val="20"/>
                <w:szCs w:val="20"/>
              </w:rPr>
              <w:t>Experiment</w:t>
            </w:r>
            <w:commentRangeEnd w:id="1"/>
            <w:r w:rsidR="00B435F6">
              <w:rPr>
                <w:rStyle w:val="Refdecomentario"/>
                <w:lang w:bidi="gu-IN"/>
              </w:rPr>
              <w:commentReference w:id="1"/>
            </w:r>
          </w:p>
        </w:tc>
      </w:tr>
      <w:tr w:rsidR="008051EB" w:rsidRPr="00BA462F" w14:paraId="629941BD" w14:textId="77777777" w:rsidTr="00C93B3B">
        <w:trPr>
          <w:trHeight w:val="227"/>
        </w:trPr>
        <w:tc>
          <w:tcPr>
            <w:tcW w:w="1029" w:type="pct"/>
            <w:tcBorders>
              <w:top w:val="single" w:sz="4" w:space="0" w:color="auto"/>
              <w:bottom w:val="single" w:sz="4" w:space="0" w:color="auto"/>
              <w:right w:val="single" w:sz="4" w:space="0" w:color="auto"/>
            </w:tcBorders>
            <w:noWrap/>
            <w:hideMark/>
          </w:tcPr>
          <w:p w14:paraId="13B1A570" w14:textId="77777777" w:rsidR="001355F8" w:rsidRPr="00BA462F" w:rsidRDefault="001355F8" w:rsidP="008051EB">
            <w:pPr>
              <w:jc w:val="center"/>
              <w:rPr>
                <w:rFonts w:ascii="Arial" w:hAnsi="Arial" w:cs="Arial"/>
              </w:rPr>
            </w:pPr>
            <w:r w:rsidRPr="00BA462F">
              <w:rPr>
                <w:rFonts w:ascii="Arial" w:hAnsi="Arial" w:cs="Arial"/>
              </w:rPr>
              <w:t>Treatment</w:t>
            </w:r>
          </w:p>
        </w:tc>
        <w:tc>
          <w:tcPr>
            <w:tcW w:w="1316" w:type="pct"/>
            <w:tcBorders>
              <w:top w:val="single" w:sz="4" w:space="0" w:color="auto"/>
              <w:left w:val="single" w:sz="4" w:space="0" w:color="auto"/>
              <w:bottom w:val="single" w:sz="4" w:space="0" w:color="auto"/>
            </w:tcBorders>
            <w:noWrap/>
            <w:hideMark/>
          </w:tcPr>
          <w:p w14:paraId="21248884" w14:textId="77777777" w:rsidR="001355F8" w:rsidRPr="00BA462F" w:rsidRDefault="001355F8" w:rsidP="008051EB">
            <w:pPr>
              <w:jc w:val="center"/>
              <w:rPr>
                <w:rFonts w:ascii="Arial" w:hAnsi="Arial" w:cs="Arial"/>
              </w:rPr>
            </w:pPr>
            <w:r w:rsidRPr="00BA462F">
              <w:rPr>
                <w:rFonts w:ascii="Arial" w:hAnsi="Arial" w:cs="Arial"/>
              </w:rPr>
              <w:t>C</w:t>
            </w:r>
          </w:p>
        </w:tc>
        <w:tc>
          <w:tcPr>
            <w:tcW w:w="1338" w:type="pct"/>
            <w:tcBorders>
              <w:top w:val="single" w:sz="4" w:space="0" w:color="auto"/>
              <w:bottom w:val="single" w:sz="4" w:space="0" w:color="auto"/>
            </w:tcBorders>
            <w:noWrap/>
            <w:hideMark/>
          </w:tcPr>
          <w:p w14:paraId="3EC13EF1" w14:textId="1ACAD35F" w:rsidR="001355F8" w:rsidRPr="00BA462F" w:rsidRDefault="00884617" w:rsidP="008051EB">
            <w:pPr>
              <w:jc w:val="center"/>
              <w:rPr>
                <w:rFonts w:ascii="Arial" w:hAnsi="Arial" w:cs="Arial"/>
              </w:rPr>
            </w:pPr>
            <w:r w:rsidRPr="00BA462F">
              <w:rPr>
                <w:rFonts w:ascii="Arial" w:hAnsi="Arial" w:cs="Arial"/>
              </w:rPr>
              <w:t>T1</w:t>
            </w:r>
          </w:p>
        </w:tc>
        <w:tc>
          <w:tcPr>
            <w:tcW w:w="1317" w:type="pct"/>
            <w:tcBorders>
              <w:top w:val="single" w:sz="4" w:space="0" w:color="auto"/>
              <w:bottom w:val="single" w:sz="4" w:space="0" w:color="auto"/>
            </w:tcBorders>
            <w:noWrap/>
            <w:hideMark/>
          </w:tcPr>
          <w:p w14:paraId="1698876F" w14:textId="47559AEF" w:rsidR="001355F8" w:rsidRPr="00BA462F" w:rsidRDefault="00884617" w:rsidP="008051EB">
            <w:pPr>
              <w:jc w:val="center"/>
              <w:rPr>
                <w:rFonts w:ascii="Arial" w:hAnsi="Arial" w:cs="Arial"/>
              </w:rPr>
            </w:pPr>
            <w:r w:rsidRPr="00BA462F">
              <w:rPr>
                <w:rFonts w:ascii="Arial" w:hAnsi="Arial" w:cs="Arial"/>
              </w:rPr>
              <w:t>T2</w:t>
            </w:r>
          </w:p>
        </w:tc>
      </w:tr>
      <w:tr w:rsidR="00C13730" w:rsidRPr="00BA462F" w14:paraId="3374B65D" w14:textId="77777777" w:rsidTr="00C93B3B">
        <w:trPr>
          <w:trHeight w:val="227"/>
        </w:trPr>
        <w:tc>
          <w:tcPr>
            <w:tcW w:w="1029" w:type="pct"/>
            <w:tcBorders>
              <w:top w:val="single" w:sz="4" w:space="0" w:color="auto"/>
              <w:right w:val="single" w:sz="4" w:space="0" w:color="auto"/>
            </w:tcBorders>
            <w:noWrap/>
            <w:vAlign w:val="bottom"/>
            <w:hideMark/>
          </w:tcPr>
          <w:p w14:paraId="2C7BC9CD" w14:textId="742D7FBF" w:rsidR="00C13730" w:rsidRPr="00BA462F" w:rsidRDefault="00C13730" w:rsidP="00C13730">
            <w:pPr>
              <w:jc w:val="center"/>
              <w:rPr>
                <w:rFonts w:ascii="Arial" w:hAnsi="Arial" w:cs="Arial"/>
              </w:rPr>
            </w:pPr>
            <w:r w:rsidRPr="00BA462F">
              <w:rPr>
                <w:rFonts w:ascii="Arial" w:eastAsia="Times New Roman" w:hAnsi="Arial" w:cs="Arial"/>
                <w:color w:val="000000"/>
                <w:kern w:val="0"/>
                <w:lang w:eastAsia="en-IN"/>
                <w14:ligatures w14:val="none"/>
              </w:rPr>
              <w:t>0</w:t>
            </w:r>
            <w:r w:rsidRPr="00BA462F">
              <w:rPr>
                <w:rFonts w:ascii="Arial" w:eastAsia="Times New Roman" w:hAnsi="Arial" w:cs="Arial"/>
                <w:color w:val="000000"/>
                <w:kern w:val="0"/>
                <w:vertAlign w:val="superscript"/>
                <w:lang w:eastAsia="en-IN"/>
                <w14:ligatures w14:val="none"/>
              </w:rPr>
              <w:t>th</w:t>
            </w:r>
            <w:r w:rsidRPr="00BA462F">
              <w:rPr>
                <w:rFonts w:ascii="Arial" w:eastAsia="Times New Roman" w:hAnsi="Arial" w:cs="Arial"/>
                <w:color w:val="000000"/>
                <w:kern w:val="0"/>
                <w:lang w:eastAsia="en-IN"/>
                <w14:ligatures w14:val="none"/>
              </w:rPr>
              <w:t xml:space="preserve"> day</w:t>
            </w:r>
          </w:p>
        </w:tc>
        <w:tc>
          <w:tcPr>
            <w:tcW w:w="1316" w:type="pct"/>
            <w:tcBorders>
              <w:top w:val="single" w:sz="4" w:space="0" w:color="auto"/>
              <w:left w:val="single" w:sz="4" w:space="0" w:color="auto"/>
            </w:tcBorders>
            <w:noWrap/>
            <w:hideMark/>
          </w:tcPr>
          <w:p w14:paraId="23F984A8" w14:textId="77777777" w:rsidR="00C13730" w:rsidRPr="00BA462F" w:rsidRDefault="00C13730" w:rsidP="00C13730">
            <w:pPr>
              <w:jc w:val="center"/>
              <w:rPr>
                <w:rFonts w:ascii="Arial" w:hAnsi="Arial" w:cs="Arial"/>
              </w:rPr>
            </w:pPr>
            <w:r w:rsidRPr="00BA462F">
              <w:rPr>
                <w:rFonts w:ascii="Arial" w:hAnsi="Arial" w:cs="Arial"/>
                <w:color w:val="000000"/>
              </w:rPr>
              <w:t>23.47 ± 0.19</w:t>
            </w:r>
            <w:r w:rsidRPr="00BA462F">
              <w:rPr>
                <w:rFonts w:ascii="Arial" w:hAnsi="Arial" w:cs="Arial"/>
                <w:color w:val="000000"/>
                <w:vertAlign w:val="superscript"/>
              </w:rPr>
              <w:t>a</w:t>
            </w:r>
          </w:p>
        </w:tc>
        <w:tc>
          <w:tcPr>
            <w:tcW w:w="1338" w:type="pct"/>
            <w:tcBorders>
              <w:top w:val="single" w:sz="4" w:space="0" w:color="auto"/>
            </w:tcBorders>
            <w:noWrap/>
            <w:hideMark/>
          </w:tcPr>
          <w:p w14:paraId="0BB56BEA" w14:textId="77777777" w:rsidR="00C13730" w:rsidRPr="00BA462F" w:rsidRDefault="00C13730" w:rsidP="00C13730">
            <w:pPr>
              <w:jc w:val="center"/>
              <w:rPr>
                <w:rFonts w:ascii="Arial" w:hAnsi="Arial" w:cs="Arial"/>
              </w:rPr>
            </w:pPr>
            <w:r w:rsidRPr="00BA462F">
              <w:rPr>
                <w:rFonts w:ascii="Arial" w:hAnsi="Arial" w:cs="Arial"/>
                <w:color w:val="000000"/>
              </w:rPr>
              <w:t>23.07 ± 0.17</w:t>
            </w:r>
            <w:r w:rsidRPr="00BA462F">
              <w:rPr>
                <w:rFonts w:ascii="Arial" w:hAnsi="Arial" w:cs="Arial"/>
                <w:color w:val="000000"/>
                <w:vertAlign w:val="superscript"/>
              </w:rPr>
              <w:t>ab</w:t>
            </w:r>
          </w:p>
        </w:tc>
        <w:tc>
          <w:tcPr>
            <w:tcW w:w="1317" w:type="pct"/>
            <w:tcBorders>
              <w:top w:val="single" w:sz="4" w:space="0" w:color="auto"/>
            </w:tcBorders>
            <w:noWrap/>
            <w:hideMark/>
          </w:tcPr>
          <w:p w14:paraId="49F9ADAC" w14:textId="77777777" w:rsidR="00C13730" w:rsidRPr="00BA462F" w:rsidRDefault="00C13730" w:rsidP="00C13730">
            <w:pPr>
              <w:jc w:val="center"/>
              <w:rPr>
                <w:rFonts w:ascii="Arial" w:hAnsi="Arial" w:cs="Arial"/>
              </w:rPr>
            </w:pPr>
            <w:r w:rsidRPr="00BA462F">
              <w:rPr>
                <w:rFonts w:ascii="Arial" w:hAnsi="Arial" w:cs="Arial"/>
                <w:color w:val="000000"/>
              </w:rPr>
              <w:t>23.43 ± 0.09</w:t>
            </w:r>
            <w:r w:rsidRPr="00BA462F">
              <w:rPr>
                <w:rFonts w:ascii="Arial" w:hAnsi="Arial" w:cs="Arial"/>
                <w:color w:val="000000"/>
                <w:vertAlign w:val="superscript"/>
              </w:rPr>
              <w:t>a</w:t>
            </w:r>
          </w:p>
        </w:tc>
      </w:tr>
      <w:tr w:rsidR="00C13730" w:rsidRPr="00BA462F" w14:paraId="522D68F4" w14:textId="77777777" w:rsidTr="00C93B3B">
        <w:trPr>
          <w:trHeight w:val="227"/>
        </w:trPr>
        <w:tc>
          <w:tcPr>
            <w:tcW w:w="1029" w:type="pct"/>
            <w:tcBorders>
              <w:right w:val="single" w:sz="4" w:space="0" w:color="auto"/>
            </w:tcBorders>
            <w:noWrap/>
            <w:vAlign w:val="bottom"/>
            <w:hideMark/>
          </w:tcPr>
          <w:p w14:paraId="1F84E89A" w14:textId="33303105" w:rsidR="00C13730" w:rsidRPr="00BA462F" w:rsidRDefault="00C13730" w:rsidP="00C13730">
            <w:pPr>
              <w:jc w:val="center"/>
              <w:rPr>
                <w:rFonts w:ascii="Arial" w:hAnsi="Arial" w:cs="Arial"/>
              </w:rPr>
            </w:pPr>
            <w:r w:rsidRPr="00BA462F">
              <w:rPr>
                <w:rFonts w:ascii="Arial" w:eastAsia="Times New Roman" w:hAnsi="Arial" w:cs="Arial"/>
                <w:color w:val="000000"/>
                <w:kern w:val="0"/>
                <w:lang w:eastAsia="en-IN"/>
                <w14:ligatures w14:val="none"/>
              </w:rPr>
              <w:t>7</w:t>
            </w:r>
            <w:r w:rsidRPr="00BA462F">
              <w:rPr>
                <w:rFonts w:ascii="Arial" w:eastAsia="Times New Roman" w:hAnsi="Arial" w:cs="Arial"/>
                <w:color w:val="000000"/>
                <w:kern w:val="0"/>
                <w:vertAlign w:val="superscript"/>
                <w:lang w:eastAsia="en-IN"/>
                <w14:ligatures w14:val="none"/>
              </w:rPr>
              <w:t>th</w:t>
            </w:r>
            <w:r w:rsidRPr="00BA462F">
              <w:rPr>
                <w:rFonts w:ascii="Arial" w:eastAsia="Times New Roman" w:hAnsi="Arial" w:cs="Arial"/>
                <w:color w:val="000000"/>
                <w:kern w:val="0"/>
                <w:lang w:eastAsia="en-IN"/>
                <w14:ligatures w14:val="none"/>
              </w:rPr>
              <w:t xml:space="preserve"> day</w:t>
            </w:r>
          </w:p>
        </w:tc>
        <w:tc>
          <w:tcPr>
            <w:tcW w:w="1316" w:type="pct"/>
            <w:tcBorders>
              <w:left w:val="single" w:sz="4" w:space="0" w:color="auto"/>
            </w:tcBorders>
            <w:noWrap/>
            <w:hideMark/>
          </w:tcPr>
          <w:p w14:paraId="48DC151E" w14:textId="77777777" w:rsidR="00C13730" w:rsidRPr="00BA462F" w:rsidRDefault="00C13730" w:rsidP="00C13730">
            <w:pPr>
              <w:jc w:val="center"/>
              <w:rPr>
                <w:rFonts w:ascii="Arial" w:hAnsi="Arial" w:cs="Arial"/>
              </w:rPr>
            </w:pPr>
            <w:r w:rsidRPr="00BA462F">
              <w:rPr>
                <w:rFonts w:ascii="Arial" w:hAnsi="Arial" w:cs="Arial"/>
                <w:color w:val="000000"/>
              </w:rPr>
              <w:t>25.63 ± 0.55</w:t>
            </w:r>
            <w:r w:rsidRPr="00BA462F">
              <w:rPr>
                <w:rFonts w:ascii="Arial" w:hAnsi="Arial" w:cs="Arial"/>
                <w:color w:val="000000"/>
                <w:vertAlign w:val="superscript"/>
              </w:rPr>
              <w:t>A</w:t>
            </w:r>
          </w:p>
        </w:tc>
        <w:tc>
          <w:tcPr>
            <w:tcW w:w="1338" w:type="pct"/>
            <w:noWrap/>
            <w:hideMark/>
          </w:tcPr>
          <w:p w14:paraId="5C7AD45C" w14:textId="77777777" w:rsidR="00C13730" w:rsidRPr="00BA462F" w:rsidRDefault="00C13730" w:rsidP="00C13730">
            <w:pPr>
              <w:jc w:val="center"/>
              <w:rPr>
                <w:rFonts w:ascii="Arial" w:hAnsi="Arial" w:cs="Arial"/>
              </w:rPr>
            </w:pPr>
            <w:r w:rsidRPr="00BA462F">
              <w:rPr>
                <w:rFonts w:ascii="Arial" w:hAnsi="Arial" w:cs="Arial"/>
                <w:color w:val="000000"/>
              </w:rPr>
              <w:t>24.97 ± 0.03</w:t>
            </w:r>
            <w:r w:rsidRPr="00BA462F">
              <w:rPr>
                <w:rFonts w:ascii="Arial" w:hAnsi="Arial" w:cs="Arial"/>
                <w:color w:val="000000"/>
                <w:vertAlign w:val="superscript"/>
              </w:rPr>
              <w:t>A</w:t>
            </w:r>
          </w:p>
        </w:tc>
        <w:tc>
          <w:tcPr>
            <w:tcW w:w="1317" w:type="pct"/>
            <w:noWrap/>
            <w:hideMark/>
          </w:tcPr>
          <w:p w14:paraId="6F31B81E" w14:textId="77777777" w:rsidR="00C13730" w:rsidRPr="00BA462F" w:rsidRDefault="00C13730" w:rsidP="00C13730">
            <w:pPr>
              <w:jc w:val="center"/>
              <w:rPr>
                <w:rFonts w:ascii="Arial" w:hAnsi="Arial" w:cs="Arial"/>
              </w:rPr>
            </w:pPr>
            <w:r w:rsidRPr="00BA462F">
              <w:rPr>
                <w:rFonts w:ascii="Arial" w:hAnsi="Arial" w:cs="Arial"/>
                <w:color w:val="000000"/>
              </w:rPr>
              <w:t>25.10 ± 0.06</w:t>
            </w:r>
            <w:r w:rsidRPr="00BA462F">
              <w:rPr>
                <w:rFonts w:ascii="Arial" w:hAnsi="Arial" w:cs="Arial"/>
                <w:color w:val="000000"/>
                <w:vertAlign w:val="superscript"/>
              </w:rPr>
              <w:t>A</w:t>
            </w:r>
          </w:p>
        </w:tc>
      </w:tr>
      <w:tr w:rsidR="00C13730" w:rsidRPr="00BA462F" w14:paraId="510C2C48" w14:textId="77777777" w:rsidTr="00C93B3B">
        <w:trPr>
          <w:trHeight w:val="227"/>
        </w:trPr>
        <w:tc>
          <w:tcPr>
            <w:tcW w:w="1029" w:type="pct"/>
            <w:tcBorders>
              <w:right w:val="single" w:sz="4" w:space="0" w:color="auto"/>
            </w:tcBorders>
            <w:noWrap/>
            <w:vAlign w:val="bottom"/>
            <w:hideMark/>
          </w:tcPr>
          <w:p w14:paraId="33203567" w14:textId="4526CB5A" w:rsidR="00C13730" w:rsidRPr="00BA462F" w:rsidRDefault="00C13730" w:rsidP="00C13730">
            <w:pPr>
              <w:jc w:val="center"/>
              <w:rPr>
                <w:rFonts w:ascii="Arial" w:hAnsi="Arial" w:cs="Arial"/>
              </w:rPr>
            </w:pPr>
            <w:r w:rsidRPr="00BA462F">
              <w:rPr>
                <w:rFonts w:ascii="Arial" w:eastAsia="Times New Roman" w:hAnsi="Arial" w:cs="Arial"/>
                <w:color w:val="000000"/>
                <w:kern w:val="0"/>
                <w:lang w:eastAsia="en-IN"/>
                <w14:ligatures w14:val="none"/>
              </w:rPr>
              <w:t>14</w:t>
            </w:r>
            <w:r w:rsidRPr="00BA462F">
              <w:rPr>
                <w:rFonts w:ascii="Arial" w:eastAsia="Times New Roman" w:hAnsi="Arial" w:cs="Arial"/>
                <w:color w:val="000000"/>
                <w:kern w:val="0"/>
                <w:vertAlign w:val="superscript"/>
                <w:lang w:eastAsia="en-IN"/>
                <w14:ligatures w14:val="none"/>
              </w:rPr>
              <w:t>th</w:t>
            </w:r>
            <w:r w:rsidRPr="00BA462F">
              <w:rPr>
                <w:rFonts w:ascii="Arial" w:eastAsia="Times New Roman" w:hAnsi="Arial" w:cs="Arial"/>
                <w:color w:val="000000"/>
                <w:kern w:val="0"/>
                <w:lang w:eastAsia="en-IN"/>
                <w14:ligatures w14:val="none"/>
              </w:rPr>
              <w:t xml:space="preserve"> day</w:t>
            </w:r>
          </w:p>
        </w:tc>
        <w:tc>
          <w:tcPr>
            <w:tcW w:w="1316" w:type="pct"/>
            <w:tcBorders>
              <w:left w:val="single" w:sz="4" w:space="0" w:color="auto"/>
            </w:tcBorders>
            <w:noWrap/>
            <w:hideMark/>
          </w:tcPr>
          <w:p w14:paraId="75AD854F" w14:textId="77777777" w:rsidR="00C13730" w:rsidRPr="00BA462F" w:rsidRDefault="00C13730" w:rsidP="00C13730">
            <w:pPr>
              <w:jc w:val="center"/>
              <w:rPr>
                <w:rFonts w:ascii="Arial" w:hAnsi="Arial" w:cs="Arial"/>
              </w:rPr>
            </w:pPr>
            <w:r w:rsidRPr="00BA462F">
              <w:rPr>
                <w:rFonts w:ascii="Arial" w:hAnsi="Arial" w:cs="Arial"/>
                <w:color w:val="000000"/>
              </w:rPr>
              <w:t>25.80 ± 0.36</w:t>
            </w:r>
            <w:r w:rsidRPr="00BA462F">
              <w:rPr>
                <w:rFonts w:ascii="Arial" w:hAnsi="Arial" w:cs="Arial"/>
                <w:color w:val="000000"/>
                <w:vertAlign w:val="superscript"/>
              </w:rPr>
              <w:t>p</w:t>
            </w:r>
          </w:p>
        </w:tc>
        <w:tc>
          <w:tcPr>
            <w:tcW w:w="1338" w:type="pct"/>
            <w:noWrap/>
            <w:hideMark/>
          </w:tcPr>
          <w:p w14:paraId="5D3F87E9" w14:textId="77777777" w:rsidR="00C13730" w:rsidRPr="00BA462F" w:rsidRDefault="00C13730" w:rsidP="00C13730">
            <w:pPr>
              <w:jc w:val="center"/>
              <w:rPr>
                <w:rFonts w:ascii="Arial" w:hAnsi="Arial" w:cs="Arial"/>
              </w:rPr>
            </w:pPr>
            <w:r w:rsidRPr="00BA462F">
              <w:rPr>
                <w:rFonts w:ascii="Arial" w:hAnsi="Arial" w:cs="Arial"/>
                <w:color w:val="000000"/>
              </w:rPr>
              <w:t>26.57 ± 0.43</w:t>
            </w:r>
            <w:r w:rsidRPr="00BA462F">
              <w:rPr>
                <w:rFonts w:ascii="Arial" w:hAnsi="Arial" w:cs="Arial"/>
                <w:color w:val="000000"/>
                <w:vertAlign w:val="superscript"/>
              </w:rPr>
              <w:t>p</w:t>
            </w:r>
          </w:p>
        </w:tc>
        <w:tc>
          <w:tcPr>
            <w:tcW w:w="1317" w:type="pct"/>
            <w:noWrap/>
            <w:hideMark/>
          </w:tcPr>
          <w:p w14:paraId="694DD181" w14:textId="77777777" w:rsidR="00C13730" w:rsidRPr="00BA462F" w:rsidRDefault="00C13730" w:rsidP="00C13730">
            <w:pPr>
              <w:jc w:val="center"/>
              <w:rPr>
                <w:rFonts w:ascii="Arial" w:hAnsi="Arial" w:cs="Arial"/>
              </w:rPr>
            </w:pPr>
            <w:r w:rsidRPr="00BA462F">
              <w:rPr>
                <w:rFonts w:ascii="Arial" w:hAnsi="Arial" w:cs="Arial"/>
                <w:color w:val="000000"/>
              </w:rPr>
              <w:t>27.00 ± 0.17</w:t>
            </w:r>
            <w:r w:rsidRPr="00BA462F">
              <w:rPr>
                <w:rFonts w:ascii="Arial" w:hAnsi="Arial" w:cs="Arial"/>
                <w:color w:val="000000"/>
                <w:vertAlign w:val="superscript"/>
              </w:rPr>
              <w:t>p</w:t>
            </w:r>
          </w:p>
        </w:tc>
      </w:tr>
      <w:tr w:rsidR="00C13730" w:rsidRPr="00BA462F" w14:paraId="37D0D50F" w14:textId="77777777" w:rsidTr="00C93B3B">
        <w:trPr>
          <w:trHeight w:val="227"/>
        </w:trPr>
        <w:tc>
          <w:tcPr>
            <w:tcW w:w="1029" w:type="pct"/>
            <w:tcBorders>
              <w:right w:val="single" w:sz="4" w:space="0" w:color="auto"/>
            </w:tcBorders>
            <w:noWrap/>
            <w:vAlign w:val="bottom"/>
            <w:hideMark/>
          </w:tcPr>
          <w:p w14:paraId="5B0B9E7F" w14:textId="435D3CD3" w:rsidR="00C13730" w:rsidRPr="00BA462F" w:rsidRDefault="00C13730" w:rsidP="00C13730">
            <w:pPr>
              <w:jc w:val="center"/>
              <w:rPr>
                <w:rFonts w:ascii="Arial" w:hAnsi="Arial" w:cs="Arial"/>
              </w:rPr>
            </w:pPr>
            <w:r w:rsidRPr="00BA462F">
              <w:rPr>
                <w:rFonts w:ascii="Arial" w:eastAsia="Times New Roman" w:hAnsi="Arial" w:cs="Arial"/>
                <w:color w:val="000000"/>
                <w:kern w:val="0"/>
                <w:lang w:eastAsia="en-IN"/>
                <w14:ligatures w14:val="none"/>
              </w:rPr>
              <w:t>21</w:t>
            </w:r>
            <w:r w:rsidRPr="00BA462F">
              <w:rPr>
                <w:rFonts w:ascii="Arial" w:eastAsia="Times New Roman" w:hAnsi="Arial" w:cs="Arial"/>
                <w:color w:val="000000"/>
                <w:kern w:val="0"/>
                <w:vertAlign w:val="superscript"/>
                <w:lang w:eastAsia="en-IN"/>
                <w14:ligatures w14:val="none"/>
              </w:rPr>
              <w:t>st</w:t>
            </w:r>
            <w:r w:rsidRPr="00BA462F">
              <w:rPr>
                <w:rFonts w:ascii="Arial" w:eastAsia="Times New Roman" w:hAnsi="Arial" w:cs="Arial"/>
                <w:color w:val="000000"/>
                <w:kern w:val="0"/>
                <w:lang w:eastAsia="en-IN"/>
                <w14:ligatures w14:val="none"/>
              </w:rPr>
              <w:t xml:space="preserve"> day</w:t>
            </w:r>
          </w:p>
        </w:tc>
        <w:tc>
          <w:tcPr>
            <w:tcW w:w="1316" w:type="pct"/>
            <w:tcBorders>
              <w:left w:val="single" w:sz="4" w:space="0" w:color="auto"/>
            </w:tcBorders>
            <w:noWrap/>
            <w:hideMark/>
          </w:tcPr>
          <w:p w14:paraId="67CC4DE5" w14:textId="77777777" w:rsidR="00C13730" w:rsidRPr="00BA462F" w:rsidRDefault="00C13730" w:rsidP="00C13730">
            <w:pPr>
              <w:jc w:val="center"/>
              <w:rPr>
                <w:rFonts w:ascii="Arial" w:hAnsi="Arial" w:cs="Arial"/>
              </w:rPr>
            </w:pPr>
            <w:r w:rsidRPr="00BA462F">
              <w:rPr>
                <w:rFonts w:ascii="Arial" w:hAnsi="Arial" w:cs="Arial"/>
                <w:color w:val="000000"/>
              </w:rPr>
              <w:t>25.70 ± 0.70</w:t>
            </w:r>
            <w:r w:rsidRPr="00BA462F">
              <w:rPr>
                <w:rFonts w:ascii="Arial" w:hAnsi="Arial" w:cs="Arial"/>
                <w:color w:val="000000"/>
                <w:vertAlign w:val="superscript"/>
              </w:rPr>
              <w:t>S</w:t>
            </w:r>
          </w:p>
        </w:tc>
        <w:tc>
          <w:tcPr>
            <w:tcW w:w="1338" w:type="pct"/>
            <w:noWrap/>
            <w:hideMark/>
          </w:tcPr>
          <w:p w14:paraId="439D4F86" w14:textId="77777777" w:rsidR="00C13730" w:rsidRPr="00BA462F" w:rsidRDefault="00C13730" w:rsidP="00C13730">
            <w:pPr>
              <w:jc w:val="center"/>
              <w:rPr>
                <w:rFonts w:ascii="Arial" w:hAnsi="Arial" w:cs="Arial"/>
              </w:rPr>
            </w:pPr>
            <w:r w:rsidRPr="00BA462F">
              <w:rPr>
                <w:rFonts w:ascii="Arial" w:hAnsi="Arial" w:cs="Arial"/>
                <w:color w:val="000000"/>
              </w:rPr>
              <w:t>26.47 ± 0.29</w:t>
            </w:r>
            <w:r w:rsidRPr="00BA462F">
              <w:rPr>
                <w:rFonts w:ascii="Arial" w:hAnsi="Arial" w:cs="Arial"/>
                <w:color w:val="000000"/>
                <w:vertAlign w:val="superscript"/>
              </w:rPr>
              <w:t>S</w:t>
            </w:r>
          </w:p>
        </w:tc>
        <w:tc>
          <w:tcPr>
            <w:tcW w:w="1317" w:type="pct"/>
            <w:noWrap/>
            <w:hideMark/>
          </w:tcPr>
          <w:p w14:paraId="0500B381" w14:textId="77777777" w:rsidR="00C13730" w:rsidRPr="00BA462F" w:rsidRDefault="00C13730" w:rsidP="00C13730">
            <w:pPr>
              <w:jc w:val="center"/>
              <w:rPr>
                <w:rFonts w:ascii="Arial" w:hAnsi="Arial" w:cs="Arial"/>
              </w:rPr>
            </w:pPr>
            <w:r w:rsidRPr="00BA462F">
              <w:rPr>
                <w:rFonts w:ascii="Arial" w:hAnsi="Arial" w:cs="Arial"/>
                <w:color w:val="000000"/>
              </w:rPr>
              <w:t>26.97 ± 0.19</w:t>
            </w:r>
            <w:r w:rsidRPr="00BA462F">
              <w:rPr>
                <w:rFonts w:ascii="Arial" w:hAnsi="Arial" w:cs="Arial"/>
                <w:color w:val="000000"/>
                <w:vertAlign w:val="superscript"/>
              </w:rPr>
              <w:t>S</w:t>
            </w:r>
          </w:p>
        </w:tc>
      </w:tr>
      <w:tr w:rsidR="00C13730" w:rsidRPr="00BA462F" w14:paraId="4EDADCB7" w14:textId="77777777" w:rsidTr="00C93B3B">
        <w:trPr>
          <w:trHeight w:val="227"/>
        </w:trPr>
        <w:tc>
          <w:tcPr>
            <w:tcW w:w="1029" w:type="pct"/>
            <w:tcBorders>
              <w:right w:val="single" w:sz="4" w:space="0" w:color="auto"/>
            </w:tcBorders>
            <w:noWrap/>
            <w:vAlign w:val="bottom"/>
            <w:hideMark/>
          </w:tcPr>
          <w:p w14:paraId="618A7BDC" w14:textId="13D64D95" w:rsidR="00C13730" w:rsidRPr="00BA462F" w:rsidRDefault="00C13730" w:rsidP="00C13730">
            <w:pPr>
              <w:jc w:val="center"/>
              <w:rPr>
                <w:rFonts w:ascii="Arial" w:hAnsi="Arial" w:cs="Arial"/>
              </w:rPr>
            </w:pPr>
            <w:r w:rsidRPr="00BA462F">
              <w:rPr>
                <w:rFonts w:ascii="Arial" w:eastAsia="Times New Roman" w:hAnsi="Arial" w:cs="Arial"/>
                <w:color w:val="000000"/>
                <w:kern w:val="0"/>
                <w:lang w:eastAsia="en-IN"/>
                <w14:ligatures w14:val="none"/>
              </w:rPr>
              <w:t>28</w:t>
            </w:r>
            <w:r w:rsidRPr="00BA462F">
              <w:rPr>
                <w:rFonts w:ascii="Arial" w:eastAsia="Times New Roman" w:hAnsi="Arial" w:cs="Arial"/>
                <w:color w:val="000000"/>
                <w:kern w:val="0"/>
                <w:vertAlign w:val="superscript"/>
                <w:lang w:eastAsia="en-IN"/>
                <w14:ligatures w14:val="none"/>
              </w:rPr>
              <w:t>th</w:t>
            </w:r>
            <w:r w:rsidRPr="00BA462F">
              <w:rPr>
                <w:rFonts w:ascii="Arial" w:eastAsia="Times New Roman" w:hAnsi="Arial" w:cs="Arial"/>
                <w:color w:val="000000"/>
                <w:kern w:val="0"/>
                <w:lang w:eastAsia="en-IN"/>
                <w14:ligatures w14:val="none"/>
              </w:rPr>
              <w:t xml:space="preserve"> day</w:t>
            </w:r>
          </w:p>
        </w:tc>
        <w:tc>
          <w:tcPr>
            <w:tcW w:w="1316" w:type="pct"/>
            <w:tcBorders>
              <w:left w:val="single" w:sz="4" w:space="0" w:color="auto"/>
            </w:tcBorders>
            <w:noWrap/>
            <w:hideMark/>
          </w:tcPr>
          <w:p w14:paraId="18BE97D7" w14:textId="77777777" w:rsidR="00C13730" w:rsidRPr="00BA462F" w:rsidRDefault="00C13730" w:rsidP="00C13730">
            <w:pPr>
              <w:jc w:val="center"/>
              <w:rPr>
                <w:rFonts w:ascii="Arial" w:hAnsi="Arial" w:cs="Arial"/>
              </w:rPr>
            </w:pPr>
            <w:r w:rsidRPr="00BA462F">
              <w:rPr>
                <w:rFonts w:ascii="Arial" w:hAnsi="Arial" w:cs="Arial"/>
                <w:color w:val="000000"/>
              </w:rPr>
              <w:t>26.87 ± 0.38</w:t>
            </w:r>
            <w:r w:rsidRPr="00BA462F">
              <w:rPr>
                <w:rFonts w:ascii="Arial" w:hAnsi="Arial" w:cs="Arial"/>
                <w:color w:val="000000"/>
                <w:vertAlign w:val="superscript"/>
              </w:rPr>
              <w:t>d</w:t>
            </w:r>
          </w:p>
        </w:tc>
        <w:tc>
          <w:tcPr>
            <w:tcW w:w="1338" w:type="pct"/>
            <w:noWrap/>
            <w:hideMark/>
          </w:tcPr>
          <w:p w14:paraId="75AC034D" w14:textId="77777777" w:rsidR="00C13730" w:rsidRPr="00BA462F" w:rsidRDefault="00C13730" w:rsidP="00C13730">
            <w:pPr>
              <w:jc w:val="center"/>
              <w:rPr>
                <w:rFonts w:ascii="Arial" w:hAnsi="Arial" w:cs="Arial"/>
              </w:rPr>
            </w:pPr>
            <w:r w:rsidRPr="00BA462F">
              <w:rPr>
                <w:rFonts w:ascii="Arial" w:hAnsi="Arial" w:cs="Arial"/>
                <w:color w:val="000000"/>
              </w:rPr>
              <w:t>26.60 ± 0.12</w:t>
            </w:r>
            <w:r w:rsidRPr="00BA462F">
              <w:rPr>
                <w:rFonts w:ascii="Arial" w:hAnsi="Arial" w:cs="Arial"/>
                <w:color w:val="000000"/>
                <w:vertAlign w:val="superscript"/>
              </w:rPr>
              <w:t>d</w:t>
            </w:r>
          </w:p>
        </w:tc>
        <w:tc>
          <w:tcPr>
            <w:tcW w:w="1317" w:type="pct"/>
            <w:noWrap/>
            <w:hideMark/>
          </w:tcPr>
          <w:p w14:paraId="630795DC" w14:textId="77777777" w:rsidR="00C13730" w:rsidRPr="00BA462F" w:rsidRDefault="00C13730" w:rsidP="00C13730">
            <w:pPr>
              <w:jc w:val="center"/>
              <w:rPr>
                <w:rFonts w:ascii="Arial" w:hAnsi="Arial" w:cs="Arial"/>
              </w:rPr>
            </w:pPr>
            <w:r w:rsidRPr="00BA462F">
              <w:rPr>
                <w:rFonts w:ascii="Arial" w:hAnsi="Arial" w:cs="Arial"/>
                <w:color w:val="000000"/>
              </w:rPr>
              <w:t>26.57 ± 0.13</w:t>
            </w:r>
            <w:r w:rsidRPr="00BA462F">
              <w:rPr>
                <w:rFonts w:ascii="Arial" w:hAnsi="Arial" w:cs="Arial"/>
                <w:color w:val="000000"/>
                <w:vertAlign w:val="superscript"/>
              </w:rPr>
              <w:t>d</w:t>
            </w:r>
          </w:p>
        </w:tc>
      </w:tr>
      <w:tr w:rsidR="00C13730" w:rsidRPr="00BA462F" w14:paraId="1A20F7A5" w14:textId="77777777" w:rsidTr="00C93B3B">
        <w:trPr>
          <w:trHeight w:val="227"/>
        </w:trPr>
        <w:tc>
          <w:tcPr>
            <w:tcW w:w="1029" w:type="pct"/>
            <w:tcBorders>
              <w:right w:val="single" w:sz="4" w:space="0" w:color="auto"/>
            </w:tcBorders>
            <w:noWrap/>
            <w:vAlign w:val="bottom"/>
            <w:hideMark/>
          </w:tcPr>
          <w:p w14:paraId="3D523ADD" w14:textId="69EE6A5A" w:rsidR="00C13730" w:rsidRPr="00BA462F" w:rsidRDefault="00C13730" w:rsidP="00C13730">
            <w:pPr>
              <w:jc w:val="center"/>
              <w:rPr>
                <w:rFonts w:ascii="Arial" w:hAnsi="Arial" w:cs="Arial"/>
              </w:rPr>
            </w:pPr>
            <w:r w:rsidRPr="00BA462F">
              <w:rPr>
                <w:rFonts w:ascii="Arial" w:eastAsia="Times New Roman" w:hAnsi="Arial" w:cs="Arial"/>
                <w:color w:val="000000"/>
                <w:kern w:val="0"/>
                <w:lang w:eastAsia="en-IN"/>
                <w14:ligatures w14:val="none"/>
              </w:rPr>
              <w:t>35</w:t>
            </w:r>
            <w:r w:rsidRPr="00BA462F">
              <w:rPr>
                <w:rFonts w:ascii="Arial" w:eastAsia="Times New Roman" w:hAnsi="Arial" w:cs="Arial"/>
                <w:color w:val="000000"/>
                <w:kern w:val="0"/>
                <w:vertAlign w:val="superscript"/>
                <w:lang w:eastAsia="en-IN"/>
                <w14:ligatures w14:val="none"/>
              </w:rPr>
              <w:t>th</w:t>
            </w:r>
            <w:r w:rsidRPr="00BA462F">
              <w:rPr>
                <w:rFonts w:ascii="Arial" w:eastAsia="Times New Roman" w:hAnsi="Arial" w:cs="Arial"/>
                <w:color w:val="000000"/>
                <w:kern w:val="0"/>
                <w:lang w:eastAsia="en-IN"/>
                <w14:ligatures w14:val="none"/>
              </w:rPr>
              <w:t xml:space="preserve"> day</w:t>
            </w:r>
          </w:p>
        </w:tc>
        <w:tc>
          <w:tcPr>
            <w:tcW w:w="1316" w:type="pct"/>
            <w:tcBorders>
              <w:left w:val="single" w:sz="4" w:space="0" w:color="auto"/>
            </w:tcBorders>
            <w:noWrap/>
            <w:hideMark/>
          </w:tcPr>
          <w:p w14:paraId="16A8F6B8" w14:textId="77777777" w:rsidR="00C13730" w:rsidRPr="00BA462F" w:rsidRDefault="00C13730" w:rsidP="00C13730">
            <w:pPr>
              <w:jc w:val="center"/>
              <w:rPr>
                <w:rFonts w:ascii="Arial" w:hAnsi="Arial" w:cs="Arial"/>
              </w:rPr>
            </w:pPr>
            <w:r w:rsidRPr="00BA462F">
              <w:rPr>
                <w:rFonts w:ascii="Arial" w:hAnsi="Arial" w:cs="Arial"/>
                <w:color w:val="000000"/>
              </w:rPr>
              <w:t>27.00 ± 0.58</w:t>
            </w:r>
            <w:r w:rsidRPr="00BA462F">
              <w:rPr>
                <w:rFonts w:ascii="Arial" w:hAnsi="Arial" w:cs="Arial"/>
                <w:color w:val="000000"/>
                <w:vertAlign w:val="superscript"/>
              </w:rPr>
              <w:t>R</w:t>
            </w:r>
          </w:p>
        </w:tc>
        <w:tc>
          <w:tcPr>
            <w:tcW w:w="1338" w:type="pct"/>
            <w:noWrap/>
            <w:hideMark/>
          </w:tcPr>
          <w:p w14:paraId="09A9FE52" w14:textId="77777777" w:rsidR="00C13730" w:rsidRPr="00BA462F" w:rsidRDefault="00C13730" w:rsidP="00C13730">
            <w:pPr>
              <w:jc w:val="center"/>
              <w:rPr>
                <w:rFonts w:ascii="Arial" w:hAnsi="Arial" w:cs="Arial"/>
              </w:rPr>
            </w:pPr>
            <w:r w:rsidRPr="00BA462F">
              <w:rPr>
                <w:rFonts w:ascii="Arial" w:hAnsi="Arial" w:cs="Arial"/>
                <w:color w:val="000000"/>
              </w:rPr>
              <w:t>27.00 ± 0.06</w:t>
            </w:r>
            <w:r w:rsidRPr="00BA462F">
              <w:rPr>
                <w:rFonts w:ascii="Arial" w:hAnsi="Arial" w:cs="Arial"/>
                <w:color w:val="000000"/>
                <w:vertAlign w:val="superscript"/>
              </w:rPr>
              <w:t>R</w:t>
            </w:r>
          </w:p>
        </w:tc>
        <w:tc>
          <w:tcPr>
            <w:tcW w:w="1317" w:type="pct"/>
            <w:noWrap/>
            <w:hideMark/>
          </w:tcPr>
          <w:p w14:paraId="598E49DB" w14:textId="77777777" w:rsidR="00C13730" w:rsidRPr="00BA462F" w:rsidRDefault="00C13730" w:rsidP="00C13730">
            <w:pPr>
              <w:jc w:val="center"/>
              <w:rPr>
                <w:rFonts w:ascii="Arial" w:hAnsi="Arial" w:cs="Arial"/>
              </w:rPr>
            </w:pPr>
            <w:r w:rsidRPr="00BA462F">
              <w:rPr>
                <w:rFonts w:ascii="Arial" w:hAnsi="Arial" w:cs="Arial"/>
                <w:color w:val="000000"/>
              </w:rPr>
              <w:t>27.27 ± 0.37</w:t>
            </w:r>
            <w:r w:rsidRPr="00BA462F">
              <w:rPr>
                <w:rFonts w:ascii="Arial" w:hAnsi="Arial" w:cs="Arial"/>
                <w:color w:val="000000"/>
                <w:vertAlign w:val="superscript"/>
              </w:rPr>
              <w:t>R</w:t>
            </w:r>
          </w:p>
        </w:tc>
      </w:tr>
      <w:tr w:rsidR="00C13730" w:rsidRPr="00BA462F" w14:paraId="35A38DF5" w14:textId="77777777" w:rsidTr="00C93B3B">
        <w:trPr>
          <w:trHeight w:val="227"/>
        </w:trPr>
        <w:tc>
          <w:tcPr>
            <w:tcW w:w="1029" w:type="pct"/>
            <w:tcBorders>
              <w:right w:val="single" w:sz="4" w:space="0" w:color="auto"/>
            </w:tcBorders>
            <w:noWrap/>
            <w:vAlign w:val="bottom"/>
            <w:hideMark/>
          </w:tcPr>
          <w:p w14:paraId="7DC93DC5" w14:textId="28FFCB59" w:rsidR="00C13730" w:rsidRPr="00BA462F" w:rsidRDefault="00C13730" w:rsidP="00C13730">
            <w:pPr>
              <w:jc w:val="center"/>
              <w:rPr>
                <w:rFonts w:ascii="Arial" w:hAnsi="Arial" w:cs="Arial"/>
              </w:rPr>
            </w:pPr>
            <w:r w:rsidRPr="00BA462F">
              <w:rPr>
                <w:rFonts w:ascii="Arial" w:eastAsia="Times New Roman" w:hAnsi="Arial" w:cs="Arial"/>
                <w:color w:val="000000"/>
                <w:kern w:val="0"/>
                <w:lang w:eastAsia="en-IN"/>
                <w14:ligatures w14:val="none"/>
              </w:rPr>
              <w:t>42</w:t>
            </w:r>
            <w:r w:rsidRPr="00BA462F">
              <w:rPr>
                <w:rFonts w:ascii="Arial" w:eastAsia="Times New Roman" w:hAnsi="Arial" w:cs="Arial"/>
                <w:color w:val="000000"/>
                <w:kern w:val="0"/>
                <w:vertAlign w:val="superscript"/>
                <w:lang w:eastAsia="en-IN"/>
                <w14:ligatures w14:val="none"/>
              </w:rPr>
              <w:t>nd</w:t>
            </w:r>
            <w:r w:rsidRPr="00BA462F">
              <w:rPr>
                <w:rFonts w:ascii="Arial" w:eastAsia="Times New Roman" w:hAnsi="Arial" w:cs="Arial"/>
                <w:color w:val="000000"/>
                <w:kern w:val="0"/>
                <w:lang w:eastAsia="en-IN"/>
                <w14:ligatures w14:val="none"/>
              </w:rPr>
              <w:t xml:space="preserve"> day</w:t>
            </w:r>
          </w:p>
        </w:tc>
        <w:tc>
          <w:tcPr>
            <w:tcW w:w="1316" w:type="pct"/>
            <w:tcBorders>
              <w:left w:val="single" w:sz="4" w:space="0" w:color="auto"/>
            </w:tcBorders>
            <w:noWrap/>
            <w:hideMark/>
          </w:tcPr>
          <w:p w14:paraId="2C539DB0" w14:textId="77777777" w:rsidR="00C13730" w:rsidRPr="00BA462F" w:rsidRDefault="00C13730" w:rsidP="00C13730">
            <w:pPr>
              <w:jc w:val="center"/>
              <w:rPr>
                <w:rFonts w:ascii="Arial" w:hAnsi="Arial" w:cs="Arial"/>
              </w:rPr>
            </w:pPr>
            <w:r w:rsidRPr="00BA462F">
              <w:rPr>
                <w:rFonts w:ascii="Arial" w:hAnsi="Arial" w:cs="Arial"/>
                <w:color w:val="000000"/>
              </w:rPr>
              <w:t>26.43 ± 0.37</w:t>
            </w:r>
            <w:r w:rsidRPr="00BA462F">
              <w:rPr>
                <w:rFonts w:ascii="Arial" w:hAnsi="Arial" w:cs="Arial"/>
                <w:color w:val="000000"/>
                <w:vertAlign w:val="superscript"/>
              </w:rPr>
              <w:t>k</w:t>
            </w:r>
          </w:p>
        </w:tc>
        <w:tc>
          <w:tcPr>
            <w:tcW w:w="1338" w:type="pct"/>
            <w:noWrap/>
            <w:hideMark/>
          </w:tcPr>
          <w:p w14:paraId="72D7C759" w14:textId="77777777" w:rsidR="00C13730" w:rsidRPr="00BA462F" w:rsidRDefault="00C13730" w:rsidP="00C13730">
            <w:pPr>
              <w:jc w:val="center"/>
              <w:rPr>
                <w:rFonts w:ascii="Arial" w:hAnsi="Arial" w:cs="Arial"/>
              </w:rPr>
            </w:pPr>
            <w:r w:rsidRPr="00BA462F">
              <w:rPr>
                <w:rFonts w:ascii="Arial" w:hAnsi="Arial" w:cs="Arial"/>
                <w:color w:val="000000"/>
              </w:rPr>
              <w:t>27.13 ± 0.26</w:t>
            </w:r>
            <w:r w:rsidRPr="00BA462F">
              <w:rPr>
                <w:rFonts w:ascii="Arial" w:hAnsi="Arial" w:cs="Arial"/>
                <w:color w:val="000000"/>
                <w:vertAlign w:val="superscript"/>
              </w:rPr>
              <w:t>k</w:t>
            </w:r>
          </w:p>
        </w:tc>
        <w:tc>
          <w:tcPr>
            <w:tcW w:w="1317" w:type="pct"/>
            <w:noWrap/>
            <w:hideMark/>
          </w:tcPr>
          <w:p w14:paraId="5B07891B" w14:textId="77777777" w:rsidR="00C13730" w:rsidRPr="00BA462F" w:rsidRDefault="00C13730" w:rsidP="00C13730">
            <w:pPr>
              <w:jc w:val="center"/>
              <w:rPr>
                <w:rFonts w:ascii="Arial" w:hAnsi="Arial" w:cs="Arial"/>
              </w:rPr>
            </w:pPr>
            <w:r w:rsidRPr="00BA462F">
              <w:rPr>
                <w:rFonts w:ascii="Arial" w:hAnsi="Arial" w:cs="Arial"/>
                <w:color w:val="000000"/>
              </w:rPr>
              <w:t>27.33 ± 0.52</w:t>
            </w:r>
            <w:r w:rsidRPr="00BA462F">
              <w:rPr>
                <w:rFonts w:ascii="Arial" w:hAnsi="Arial" w:cs="Arial"/>
                <w:color w:val="000000"/>
                <w:vertAlign w:val="superscript"/>
              </w:rPr>
              <w:t>k</w:t>
            </w:r>
          </w:p>
        </w:tc>
      </w:tr>
      <w:tr w:rsidR="00C13730" w:rsidRPr="00BA462F" w14:paraId="2FDB0F63" w14:textId="77777777" w:rsidTr="00C93B3B">
        <w:trPr>
          <w:trHeight w:val="227"/>
        </w:trPr>
        <w:tc>
          <w:tcPr>
            <w:tcW w:w="1029" w:type="pct"/>
            <w:tcBorders>
              <w:right w:val="single" w:sz="4" w:space="0" w:color="auto"/>
            </w:tcBorders>
            <w:noWrap/>
            <w:vAlign w:val="bottom"/>
            <w:hideMark/>
          </w:tcPr>
          <w:p w14:paraId="5E89B310" w14:textId="54134C2D" w:rsidR="00C13730" w:rsidRPr="00BA462F" w:rsidRDefault="00C13730" w:rsidP="00C13730">
            <w:pPr>
              <w:jc w:val="center"/>
              <w:rPr>
                <w:rFonts w:ascii="Arial" w:hAnsi="Arial" w:cs="Arial"/>
              </w:rPr>
            </w:pPr>
            <w:r w:rsidRPr="00BA462F">
              <w:rPr>
                <w:rFonts w:ascii="Arial" w:eastAsia="Times New Roman" w:hAnsi="Arial" w:cs="Arial"/>
                <w:color w:val="000000"/>
                <w:kern w:val="0"/>
                <w:lang w:eastAsia="en-IN"/>
                <w14:ligatures w14:val="none"/>
              </w:rPr>
              <w:t>49</w:t>
            </w:r>
            <w:r w:rsidRPr="00BA462F">
              <w:rPr>
                <w:rFonts w:ascii="Arial" w:eastAsia="Times New Roman" w:hAnsi="Arial" w:cs="Arial"/>
                <w:color w:val="000000"/>
                <w:kern w:val="0"/>
                <w:vertAlign w:val="superscript"/>
                <w:lang w:eastAsia="en-IN"/>
                <w14:ligatures w14:val="none"/>
              </w:rPr>
              <w:t>th</w:t>
            </w:r>
            <w:r w:rsidRPr="00BA462F">
              <w:rPr>
                <w:rFonts w:ascii="Arial" w:eastAsia="Times New Roman" w:hAnsi="Arial" w:cs="Arial"/>
                <w:color w:val="000000"/>
                <w:kern w:val="0"/>
                <w:lang w:eastAsia="en-IN"/>
                <w14:ligatures w14:val="none"/>
              </w:rPr>
              <w:t xml:space="preserve"> day</w:t>
            </w:r>
          </w:p>
        </w:tc>
        <w:tc>
          <w:tcPr>
            <w:tcW w:w="1316" w:type="pct"/>
            <w:tcBorders>
              <w:left w:val="single" w:sz="4" w:space="0" w:color="auto"/>
            </w:tcBorders>
            <w:noWrap/>
            <w:hideMark/>
          </w:tcPr>
          <w:p w14:paraId="63A75C74" w14:textId="77777777" w:rsidR="00C13730" w:rsidRPr="00BA462F" w:rsidRDefault="00C13730" w:rsidP="00C13730">
            <w:pPr>
              <w:jc w:val="center"/>
              <w:rPr>
                <w:rFonts w:ascii="Arial" w:hAnsi="Arial" w:cs="Arial"/>
              </w:rPr>
            </w:pPr>
            <w:r w:rsidRPr="00BA462F">
              <w:rPr>
                <w:rFonts w:ascii="Arial" w:hAnsi="Arial" w:cs="Arial"/>
                <w:color w:val="000000"/>
              </w:rPr>
              <w:t>26.77 ± 0.38</w:t>
            </w:r>
            <w:r w:rsidRPr="00BA462F">
              <w:rPr>
                <w:rFonts w:ascii="Arial" w:hAnsi="Arial" w:cs="Arial"/>
                <w:color w:val="000000"/>
                <w:vertAlign w:val="superscript"/>
              </w:rPr>
              <w:t>Y</w:t>
            </w:r>
          </w:p>
        </w:tc>
        <w:tc>
          <w:tcPr>
            <w:tcW w:w="1338" w:type="pct"/>
            <w:noWrap/>
            <w:hideMark/>
          </w:tcPr>
          <w:p w14:paraId="66F7AF2D" w14:textId="77777777" w:rsidR="00C13730" w:rsidRPr="00BA462F" w:rsidRDefault="00C13730" w:rsidP="00C13730">
            <w:pPr>
              <w:jc w:val="center"/>
              <w:rPr>
                <w:rFonts w:ascii="Arial" w:hAnsi="Arial" w:cs="Arial"/>
              </w:rPr>
            </w:pPr>
            <w:r w:rsidRPr="00BA462F">
              <w:rPr>
                <w:rFonts w:ascii="Arial" w:hAnsi="Arial" w:cs="Arial"/>
                <w:color w:val="000000"/>
              </w:rPr>
              <w:t>27.37 ± 0.37</w:t>
            </w:r>
            <w:r w:rsidRPr="00BA462F">
              <w:rPr>
                <w:rFonts w:ascii="Arial" w:hAnsi="Arial" w:cs="Arial"/>
                <w:color w:val="000000"/>
                <w:vertAlign w:val="superscript"/>
              </w:rPr>
              <w:t>Y</w:t>
            </w:r>
          </w:p>
        </w:tc>
        <w:tc>
          <w:tcPr>
            <w:tcW w:w="1317" w:type="pct"/>
            <w:noWrap/>
            <w:hideMark/>
          </w:tcPr>
          <w:p w14:paraId="47083FDE" w14:textId="77777777" w:rsidR="00C13730" w:rsidRPr="00BA462F" w:rsidRDefault="00C13730" w:rsidP="00C13730">
            <w:pPr>
              <w:jc w:val="center"/>
              <w:rPr>
                <w:rFonts w:ascii="Arial" w:hAnsi="Arial" w:cs="Arial"/>
              </w:rPr>
            </w:pPr>
            <w:r w:rsidRPr="00BA462F">
              <w:rPr>
                <w:rFonts w:ascii="Arial" w:hAnsi="Arial" w:cs="Arial"/>
                <w:color w:val="000000"/>
              </w:rPr>
              <w:t>27.33 ± 0.26</w:t>
            </w:r>
            <w:r w:rsidRPr="00BA462F">
              <w:rPr>
                <w:rFonts w:ascii="Arial" w:hAnsi="Arial" w:cs="Arial"/>
                <w:color w:val="000000"/>
                <w:vertAlign w:val="superscript"/>
              </w:rPr>
              <w:t>Y</w:t>
            </w:r>
          </w:p>
        </w:tc>
      </w:tr>
      <w:tr w:rsidR="00C13730" w:rsidRPr="00BA462F" w14:paraId="49889AFE" w14:textId="77777777" w:rsidTr="00C93B3B">
        <w:trPr>
          <w:trHeight w:val="227"/>
        </w:trPr>
        <w:tc>
          <w:tcPr>
            <w:tcW w:w="1029" w:type="pct"/>
            <w:tcBorders>
              <w:right w:val="single" w:sz="4" w:space="0" w:color="auto"/>
            </w:tcBorders>
            <w:noWrap/>
            <w:vAlign w:val="bottom"/>
            <w:hideMark/>
          </w:tcPr>
          <w:p w14:paraId="01EA0B81" w14:textId="4F586EDE" w:rsidR="00C13730" w:rsidRPr="00BA462F" w:rsidRDefault="00C13730" w:rsidP="00C13730">
            <w:pPr>
              <w:jc w:val="center"/>
              <w:rPr>
                <w:rFonts w:ascii="Arial" w:hAnsi="Arial" w:cs="Arial"/>
              </w:rPr>
            </w:pPr>
            <w:r w:rsidRPr="00BA462F">
              <w:rPr>
                <w:rFonts w:ascii="Arial" w:eastAsia="Times New Roman" w:hAnsi="Arial" w:cs="Arial"/>
                <w:color w:val="000000"/>
                <w:kern w:val="0"/>
                <w:lang w:eastAsia="en-IN"/>
                <w14:ligatures w14:val="none"/>
              </w:rPr>
              <w:t>56</w:t>
            </w:r>
            <w:r w:rsidRPr="00BA462F">
              <w:rPr>
                <w:rFonts w:ascii="Arial" w:eastAsia="Times New Roman" w:hAnsi="Arial" w:cs="Arial"/>
                <w:color w:val="000000"/>
                <w:kern w:val="0"/>
                <w:vertAlign w:val="superscript"/>
                <w:lang w:eastAsia="en-IN"/>
                <w14:ligatures w14:val="none"/>
              </w:rPr>
              <w:t>th</w:t>
            </w:r>
            <w:r w:rsidRPr="00BA462F">
              <w:rPr>
                <w:rFonts w:ascii="Arial" w:eastAsia="Times New Roman" w:hAnsi="Arial" w:cs="Arial"/>
                <w:color w:val="000000"/>
                <w:kern w:val="0"/>
                <w:lang w:eastAsia="en-IN"/>
                <w14:ligatures w14:val="none"/>
              </w:rPr>
              <w:t xml:space="preserve"> day</w:t>
            </w:r>
          </w:p>
        </w:tc>
        <w:tc>
          <w:tcPr>
            <w:tcW w:w="1316" w:type="pct"/>
            <w:tcBorders>
              <w:left w:val="single" w:sz="4" w:space="0" w:color="auto"/>
            </w:tcBorders>
            <w:noWrap/>
            <w:hideMark/>
          </w:tcPr>
          <w:p w14:paraId="0AC812BB" w14:textId="77777777" w:rsidR="00C13730" w:rsidRPr="00BA462F" w:rsidRDefault="00C13730" w:rsidP="00C13730">
            <w:pPr>
              <w:jc w:val="center"/>
              <w:rPr>
                <w:rFonts w:ascii="Arial" w:hAnsi="Arial" w:cs="Arial"/>
              </w:rPr>
            </w:pPr>
            <w:r w:rsidRPr="00BA462F">
              <w:rPr>
                <w:rFonts w:ascii="Arial" w:hAnsi="Arial" w:cs="Arial"/>
                <w:color w:val="000000"/>
              </w:rPr>
              <w:t>26.70 ± 0.40</w:t>
            </w:r>
            <w:r w:rsidRPr="00BA462F">
              <w:rPr>
                <w:rFonts w:ascii="Arial" w:hAnsi="Arial" w:cs="Arial"/>
                <w:color w:val="000000"/>
                <w:vertAlign w:val="superscript"/>
              </w:rPr>
              <w:t>B</w:t>
            </w:r>
          </w:p>
        </w:tc>
        <w:tc>
          <w:tcPr>
            <w:tcW w:w="1338" w:type="pct"/>
            <w:noWrap/>
            <w:hideMark/>
          </w:tcPr>
          <w:p w14:paraId="2105818F" w14:textId="77777777" w:rsidR="00C13730" w:rsidRPr="00BA462F" w:rsidRDefault="00C13730" w:rsidP="00C13730">
            <w:pPr>
              <w:jc w:val="center"/>
              <w:rPr>
                <w:rFonts w:ascii="Arial" w:hAnsi="Arial" w:cs="Arial"/>
              </w:rPr>
            </w:pPr>
            <w:r w:rsidRPr="00BA462F">
              <w:rPr>
                <w:rFonts w:ascii="Arial" w:hAnsi="Arial" w:cs="Arial"/>
                <w:color w:val="000000"/>
              </w:rPr>
              <w:t>27.47 ± 0.23</w:t>
            </w:r>
            <w:r w:rsidRPr="00BA462F">
              <w:rPr>
                <w:rFonts w:ascii="Arial" w:hAnsi="Arial" w:cs="Arial"/>
                <w:color w:val="000000"/>
                <w:vertAlign w:val="superscript"/>
              </w:rPr>
              <w:t>B</w:t>
            </w:r>
          </w:p>
        </w:tc>
        <w:tc>
          <w:tcPr>
            <w:tcW w:w="1317" w:type="pct"/>
            <w:noWrap/>
            <w:hideMark/>
          </w:tcPr>
          <w:p w14:paraId="6B481367" w14:textId="77777777" w:rsidR="00C13730" w:rsidRPr="00BA462F" w:rsidRDefault="00C13730" w:rsidP="00C13730">
            <w:pPr>
              <w:jc w:val="center"/>
              <w:rPr>
                <w:rFonts w:ascii="Arial" w:hAnsi="Arial" w:cs="Arial"/>
              </w:rPr>
            </w:pPr>
            <w:r w:rsidRPr="00BA462F">
              <w:rPr>
                <w:rFonts w:ascii="Arial" w:hAnsi="Arial" w:cs="Arial"/>
                <w:color w:val="000000"/>
              </w:rPr>
              <w:t>27.47 ± 0.07</w:t>
            </w:r>
            <w:r w:rsidRPr="00BA462F">
              <w:rPr>
                <w:rFonts w:ascii="Arial" w:hAnsi="Arial" w:cs="Arial"/>
                <w:color w:val="000000"/>
                <w:vertAlign w:val="superscript"/>
              </w:rPr>
              <w:t>B</w:t>
            </w:r>
          </w:p>
        </w:tc>
      </w:tr>
      <w:tr w:rsidR="00C13730" w:rsidRPr="00BA462F" w14:paraId="234C46DD" w14:textId="77777777" w:rsidTr="00C93B3B">
        <w:trPr>
          <w:trHeight w:val="227"/>
        </w:trPr>
        <w:tc>
          <w:tcPr>
            <w:tcW w:w="1029" w:type="pct"/>
            <w:tcBorders>
              <w:bottom w:val="single" w:sz="4" w:space="0" w:color="auto"/>
              <w:right w:val="single" w:sz="4" w:space="0" w:color="auto"/>
            </w:tcBorders>
            <w:noWrap/>
            <w:vAlign w:val="bottom"/>
            <w:hideMark/>
          </w:tcPr>
          <w:p w14:paraId="18AED43F" w14:textId="7D76F45E" w:rsidR="00C13730" w:rsidRPr="00BA462F" w:rsidRDefault="00C13730" w:rsidP="00C13730">
            <w:pPr>
              <w:jc w:val="center"/>
              <w:rPr>
                <w:rFonts w:ascii="Arial" w:hAnsi="Arial" w:cs="Arial"/>
              </w:rPr>
            </w:pPr>
            <w:r w:rsidRPr="00BA462F">
              <w:rPr>
                <w:rFonts w:ascii="Arial" w:eastAsia="Times New Roman" w:hAnsi="Arial" w:cs="Arial"/>
                <w:color w:val="000000"/>
                <w:kern w:val="0"/>
                <w:lang w:eastAsia="en-IN"/>
                <w14:ligatures w14:val="none"/>
              </w:rPr>
              <w:t>63</w:t>
            </w:r>
            <w:r w:rsidRPr="00BA462F">
              <w:rPr>
                <w:rFonts w:ascii="Arial" w:eastAsia="Times New Roman" w:hAnsi="Arial" w:cs="Arial"/>
                <w:color w:val="000000"/>
                <w:kern w:val="0"/>
                <w:vertAlign w:val="superscript"/>
                <w:lang w:eastAsia="en-IN"/>
                <w14:ligatures w14:val="none"/>
              </w:rPr>
              <w:t>rd</w:t>
            </w:r>
            <w:r w:rsidRPr="00BA462F">
              <w:rPr>
                <w:rFonts w:ascii="Arial" w:eastAsia="Times New Roman" w:hAnsi="Arial" w:cs="Arial"/>
                <w:color w:val="000000"/>
                <w:kern w:val="0"/>
                <w:lang w:eastAsia="en-IN"/>
                <w14:ligatures w14:val="none"/>
              </w:rPr>
              <w:t xml:space="preserve"> day</w:t>
            </w:r>
          </w:p>
        </w:tc>
        <w:tc>
          <w:tcPr>
            <w:tcW w:w="1316" w:type="pct"/>
            <w:tcBorders>
              <w:left w:val="single" w:sz="4" w:space="0" w:color="auto"/>
              <w:bottom w:val="single" w:sz="4" w:space="0" w:color="auto"/>
            </w:tcBorders>
            <w:noWrap/>
            <w:hideMark/>
          </w:tcPr>
          <w:p w14:paraId="061143CA" w14:textId="77777777" w:rsidR="00C13730" w:rsidRPr="00BA462F" w:rsidRDefault="00C13730" w:rsidP="00C13730">
            <w:pPr>
              <w:jc w:val="center"/>
              <w:rPr>
                <w:rFonts w:ascii="Arial" w:hAnsi="Arial" w:cs="Arial"/>
              </w:rPr>
            </w:pPr>
            <w:r w:rsidRPr="00BA462F">
              <w:rPr>
                <w:rFonts w:ascii="Arial" w:hAnsi="Arial" w:cs="Arial"/>
                <w:color w:val="000000"/>
              </w:rPr>
              <w:t>26.83 ± 0.64</w:t>
            </w:r>
            <w:r w:rsidRPr="00BA462F">
              <w:rPr>
                <w:rFonts w:ascii="Arial" w:hAnsi="Arial" w:cs="Arial"/>
                <w:color w:val="000000"/>
                <w:vertAlign w:val="superscript"/>
              </w:rPr>
              <w:t>m</w:t>
            </w:r>
          </w:p>
        </w:tc>
        <w:tc>
          <w:tcPr>
            <w:tcW w:w="1338" w:type="pct"/>
            <w:tcBorders>
              <w:bottom w:val="single" w:sz="4" w:space="0" w:color="auto"/>
            </w:tcBorders>
            <w:noWrap/>
            <w:hideMark/>
          </w:tcPr>
          <w:p w14:paraId="5B284AE0" w14:textId="77777777" w:rsidR="00C13730" w:rsidRPr="00BA462F" w:rsidRDefault="00C13730" w:rsidP="00C13730">
            <w:pPr>
              <w:jc w:val="center"/>
              <w:rPr>
                <w:rFonts w:ascii="Arial" w:hAnsi="Arial" w:cs="Arial"/>
              </w:rPr>
            </w:pPr>
            <w:r w:rsidRPr="00BA462F">
              <w:rPr>
                <w:rFonts w:ascii="Arial" w:hAnsi="Arial" w:cs="Arial"/>
                <w:color w:val="000000"/>
              </w:rPr>
              <w:t>27.33 ± 0.32</w:t>
            </w:r>
            <w:r w:rsidRPr="00BA462F">
              <w:rPr>
                <w:rFonts w:ascii="Arial" w:hAnsi="Arial" w:cs="Arial"/>
                <w:color w:val="000000"/>
                <w:vertAlign w:val="superscript"/>
              </w:rPr>
              <w:t>m</w:t>
            </w:r>
          </w:p>
        </w:tc>
        <w:tc>
          <w:tcPr>
            <w:tcW w:w="1317" w:type="pct"/>
            <w:tcBorders>
              <w:bottom w:val="single" w:sz="4" w:space="0" w:color="auto"/>
            </w:tcBorders>
            <w:noWrap/>
            <w:hideMark/>
          </w:tcPr>
          <w:p w14:paraId="33CD57A1" w14:textId="77777777" w:rsidR="00C13730" w:rsidRPr="00BA462F" w:rsidRDefault="00C13730" w:rsidP="00C13730">
            <w:pPr>
              <w:jc w:val="center"/>
              <w:rPr>
                <w:rFonts w:ascii="Arial" w:hAnsi="Arial" w:cs="Arial"/>
              </w:rPr>
            </w:pPr>
            <w:r w:rsidRPr="00BA462F">
              <w:rPr>
                <w:rFonts w:ascii="Arial" w:hAnsi="Arial" w:cs="Arial"/>
                <w:color w:val="000000"/>
              </w:rPr>
              <w:t>27.00 ± 0.32</w:t>
            </w:r>
            <w:r w:rsidRPr="00BA462F">
              <w:rPr>
                <w:rFonts w:ascii="Arial" w:hAnsi="Arial" w:cs="Arial"/>
                <w:color w:val="000000"/>
                <w:vertAlign w:val="superscript"/>
              </w:rPr>
              <w:t>m</w:t>
            </w:r>
          </w:p>
        </w:tc>
      </w:tr>
    </w:tbl>
    <w:p w14:paraId="61413148" w14:textId="66580364" w:rsidR="005F251F" w:rsidRDefault="00CF2153" w:rsidP="00431B39">
      <w:pPr>
        <w:spacing w:after="4" w:line="249" w:lineRule="auto"/>
        <w:ind w:left="-5" w:right="-123" w:hanging="10"/>
        <w:jc w:val="center"/>
        <w:rPr>
          <w:rFonts w:ascii="Arial" w:hAnsi="Arial" w:cs="Arial"/>
          <w:bCs/>
          <w:sz w:val="20"/>
          <w:szCs w:val="20"/>
        </w:rPr>
      </w:pPr>
      <w:r w:rsidRPr="008A16D3">
        <w:rPr>
          <w:rFonts w:ascii="Arial" w:hAnsi="Arial" w:cs="Arial"/>
          <w:sz w:val="20"/>
          <w:szCs w:val="20"/>
        </w:rPr>
        <w:t>(</w:t>
      </w:r>
      <w:r w:rsidRPr="008A16D3">
        <w:rPr>
          <w:rFonts w:ascii="Arial" w:hAnsi="Arial" w:cs="Arial"/>
          <w:bCs/>
          <w:sz w:val="20"/>
          <w:szCs w:val="20"/>
        </w:rPr>
        <w:t xml:space="preserve">*Note, </w:t>
      </w:r>
      <w:r w:rsidR="0071004D">
        <w:rPr>
          <w:rFonts w:ascii="Arial" w:hAnsi="Arial" w:cs="Arial"/>
          <w:bCs/>
          <w:sz w:val="20"/>
          <w:szCs w:val="20"/>
        </w:rPr>
        <w:t xml:space="preserve">C= Control, </w:t>
      </w:r>
      <w:r w:rsidRPr="008A16D3">
        <w:rPr>
          <w:rFonts w:ascii="Arial" w:hAnsi="Arial" w:cs="Arial"/>
          <w:bCs/>
          <w:sz w:val="20"/>
          <w:szCs w:val="20"/>
        </w:rPr>
        <w:t xml:space="preserve">T1= Bio-floc (20:1), </w:t>
      </w:r>
      <w:r w:rsidR="00A96EE9">
        <w:rPr>
          <w:rFonts w:ascii="Arial" w:hAnsi="Arial" w:cs="Arial"/>
          <w:bCs/>
          <w:sz w:val="20"/>
          <w:szCs w:val="20"/>
        </w:rPr>
        <w:t>T2</w:t>
      </w:r>
      <w:r w:rsidRPr="008A16D3">
        <w:rPr>
          <w:rFonts w:ascii="Arial" w:hAnsi="Arial" w:cs="Arial"/>
          <w:bCs/>
          <w:sz w:val="20"/>
          <w:szCs w:val="20"/>
        </w:rPr>
        <w:t>=Biofloc (20:1) + 0.5% Jeevamruth; The mean values followed by the different superscript letters in each factor indicate significant difference at 0.05.)</w:t>
      </w:r>
    </w:p>
    <w:p w14:paraId="1A011E3B" w14:textId="77777777" w:rsidR="002904A4" w:rsidRPr="00431B39" w:rsidRDefault="002904A4" w:rsidP="00431B39">
      <w:pPr>
        <w:spacing w:after="4" w:line="249" w:lineRule="auto"/>
        <w:ind w:left="-5" w:right="-123" w:hanging="10"/>
        <w:jc w:val="center"/>
        <w:rPr>
          <w:rFonts w:ascii="Arial" w:hAnsi="Arial" w:cs="Arial"/>
          <w:bCs/>
          <w:sz w:val="20"/>
          <w:szCs w:val="20"/>
        </w:rPr>
      </w:pPr>
    </w:p>
    <w:p w14:paraId="6CC2965F" w14:textId="15C64CE6" w:rsidR="00364AB9" w:rsidRPr="006079B2" w:rsidRDefault="005E1806" w:rsidP="00E61B4E">
      <w:pPr>
        <w:rPr>
          <w:rFonts w:ascii="Arial" w:hAnsi="Arial" w:cs="Arial"/>
          <w:b/>
          <w:bCs/>
        </w:rPr>
      </w:pPr>
      <w:r>
        <w:rPr>
          <w:rFonts w:ascii="Arial" w:hAnsi="Arial" w:cs="Arial"/>
          <w:noProof/>
        </w:rPr>
        <mc:AlternateContent>
          <mc:Choice Requires="wpg">
            <w:drawing>
              <wp:anchor distT="0" distB="0" distL="114300" distR="114300" simplePos="0" relativeHeight="251693056" behindDoc="0" locked="0" layoutInCell="1" allowOverlap="1" wp14:anchorId="3FEDBF17" wp14:editId="28A9842D">
                <wp:simplePos x="0" y="0"/>
                <wp:positionH relativeFrom="margin">
                  <wp:posOffset>2494280</wp:posOffset>
                </wp:positionH>
                <wp:positionV relativeFrom="paragraph">
                  <wp:posOffset>3018790</wp:posOffset>
                </wp:positionV>
                <wp:extent cx="869950" cy="204470"/>
                <wp:effectExtent l="0" t="0" r="25400" b="24130"/>
                <wp:wrapNone/>
                <wp:docPr id="555462435" name="Group 9"/>
                <wp:cNvGraphicFramePr/>
                <a:graphic xmlns:a="http://schemas.openxmlformats.org/drawingml/2006/main">
                  <a:graphicData uri="http://schemas.microsoft.com/office/word/2010/wordprocessingGroup">
                    <wpg:wgp>
                      <wpg:cNvGrpSpPr/>
                      <wpg:grpSpPr>
                        <a:xfrm>
                          <a:off x="0" y="0"/>
                          <a:ext cx="869950" cy="204470"/>
                          <a:chOff x="0" y="0"/>
                          <a:chExt cx="869950" cy="204470"/>
                        </a:xfrm>
                      </wpg:grpSpPr>
                      <wps:wsp>
                        <wps:cNvPr id="254327173" name="Text Box 4"/>
                        <wps:cNvSpPr txBox="1"/>
                        <wps:spPr>
                          <a:xfrm>
                            <a:off x="0" y="0"/>
                            <a:ext cx="869950" cy="204470"/>
                          </a:xfrm>
                          <a:prstGeom prst="rect">
                            <a:avLst/>
                          </a:prstGeom>
                          <a:solidFill>
                            <a:schemeClr val="lt1"/>
                          </a:solidFill>
                          <a:ln w="12700">
                            <a:solidFill>
                              <a:prstClr val="black"/>
                            </a:solidFill>
                          </a:ln>
                        </wps:spPr>
                        <wps:txbx>
                          <w:txbxContent>
                            <w:p w14:paraId="7DF3C4EF" w14:textId="77777777" w:rsidR="00B435F6" w:rsidRPr="00015425" w:rsidRDefault="00B435F6" w:rsidP="005E1806">
                              <w:pPr>
                                <w:rPr>
                                  <w:color w:val="808080" w:themeColor="background1" w:themeShade="80"/>
                                  <w:sz w:val="16"/>
                                  <w:szCs w:val="16"/>
                                  <w:lang w:val="en-US"/>
                                </w:rPr>
                              </w:pPr>
                              <w:r w:rsidRPr="00015425">
                                <w:rPr>
                                  <w:color w:val="808080" w:themeColor="background1" w:themeShade="80"/>
                                  <w:sz w:val="16"/>
                                  <w:szCs w:val="16"/>
                                  <w:lang w:val="en-US"/>
                                </w:rPr>
                                <w:t xml:space="preserve">    C       T1</w:t>
                              </w:r>
                              <w:r w:rsidRPr="00015425">
                                <w:rPr>
                                  <w:color w:val="808080" w:themeColor="background1" w:themeShade="80"/>
                                  <w:sz w:val="16"/>
                                  <w:szCs w:val="16"/>
                                  <w:lang w:val="en-US"/>
                                </w:rPr>
                                <w:tab/>
                                <w:t xml:space="preserve">     T2</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366434621" name="Rectangle 5"/>
                        <wps:cNvSpPr/>
                        <wps:spPr>
                          <a:xfrm>
                            <a:off x="98854" y="89586"/>
                            <a:ext cx="60960" cy="60960"/>
                          </a:xfrm>
                          <a:prstGeom prst="rect">
                            <a:avLst/>
                          </a:prstGeom>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590711528" name="Rectangle 5"/>
                        <wps:cNvSpPr/>
                        <wps:spPr>
                          <a:xfrm>
                            <a:off x="315097" y="89586"/>
                            <a:ext cx="60960" cy="60960"/>
                          </a:xfrm>
                          <a:prstGeom prst="rect">
                            <a:avLst/>
                          </a:prstGeom>
                          <a:solidFill>
                            <a:schemeClr val="accent2"/>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733120030" name="Rectangle 5"/>
                        <wps:cNvSpPr/>
                        <wps:spPr>
                          <a:xfrm>
                            <a:off x="574589" y="86497"/>
                            <a:ext cx="60960" cy="60960"/>
                          </a:xfrm>
                          <a:prstGeom prst="rect">
                            <a:avLst/>
                          </a:prstGeom>
                          <a:solidFill>
                            <a:schemeClr val="bg1">
                              <a:lumMod val="65000"/>
                            </a:schemeClr>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3FEDBF17" id="Group 9" o:spid="_x0000_s1026" style="position:absolute;margin-left:196.4pt;margin-top:237.7pt;width:68.5pt;height:16.1pt;z-index:251693056;mso-position-horizontal-relative:margin;mso-width-relative:margin;mso-height-relative:margin" coordsize="8699,204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">
                <v:shapetype id="_x0000_t202" coordsize="21600,21600" o:spt="202" path="m,l,21600r21600,l21600,xe">
                  <v:stroke joinstyle="miter"/>
                  <v:path gradientshapeok="t" o:connecttype="rect"/>
                </v:shapetype>
                <v:shape id="_x0000_s1027" type="#_x0000_t202" style="position:absolute;width:8699;height:20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" fillcolor="white [3201]" strokeweight="1pt">
                  <v:textbox>
                    <w:txbxContent>
                      <w:p w14:paraId="7DF3C4EF" w14:textId="77777777" w:rsidR="00B435F6" w:rsidRPr="00015425" w:rsidRDefault="00B435F6" w:rsidP="005E1806">
                        <w:pPr>
                          <w:rPr>
                            <w:color w:val="808080" w:themeColor="background1" w:themeShade="80"/>
                            <w:sz w:val="16"/>
                            <w:szCs w:val="16"/>
                            <w:lang w:val="en-US"/>
                          </w:rPr>
                        </w:pPr>
                        <w:r w:rsidRPr="00015425">
                          <w:rPr>
                            <w:color w:val="808080" w:themeColor="background1" w:themeShade="80"/>
                            <w:sz w:val="16"/>
                            <w:szCs w:val="16"/>
                            <w:lang w:val="en-US"/>
                          </w:rPr>
                          <w:t xml:space="preserve">    C       T1</w:t>
                        </w:r>
                        <w:r w:rsidRPr="00015425">
                          <w:rPr>
                            <w:color w:val="808080" w:themeColor="background1" w:themeShade="80"/>
                            <w:sz w:val="16"/>
                            <w:szCs w:val="16"/>
                            <w:lang w:val="en-US"/>
                          </w:rPr>
                          <w:tab/>
                          <w:t xml:space="preserve">     T2</w:t>
                        </w:r>
                      </w:p>
                    </w:txbxContent>
                  </v:textbox>
                </v:shape>
                <v:rect id="Rectangle 5" o:spid="_x0000_s1028" style="position:absolute;left:988;top:895;width:610;height:61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" fillcolor="#4472c4 [3204]" stroked="f" strokeweight="1pt"/>
                <v:rect id="Rectangle 5" o:spid="_x0000_s1029" style="position:absolute;left:3150;top:895;width:610;height:61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" fillcolor="#ed7d31 [3205]" stroked="f" strokeweight="1pt"/>
                <v:rect id="Rectangle 5" o:spid="_x0000_s1030" style="position:absolute;left:5745;top:864;width:610;height:61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" fillcolor="#a5a5a5 [2092]" stroked="f" strokeweight="1pt"/>
                <w10:wrap anchorx="margin"/>
              </v:group>
            </w:pict>
          </mc:Fallback>
        </mc:AlternateContent>
      </w:r>
      <w:r w:rsidR="00364AB9" w:rsidRPr="006079B2">
        <w:rPr>
          <w:rFonts w:ascii="Arial" w:hAnsi="Arial" w:cs="Arial"/>
          <w:noProof/>
        </w:rPr>
        <w:drawing>
          <wp:inline distT="0" distB="0" distL="0" distR="0" wp14:anchorId="769A6EE0" wp14:editId="39E507FB">
            <wp:extent cx="5486400" cy="3139440"/>
            <wp:effectExtent l="0" t="0" r="0" b="3810"/>
            <wp:docPr id="1940155201"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14:paraId="61C4FBE1" w14:textId="77777777" w:rsidR="00A152F0" w:rsidRDefault="00A152F0" w:rsidP="00E05B72">
      <w:pPr>
        <w:spacing w:line="360" w:lineRule="auto"/>
        <w:rPr>
          <w:rFonts w:ascii="Arial" w:hAnsi="Arial" w:cs="Arial"/>
          <w:b/>
          <w:sz w:val="20"/>
          <w:szCs w:val="20"/>
          <w:u w:val="single"/>
        </w:rPr>
      </w:pPr>
    </w:p>
    <w:p w14:paraId="305D0D1E" w14:textId="46233757" w:rsidR="00A152F0" w:rsidRDefault="001B5CD5" w:rsidP="00726987">
      <w:pPr>
        <w:spacing w:line="360" w:lineRule="auto"/>
        <w:jc w:val="center"/>
        <w:rPr>
          <w:rFonts w:ascii="Arial" w:hAnsi="Arial" w:cs="Arial"/>
          <w:b/>
          <w:sz w:val="20"/>
          <w:szCs w:val="20"/>
        </w:rPr>
      </w:pPr>
      <w:r w:rsidRPr="00A152F0">
        <w:rPr>
          <w:rFonts w:ascii="Arial" w:hAnsi="Arial" w:cs="Arial"/>
          <w:b/>
          <w:sz w:val="20"/>
          <w:szCs w:val="20"/>
        </w:rPr>
        <w:t>Figure 1:</w:t>
      </w:r>
      <w:r w:rsidR="00A152F0">
        <w:rPr>
          <w:rFonts w:ascii="Arial" w:hAnsi="Arial" w:cs="Arial"/>
          <w:b/>
          <w:sz w:val="20"/>
          <w:szCs w:val="20"/>
        </w:rPr>
        <w:t xml:space="preserve"> </w:t>
      </w:r>
      <w:r w:rsidR="00A152F0" w:rsidRPr="00224BC0">
        <w:rPr>
          <w:rFonts w:ascii="Arial" w:hAnsi="Arial" w:cs="Arial"/>
          <w:b/>
          <w:sz w:val="20"/>
          <w:szCs w:val="20"/>
        </w:rPr>
        <w:t>Average Temperature Value Recorded During the Experiment</w:t>
      </w:r>
    </w:p>
    <w:p w14:paraId="2CB4C936" w14:textId="328C6201" w:rsidR="00431B39" w:rsidRDefault="00431B39" w:rsidP="00431B39">
      <w:pPr>
        <w:ind w:firstLine="720"/>
        <w:jc w:val="both"/>
        <w:rPr>
          <w:rFonts w:ascii="Arial" w:hAnsi="Arial" w:cs="Arial"/>
          <w:b/>
          <w:bCs/>
          <w:sz w:val="20"/>
          <w:szCs w:val="20"/>
        </w:rPr>
      </w:pPr>
      <w:r w:rsidRPr="005F251F">
        <w:rPr>
          <w:rFonts w:ascii="Arial" w:hAnsi="Arial" w:cs="Arial"/>
          <w:sz w:val="20"/>
          <w:szCs w:val="20"/>
        </w:rPr>
        <w:t>Water temperature values ranged from 23.0 to 27.5 °C across all treatments. No significant differences (p &gt; 0.05) were observed among control (C), biofloc (T1), and Jeevamruth-supplemented biofloc (T2). All recorded values remained within the optimal temperature range recommended for carp culture, indicating that Jeevamruth application did not adversely affect thermal conditions of the system.</w:t>
      </w:r>
    </w:p>
    <w:p w14:paraId="397D8F45" w14:textId="77777777" w:rsidR="00431B39" w:rsidRPr="00431B39" w:rsidRDefault="00431B39" w:rsidP="00431B39">
      <w:pPr>
        <w:ind w:firstLine="720"/>
        <w:jc w:val="both"/>
        <w:rPr>
          <w:rFonts w:ascii="Arial" w:hAnsi="Arial" w:cs="Arial"/>
          <w:b/>
          <w:bCs/>
          <w:sz w:val="20"/>
          <w:szCs w:val="20"/>
        </w:rPr>
      </w:pPr>
    </w:p>
    <w:p w14:paraId="7EB66A52" w14:textId="4EFAE102" w:rsidR="00F258CD" w:rsidRPr="00E05B72" w:rsidRDefault="00E05B72" w:rsidP="00E05B72">
      <w:pPr>
        <w:spacing w:line="360" w:lineRule="auto"/>
        <w:rPr>
          <w:rFonts w:ascii="Arial" w:hAnsi="Arial" w:cs="Arial"/>
          <w:b/>
          <w:sz w:val="20"/>
          <w:szCs w:val="20"/>
          <w:u w:val="single"/>
        </w:rPr>
      </w:pPr>
      <w:r w:rsidRPr="00E05B72">
        <w:rPr>
          <w:rFonts w:ascii="Arial" w:hAnsi="Arial" w:cs="Arial"/>
          <w:b/>
          <w:sz w:val="20"/>
          <w:szCs w:val="20"/>
          <w:u w:val="single"/>
        </w:rPr>
        <w:t xml:space="preserve">3.1.2 </w:t>
      </w:r>
      <w:r w:rsidR="00F258CD" w:rsidRPr="00E05B72">
        <w:rPr>
          <w:rFonts w:ascii="Arial" w:hAnsi="Arial" w:cs="Arial"/>
          <w:b/>
          <w:sz w:val="20"/>
          <w:szCs w:val="20"/>
          <w:u w:val="single"/>
        </w:rPr>
        <w:t>Average pH Value Recorded During Experiment Period.</w:t>
      </w:r>
    </w:p>
    <w:tbl>
      <w:tblPr>
        <w:tblStyle w:val="Tablaconcuadrcula"/>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36"/>
        <w:gridCol w:w="2244"/>
        <w:gridCol w:w="2244"/>
        <w:gridCol w:w="2302"/>
      </w:tblGrid>
      <w:tr w:rsidR="00F258CD" w:rsidRPr="00BA462F" w14:paraId="73C2004C" w14:textId="77777777" w:rsidTr="00E12DEF">
        <w:trPr>
          <w:trHeight w:val="3"/>
        </w:trPr>
        <w:tc>
          <w:tcPr>
            <w:tcW w:w="5000" w:type="pct"/>
            <w:gridSpan w:val="4"/>
            <w:noWrap/>
            <w:hideMark/>
          </w:tcPr>
          <w:p w14:paraId="3719CC5E" w14:textId="014E3943" w:rsidR="00F258CD" w:rsidRPr="00BA462F" w:rsidRDefault="00E12DEF" w:rsidP="00E12DEF">
            <w:pPr>
              <w:rPr>
                <w:rFonts w:ascii="Arial" w:hAnsi="Arial" w:cs="Arial"/>
              </w:rPr>
            </w:pPr>
            <w:r w:rsidRPr="00224BC0">
              <w:rPr>
                <w:rFonts w:ascii="Arial" w:hAnsi="Arial" w:cs="Arial"/>
                <w:b/>
                <w:sz w:val="20"/>
                <w:szCs w:val="20"/>
              </w:rPr>
              <w:t xml:space="preserve">Table </w:t>
            </w:r>
            <w:r>
              <w:rPr>
                <w:rFonts w:ascii="Arial" w:hAnsi="Arial" w:cs="Arial"/>
                <w:b/>
                <w:sz w:val="20"/>
                <w:szCs w:val="20"/>
              </w:rPr>
              <w:t>2</w:t>
            </w:r>
            <w:r w:rsidRPr="00224BC0">
              <w:rPr>
                <w:rFonts w:ascii="Arial" w:hAnsi="Arial" w:cs="Arial"/>
                <w:b/>
                <w:sz w:val="20"/>
                <w:szCs w:val="20"/>
              </w:rPr>
              <w:t xml:space="preserve">: Average </w:t>
            </w:r>
            <w:r>
              <w:rPr>
                <w:rFonts w:ascii="Arial" w:hAnsi="Arial" w:cs="Arial"/>
                <w:b/>
                <w:sz w:val="20"/>
                <w:szCs w:val="20"/>
              </w:rPr>
              <w:t xml:space="preserve">pH </w:t>
            </w:r>
            <w:r w:rsidRPr="00224BC0">
              <w:rPr>
                <w:rFonts w:ascii="Arial" w:hAnsi="Arial" w:cs="Arial"/>
                <w:b/>
                <w:sz w:val="20"/>
                <w:szCs w:val="20"/>
              </w:rPr>
              <w:t xml:space="preserve">Value Recorded During the </w:t>
            </w:r>
            <w:commentRangeStart w:id="2"/>
            <w:r w:rsidRPr="00224BC0">
              <w:rPr>
                <w:rFonts w:ascii="Arial" w:hAnsi="Arial" w:cs="Arial"/>
                <w:b/>
                <w:sz w:val="20"/>
                <w:szCs w:val="20"/>
              </w:rPr>
              <w:t>Experiment</w:t>
            </w:r>
            <w:commentRangeEnd w:id="2"/>
            <w:r w:rsidR="00AB048C">
              <w:rPr>
                <w:rStyle w:val="Refdecomentario"/>
                <w:lang w:bidi="gu-IN"/>
              </w:rPr>
              <w:commentReference w:id="2"/>
            </w:r>
          </w:p>
        </w:tc>
      </w:tr>
      <w:tr w:rsidR="009B1C05" w:rsidRPr="00BA462F" w14:paraId="747B0D1E" w14:textId="77777777" w:rsidTr="00647695">
        <w:trPr>
          <w:trHeight w:val="3"/>
        </w:trPr>
        <w:tc>
          <w:tcPr>
            <w:tcW w:w="1239" w:type="pct"/>
            <w:tcBorders>
              <w:top w:val="single" w:sz="4" w:space="0" w:color="auto"/>
              <w:bottom w:val="single" w:sz="4" w:space="0" w:color="auto"/>
              <w:right w:val="single" w:sz="4" w:space="0" w:color="auto"/>
            </w:tcBorders>
            <w:noWrap/>
            <w:hideMark/>
          </w:tcPr>
          <w:p w14:paraId="74924EC1" w14:textId="77777777" w:rsidR="009B1C05" w:rsidRPr="00BA462F" w:rsidRDefault="009B1C05" w:rsidP="008051EB">
            <w:pPr>
              <w:jc w:val="center"/>
              <w:rPr>
                <w:rFonts w:ascii="Arial" w:hAnsi="Arial" w:cs="Arial"/>
              </w:rPr>
            </w:pPr>
            <w:r w:rsidRPr="00BA462F">
              <w:rPr>
                <w:rFonts w:ascii="Arial" w:hAnsi="Arial" w:cs="Arial"/>
              </w:rPr>
              <w:t>Treatment</w:t>
            </w:r>
          </w:p>
        </w:tc>
        <w:tc>
          <w:tcPr>
            <w:tcW w:w="1243" w:type="pct"/>
            <w:tcBorders>
              <w:top w:val="single" w:sz="4" w:space="0" w:color="auto"/>
              <w:left w:val="single" w:sz="4" w:space="0" w:color="auto"/>
              <w:bottom w:val="single" w:sz="4" w:space="0" w:color="auto"/>
            </w:tcBorders>
            <w:noWrap/>
            <w:hideMark/>
          </w:tcPr>
          <w:p w14:paraId="2BE438BA" w14:textId="77777777" w:rsidR="009B1C05" w:rsidRPr="00BA462F" w:rsidRDefault="009B1C05" w:rsidP="008051EB">
            <w:pPr>
              <w:jc w:val="center"/>
              <w:rPr>
                <w:rFonts w:ascii="Arial" w:hAnsi="Arial" w:cs="Arial"/>
              </w:rPr>
            </w:pPr>
            <w:r w:rsidRPr="00BA462F">
              <w:rPr>
                <w:rFonts w:ascii="Arial" w:hAnsi="Arial" w:cs="Arial"/>
              </w:rPr>
              <w:t>C</w:t>
            </w:r>
          </w:p>
        </w:tc>
        <w:tc>
          <w:tcPr>
            <w:tcW w:w="1243" w:type="pct"/>
            <w:tcBorders>
              <w:top w:val="single" w:sz="4" w:space="0" w:color="auto"/>
              <w:bottom w:val="single" w:sz="4" w:space="0" w:color="auto"/>
            </w:tcBorders>
            <w:noWrap/>
            <w:hideMark/>
          </w:tcPr>
          <w:p w14:paraId="3D3F5956" w14:textId="2BA3C9BC" w:rsidR="009B1C05" w:rsidRPr="00BA462F" w:rsidRDefault="00884617" w:rsidP="008051EB">
            <w:pPr>
              <w:jc w:val="center"/>
              <w:rPr>
                <w:rFonts w:ascii="Arial" w:hAnsi="Arial" w:cs="Arial"/>
              </w:rPr>
            </w:pPr>
            <w:r w:rsidRPr="00BA462F">
              <w:rPr>
                <w:rFonts w:ascii="Arial" w:hAnsi="Arial" w:cs="Arial"/>
              </w:rPr>
              <w:t>T1</w:t>
            </w:r>
          </w:p>
        </w:tc>
        <w:tc>
          <w:tcPr>
            <w:tcW w:w="1275" w:type="pct"/>
            <w:tcBorders>
              <w:top w:val="single" w:sz="4" w:space="0" w:color="auto"/>
              <w:bottom w:val="single" w:sz="4" w:space="0" w:color="auto"/>
            </w:tcBorders>
            <w:noWrap/>
            <w:hideMark/>
          </w:tcPr>
          <w:p w14:paraId="42531F45" w14:textId="502BB51A" w:rsidR="009B1C05" w:rsidRPr="00BA462F" w:rsidRDefault="00884617" w:rsidP="008051EB">
            <w:pPr>
              <w:jc w:val="center"/>
              <w:rPr>
                <w:rFonts w:ascii="Arial" w:hAnsi="Arial" w:cs="Arial"/>
              </w:rPr>
            </w:pPr>
            <w:r w:rsidRPr="00BA462F">
              <w:rPr>
                <w:rFonts w:ascii="Arial" w:hAnsi="Arial" w:cs="Arial"/>
              </w:rPr>
              <w:t>T2</w:t>
            </w:r>
          </w:p>
        </w:tc>
      </w:tr>
      <w:tr w:rsidR="00C13730" w:rsidRPr="00BA462F" w14:paraId="0E2E34AE" w14:textId="77777777" w:rsidTr="00647695">
        <w:trPr>
          <w:trHeight w:val="3"/>
        </w:trPr>
        <w:tc>
          <w:tcPr>
            <w:tcW w:w="1239" w:type="pct"/>
            <w:tcBorders>
              <w:top w:val="single" w:sz="4" w:space="0" w:color="auto"/>
              <w:right w:val="single" w:sz="4" w:space="0" w:color="auto"/>
            </w:tcBorders>
            <w:noWrap/>
            <w:vAlign w:val="bottom"/>
            <w:hideMark/>
          </w:tcPr>
          <w:p w14:paraId="2FB321B3" w14:textId="3F0ED44A" w:rsidR="00C13730" w:rsidRPr="00BA462F" w:rsidRDefault="00C13730" w:rsidP="00C13730">
            <w:pPr>
              <w:jc w:val="center"/>
              <w:rPr>
                <w:rFonts w:ascii="Arial" w:hAnsi="Arial" w:cs="Arial"/>
              </w:rPr>
            </w:pPr>
            <w:r w:rsidRPr="00BA462F">
              <w:rPr>
                <w:rFonts w:ascii="Arial" w:eastAsia="Times New Roman" w:hAnsi="Arial" w:cs="Arial"/>
                <w:color w:val="000000"/>
                <w:kern w:val="0"/>
                <w:lang w:eastAsia="en-IN"/>
                <w14:ligatures w14:val="none"/>
              </w:rPr>
              <w:t>0</w:t>
            </w:r>
            <w:r w:rsidRPr="00BA462F">
              <w:rPr>
                <w:rFonts w:ascii="Arial" w:eastAsia="Times New Roman" w:hAnsi="Arial" w:cs="Arial"/>
                <w:color w:val="000000"/>
                <w:kern w:val="0"/>
                <w:vertAlign w:val="superscript"/>
                <w:lang w:eastAsia="en-IN"/>
                <w14:ligatures w14:val="none"/>
              </w:rPr>
              <w:t>th</w:t>
            </w:r>
            <w:r w:rsidRPr="00BA462F">
              <w:rPr>
                <w:rFonts w:ascii="Arial" w:eastAsia="Times New Roman" w:hAnsi="Arial" w:cs="Arial"/>
                <w:color w:val="000000"/>
                <w:kern w:val="0"/>
                <w:lang w:eastAsia="en-IN"/>
                <w14:ligatures w14:val="none"/>
              </w:rPr>
              <w:t xml:space="preserve"> day</w:t>
            </w:r>
          </w:p>
        </w:tc>
        <w:tc>
          <w:tcPr>
            <w:tcW w:w="1243" w:type="pct"/>
            <w:tcBorders>
              <w:top w:val="single" w:sz="4" w:space="0" w:color="auto"/>
              <w:left w:val="single" w:sz="4" w:space="0" w:color="auto"/>
            </w:tcBorders>
            <w:noWrap/>
            <w:vAlign w:val="bottom"/>
            <w:hideMark/>
          </w:tcPr>
          <w:p w14:paraId="062095CA" w14:textId="77777777" w:rsidR="00C13730" w:rsidRPr="00BA462F" w:rsidRDefault="00C13730" w:rsidP="00C13730">
            <w:pPr>
              <w:jc w:val="center"/>
              <w:rPr>
                <w:rFonts w:ascii="Arial" w:hAnsi="Arial" w:cs="Arial"/>
              </w:rPr>
            </w:pPr>
            <w:r w:rsidRPr="00BA462F">
              <w:rPr>
                <w:rFonts w:ascii="Arial" w:hAnsi="Arial" w:cs="Arial"/>
                <w:color w:val="000000"/>
              </w:rPr>
              <w:t>8.38 ± 0.01</w:t>
            </w:r>
            <w:r w:rsidRPr="00BA462F">
              <w:rPr>
                <w:rFonts w:ascii="Arial" w:hAnsi="Arial" w:cs="Arial"/>
                <w:color w:val="000000"/>
                <w:vertAlign w:val="superscript"/>
              </w:rPr>
              <w:t>ab</w:t>
            </w:r>
          </w:p>
        </w:tc>
        <w:tc>
          <w:tcPr>
            <w:tcW w:w="1243" w:type="pct"/>
            <w:tcBorders>
              <w:top w:val="single" w:sz="4" w:space="0" w:color="auto"/>
            </w:tcBorders>
            <w:noWrap/>
            <w:vAlign w:val="bottom"/>
            <w:hideMark/>
          </w:tcPr>
          <w:p w14:paraId="63CDF77B" w14:textId="77777777" w:rsidR="00C13730" w:rsidRPr="00BA462F" w:rsidRDefault="00C13730" w:rsidP="00C13730">
            <w:pPr>
              <w:jc w:val="center"/>
              <w:rPr>
                <w:rFonts w:ascii="Arial" w:hAnsi="Arial" w:cs="Arial"/>
              </w:rPr>
            </w:pPr>
            <w:r w:rsidRPr="00BA462F">
              <w:rPr>
                <w:rFonts w:ascii="Arial" w:hAnsi="Arial" w:cs="Arial"/>
                <w:color w:val="000000"/>
              </w:rPr>
              <w:t>8.37 ± 0.04</w:t>
            </w:r>
            <w:r w:rsidRPr="00BA462F">
              <w:rPr>
                <w:rFonts w:ascii="Arial" w:hAnsi="Arial" w:cs="Arial"/>
                <w:color w:val="000000"/>
                <w:vertAlign w:val="superscript"/>
              </w:rPr>
              <w:t>ab</w:t>
            </w:r>
          </w:p>
        </w:tc>
        <w:tc>
          <w:tcPr>
            <w:tcW w:w="1275" w:type="pct"/>
            <w:tcBorders>
              <w:top w:val="single" w:sz="4" w:space="0" w:color="auto"/>
            </w:tcBorders>
            <w:noWrap/>
            <w:vAlign w:val="bottom"/>
            <w:hideMark/>
          </w:tcPr>
          <w:p w14:paraId="6F9C0698" w14:textId="77777777" w:rsidR="00C13730" w:rsidRPr="00BA462F" w:rsidRDefault="00C13730" w:rsidP="00C13730">
            <w:pPr>
              <w:jc w:val="center"/>
              <w:rPr>
                <w:rFonts w:ascii="Arial" w:hAnsi="Arial" w:cs="Arial"/>
              </w:rPr>
            </w:pPr>
            <w:r w:rsidRPr="00BA462F">
              <w:rPr>
                <w:rFonts w:ascii="Arial" w:hAnsi="Arial" w:cs="Arial"/>
                <w:color w:val="000000"/>
              </w:rPr>
              <w:t>7.99 ± 0.09</w:t>
            </w:r>
            <w:r w:rsidRPr="00BA462F">
              <w:rPr>
                <w:rFonts w:ascii="Arial" w:hAnsi="Arial" w:cs="Arial"/>
                <w:color w:val="000000"/>
                <w:vertAlign w:val="superscript"/>
              </w:rPr>
              <w:t>b</w:t>
            </w:r>
          </w:p>
        </w:tc>
      </w:tr>
      <w:tr w:rsidR="00C13730" w:rsidRPr="00BA462F" w14:paraId="79E90984" w14:textId="77777777" w:rsidTr="00647695">
        <w:trPr>
          <w:trHeight w:val="3"/>
        </w:trPr>
        <w:tc>
          <w:tcPr>
            <w:tcW w:w="1239" w:type="pct"/>
            <w:tcBorders>
              <w:right w:val="single" w:sz="4" w:space="0" w:color="auto"/>
            </w:tcBorders>
            <w:noWrap/>
            <w:vAlign w:val="bottom"/>
            <w:hideMark/>
          </w:tcPr>
          <w:p w14:paraId="1DA7B567" w14:textId="20D15852" w:rsidR="00C13730" w:rsidRPr="00BA462F" w:rsidRDefault="00C13730" w:rsidP="00C13730">
            <w:pPr>
              <w:jc w:val="center"/>
              <w:rPr>
                <w:rFonts w:ascii="Arial" w:hAnsi="Arial" w:cs="Arial"/>
              </w:rPr>
            </w:pPr>
            <w:r w:rsidRPr="00BA462F">
              <w:rPr>
                <w:rFonts w:ascii="Arial" w:eastAsia="Times New Roman" w:hAnsi="Arial" w:cs="Arial"/>
                <w:color w:val="000000"/>
                <w:kern w:val="0"/>
                <w:lang w:eastAsia="en-IN"/>
                <w14:ligatures w14:val="none"/>
              </w:rPr>
              <w:lastRenderedPageBreak/>
              <w:t>7</w:t>
            </w:r>
            <w:r w:rsidRPr="00BA462F">
              <w:rPr>
                <w:rFonts w:ascii="Arial" w:eastAsia="Times New Roman" w:hAnsi="Arial" w:cs="Arial"/>
                <w:color w:val="000000"/>
                <w:kern w:val="0"/>
                <w:vertAlign w:val="superscript"/>
                <w:lang w:eastAsia="en-IN"/>
                <w14:ligatures w14:val="none"/>
              </w:rPr>
              <w:t>th</w:t>
            </w:r>
            <w:r w:rsidRPr="00BA462F">
              <w:rPr>
                <w:rFonts w:ascii="Arial" w:eastAsia="Times New Roman" w:hAnsi="Arial" w:cs="Arial"/>
                <w:color w:val="000000"/>
                <w:kern w:val="0"/>
                <w:lang w:eastAsia="en-IN"/>
                <w14:ligatures w14:val="none"/>
              </w:rPr>
              <w:t xml:space="preserve"> day</w:t>
            </w:r>
          </w:p>
        </w:tc>
        <w:tc>
          <w:tcPr>
            <w:tcW w:w="1243" w:type="pct"/>
            <w:tcBorders>
              <w:left w:val="single" w:sz="4" w:space="0" w:color="auto"/>
            </w:tcBorders>
            <w:noWrap/>
            <w:vAlign w:val="bottom"/>
            <w:hideMark/>
          </w:tcPr>
          <w:p w14:paraId="45E7011E" w14:textId="77777777" w:rsidR="00C13730" w:rsidRPr="00BA462F" w:rsidRDefault="00C13730" w:rsidP="00C13730">
            <w:pPr>
              <w:jc w:val="center"/>
              <w:rPr>
                <w:rFonts w:ascii="Arial" w:hAnsi="Arial" w:cs="Arial"/>
              </w:rPr>
            </w:pPr>
            <w:r w:rsidRPr="00BA462F">
              <w:rPr>
                <w:rFonts w:ascii="Arial" w:hAnsi="Arial" w:cs="Arial"/>
                <w:color w:val="000000"/>
              </w:rPr>
              <w:t>8.49 ± 0.04</w:t>
            </w:r>
            <w:r w:rsidRPr="00BA462F">
              <w:rPr>
                <w:rFonts w:ascii="Arial" w:hAnsi="Arial" w:cs="Arial"/>
                <w:color w:val="000000"/>
                <w:vertAlign w:val="superscript"/>
              </w:rPr>
              <w:t>A</w:t>
            </w:r>
          </w:p>
        </w:tc>
        <w:tc>
          <w:tcPr>
            <w:tcW w:w="1243" w:type="pct"/>
            <w:noWrap/>
            <w:vAlign w:val="bottom"/>
            <w:hideMark/>
          </w:tcPr>
          <w:p w14:paraId="2E7DDE09" w14:textId="77777777" w:rsidR="00C13730" w:rsidRPr="00BA462F" w:rsidRDefault="00C13730" w:rsidP="00C13730">
            <w:pPr>
              <w:jc w:val="center"/>
              <w:rPr>
                <w:rFonts w:ascii="Arial" w:hAnsi="Arial" w:cs="Arial"/>
              </w:rPr>
            </w:pPr>
            <w:r w:rsidRPr="00BA462F">
              <w:rPr>
                <w:rFonts w:ascii="Arial" w:hAnsi="Arial" w:cs="Arial"/>
                <w:color w:val="000000"/>
              </w:rPr>
              <w:t>8.54 ± 0.05</w:t>
            </w:r>
            <w:r w:rsidRPr="00BA462F">
              <w:rPr>
                <w:rFonts w:ascii="Arial" w:hAnsi="Arial" w:cs="Arial"/>
                <w:color w:val="000000"/>
                <w:vertAlign w:val="superscript"/>
              </w:rPr>
              <w:t>A</w:t>
            </w:r>
          </w:p>
        </w:tc>
        <w:tc>
          <w:tcPr>
            <w:tcW w:w="1275" w:type="pct"/>
            <w:noWrap/>
            <w:vAlign w:val="bottom"/>
            <w:hideMark/>
          </w:tcPr>
          <w:p w14:paraId="2DBBC627" w14:textId="77777777" w:rsidR="00C13730" w:rsidRPr="00BA462F" w:rsidRDefault="00C13730" w:rsidP="00C13730">
            <w:pPr>
              <w:jc w:val="center"/>
              <w:rPr>
                <w:rFonts w:ascii="Arial" w:hAnsi="Arial" w:cs="Arial"/>
              </w:rPr>
            </w:pPr>
            <w:r w:rsidRPr="00BA462F">
              <w:rPr>
                <w:rFonts w:ascii="Arial" w:hAnsi="Arial" w:cs="Arial"/>
                <w:color w:val="000000"/>
              </w:rPr>
              <w:t>8.46 ± 0.04</w:t>
            </w:r>
            <w:r w:rsidRPr="00BA462F">
              <w:rPr>
                <w:rFonts w:ascii="Arial" w:hAnsi="Arial" w:cs="Arial"/>
                <w:color w:val="000000"/>
                <w:vertAlign w:val="superscript"/>
              </w:rPr>
              <w:t>A</w:t>
            </w:r>
          </w:p>
        </w:tc>
      </w:tr>
      <w:tr w:rsidR="00C13730" w:rsidRPr="00BA462F" w14:paraId="4FC1FD58" w14:textId="77777777" w:rsidTr="00647695">
        <w:trPr>
          <w:trHeight w:val="3"/>
        </w:trPr>
        <w:tc>
          <w:tcPr>
            <w:tcW w:w="1239" w:type="pct"/>
            <w:tcBorders>
              <w:right w:val="single" w:sz="4" w:space="0" w:color="auto"/>
            </w:tcBorders>
            <w:noWrap/>
            <w:vAlign w:val="bottom"/>
            <w:hideMark/>
          </w:tcPr>
          <w:p w14:paraId="7C1F15D8" w14:textId="27D4AC6A" w:rsidR="00C13730" w:rsidRPr="00BA462F" w:rsidRDefault="00C13730" w:rsidP="00C13730">
            <w:pPr>
              <w:jc w:val="center"/>
              <w:rPr>
                <w:rFonts w:ascii="Arial" w:hAnsi="Arial" w:cs="Arial"/>
              </w:rPr>
            </w:pPr>
            <w:r w:rsidRPr="00BA462F">
              <w:rPr>
                <w:rFonts w:ascii="Arial" w:eastAsia="Times New Roman" w:hAnsi="Arial" w:cs="Arial"/>
                <w:color w:val="000000"/>
                <w:kern w:val="0"/>
                <w:lang w:eastAsia="en-IN"/>
                <w14:ligatures w14:val="none"/>
              </w:rPr>
              <w:t>14</w:t>
            </w:r>
            <w:r w:rsidRPr="00BA462F">
              <w:rPr>
                <w:rFonts w:ascii="Arial" w:eastAsia="Times New Roman" w:hAnsi="Arial" w:cs="Arial"/>
                <w:color w:val="000000"/>
                <w:kern w:val="0"/>
                <w:vertAlign w:val="superscript"/>
                <w:lang w:eastAsia="en-IN"/>
                <w14:ligatures w14:val="none"/>
              </w:rPr>
              <w:t>th</w:t>
            </w:r>
            <w:r w:rsidRPr="00BA462F">
              <w:rPr>
                <w:rFonts w:ascii="Arial" w:eastAsia="Times New Roman" w:hAnsi="Arial" w:cs="Arial"/>
                <w:color w:val="000000"/>
                <w:kern w:val="0"/>
                <w:lang w:eastAsia="en-IN"/>
                <w14:ligatures w14:val="none"/>
              </w:rPr>
              <w:t xml:space="preserve"> day</w:t>
            </w:r>
          </w:p>
        </w:tc>
        <w:tc>
          <w:tcPr>
            <w:tcW w:w="1243" w:type="pct"/>
            <w:tcBorders>
              <w:left w:val="single" w:sz="4" w:space="0" w:color="auto"/>
            </w:tcBorders>
            <w:noWrap/>
            <w:vAlign w:val="bottom"/>
            <w:hideMark/>
          </w:tcPr>
          <w:p w14:paraId="4F95FA47" w14:textId="77777777" w:rsidR="00C13730" w:rsidRPr="00BA462F" w:rsidRDefault="00C13730" w:rsidP="00C13730">
            <w:pPr>
              <w:jc w:val="center"/>
              <w:rPr>
                <w:rFonts w:ascii="Arial" w:hAnsi="Arial" w:cs="Arial"/>
              </w:rPr>
            </w:pPr>
            <w:r w:rsidRPr="00BA462F">
              <w:rPr>
                <w:rFonts w:ascii="Arial" w:hAnsi="Arial" w:cs="Arial"/>
                <w:color w:val="000000"/>
              </w:rPr>
              <w:t>8.73 ± 0.09</w:t>
            </w:r>
            <w:r w:rsidRPr="00BA462F">
              <w:rPr>
                <w:rFonts w:ascii="Arial" w:hAnsi="Arial" w:cs="Arial"/>
                <w:color w:val="000000"/>
                <w:vertAlign w:val="superscript"/>
              </w:rPr>
              <w:t>q</w:t>
            </w:r>
          </w:p>
        </w:tc>
        <w:tc>
          <w:tcPr>
            <w:tcW w:w="1243" w:type="pct"/>
            <w:noWrap/>
            <w:vAlign w:val="bottom"/>
            <w:hideMark/>
          </w:tcPr>
          <w:p w14:paraId="29E55EAA" w14:textId="77777777" w:rsidR="00C13730" w:rsidRPr="00BA462F" w:rsidRDefault="00C13730" w:rsidP="00C13730">
            <w:pPr>
              <w:jc w:val="center"/>
              <w:rPr>
                <w:rFonts w:ascii="Arial" w:hAnsi="Arial" w:cs="Arial"/>
              </w:rPr>
            </w:pPr>
            <w:r w:rsidRPr="00BA462F">
              <w:rPr>
                <w:rFonts w:ascii="Arial" w:hAnsi="Arial" w:cs="Arial"/>
                <w:color w:val="000000"/>
              </w:rPr>
              <w:t>8.80 ± 0.00</w:t>
            </w:r>
            <w:r w:rsidRPr="00BA462F">
              <w:rPr>
                <w:rFonts w:ascii="Arial" w:hAnsi="Arial" w:cs="Arial"/>
                <w:color w:val="000000"/>
                <w:vertAlign w:val="superscript"/>
              </w:rPr>
              <w:t>p</w:t>
            </w:r>
          </w:p>
        </w:tc>
        <w:tc>
          <w:tcPr>
            <w:tcW w:w="1275" w:type="pct"/>
            <w:noWrap/>
            <w:vAlign w:val="bottom"/>
            <w:hideMark/>
          </w:tcPr>
          <w:p w14:paraId="5F6D7540" w14:textId="77777777" w:rsidR="00C13730" w:rsidRPr="00BA462F" w:rsidRDefault="00C13730" w:rsidP="00C13730">
            <w:pPr>
              <w:jc w:val="center"/>
              <w:rPr>
                <w:rFonts w:ascii="Arial" w:hAnsi="Arial" w:cs="Arial"/>
              </w:rPr>
            </w:pPr>
            <w:r w:rsidRPr="00BA462F">
              <w:rPr>
                <w:rFonts w:ascii="Arial" w:hAnsi="Arial" w:cs="Arial"/>
                <w:color w:val="000000"/>
              </w:rPr>
              <w:t>8.93 ± 0.03</w:t>
            </w:r>
            <w:r w:rsidRPr="00BA462F">
              <w:rPr>
                <w:rFonts w:ascii="Arial" w:hAnsi="Arial" w:cs="Arial"/>
                <w:color w:val="000000"/>
                <w:vertAlign w:val="superscript"/>
              </w:rPr>
              <w:t>p</w:t>
            </w:r>
          </w:p>
        </w:tc>
      </w:tr>
      <w:tr w:rsidR="00C13730" w:rsidRPr="00BA462F" w14:paraId="244C38D0" w14:textId="77777777" w:rsidTr="00647695">
        <w:trPr>
          <w:trHeight w:val="3"/>
        </w:trPr>
        <w:tc>
          <w:tcPr>
            <w:tcW w:w="1239" w:type="pct"/>
            <w:tcBorders>
              <w:right w:val="single" w:sz="4" w:space="0" w:color="auto"/>
            </w:tcBorders>
            <w:noWrap/>
            <w:vAlign w:val="bottom"/>
            <w:hideMark/>
          </w:tcPr>
          <w:p w14:paraId="6020F7D4" w14:textId="51954C1A" w:rsidR="00C13730" w:rsidRPr="00BA462F" w:rsidRDefault="00C13730" w:rsidP="00C13730">
            <w:pPr>
              <w:jc w:val="center"/>
              <w:rPr>
                <w:rFonts w:ascii="Arial" w:hAnsi="Arial" w:cs="Arial"/>
              </w:rPr>
            </w:pPr>
            <w:r w:rsidRPr="00BA462F">
              <w:rPr>
                <w:rFonts w:ascii="Arial" w:eastAsia="Times New Roman" w:hAnsi="Arial" w:cs="Arial"/>
                <w:color w:val="000000"/>
                <w:kern w:val="0"/>
                <w:lang w:eastAsia="en-IN"/>
                <w14:ligatures w14:val="none"/>
              </w:rPr>
              <w:t>21</w:t>
            </w:r>
            <w:r w:rsidRPr="00BA462F">
              <w:rPr>
                <w:rFonts w:ascii="Arial" w:eastAsia="Times New Roman" w:hAnsi="Arial" w:cs="Arial"/>
                <w:color w:val="000000"/>
                <w:kern w:val="0"/>
                <w:vertAlign w:val="superscript"/>
                <w:lang w:eastAsia="en-IN"/>
                <w14:ligatures w14:val="none"/>
              </w:rPr>
              <w:t>st</w:t>
            </w:r>
            <w:r w:rsidRPr="00BA462F">
              <w:rPr>
                <w:rFonts w:ascii="Arial" w:eastAsia="Times New Roman" w:hAnsi="Arial" w:cs="Arial"/>
                <w:color w:val="000000"/>
                <w:kern w:val="0"/>
                <w:lang w:eastAsia="en-IN"/>
                <w14:ligatures w14:val="none"/>
              </w:rPr>
              <w:t xml:space="preserve"> day</w:t>
            </w:r>
          </w:p>
        </w:tc>
        <w:tc>
          <w:tcPr>
            <w:tcW w:w="1243" w:type="pct"/>
            <w:tcBorders>
              <w:left w:val="single" w:sz="4" w:space="0" w:color="auto"/>
            </w:tcBorders>
            <w:noWrap/>
            <w:vAlign w:val="bottom"/>
            <w:hideMark/>
          </w:tcPr>
          <w:p w14:paraId="6BD05834" w14:textId="77777777" w:rsidR="00C13730" w:rsidRPr="00BA462F" w:rsidRDefault="00C13730" w:rsidP="00C13730">
            <w:pPr>
              <w:jc w:val="center"/>
              <w:rPr>
                <w:rFonts w:ascii="Arial" w:hAnsi="Arial" w:cs="Arial"/>
              </w:rPr>
            </w:pPr>
            <w:r w:rsidRPr="00BA462F">
              <w:rPr>
                <w:rFonts w:ascii="Arial" w:hAnsi="Arial" w:cs="Arial"/>
                <w:color w:val="000000"/>
              </w:rPr>
              <w:t>8.73 ± 0.07</w:t>
            </w:r>
            <w:r w:rsidRPr="00BA462F">
              <w:rPr>
                <w:rFonts w:ascii="Arial" w:hAnsi="Arial" w:cs="Arial"/>
                <w:color w:val="000000"/>
                <w:vertAlign w:val="superscript"/>
              </w:rPr>
              <w:t>P</w:t>
            </w:r>
          </w:p>
        </w:tc>
        <w:tc>
          <w:tcPr>
            <w:tcW w:w="1243" w:type="pct"/>
            <w:noWrap/>
            <w:vAlign w:val="bottom"/>
            <w:hideMark/>
          </w:tcPr>
          <w:p w14:paraId="2619AF3B" w14:textId="77777777" w:rsidR="00C13730" w:rsidRPr="00BA462F" w:rsidRDefault="00C13730" w:rsidP="00C13730">
            <w:pPr>
              <w:jc w:val="center"/>
              <w:rPr>
                <w:rFonts w:ascii="Arial" w:hAnsi="Arial" w:cs="Arial"/>
              </w:rPr>
            </w:pPr>
            <w:r w:rsidRPr="00BA462F">
              <w:rPr>
                <w:rFonts w:ascii="Arial" w:hAnsi="Arial" w:cs="Arial"/>
                <w:color w:val="000000"/>
              </w:rPr>
              <w:t>8.91 ± 0.03</w:t>
            </w:r>
            <w:r w:rsidRPr="00BA462F">
              <w:rPr>
                <w:rFonts w:ascii="Arial" w:hAnsi="Arial" w:cs="Arial"/>
                <w:color w:val="000000"/>
                <w:vertAlign w:val="superscript"/>
              </w:rPr>
              <w:t>P</w:t>
            </w:r>
          </w:p>
        </w:tc>
        <w:tc>
          <w:tcPr>
            <w:tcW w:w="1275" w:type="pct"/>
            <w:noWrap/>
            <w:vAlign w:val="bottom"/>
            <w:hideMark/>
          </w:tcPr>
          <w:p w14:paraId="4264306B" w14:textId="77777777" w:rsidR="00C13730" w:rsidRPr="00BA462F" w:rsidRDefault="00C13730" w:rsidP="00C13730">
            <w:pPr>
              <w:jc w:val="center"/>
              <w:rPr>
                <w:rFonts w:ascii="Arial" w:hAnsi="Arial" w:cs="Arial"/>
              </w:rPr>
            </w:pPr>
            <w:r w:rsidRPr="00BA462F">
              <w:rPr>
                <w:rFonts w:ascii="Arial" w:hAnsi="Arial" w:cs="Arial"/>
                <w:color w:val="000000"/>
              </w:rPr>
              <w:t>8.80 ± 0.03</w:t>
            </w:r>
            <w:r w:rsidRPr="00BA462F">
              <w:rPr>
                <w:rFonts w:ascii="Arial" w:hAnsi="Arial" w:cs="Arial"/>
                <w:color w:val="000000"/>
                <w:vertAlign w:val="superscript"/>
              </w:rPr>
              <w:t>P</w:t>
            </w:r>
          </w:p>
        </w:tc>
      </w:tr>
      <w:tr w:rsidR="00C13730" w:rsidRPr="00BA462F" w14:paraId="3C9B70BE" w14:textId="77777777" w:rsidTr="00647695">
        <w:trPr>
          <w:trHeight w:val="3"/>
        </w:trPr>
        <w:tc>
          <w:tcPr>
            <w:tcW w:w="1239" w:type="pct"/>
            <w:tcBorders>
              <w:right w:val="single" w:sz="4" w:space="0" w:color="auto"/>
            </w:tcBorders>
            <w:noWrap/>
            <w:vAlign w:val="bottom"/>
            <w:hideMark/>
          </w:tcPr>
          <w:p w14:paraId="1B2C3B3D" w14:textId="6B6B0831" w:rsidR="00C13730" w:rsidRPr="00BA462F" w:rsidRDefault="00C13730" w:rsidP="00C13730">
            <w:pPr>
              <w:jc w:val="center"/>
              <w:rPr>
                <w:rFonts w:ascii="Arial" w:hAnsi="Arial" w:cs="Arial"/>
              </w:rPr>
            </w:pPr>
            <w:r w:rsidRPr="00BA462F">
              <w:rPr>
                <w:rFonts w:ascii="Arial" w:eastAsia="Times New Roman" w:hAnsi="Arial" w:cs="Arial"/>
                <w:color w:val="000000"/>
                <w:kern w:val="0"/>
                <w:lang w:eastAsia="en-IN"/>
                <w14:ligatures w14:val="none"/>
              </w:rPr>
              <w:t>28</w:t>
            </w:r>
            <w:r w:rsidRPr="00BA462F">
              <w:rPr>
                <w:rFonts w:ascii="Arial" w:eastAsia="Times New Roman" w:hAnsi="Arial" w:cs="Arial"/>
                <w:color w:val="000000"/>
                <w:kern w:val="0"/>
                <w:vertAlign w:val="superscript"/>
                <w:lang w:eastAsia="en-IN"/>
                <w14:ligatures w14:val="none"/>
              </w:rPr>
              <w:t>th</w:t>
            </w:r>
            <w:r w:rsidRPr="00BA462F">
              <w:rPr>
                <w:rFonts w:ascii="Arial" w:eastAsia="Times New Roman" w:hAnsi="Arial" w:cs="Arial"/>
                <w:color w:val="000000"/>
                <w:kern w:val="0"/>
                <w:lang w:eastAsia="en-IN"/>
                <w14:ligatures w14:val="none"/>
              </w:rPr>
              <w:t xml:space="preserve"> day</w:t>
            </w:r>
          </w:p>
        </w:tc>
        <w:tc>
          <w:tcPr>
            <w:tcW w:w="1243" w:type="pct"/>
            <w:tcBorders>
              <w:left w:val="single" w:sz="4" w:space="0" w:color="auto"/>
            </w:tcBorders>
            <w:noWrap/>
            <w:vAlign w:val="bottom"/>
            <w:hideMark/>
          </w:tcPr>
          <w:p w14:paraId="0AE94511" w14:textId="77777777" w:rsidR="00C13730" w:rsidRPr="00BA462F" w:rsidRDefault="00C13730" w:rsidP="00C13730">
            <w:pPr>
              <w:jc w:val="center"/>
              <w:rPr>
                <w:rFonts w:ascii="Arial" w:hAnsi="Arial" w:cs="Arial"/>
              </w:rPr>
            </w:pPr>
            <w:r w:rsidRPr="00BA462F">
              <w:rPr>
                <w:rFonts w:ascii="Arial" w:hAnsi="Arial" w:cs="Arial"/>
                <w:color w:val="000000"/>
              </w:rPr>
              <w:t>8.68 ± 0.05</w:t>
            </w:r>
            <w:r w:rsidRPr="00BA462F">
              <w:rPr>
                <w:rFonts w:ascii="Arial" w:hAnsi="Arial" w:cs="Arial"/>
                <w:color w:val="000000"/>
                <w:vertAlign w:val="superscript"/>
              </w:rPr>
              <w:t>e</w:t>
            </w:r>
          </w:p>
        </w:tc>
        <w:tc>
          <w:tcPr>
            <w:tcW w:w="1243" w:type="pct"/>
            <w:noWrap/>
            <w:vAlign w:val="bottom"/>
            <w:hideMark/>
          </w:tcPr>
          <w:p w14:paraId="76F9AA26" w14:textId="77777777" w:rsidR="00C13730" w:rsidRPr="00BA462F" w:rsidRDefault="00C13730" w:rsidP="00C13730">
            <w:pPr>
              <w:jc w:val="center"/>
              <w:rPr>
                <w:rFonts w:ascii="Arial" w:hAnsi="Arial" w:cs="Arial"/>
              </w:rPr>
            </w:pPr>
            <w:r w:rsidRPr="00BA462F">
              <w:rPr>
                <w:rFonts w:ascii="Arial" w:hAnsi="Arial" w:cs="Arial"/>
                <w:color w:val="000000"/>
              </w:rPr>
              <w:t>8.93 ± 0.01</w:t>
            </w:r>
            <w:r w:rsidRPr="00BA462F">
              <w:rPr>
                <w:rFonts w:ascii="Arial" w:hAnsi="Arial" w:cs="Arial"/>
                <w:color w:val="000000"/>
                <w:vertAlign w:val="superscript"/>
              </w:rPr>
              <w:t>d</w:t>
            </w:r>
          </w:p>
        </w:tc>
        <w:tc>
          <w:tcPr>
            <w:tcW w:w="1275" w:type="pct"/>
            <w:noWrap/>
            <w:vAlign w:val="bottom"/>
            <w:hideMark/>
          </w:tcPr>
          <w:p w14:paraId="63016086" w14:textId="77777777" w:rsidR="00C13730" w:rsidRPr="00BA462F" w:rsidRDefault="00C13730" w:rsidP="00C13730">
            <w:pPr>
              <w:jc w:val="center"/>
              <w:rPr>
                <w:rFonts w:ascii="Arial" w:hAnsi="Arial" w:cs="Arial"/>
              </w:rPr>
            </w:pPr>
            <w:r w:rsidRPr="00BA462F">
              <w:rPr>
                <w:rFonts w:ascii="Arial" w:hAnsi="Arial" w:cs="Arial"/>
                <w:color w:val="000000"/>
              </w:rPr>
              <w:t>8.79 ± 0.04d</w:t>
            </w:r>
            <w:r w:rsidRPr="00BA462F">
              <w:rPr>
                <w:rFonts w:ascii="Arial" w:hAnsi="Arial" w:cs="Arial"/>
                <w:color w:val="000000"/>
                <w:vertAlign w:val="superscript"/>
              </w:rPr>
              <w:t>e</w:t>
            </w:r>
          </w:p>
        </w:tc>
      </w:tr>
      <w:tr w:rsidR="00C13730" w:rsidRPr="00BA462F" w14:paraId="5BF937C6" w14:textId="77777777" w:rsidTr="00647695">
        <w:trPr>
          <w:trHeight w:val="3"/>
        </w:trPr>
        <w:tc>
          <w:tcPr>
            <w:tcW w:w="1239" w:type="pct"/>
            <w:tcBorders>
              <w:right w:val="single" w:sz="4" w:space="0" w:color="auto"/>
            </w:tcBorders>
            <w:noWrap/>
            <w:vAlign w:val="bottom"/>
            <w:hideMark/>
          </w:tcPr>
          <w:p w14:paraId="324104D0" w14:textId="4A135C74" w:rsidR="00C13730" w:rsidRPr="00BA462F" w:rsidRDefault="00C13730" w:rsidP="00C13730">
            <w:pPr>
              <w:jc w:val="center"/>
              <w:rPr>
                <w:rFonts w:ascii="Arial" w:hAnsi="Arial" w:cs="Arial"/>
              </w:rPr>
            </w:pPr>
            <w:r w:rsidRPr="00BA462F">
              <w:rPr>
                <w:rFonts w:ascii="Arial" w:eastAsia="Times New Roman" w:hAnsi="Arial" w:cs="Arial"/>
                <w:color w:val="000000"/>
                <w:kern w:val="0"/>
                <w:lang w:eastAsia="en-IN"/>
                <w14:ligatures w14:val="none"/>
              </w:rPr>
              <w:t>35</w:t>
            </w:r>
            <w:r w:rsidRPr="00BA462F">
              <w:rPr>
                <w:rFonts w:ascii="Arial" w:eastAsia="Times New Roman" w:hAnsi="Arial" w:cs="Arial"/>
                <w:color w:val="000000"/>
                <w:kern w:val="0"/>
                <w:vertAlign w:val="superscript"/>
                <w:lang w:eastAsia="en-IN"/>
                <w14:ligatures w14:val="none"/>
              </w:rPr>
              <w:t>th</w:t>
            </w:r>
            <w:r w:rsidRPr="00BA462F">
              <w:rPr>
                <w:rFonts w:ascii="Arial" w:eastAsia="Times New Roman" w:hAnsi="Arial" w:cs="Arial"/>
                <w:color w:val="000000"/>
                <w:kern w:val="0"/>
                <w:lang w:eastAsia="en-IN"/>
                <w14:ligatures w14:val="none"/>
              </w:rPr>
              <w:t xml:space="preserve"> day</w:t>
            </w:r>
          </w:p>
        </w:tc>
        <w:tc>
          <w:tcPr>
            <w:tcW w:w="1243" w:type="pct"/>
            <w:tcBorders>
              <w:left w:val="single" w:sz="4" w:space="0" w:color="auto"/>
            </w:tcBorders>
            <w:noWrap/>
            <w:vAlign w:val="bottom"/>
            <w:hideMark/>
          </w:tcPr>
          <w:p w14:paraId="03626699" w14:textId="77777777" w:rsidR="00C13730" w:rsidRPr="00BA462F" w:rsidRDefault="00C13730" w:rsidP="00C13730">
            <w:pPr>
              <w:jc w:val="center"/>
              <w:rPr>
                <w:rFonts w:ascii="Arial" w:hAnsi="Arial" w:cs="Arial"/>
              </w:rPr>
            </w:pPr>
            <w:r w:rsidRPr="00BA462F">
              <w:rPr>
                <w:rFonts w:ascii="Arial" w:hAnsi="Arial" w:cs="Arial"/>
                <w:color w:val="000000"/>
              </w:rPr>
              <w:t>8.60 ± 0.02</w:t>
            </w:r>
            <w:r w:rsidRPr="00BA462F">
              <w:rPr>
                <w:rFonts w:ascii="Arial" w:hAnsi="Arial" w:cs="Arial"/>
                <w:color w:val="000000"/>
                <w:vertAlign w:val="superscript"/>
              </w:rPr>
              <w:t>T</w:t>
            </w:r>
          </w:p>
        </w:tc>
        <w:tc>
          <w:tcPr>
            <w:tcW w:w="1243" w:type="pct"/>
            <w:noWrap/>
            <w:vAlign w:val="bottom"/>
            <w:hideMark/>
          </w:tcPr>
          <w:p w14:paraId="29961731" w14:textId="77777777" w:rsidR="00C13730" w:rsidRPr="00BA462F" w:rsidRDefault="00C13730" w:rsidP="00C13730">
            <w:pPr>
              <w:jc w:val="center"/>
              <w:rPr>
                <w:rFonts w:ascii="Arial" w:hAnsi="Arial" w:cs="Arial"/>
              </w:rPr>
            </w:pPr>
            <w:r w:rsidRPr="00BA462F">
              <w:rPr>
                <w:rFonts w:ascii="Arial" w:hAnsi="Arial" w:cs="Arial"/>
                <w:color w:val="000000"/>
              </w:rPr>
              <w:t>8.88 ± 0.02</w:t>
            </w:r>
            <w:r w:rsidRPr="00BA462F">
              <w:rPr>
                <w:rFonts w:ascii="Arial" w:hAnsi="Arial" w:cs="Arial"/>
                <w:color w:val="000000"/>
                <w:vertAlign w:val="superscript"/>
              </w:rPr>
              <w:t>S</w:t>
            </w:r>
          </w:p>
        </w:tc>
        <w:tc>
          <w:tcPr>
            <w:tcW w:w="1275" w:type="pct"/>
            <w:noWrap/>
            <w:vAlign w:val="bottom"/>
            <w:hideMark/>
          </w:tcPr>
          <w:p w14:paraId="7E046FDD" w14:textId="77777777" w:rsidR="00C13730" w:rsidRPr="00BA462F" w:rsidRDefault="00C13730" w:rsidP="00C13730">
            <w:pPr>
              <w:jc w:val="center"/>
              <w:rPr>
                <w:rFonts w:ascii="Arial" w:hAnsi="Arial" w:cs="Arial"/>
              </w:rPr>
            </w:pPr>
            <w:r w:rsidRPr="00BA462F">
              <w:rPr>
                <w:rFonts w:ascii="Arial" w:hAnsi="Arial" w:cs="Arial"/>
                <w:color w:val="000000"/>
              </w:rPr>
              <w:t>8.77 ± 0.04</w:t>
            </w:r>
            <w:r w:rsidRPr="00BA462F">
              <w:rPr>
                <w:rFonts w:ascii="Arial" w:hAnsi="Arial" w:cs="Arial"/>
                <w:color w:val="000000"/>
                <w:vertAlign w:val="superscript"/>
              </w:rPr>
              <w:t>S</w:t>
            </w:r>
          </w:p>
        </w:tc>
      </w:tr>
      <w:tr w:rsidR="00C13730" w:rsidRPr="00BA462F" w14:paraId="646C0440" w14:textId="77777777" w:rsidTr="00647695">
        <w:trPr>
          <w:trHeight w:val="3"/>
        </w:trPr>
        <w:tc>
          <w:tcPr>
            <w:tcW w:w="1239" w:type="pct"/>
            <w:tcBorders>
              <w:right w:val="single" w:sz="4" w:space="0" w:color="auto"/>
            </w:tcBorders>
            <w:noWrap/>
            <w:vAlign w:val="bottom"/>
            <w:hideMark/>
          </w:tcPr>
          <w:p w14:paraId="02DD8CB0" w14:textId="0976C0B7" w:rsidR="00C13730" w:rsidRPr="00BA462F" w:rsidRDefault="00C13730" w:rsidP="00C13730">
            <w:pPr>
              <w:jc w:val="center"/>
              <w:rPr>
                <w:rFonts w:ascii="Arial" w:hAnsi="Arial" w:cs="Arial"/>
              </w:rPr>
            </w:pPr>
            <w:r w:rsidRPr="00BA462F">
              <w:rPr>
                <w:rFonts w:ascii="Arial" w:eastAsia="Times New Roman" w:hAnsi="Arial" w:cs="Arial"/>
                <w:color w:val="000000"/>
                <w:kern w:val="0"/>
                <w:lang w:eastAsia="en-IN"/>
                <w14:ligatures w14:val="none"/>
              </w:rPr>
              <w:t>42</w:t>
            </w:r>
            <w:r w:rsidRPr="00BA462F">
              <w:rPr>
                <w:rFonts w:ascii="Arial" w:eastAsia="Times New Roman" w:hAnsi="Arial" w:cs="Arial"/>
                <w:color w:val="000000"/>
                <w:kern w:val="0"/>
                <w:vertAlign w:val="superscript"/>
                <w:lang w:eastAsia="en-IN"/>
                <w14:ligatures w14:val="none"/>
              </w:rPr>
              <w:t>nd</w:t>
            </w:r>
            <w:r w:rsidRPr="00BA462F">
              <w:rPr>
                <w:rFonts w:ascii="Arial" w:eastAsia="Times New Roman" w:hAnsi="Arial" w:cs="Arial"/>
                <w:color w:val="000000"/>
                <w:kern w:val="0"/>
                <w:lang w:eastAsia="en-IN"/>
                <w14:ligatures w14:val="none"/>
              </w:rPr>
              <w:t xml:space="preserve"> day</w:t>
            </w:r>
          </w:p>
        </w:tc>
        <w:tc>
          <w:tcPr>
            <w:tcW w:w="1243" w:type="pct"/>
            <w:tcBorders>
              <w:left w:val="single" w:sz="4" w:space="0" w:color="auto"/>
            </w:tcBorders>
            <w:noWrap/>
            <w:vAlign w:val="bottom"/>
            <w:hideMark/>
          </w:tcPr>
          <w:p w14:paraId="086AE2AE" w14:textId="77777777" w:rsidR="00C13730" w:rsidRPr="00BA462F" w:rsidRDefault="00C13730" w:rsidP="00C13730">
            <w:pPr>
              <w:jc w:val="center"/>
              <w:rPr>
                <w:rFonts w:ascii="Arial" w:hAnsi="Arial" w:cs="Arial"/>
              </w:rPr>
            </w:pPr>
            <w:r w:rsidRPr="00BA462F">
              <w:rPr>
                <w:rFonts w:ascii="Arial" w:hAnsi="Arial" w:cs="Arial"/>
                <w:color w:val="000000"/>
              </w:rPr>
              <w:t>8.57 ± 0.02</w:t>
            </w:r>
            <w:r w:rsidRPr="00BA462F">
              <w:rPr>
                <w:rFonts w:ascii="Arial" w:hAnsi="Arial" w:cs="Arial"/>
                <w:color w:val="000000"/>
                <w:vertAlign w:val="superscript"/>
              </w:rPr>
              <w:t>n</w:t>
            </w:r>
          </w:p>
        </w:tc>
        <w:tc>
          <w:tcPr>
            <w:tcW w:w="1243" w:type="pct"/>
            <w:noWrap/>
            <w:vAlign w:val="bottom"/>
            <w:hideMark/>
          </w:tcPr>
          <w:p w14:paraId="5BDF8EAE" w14:textId="77777777" w:rsidR="00C13730" w:rsidRPr="00BA462F" w:rsidRDefault="00C13730" w:rsidP="00C13730">
            <w:pPr>
              <w:jc w:val="center"/>
              <w:rPr>
                <w:rFonts w:ascii="Arial" w:hAnsi="Arial" w:cs="Arial"/>
              </w:rPr>
            </w:pPr>
            <w:r w:rsidRPr="00BA462F">
              <w:rPr>
                <w:rFonts w:ascii="Arial" w:hAnsi="Arial" w:cs="Arial"/>
                <w:color w:val="000000"/>
              </w:rPr>
              <w:t>8.83 ± 0.02</w:t>
            </w:r>
            <w:r w:rsidRPr="00BA462F">
              <w:rPr>
                <w:rFonts w:ascii="Arial" w:hAnsi="Arial" w:cs="Arial"/>
                <w:color w:val="000000"/>
                <w:vertAlign w:val="superscript"/>
              </w:rPr>
              <w:t>m</w:t>
            </w:r>
          </w:p>
        </w:tc>
        <w:tc>
          <w:tcPr>
            <w:tcW w:w="1275" w:type="pct"/>
            <w:noWrap/>
            <w:vAlign w:val="bottom"/>
            <w:hideMark/>
          </w:tcPr>
          <w:p w14:paraId="2A719284" w14:textId="77777777" w:rsidR="00C13730" w:rsidRPr="00BA462F" w:rsidRDefault="00C13730" w:rsidP="00C13730">
            <w:pPr>
              <w:jc w:val="center"/>
              <w:rPr>
                <w:rFonts w:ascii="Arial" w:hAnsi="Arial" w:cs="Arial"/>
              </w:rPr>
            </w:pPr>
            <w:r w:rsidRPr="00BA462F">
              <w:rPr>
                <w:rFonts w:ascii="Arial" w:hAnsi="Arial" w:cs="Arial"/>
                <w:color w:val="000000"/>
              </w:rPr>
              <w:t>8.74 ± 0.03</w:t>
            </w:r>
            <w:r w:rsidRPr="00BA462F">
              <w:rPr>
                <w:rFonts w:ascii="Arial" w:hAnsi="Arial" w:cs="Arial"/>
                <w:color w:val="000000"/>
                <w:vertAlign w:val="superscript"/>
              </w:rPr>
              <w:t>m</w:t>
            </w:r>
          </w:p>
        </w:tc>
      </w:tr>
      <w:tr w:rsidR="00C13730" w:rsidRPr="00BA462F" w14:paraId="7C7915A8" w14:textId="77777777" w:rsidTr="00647695">
        <w:trPr>
          <w:trHeight w:val="3"/>
        </w:trPr>
        <w:tc>
          <w:tcPr>
            <w:tcW w:w="1239" w:type="pct"/>
            <w:tcBorders>
              <w:right w:val="single" w:sz="4" w:space="0" w:color="auto"/>
            </w:tcBorders>
            <w:noWrap/>
            <w:vAlign w:val="bottom"/>
            <w:hideMark/>
          </w:tcPr>
          <w:p w14:paraId="1EEBE7F0" w14:textId="458700C1" w:rsidR="00C13730" w:rsidRPr="00BA462F" w:rsidRDefault="00C13730" w:rsidP="00C13730">
            <w:pPr>
              <w:jc w:val="center"/>
              <w:rPr>
                <w:rFonts w:ascii="Arial" w:hAnsi="Arial" w:cs="Arial"/>
              </w:rPr>
            </w:pPr>
            <w:r w:rsidRPr="00BA462F">
              <w:rPr>
                <w:rFonts w:ascii="Arial" w:eastAsia="Times New Roman" w:hAnsi="Arial" w:cs="Arial"/>
                <w:color w:val="000000"/>
                <w:kern w:val="0"/>
                <w:lang w:eastAsia="en-IN"/>
                <w14:ligatures w14:val="none"/>
              </w:rPr>
              <w:t>49</w:t>
            </w:r>
            <w:r w:rsidRPr="00BA462F">
              <w:rPr>
                <w:rFonts w:ascii="Arial" w:eastAsia="Times New Roman" w:hAnsi="Arial" w:cs="Arial"/>
                <w:color w:val="000000"/>
                <w:kern w:val="0"/>
                <w:vertAlign w:val="superscript"/>
                <w:lang w:eastAsia="en-IN"/>
                <w14:ligatures w14:val="none"/>
              </w:rPr>
              <w:t>th</w:t>
            </w:r>
            <w:r w:rsidRPr="00BA462F">
              <w:rPr>
                <w:rFonts w:ascii="Arial" w:eastAsia="Times New Roman" w:hAnsi="Arial" w:cs="Arial"/>
                <w:color w:val="000000"/>
                <w:kern w:val="0"/>
                <w:lang w:eastAsia="en-IN"/>
                <w14:ligatures w14:val="none"/>
              </w:rPr>
              <w:t xml:space="preserve"> day</w:t>
            </w:r>
          </w:p>
        </w:tc>
        <w:tc>
          <w:tcPr>
            <w:tcW w:w="1243" w:type="pct"/>
            <w:tcBorders>
              <w:left w:val="single" w:sz="4" w:space="0" w:color="auto"/>
            </w:tcBorders>
            <w:noWrap/>
            <w:vAlign w:val="bottom"/>
            <w:hideMark/>
          </w:tcPr>
          <w:p w14:paraId="5B2DB01D" w14:textId="77777777" w:rsidR="00C13730" w:rsidRPr="00BA462F" w:rsidRDefault="00C13730" w:rsidP="00C13730">
            <w:pPr>
              <w:jc w:val="center"/>
              <w:rPr>
                <w:rFonts w:ascii="Arial" w:hAnsi="Arial" w:cs="Arial"/>
              </w:rPr>
            </w:pPr>
            <w:r w:rsidRPr="00BA462F">
              <w:rPr>
                <w:rFonts w:ascii="Arial" w:hAnsi="Arial" w:cs="Arial"/>
                <w:color w:val="000000"/>
              </w:rPr>
              <w:t>8.54 ± 0.02</w:t>
            </w:r>
            <w:r w:rsidRPr="00BA462F">
              <w:rPr>
                <w:rFonts w:ascii="Arial" w:hAnsi="Arial" w:cs="Arial"/>
                <w:color w:val="000000"/>
                <w:vertAlign w:val="superscript"/>
              </w:rPr>
              <w:t>V</w:t>
            </w:r>
          </w:p>
        </w:tc>
        <w:tc>
          <w:tcPr>
            <w:tcW w:w="1243" w:type="pct"/>
            <w:noWrap/>
            <w:vAlign w:val="bottom"/>
            <w:hideMark/>
          </w:tcPr>
          <w:p w14:paraId="1F0B94C2" w14:textId="77777777" w:rsidR="00C13730" w:rsidRPr="00BA462F" w:rsidRDefault="00C13730" w:rsidP="00C13730">
            <w:pPr>
              <w:jc w:val="center"/>
              <w:rPr>
                <w:rFonts w:ascii="Arial" w:hAnsi="Arial" w:cs="Arial"/>
              </w:rPr>
            </w:pPr>
            <w:r w:rsidRPr="00BA462F">
              <w:rPr>
                <w:rFonts w:ascii="Arial" w:hAnsi="Arial" w:cs="Arial"/>
                <w:color w:val="000000"/>
              </w:rPr>
              <w:t>8.80 ± 0.03</w:t>
            </w:r>
            <w:r w:rsidRPr="00BA462F">
              <w:rPr>
                <w:rFonts w:ascii="Arial" w:hAnsi="Arial" w:cs="Arial"/>
                <w:color w:val="000000"/>
                <w:vertAlign w:val="superscript"/>
              </w:rPr>
              <w:t>U</w:t>
            </w:r>
          </w:p>
        </w:tc>
        <w:tc>
          <w:tcPr>
            <w:tcW w:w="1275" w:type="pct"/>
            <w:noWrap/>
            <w:vAlign w:val="bottom"/>
            <w:hideMark/>
          </w:tcPr>
          <w:p w14:paraId="1A568F81" w14:textId="77777777" w:rsidR="00C13730" w:rsidRPr="00BA462F" w:rsidRDefault="00C13730" w:rsidP="00C13730">
            <w:pPr>
              <w:jc w:val="center"/>
              <w:rPr>
                <w:rFonts w:ascii="Arial" w:hAnsi="Arial" w:cs="Arial"/>
              </w:rPr>
            </w:pPr>
            <w:r w:rsidRPr="00BA462F">
              <w:rPr>
                <w:rFonts w:ascii="Arial" w:hAnsi="Arial" w:cs="Arial"/>
                <w:color w:val="000000"/>
              </w:rPr>
              <w:t>8.72 ± 0.03</w:t>
            </w:r>
            <w:r w:rsidRPr="00BA462F">
              <w:rPr>
                <w:rFonts w:ascii="Arial" w:hAnsi="Arial" w:cs="Arial"/>
                <w:color w:val="000000"/>
                <w:vertAlign w:val="superscript"/>
              </w:rPr>
              <w:t>U</w:t>
            </w:r>
          </w:p>
        </w:tc>
      </w:tr>
      <w:tr w:rsidR="00C13730" w:rsidRPr="00BA462F" w14:paraId="02214295" w14:textId="77777777" w:rsidTr="00647695">
        <w:trPr>
          <w:trHeight w:val="3"/>
        </w:trPr>
        <w:tc>
          <w:tcPr>
            <w:tcW w:w="1239" w:type="pct"/>
            <w:tcBorders>
              <w:right w:val="single" w:sz="4" w:space="0" w:color="auto"/>
            </w:tcBorders>
            <w:noWrap/>
            <w:vAlign w:val="bottom"/>
            <w:hideMark/>
          </w:tcPr>
          <w:p w14:paraId="4C40B8CE" w14:textId="7177F255" w:rsidR="00C13730" w:rsidRPr="00BA462F" w:rsidRDefault="00C13730" w:rsidP="00C13730">
            <w:pPr>
              <w:jc w:val="center"/>
              <w:rPr>
                <w:rFonts w:ascii="Arial" w:hAnsi="Arial" w:cs="Arial"/>
              </w:rPr>
            </w:pPr>
            <w:r w:rsidRPr="00BA462F">
              <w:rPr>
                <w:rFonts w:ascii="Arial" w:eastAsia="Times New Roman" w:hAnsi="Arial" w:cs="Arial"/>
                <w:color w:val="000000"/>
                <w:kern w:val="0"/>
                <w:lang w:eastAsia="en-IN"/>
                <w14:ligatures w14:val="none"/>
              </w:rPr>
              <w:t>56</w:t>
            </w:r>
            <w:r w:rsidRPr="00BA462F">
              <w:rPr>
                <w:rFonts w:ascii="Arial" w:eastAsia="Times New Roman" w:hAnsi="Arial" w:cs="Arial"/>
                <w:color w:val="000000"/>
                <w:kern w:val="0"/>
                <w:vertAlign w:val="superscript"/>
                <w:lang w:eastAsia="en-IN"/>
                <w14:ligatures w14:val="none"/>
              </w:rPr>
              <w:t>th</w:t>
            </w:r>
            <w:r w:rsidRPr="00BA462F">
              <w:rPr>
                <w:rFonts w:ascii="Arial" w:eastAsia="Times New Roman" w:hAnsi="Arial" w:cs="Arial"/>
                <w:color w:val="000000"/>
                <w:kern w:val="0"/>
                <w:lang w:eastAsia="en-IN"/>
                <w14:ligatures w14:val="none"/>
              </w:rPr>
              <w:t xml:space="preserve"> day</w:t>
            </w:r>
          </w:p>
        </w:tc>
        <w:tc>
          <w:tcPr>
            <w:tcW w:w="1243" w:type="pct"/>
            <w:tcBorders>
              <w:left w:val="single" w:sz="4" w:space="0" w:color="auto"/>
            </w:tcBorders>
            <w:noWrap/>
            <w:vAlign w:val="bottom"/>
            <w:hideMark/>
          </w:tcPr>
          <w:p w14:paraId="69FE8A87" w14:textId="77777777" w:rsidR="00C13730" w:rsidRPr="00BA462F" w:rsidRDefault="00C13730" w:rsidP="00C13730">
            <w:pPr>
              <w:jc w:val="center"/>
              <w:rPr>
                <w:rFonts w:ascii="Arial" w:hAnsi="Arial" w:cs="Arial"/>
              </w:rPr>
            </w:pPr>
            <w:r w:rsidRPr="00BA462F">
              <w:rPr>
                <w:rFonts w:ascii="Arial" w:hAnsi="Arial" w:cs="Arial"/>
                <w:color w:val="000000"/>
              </w:rPr>
              <w:t>8.51 ± 0.02</w:t>
            </w:r>
            <w:r w:rsidRPr="00BA462F">
              <w:rPr>
                <w:rFonts w:ascii="Arial" w:hAnsi="Arial" w:cs="Arial"/>
                <w:color w:val="000000"/>
                <w:vertAlign w:val="superscript"/>
              </w:rPr>
              <w:t>z</w:t>
            </w:r>
          </w:p>
        </w:tc>
        <w:tc>
          <w:tcPr>
            <w:tcW w:w="1243" w:type="pct"/>
            <w:noWrap/>
            <w:vAlign w:val="bottom"/>
            <w:hideMark/>
          </w:tcPr>
          <w:p w14:paraId="7F08F2AB" w14:textId="77777777" w:rsidR="00C13730" w:rsidRPr="00BA462F" w:rsidRDefault="00C13730" w:rsidP="00C13730">
            <w:pPr>
              <w:jc w:val="center"/>
              <w:rPr>
                <w:rFonts w:ascii="Arial" w:hAnsi="Arial" w:cs="Arial"/>
              </w:rPr>
            </w:pPr>
            <w:r w:rsidRPr="00BA462F">
              <w:rPr>
                <w:rFonts w:ascii="Arial" w:hAnsi="Arial" w:cs="Arial"/>
                <w:color w:val="000000"/>
              </w:rPr>
              <w:t>8.78 ± 0.03</w:t>
            </w:r>
            <w:r w:rsidRPr="00BA462F">
              <w:rPr>
                <w:rFonts w:ascii="Arial" w:hAnsi="Arial" w:cs="Arial"/>
                <w:color w:val="000000"/>
                <w:vertAlign w:val="superscript"/>
              </w:rPr>
              <w:t>y</w:t>
            </w:r>
          </w:p>
        </w:tc>
        <w:tc>
          <w:tcPr>
            <w:tcW w:w="1275" w:type="pct"/>
            <w:noWrap/>
            <w:vAlign w:val="bottom"/>
            <w:hideMark/>
          </w:tcPr>
          <w:p w14:paraId="1552865B" w14:textId="77777777" w:rsidR="00C13730" w:rsidRPr="00BA462F" w:rsidRDefault="00C13730" w:rsidP="00C13730">
            <w:pPr>
              <w:jc w:val="center"/>
              <w:rPr>
                <w:rFonts w:ascii="Arial" w:hAnsi="Arial" w:cs="Arial"/>
              </w:rPr>
            </w:pPr>
            <w:r w:rsidRPr="00BA462F">
              <w:rPr>
                <w:rFonts w:ascii="Arial" w:hAnsi="Arial" w:cs="Arial"/>
                <w:color w:val="000000"/>
              </w:rPr>
              <w:t>8.69 ± 0.03</w:t>
            </w:r>
            <w:r w:rsidRPr="00BA462F">
              <w:rPr>
                <w:rFonts w:ascii="Arial" w:hAnsi="Arial" w:cs="Arial"/>
                <w:color w:val="000000"/>
                <w:vertAlign w:val="superscript"/>
              </w:rPr>
              <w:t>y</w:t>
            </w:r>
          </w:p>
        </w:tc>
      </w:tr>
      <w:tr w:rsidR="00C13730" w:rsidRPr="00BA462F" w14:paraId="7B78E3E1" w14:textId="77777777" w:rsidTr="00647695">
        <w:trPr>
          <w:trHeight w:val="3"/>
        </w:trPr>
        <w:tc>
          <w:tcPr>
            <w:tcW w:w="1239" w:type="pct"/>
            <w:tcBorders>
              <w:bottom w:val="single" w:sz="4" w:space="0" w:color="auto"/>
              <w:right w:val="single" w:sz="4" w:space="0" w:color="auto"/>
            </w:tcBorders>
            <w:noWrap/>
            <w:vAlign w:val="bottom"/>
            <w:hideMark/>
          </w:tcPr>
          <w:p w14:paraId="51040041" w14:textId="75FB9D11" w:rsidR="00C13730" w:rsidRPr="00BA462F" w:rsidRDefault="00C13730" w:rsidP="00C13730">
            <w:pPr>
              <w:jc w:val="center"/>
              <w:rPr>
                <w:rFonts w:ascii="Arial" w:hAnsi="Arial" w:cs="Arial"/>
              </w:rPr>
            </w:pPr>
            <w:r w:rsidRPr="00BA462F">
              <w:rPr>
                <w:rFonts w:ascii="Arial" w:eastAsia="Times New Roman" w:hAnsi="Arial" w:cs="Arial"/>
                <w:color w:val="000000"/>
                <w:kern w:val="0"/>
                <w:lang w:eastAsia="en-IN"/>
                <w14:ligatures w14:val="none"/>
              </w:rPr>
              <w:t>63</w:t>
            </w:r>
            <w:r w:rsidRPr="00BA462F">
              <w:rPr>
                <w:rFonts w:ascii="Arial" w:eastAsia="Times New Roman" w:hAnsi="Arial" w:cs="Arial"/>
                <w:color w:val="000000"/>
                <w:kern w:val="0"/>
                <w:vertAlign w:val="superscript"/>
                <w:lang w:eastAsia="en-IN"/>
                <w14:ligatures w14:val="none"/>
              </w:rPr>
              <w:t>rd</w:t>
            </w:r>
            <w:r w:rsidRPr="00BA462F">
              <w:rPr>
                <w:rFonts w:ascii="Arial" w:eastAsia="Times New Roman" w:hAnsi="Arial" w:cs="Arial"/>
                <w:color w:val="000000"/>
                <w:kern w:val="0"/>
                <w:lang w:eastAsia="en-IN"/>
                <w14:ligatures w14:val="none"/>
              </w:rPr>
              <w:t xml:space="preserve"> day</w:t>
            </w:r>
          </w:p>
        </w:tc>
        <w:tc>
          <w:tcPr>
            <w:tcW w:w="1243" w:type="pct"/>
            <w:tcBorders>
              <w:left w:val="single" w:sz="4" w:space="0" w:color="auto"/>
              <w:bottom w:val="single" w:sz="4" w:space="0" w:color="auto"/>
            </w:tcBorders>
            <w:noWrap/>
            <w:vAlign w:val="bottom"/>
            <w:hideMark/>
          </w:tcPr>
          <w:p w14:paraId="218AAB50" w14:textId="77777777" w:rsidR="00C13730" w:rsidRPr="00BA462F" w:rsidRDefault="00C13730" w:rsidP="00C13730">
            <w:pPr>
              <w:jc w:val="center"/>
              <w:rPr>
                <w:rFonts w:ascii="Arial" w:hAnsi="Arial" w:cs="Arial"/>
              </w:rPr>
            </w:pPr>
            <w:r w:rsidRPr="00BA462F">
              <w:rPr>
                <w:rFonts w:ascii="Arial" w:hAnsi="Arial" w:cs="Arial"/>
                <w:color w:val="000000"/>
              </w:rPr>
              <w:t>8.49 ± 0.02</w:t>
            </w:r>
            <w:r w:rsidRPr="00BA462F">
              <w:rPr>
                <w:rFonts w:ascii="Arial" w:hAnsi="Arial" w:cs="Arial"/>
                <w:color w:val="000000"/>
                <w:vertAlign w:val="superscript"/>
              </w:rPr>
              <w:t>E</w:t>
            </w:r>
          </w:p>
        </w:tc>
        <w:tc>
          <w:tcPr>
            <w:tcW w:w="1243" w:type="pct"/>
            <w:tcBorders>
              <w:bottom w:val="single" w:sz="4" w:space="0" w:color="auto"/>
            </w:tcBorders>
            <w:noWrap/>
            <w:vAlign w:val="bottom"/>
            <w:hideMark/>
          </w:tcPr>
          <w:p w14:paraId="6B583046" w14:textId="77777777" w:rsidR="00C13730" w:rsidRPr="00BA462F" w:rsidRDefault="00C13730" w:rsidP="00C13730">
            <w:pPr>
              <w:jc w:val="center"/>
              <w:rPr>
                <w:rFonts w:ascii="Arial" w:hAnsi="Arial" w:cs="Arial"/>
              </w:rPr>
            </w:pPr>
            <w:r w:rsidRPr="00BA462F">
              <w:rPr>
                <w:rFonts w:ascii="Arial" w:hAnsi="Arial" w:cs="Arial"/>
                <w:color w:val="000000"/>
              </w:rPr>
              <w:t>8.75 ± 0.03</w:t>
            </w:r>
            <w:r w:rsidRPr="00BA462F">
              <w:rPr>
                <w:rFonts w:ascii="Arial" w:hAnsi="Arial" w:cs="Arial"/>
                <w:color w:val="000000"/>
                <w:vertAlign w:val="superscript"/>
              </w:rPr>
              <w:t>D</w:t>
            </w:r>
          </w:p>
        </w:tc>
        <w:tc>
          <w:tcPr>
            <w:tcW w:w="1275" w:type="pct"/>
            <w:tcBorders>
              <w:bottom w:val="single" w:sz="4" w:space="0" w:color="auto"/>
            </w:tcBorders>
            <w:noWrap/>
            <w:vAlign w:val="bottom"/>
            <w:hideMark/>
          </w:tcPr>
          <w:p w14:paraId="3140D309" w14:textId="77777777" w:rsidR="00C13730" w:rsidRPr="00BA462F" w:rsidRDefault="00C13730" w:rsidP="00C13730">
            <w:pPr>
              <w:jc w:val="center"/>
              <w:rPr>
                <w:rFonts w:ascii="Arial" w:hAnsi="Arial" w:cs="Arial"/>
              </w:rPr>
            </w:pPr>
            <w:r w:rsidRPr="00BA462F">
              <w:rPr>
                <w:rFonts w:ascii="Arial" w:hAnsi="Arial" w:cs="Arial"/>
                <w:color w:val="000000"/>
              </w:rPr>
              <w:t>8.67 ± 0.03</w:t>
            </w:r>
            <w:r w:rsidRPr="00BA462F">
              <w:rPr>
                <w:rFonts w:ascii="Arial" w:hAnsi="Arial" w:cs="Arial"/>
                <w:color w:val="000000"/>
                <w:vertAlign w:val="superscript"/>
              </w:rPr>
              <w:t>D</w:t>
            </w:r>
          </w:p>
        </w:tc>
      </w:tr>
    </w:tbl>
    <w:p w14:paraId="55D42834" w14:textId="421E5278" w:rsidR="00ED2DA0" w:rsidRDefault="00ED2DA0" w:rsidP="00915BCB">
      <w:pPr>
        <w:spacing w:after="4" w:line="249" w:lineRule="auto"/>
        <w:ind w:left="-5" w:right="-123" w:hanging="10"/>
        <w:jc w:val="center"/>
        <w:rPr>
          <w:rFonts w:ascii="Arial" w:hAnsi="Arial" w:cs="Arial"/>
          <w:bCs/>
          <w:sz w:val="20"/>
          <w:szCs w:val="20"/>
        </w:rPr>
      </w:pPr>
      <w:r w:rsidRPr="008A16D3">
        <w:rPr>
          <w:rFonts w:ascii="Arial" w:hAnsi="Arial" w:cs="Arial"/>
          <w:sz w:val="20"/>
          <w:szCs w:val="20"/>
        </w:rPr>
        <w:t>(</w:t>
      </w:r>
      <w:r w:rsidRPr="008A16D3">
        <w:rPr>
          <w:rFonts w:ascii="Arial" w:hAnsi="Arial" w:cs="Arial"/>
          <w:bCs/>
          <w:sz w:val="20"/>
          <w:szCs w:val="20"/>
        </w:rPr>
        <w:t xml:space="preserve">*Note </w:t>
      </w:r>
      <w:r w:rsidR="00DA6F8B">
        <w:rPr>
          <w:rFonts w:ascii="Arial" w:hAnsi="Arial" w:cs="Arial"/>
          <w:bCs/>
          <w:sz w:val="20"/>
          <w:szCs w:val="20"/>
        </w:rPr>
        <w:t xml:space="preserve">C= Control, </w:t>
      </w:r>
      <w:r w:rsidRPr="008A16D3">
        <w:rPr>
          <w:rFonts w:ascii="Arial" w:hAnsi="Arial" w:cs="Arial"/>
          <w:bCs/>
          <w:sz w:val="20"/>
          <w:szCs w:val="20"/>
        </w:rPr>
        <w:t xml:space="preserve">T1= Bio-floc (20:1), </w:t>
      </w:r>
      <w:r w:rsidR="00A96EE9">
        <w:rPr>
          <w:rFonts w:ascii="Arial" w:hAnsi="Arial" w:cs="Arial"/>
          <w:bCs/>
          <w:sz w:val="20"/>
          <w:szCs w:val="20"/>
        </w:rPr>
        <w:t>T2</w:t>
      </w:r>
      <w:r w:rsidRPr="008A16D3">
        <w:rPr>
          <w:rFonts w:ascii="Arial" w:hAnsi="Arial" w:cs="Arial"/>
          <w:bCs/>
          <w:sz w:val="20"/>
          <w:szCs w:val="20"/>
        </w:rPr>
        <w:t>=Biofloc (20:1) + 0.5% Jeevamruth; The mean values followed by the different superscript letters in each factor indicate significant difference at 0.05.)</w:t>
      </w:r>
    </w:p>
    <w:p w14:paraId="1CAB9D18" w14:textId="77777777" w:rsidR="00F258CD" w:rsidRPr="006079B2" w:rsidRDefault="00F258CD" w:rsidP="00E61B4E">
      <w:pPr>
        <w:rPr>
          <w:rFonts w:ascii="Arial" w:hAnsi="Arial" w:cs="Arial"/>
          <w:b/>
          <w:bCs/>
        </w:rPr>
      </w:pPr>
    </w:p>
    <w:p w14:paraId="2C6E7147" w14:textId="73E640F0" w:rsidR="00D92933" w:rsidRPr="006079B2" w:rsidRDefault="005E1806" w:rsidP="00E61B4E">
      <w:pPr>
        <w:rPr>
          <w:rFonts w:ascii="Arial" w:hAnsi="Arial" w:cs="Arial"/>
          <w:b/>
          <w:bCs/>
        </w:rPr>
      </w:pPr>
      <w:r>
        <w:rPr>
          <w:rFonts w:ascii="Arial" w:hAnsi="Arial" w:cs="Arial"/>
          <w:noProof/>
        </w:rPr>
        <mc:AlternateContent>
          <mc:Choice Requires="wpg">
            <w:drawing>
              <wp:anchor distT="0" distB="0" distL="114300" distR="114300" simplePos="0" relativeHeight="251691008" behindDoc="0" locked="0" layoutInCell="1" allowOverlap="1" wp14:anchorId="78C0C4CB" wp14:editId="7319B0F8">
                <wp:simplePos x="0" y="0"/>
                <wp:positionH relativeFrom="margin">
                  <wp:posOffset>2433320</wp:posOffset>
                </wp:positionH>
                <wp:positionV relativeFrom="paragraph">
                  <wp:posOffset>2999740</wp:posOffset>
                </wp:positionV>
                <wp:extent cx="869950" cy="204470"/>
                <wp:effectExtent l="0" t="0" r="25400" b="24130"/>
                <wp:wrapNone/>
                <wp:docPr id="1774164064" name="Group 9"/>
                <wp:cNvGraphicFramePr/>
                <a:graphic xmlns:a="http://schemas.openxmlformats.org/drawingml/2006/main">
                  <a:graphicData uri="http://schemas.microsoft.com/office/word/2010/wordprocessingGroup">
                    <wpg:wgp>
                      <wpg:cNvGrpSpPr/>
                      <wpg:grpSpPr>
                        <a:xfrm>
                          <a:off x="0" y="0"/>
                          <a:ext cx="869950" cy="204470"/>
                          <a:chOff x="0" y="0"/>
                          <a:chExt cx="869950" cy="204470"/>
                        </a:xfrm>
                      </wpg:grpSpPr>
                      <wps:wsp>
                        <wps:cNvPr id="1423408487" name="Text Box 4"/>
                        <wps:cNvSpPr txBox="1"/>
                        <wps:spPr>
                          <a:xfrm>
                            <a:off x="0" y="0"/>
                            <a:ext cx="869950" cy="204470"/>
                          </a:xfrm>
                          <a:prstGeom prst="rect">
                            <a:avLst/>
                          </a:prstGeom>
                          <a:solidFill>
                            <a:schemeClr val="lt1"/>
                          </a:solidFill>
                          <a:ln w="12700">
                            <a:solidFill>
                              <a:prstClr val="black"/>
                            </a:solidFill>
                          </a:ln>
                        </wps:spPr>
                        <wps:txbx>
                          <w:txbxContent>
                            <w:p w14:paraId="3051382C" w14:textId="77777777" w:rsidR="00B435F6" w:rsidRPr="00015425" w:rsidRDefault="00B435F6" w:rsidP="005E1806">
                              <w:pPr>
                                <w:rPr>
                                  <w:color w:val="808080" w:themeColor="background1" w:themeShade="80"/>
                                  <w:sz w:val="16"/>
                                  <w:szCs w:val="16"/>
                                  <w:lang w:val="en-US"/>
                                </w:rPr>
                              </w:pPr>
                              <w:r w:rsidRPr="00015425">
                                <w:rPr>
                                  <w:color w:val="808080" w:themeColor="background1" w:themeShade="80"/>
                                  <w:sz w:val="16"/>
                                  <w:szCs w:val="16"/>
                                  <w:lang w:val="en-US"/>
                                </w:rPr>
                                <w:t xml:space="preserve">    C       T1</w:t>
                              </w:r>
                              <w:r w:rsidRPr="00015425">
                                <w:rPr>
                                  <w:color w:val="808080" w:themeColor="background1" w:themeShade="80"/>
                                  <w:sz w:val="16"/>
                                  <w:szCs w:val="16"/>
                                  <w:lang w:val="en-US"/>
                                </w:rPr>
                                <w:tab/>
                                <w:t xml:space="preserve">     T2</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688712057" name="Rectangle 5"/>
                        <wps:cNvSpPr/>
                        <wps:spPr>
                          <a:xfrm>
                            <a:off x="98854" y="89586"/>
                            <a:ext cx="60960" cy="60960"/>
                          </a:xfrm>
                          <a:prstGeom prst="rect">
                            <a:avLst/>
                          </a:prstGeom>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259855708" name="Rectangle 5"/>
                        <wps:cNvSpPr/>
                        <wps:spPr>
                          <a:xfrm>
                            <a:off x="315097" y="89586"/>
                            <a:ext cx="60960" cy="60960"/>
                          </a:xfrm>
                          <a:prstGeom prst="rect">
                            <a:avLst/>
                          </a:prstGeom>
                          <a:solidFill>
                            <a:schemeClr val="accent2"/>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970529972" name="Rectangle 5"/>
                        <wps:cNvSpPr/>
                        <wps:spPr>
                          <a:xfrm>
                            <a:off x="574589" y="86497"/>
                            <a:ext cx="60960" cy="60960"/>
                          </a:xfrm>
                          <a:prstGeom prst="rect">
                            <a:avLst/>
                          </a:prstGeom>
                          <a:solidFill>
                            <a:schemeClr val="bg1">
                              <a:lumMod val="65000"/>
                            </a:schemeClr>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78C0C4CB" id="_x0000_s1031" style="position:absolute;margin-left:191.6pt;margin-top:236.2pt;width:68.5pt;height:16.1pt;z-index:251691008;mso-position-horizontal-relative:margin;mso-width-relative:margin;mso-height-relative:margin" coordsize="8699,204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">
                <v:shape id="_x0000_s1032" type="#_x0000_t202" style="position:absolute;width:8699;height:20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" fillcolor="white [3201]" strokeweight="1pt">
                  <v:textbox>
                    <w:txbxContent>
                      <w:p w14:paraId="3051382C" w14:textId="77777777" w:rsidR="00B435F6" w:rsidRPr="00015425" w:rsidRDefault="00B435F6" w:rsidP="005E1806">
                        <w:pPr>
                          <w:rPr>
                            <w:color w:val="808080" w:themeColor="background1" w:themeShade="80"/>
                            <w:sz w:val="16"/>
                            <w:szCs w:val="16"/>
                            <w:lang w:val="en-US"/>
                          </w:rPr>
                        </w:pPr>
                        <w:r w:rsidRPr="00015425">
                          <w:rPr>
                            <w:color w:val="808080" w:themeColor="background1" w:themeShade="80"/>
                            <w:sz w:val="16"/>
                            <w:szCs w:val="16"/>
                            <w:lang w:val="en-US"/>
                          </w:rPr>
                          <w:t xml:space="preserve">    C       T1</w:t>
                        </w:r>
                        <w:r w:rsidRPr="00015425">
                          <w:rPr>
                            <w:color w:val="808080" w:themeColor="background1" w:themeShade="80"/>
                            <w:sz w:val="16"/>
                            <w:szCs w:val="16"/>
                            <w:lang w:val="en-US"/>
                          </w:rPr>
                          <w:tab/>
                          <w:t xml:space="preserve">     T2</w:t>
                        </w:r>
                      </w:p>
                    </w:txbxContent>
                  </v:textbox>
                </v:shape>
                <v:rect id="Rectangle 5" o:spid="_x0000_s1033" style="position:absolute;left:988;top:895;width:610;height:61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" fillcolor="#4472c4 [3204]" stroked="f" strokeweight="1pt"/>
                <v:rect id="Rectangle 5" o:spid="_x0000_s1034" style="position:absolute;left:3150;top:895;width:610;height:61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" fillcolor="#ed7d31 [3205]" stroked="f" strokeweight="1pt"/>
                <v:rect id="Rectangle 5" o:spid="_x0000_s1035" style="position:absolute;left:5745;top:864;width:610;height:61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" fillcolor="#a5a5a5 [2092]" stroked="f" strokeweight="1pt"/>
                <w10:wrap anchorx="margin"/>
              </v:group>
            </w:pict>
          </mc:Fallback>
        </mc:AlternateContent>
      </w:r>
      <w:r w:rsidR="00D92933" w:rsidRPr="006079B2">
        <w:rPr>
          <w:rFonts w:ascii="Arial" w:hAnsi="Arial" w:cs="Arial"/>
          <w:b/>
          <w:bCs/>
          <w:noProof/>
        </w:rPr>
        <w:drawing>
          <wp:inline distT="0" distB="0" distL="0" distR="0" wp14:anchorId="2717E04A" wp14:editId="5F718969">
            <wp:extent cx="5486400" cy="3048000"/>
            <wp:effectExtent l="0" t="0" r="0" b="0"/>
            <wp:docPr id="1829997434"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p>
    <w:p w14:paraId="3319E0C1" w14:textId="77777777" w:rsidR="00726987" w:rsidRDefault="00726987" w:rsidP="00726987">
      <w:pPr>
        <w:spacing w:line="360" w:lineRule="auto"/>
        <w:jc w:val="center"/>
        <w:rPr>
          <w:rFonts w:ascii="Arial" w:hAnsi="Arial" w:cs="Arial"/>
          <w:b/>
          <w:sz w:val="20"/>
          <w:szCs w:val="20"/>
        </w:rPr>
      </w:pPr>
    </w:p>
    <w:p w14:paraId="077D859C" w14:textId="6473CCD3" w:rsidR="00726987" w:rsidRDefault="00726987" w:rsidP="00726987">
      <w:pPr>
        <w:spacing w:line="360" w:lineRule="auto"/>
        <w:jc w:val="center"/>
        <w:rPr>
          <w:rFonts w:ascii="Arial" w:hAnsi="Arial" w:cs="Arial"/>
          <w:b/>
          <w:sz w:val="20"/>
          <w:szCs w:val="20"/>
        </w:rPr>
      </w:pPr>
      <w:r w:rsidRPr="00A152F0">
        <w:rPr>
          <w:rFonts w:ascii="Arial" w:hAnsi="Arial" w:cs="Arial"/>
          <w:b/>
          <w:sz w:val="20"/>
          <w:szCs w:val="20"/>
        </w:rPr>
        <w:t xml:space="preserve">Figure </w:t>
      </w:r>
      <w:r w:rsidR="00CB4450">
        <w:rPr>
          <w:rFonts w:ascii="Arial" w:hAnsi="Arial" w:cs="Arial"/>
          <w:b/>
          <w:sz w:val="20"/>
          <w:szCs w:val="20"/>
        </w:rPr>
        <w:t>2</w:t>
      </w:r>
      <w:r w:rsidRPr="00A152F0">
        <w:rPr>
          <w:rFonts w:ascii="Arial" w:hAnsi="Arial" w:cs="Arial"/>
          <w:b/>
          <w:sz w:val="20"/>
          <w:szCs w:val="20"/>
        </w:rPr>
        <w:t>:</w:t>
      </w:r>
      <w:r>
        <w:rPr>
          <w:rFonts w:ascii="Arial" w:hAnsi="Arial" w:cs="Arial"/>
          <w:b/>
          <w:sz w:val="20"/>
          <w:szCs w:val="20"/>
        </w:rPr>
        <w:t xml:space="preserve"> </w:t>
      </w:r>
      <w:r w:rsidRPr="00224BC0">
        <w:rPr>
          <w:rFonts w:ascii="Arial" w:hAnsi="Arial" w:cs="Arial"/>
          <w:b/>
          <w:sz w:val="20"/>
          <w:szCs w:val="20"/>
        </w:rPr>
        <w:t xml:space="preserve">Average </w:t>
      </w:r>
      <w:r w:rsidR="00CB4450">
        <w:rPr>
          <w:rFonts w:ascii="Arial" w:hAnsi="Arial" w:cs="Arial"/>
          <w:b/>
          <w:sz w:val="20"/>
          <w:szCs w:val="20"/>
        </w:rPr>
        <w:t xml:space="preserve">pH </w:t>
      </w:r>
      <w:r w:rsidRPr="00224BC0">
        <w:rPr>
          <w:rFonts w:ascii="Arial" w:hAnsi="Arial" w:cs="Arial"/>
          <w:b/>
          <w:sz w:val="20"/>
          <w:szCs w:val="20"/>
        </w:rPr>
        <w:t>Value Recorded During the Experiment</w:t>
      </w:r>
    </w:p>
    <w:p w14:paraId="72BFA8B5" w14:textId="6CDE4F79" w:rsidR="00225876" w:rsidRPr="005660C5" w:rsidRDefault="00225876" w:rsidP="00225876">
      <w:pPr>
        <w:spacing w:line="276" w:lineRule="auto"/>
        <w:ind w:firstLine="720"/>
        <w:jc w:val="both"/>
        <w:rPr>
          <w:rFonts w:ascii="Arial" w:hAnsi="Arial" w:cs="Arial"/>
          <w:sz w:val="20"/>
          <w:szCs w:val="20"/>
        </w:rPr>
      </w:pPr>
      <w:r w:rsidRPr="005660C5">
        <w:rPr>
          <w:rFonts w:ascii="Arial" w:hAnsi="Arial" w:cs="Arial"/>
          <w:sz w:val="20"/>
          <w:szCs w:val="20"/>
        </w:rPr>
        <w:t>pH values remained alkaline, ranging from 7.99 to 8.93 across treatments. Biofloc-based treatments (T1 and T2) exhibited relatively higher and more stable pH values compared to the control. The stability of pH in Jeevamruth-treated tanks suggests enhanced buffering capacity associated with microbial activity. All pH values were within acceptable limits for freshwater aquaculture as per standard water quality guidelines (APHA, 1998; Boyd, 2020).</w:t>
      </w:r>
    </w:p>
    <w:p w14:paraId="0395A40B" w14:textId="77777777" w:rsidR="00225876" w:rsidRDefault="00225876" w:rsidP="00225876">
      <w:pPr>
        <w:spacing w:line="276" w:lineRule="auto"/>
        <w:ind w:firstLine="720"/>
        <w:jc w:val="both"/>
        <w:rPr>
          <w:rFonts w:ascii="Arial" w:hAnsi="Arial" w:cs="Arial"/>
          <w:b/>
          <w:sz w:val="20"/>
          <w:szCs w:val="20"/>
          <w:u w:val="single"/>
        </w:rPr>
      </w:pPr>
    </w:p>
    <w:p w14:paraId="44C4D4F9" w14:textId="1E7C4AE5" w:rsidR="00702619" w:rsidRPr="00E05B72" w:rsidRDefault="00E05B72" w:rsidP="00E05B72">
      <w:pPr>
        <w:spacing w:line="360" w:lineRule="auto"/>
        <w:rPr>
          <w:rFonts w:ascii="Arial" w:hAnsi="Arial" w:cs="Arial"/>
          <w:b/>
          <w:sz w:val="20"/>
          <w:szCs w:val="20"/>
          <w:u w:val="single"/>
        </w:rPr>
      </w:pPr>
      <w:r>
        <w:rPr>
          <w:rFonts w:ascii="Arial" w:hAnsi="Arial" w:cs="Arial"/>
          <w:b/>
          <w:sz w:val="20"/>
          <w:szCs w:val="20"/>
          <w:u w:val="single"/>
        </w:rPr>
        <w:t xml:space="preserve">3.1.3 </w:t>
      </w:r>
      <w:r w:rsidR="00702619" w:rsidRPr="00E05B72">
        <w:rPr>
          <w:rFonts w:ascii="Arial" w:hAnsi="Arial" w:cs="Arial"/>
          <w:b/>
          <w:sz w:val="20"/>
          <w:szCs w:val="20"/>
          <w:u w:val="single"/>
        </w:rPr>
        <w:t xml:space="preserve">Average </w:t>
      </w:r>
      <w:r w:rsidR="00915BCB" w:rsidRPr="00E05B72">
        <w:rPr>
          <w:rFonts w:ascii="Arial" w:hAnsi="Arial" w:cs="Arial"/>
          <w:b/>
          <w:sz w:val="20"/>
          <w:szCs w:val="20"/>
          <w:u w:val="single"/>
        </w:rPr>
        <w:t>TDS</w:t>
      </w:r>
      <w:r w:rsidR="00915BCB">
        <w:rPr>
          <w:rFonts w:ascii="Arial" w:hAnsi="Arial" w:cs="Arial"/>
          <w:b/>
          <w:sz w:val="20"/>
          <w:szCs w:val="20"/>
          <w:u w:val="single"/>
        </w:rPr>
        <w:t xml:space="preserve"> (</w:t>
      </w:r>
      <w:r w:rsidR="00F22A46">
        <w:rPr>
          <w:rFonts w:ascii="Arial" w:hAnsi="Arial" w:cs="Arial"/>
          <w:b/>
          <w:sz w:val="20"/>
          <w:szCs w:val="20"/>
          <w:u w:val="single"/>
        </w:rPr>
        <w:t>ppm)</w:t>
      </w:r>
      <w:r w:rsidR="00702619" w:rsidRPr="00E05B72">
        <w:rPr>
          <w:rFonts w:ascii="Arial" w:hAnsi="Arial" w:cs="Arial"/>
          <w:b/>
          <w:sz w:val="20"/>
          <w:szCs w:val="20"/>
          <w:u w:val="single"/>
        </w:rPr>
        <w:t xml:space="preserve"> Value Recorded During Experiment Period.</w:t>
      </w:r>
    </w:p>
    <w:tbl>
      <w:tblPr>
        <w:tblStyle w:val="Tablaconcuadrcula"/>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83"/>
        <w:gridCol w:w="2388"/>
        <w:gridCol w:w="2367"/>
        <w:gridCol w:w="2388"/>
      </w:tblGrid>
      <w:tr w:rsidR="00702619" w:rsidRPr="00BA462F" w14:paraId="6B9014C7" w14:textId="77777777" w:rsidTr="00E12DEF">
        <w:trPr>
          <w:trHeight w:val="18"/>
        </w:trPr>
        <w:tc>
          <w:tcPr>
            <w:tcW w:w="5000" w:type="pct"/>
            <w:gridSpan w:val="4"/>
            <w:noWrap/>
            <w:hideMark/>
          </w:tcPr>
          <w:p w14:paraId="4E2B3B55" w14:textId="0436EB9E" w:rsidR="00702619" w:rsidRPr="00BA462F" w:rsidRDefault="00E12DEF" w:rsidP="00E12DEF">
            <w:pPr>
              <w:rPr>
                <w:rFonts w:ascii="Arial" w:hAnsi="Arial" w:cs="Arial"/>
              </w:rPr>
            </w:pPr>
            <w:r w:rsidRPr="00224BC0">
              <w:rPr>
                <w:rFonts w:ascii="Arial" w:hAnsi="Arial" w:cs="Arial"/>
                <w:b/>
                <w:sz w:val="20"/>
                <w:szCs w:val="20"/>
              </w:rPr>
              <w:t xml:space="preserve">Table </w:t>
            </w:r>
            <w:r>
              <w:rPr>
                <w:rFonts w:ascii="Arial" w:hAnsi="Arial" w:cs="Arial"/>
                <w:b/>
                <w:sz w:val="20"/>
                <w:szCs w:val="20"/>
              </w:rPr>
              <w:t>3</w:t>
            </w:r>
            <w:r w:rsidRPr="00224BC0">
              <w:rPr>
                <w:rFonts w:ascii="Arial" w:hAnsi="Arial" w:cs="Arial"/>
                <w:b/>
                <w:sz w:val="20"/>
                <w:szCs w:val="20"/>
              </w:rPr>
              <w:t xml:space="preserve">: Average </w:t>
            </w:r>
            <w:r w:rsidR="00915BCB">
              <w:rPr>
                <w:rFonts w:ascii="Arial" w:hAnsi="Arial" w:cs="Arial"/>
                <w:b/>
                <w:sz w:val="20"/>
                <w:szCs w:val="20"/>
              </w:rPr>
              <w:t>TDS (</w:t>
            </w:r>
            <w:r w:rsidR="00F22A46">
              <w:rPr>
                <w:rFonts w:ascii="Arial" w:hAnsi="Arial" w:cs="Arial"/>
                <w:b/>
                <w:sz w:val="20"/>
                <w:szCs w:val="20"/>
              </w:rPr>
              <w:t>ppm)</w:t>
            </w:r>
            <w:r w:rsidRPr="00224BC0">
              <w:rPr>
                <w:rFonts w:ascii="Arial" w:hAnsi="Arial" w:cs="Arial"/>
                <w:b/>
                <w:sz w:val="20"/>
                <w:szCs w:val="20"/>
              </w:rPr>
              <w:t xml:space="preserve"> Value Recorded During the </w:t>
            </w:r>
            <w:commentRangeStart w:id="3"/>
            <w:r w:rsidRPr="00224BC0">
              <w:rPr>
                <w:rFonts w:ascii="Arial" w:hAnsi="Arial" w:cs="Arial"/>
                <w:b/>
                <w:sz w:val="20"/>
                <w:szCs w:val="20"/>
              </w:rPr>
              <w:t>Experiment</w:t>
            </w:r>
            <w:commentRangeEnd w:id="3"/>
            <w:r w:rsidR="00AB048C">
              <w:rPr>
                <w:rStyle w:val="Refdecomentario"/>
                <w:lang w:bidi="gu-IN"/>
              </w:rPr>
              <w:commentReference w:id="3"/>
            </w:r>
          </w:p>
        </w:tc>
      </w:tr>
      <w:tr w:rsidR="000F2354" w:rsidRPr="00BA462F" w14:paraId="2A3975F4" w14:textId="77777777" w:rsidTr="00647695">
        <w:trPr>
          <w:trHeight w:val="18"/>
        </w:trPr>
        <w:tc>
          <w:tcPr>
            <w:tcW w:w="1043" w:type="pct"/>
            <w:tcBorders>
              <w:top w:val="single" w:sz="4" w:space="0" w:color="auto"/>
              <w:bottom w:val="single" w:sz="4" w:space="0" w:color="auto"/>
              <w:right w:val="single" w:sz="4" w:space="0" w:color="auto"/>
            </w:tcBorders>
            <w:noWrap/>
            <w:hideMark/>
          </w:tcPr>
          <w:p w14:paraId="1179FB86" w14:textId="77777777" w:rsidR="000F2354" w:rsidRPr="00BA462F" w:rsidRDefault="000F2354" w:rsidP="008051EB">
            <w:pPr>
              <w:jc w:val="center"/>
              <w:rPr>
                <w:rFonts w:ascii="Arial" w:hAnsi="Arial" w:cs="Arial"/>
              </w:rPr>
            </w:pPr>
            <w:r w:rsidRPr="00BA462F">
              <w:rPr>
                <w:rFonts w:ascii="Arial" w:hAnsi="Arial" w:cs="Arial"/>
              </w:rPr>
              <w:t>Treatment</w:t>
            </w:r>
          </w:p>
        </w:tc>
        <w:tc>
          <w:tcPr>
            <w:tcW w:w="1323" w:type="pct"/>
            <w:tcBorders>
              <w:top w:val="single" w:sz="4" w:space="0" w:color="auto"/>
              <w:left w:val="single" w:sz="4" w:space="0" w:color="auto"/>
              <w:bottom w:val="single" w:sz="4" w:space="0" w:color="auto"/>
            </w:tcBorders>
            <w:noWrap/>
            <w:hideMark/>
          </w:tcPr>
          <w:p w14:paraId="0FB30672" w14:textId="77777777" w:rsidR="000F2354" w:rsidRPr="00BA462F" w:rsidRDefault="000F2354" w:rsidP="008051EB">
            <w:pPr>
              <w:jc w:val="center"/>
              <w:rPr>
                <w:rFonts w:ascii="Arial" w:hAnsi="Arial" w:cs="Arial"/>
              </w:rPr>
            </w:pPr>
            <w:r w:rsidRPr="00BA462F">
              <w:rPr>
                <w:rFonts w:ascii="Arial" w:hAnsi="Arial" w:cs="Arial"/>
              </w:rPr>
              <w:t>C</w:t>
            </w:r>
          </w:p>
        </w:tc>
        <w:tc>
          <w:tcPr>
            <w:tcW w:w="1311" w:type="pct"/>
            <w:tcBorders>
              <w:top w:val="single" w:sz="4" w:space="0" w:color="auto"/>
              <w:bottom w:val="single" w:sz="4" w:space="0" w:color="auto"/>
            </w:tcBorders>
            <w:noWrap/>
            <w:hideMark/>
          </w:tcPr>
          <w:p w14:paraId="58C584F9" w14:textId="317FC191" w:rsidR="000F2354" w:rsidRPr="00BA462F" w:rsidRDefault="00884617" w:rsidP="008051EB">
            <w:pPr>
              <w:jc w:val="center"/>
              <w:rPr>
                <w:rFonts w:ascii="Arial" w:hAnsi="Arial" w:cs="Arial"/>
              </w:rPr>
            </w:pPr>
            <w:r w:rsidRPr="00BA462F">
              <w:rPr>
                <w:rFonts w:ascii="Arial" w:hAnsi="Arial" w:cs="Arial"/>
              </w:rPr>
              <w:t>T1</w:t>
            </w:r>
          </w:p>
        </w:tc>
        <w:tc>
          <w:tcPr>
            <w:tcW w:w="1323" w:type="pct"/>
            <w:tcBorders>
              <w:top w:val="single" w:sz="4" w:space="0" w:color="auto"/>
              <w:bottom w:val="single" w:sz="4" w:space="0" w:color="auto"/>
            </w:tcBorders>
            <w:noWrap/>
            <w:hideMark/>
          </w:tcPr>
          <w:p w14:paraId="2C8B38BF" w14:textId="2EC9BE92" w:rsidR="000F2354" w:rsidRPr="00BA462F" w:rsidRDefault="00884617" w:rsidP="008051EB">
            <w:pPr>
              <w:jc w:val="center"/>
              <w:rPr>
                <w:rFonts w:ascii="Arial" w:hAnsi="Arial" w:cs="Arial"/>
              </w:rPr>
            </w:pPr>
            <w:r w:rsidRPr="00BA462F">
              <w:rPr>
                <w:rFonts w:ascii="Arial" w:hAnsi="Arial" w:cs="Arial"/>
              </w:rPr>
              <w:t>T2</w:t>
            </w:r>
          </w:p>
        </w:tc>
      </w:tr>
      <w:tr w:rsidR="00C13730" w:rsidRPr="00BA462F" w14:paraId="6FCD62A6" w14:textId="77777777" w:rsidTr="00647695">
        <w:trPr>
          <w:trHeight w:val="18"/>
        </w:trPr>
        <w:tc>
          <w:tcPr>
            <w:tcW w:w="1043" w:type="pct"/>
            <w:tcBorders>
              <w:top w:val="single" w:sz="4" w:space="0" w:color="auto"/>
              <w:right w:val="single" w:sz="4" w:space="0" w:color="auto"/>
            </w:tcBorders>
            <w:noWrap/>
            <w:vAlign w:val="bottom"/>
            <w:hideMark/>
          </w:tcPr>
          <w:p w14:paraId="796ECACF" w14:textId="61272B20" w:rsidR="00C13730" w:rsidRPr="00BA462F" w:rsidRDefault="00C13730" w:rsidP="00C13730">
            <w:pPr>
              <w:jc w:val="center"/>
              <w:rPr>
                <w:rFonts w:ascii="Arial" w:hAnsi="Arial" w:cs="Arial"/>
              </w:rPr>
            </w:pPr>
            <w:r w:rsidRPr="00BA462F">
              <w:rPr>
                <w:rFonts w:ascii="Arial" w:eastAsia="Times New Roman" w:hAnsi="Arial" w:cs="Arial"/>
                <w:color w:val="000000"/>
                <w:kern w:val="0"/>
                <w:lang w:eastAsia="en-IN"/>
                <w14:ligatures w14:val="none"/>
              </w:rPr>
              <w:t>0</w:t>
            </w:r>
            <w:r w:rsidRPr="00BA462F">
              <w:rPr>
                <w:rFonts w:ascii="Arial" w:eastAsia="Times New Roman" w:hAnsi="Arial" w:cs="Arial"/>
                <w:color w:val="000000"/>
                <w:kern w:val="0"/>
                <w:vertAlign w:val="superscript"/>
                <w:lang w:eastAsia="en-IN"/>
                <w14:ligatures w14:val="none"/>
              </w:rPr>
              <w:t>th</w:t>
            </w:r>
            <w:r w:rsidRPr="00BA462F">
              <w:rPr>
                <w:rFonts w:ascii="Arial" w:eastAsia="Times New Roman" w:hAnsi="Arial" w:cs="Arial"/>
                <w:color w:val="000000"/>
                <w:kern w:val="0"/>
                <w:lang w:eastAsia="en-IN"/>
                <w14:ligatures w14:val="none"/>
              </w:rPr>
              <w:t xml:space="preserve"> day</w:t>
            </w:r>
          </w:p>
        </w:tc>
        <w:tc>
          <w:tcPr>
            <w:tcW w:w="1323" w:type="pct"/>
            <w:tcBorders>
              <w:top w:val="single" w:sz="4" w:space="0" w:color="auto"/>
              <w:left w:val="single" w:sz="4" w:space="0" w:color="auto"/>
            </w:tcBorders>
            <w:noWrap/>
            <w:vAlign w:val="bottom"/>
            <w:hideMark/>
          </w:tcPr>
          <w:p w14:paraId="2A6757BE" w14:textId="77777777" w:rsidR="00C13730" w:rsidRPr="00BA462F" w:rsidRDefault="00C13730" w:rsidP="00C13730">
            <w:pPr>
              <w:jc w:val="center"/>
              <w:rPr>
                <w:rFonts w:ascii="Arial" w:hAnsi="Arial" w:cs="Arial"/>
              </w:rPr>
            </w:pPr>
            <w:r w:rsidRPr="00BA462F">
              <w:rPr>
                <w:rFonts w:ascii="Arial" w:hAnsi="Arial" w:cs="Arial"/>
                <w:color w:val="000000"/>
              </w:rPr>
              <w:t>363.08 ± 59.67</w:t>
            </w:r>
            <w:r w:rsidRPr="00BA462F">
              <w:rPr>
                <w:rFonts w:ascii="Arial" w:hAnsi="Arial" w:cs="Arial"/>
                <w:color w:val="000000"/>
                <w:vertAlign w:val="superscript"/>
              </w:rPr>
              <w:t>b</w:t>
            </w:r>
          </w:p>
        </w:tc>
        <w:tc>
          <w:tcPr>
            <w:tcW w:w="1311" w:type="pct"/>
            <w:tcBorders>
              <w:top w:val="single" w:sz="4" w:space="0" w:color="auto"/>
            </w:tcBorders>
            <w:noWrap/>
            <w:vAlign w:val="bottom"/>
            <w:hideMark/>
          </w:tcPr>
          <w:p w14:paraId="19BE1457" w14:textId="77777777" w:rsidR="00C13730" w:rsidRPr="00BA462F" w:rsidRDefault="00C13730" w:rsidP="00C13730">
            <w:pPr>
              <w:jc w:val="center"/>
              <w:rPr>
                <w:rFonts w:ascii="Arial" w:hAnsi="Arial" w:cs="Arial"/>
              </w:rPr>
            </w:pPr>
            <w:r w:rsidRPr="00BA462F">
              <w:rPr>
                <w:rFonts w:ascii="Arial" w:hAnsi="Arial" w:cs="Arial"/>
                <w:color w:val="000000"/>
              </w:rPr>
              <w:t>514.46 ± 4.64</w:t>
            </w:r>
            <w:r w:rsidRPr="00BA462F">
              <w:rPr>
                <w:rFonts w:ascii="Arial" w:hAnsi="Arial" w:cs="Arial"/>
                <w:color w:val="000000"/>
                <w:vertAlign w:val="superscript"/>
              </w:rPr>
              <w:t>a</w:t>
            </w:r>
          </w:p>
        </w:tc>
        <w:tc>
          <w:tcPr>
            <w:tcW w:w="1323" w:type="pct"/>
            <w:tcBorders>
              <w:top w:val="single" w:sz="4" w:space="0" w:color="auto"/>
            </w:tcBorders>
            <w:noWrap/>
            <w:vAlign w:val="bottom"/>
            <w:hideMark/>
          </w:tcPr>
          <w:p w14:paraId="2C1F1204" w14:textId="77777777" w:rsidR="00C13730" w:rsidRPr="00BA462F" w:rsidRDefault="00C13730" w:rsidP="00C13730">
            <w:pPr>
              <w:jc w:val="center"/>
              <w:rPr>
                <w:rFonts w:ascii="Arial" w:hAnsi="Arial" w:cs="Arial"/>
              </w:rPr>
            </w:pPr>
            <w:r w:rsidRPr="00BA462F">
              <w:rPr>
                <w:rFonts w:ascii="Arial" w:hAnsi="Arial" w:cs="Arial"/>
                <w:color w:val="000000"/>
              </w:rPr>
              <w:t>532.20 ± 5.36</w:t>
            </w:r>
            <w:r w:rsidRPr="00BA462F">
              <w:rPr>
                <w:rFonts w:ascii="Arial" w:hAnsi="Arial" w:cs="Arial"/>
                <w:color w:val="000000"/>
                <w:vertAlign w:val="superscript"/>
              </w:rPr>
              <w:t>a</w:t>
            </w:r>
          </w:p>
        </w:tc>
      </w:tr>
      <w:tr w:rsidR="00C13730" w:rsidRPr="00BA462F" w14:paraId="51ADA6F2" w14:textId="77777777" w:rsidTr="00647695">
        <w:trPr>
          <w:trHeight w:val="18"/>
        </w:trPr>
        <w:tc>
          <w:tcPr>
            <w:tcW w:w="1043" w:type="pct"/>
            <w:tcBorders>
              <w:right w:val="single" w:sz="4" w:space="0" w:color="auto"/>
            </w:tcBorders>
            <w:noWrap/>
            <w:vAlign w:val="bottom"/>
            <w:hideMark/>
          </w:tcPr>
          <w:p w14:paraId="354E76D6" w14:textId="5911DD8B" w:rsidR="00C13730" w:rsidRPr="00BA462F" w:rsidRDefault="00C13730" w:rsidP="00C13730">
            <w:pPr>
              <w:jc w:val="center"/>
              <w:rPr>
                <w:rFonts w:ascii="Arial" w:hAnsi="Arial" w:cs="Arial"/>
              </w:rPr>
            </w:pPr>
            <w:r w:rsidRPr="00BA462F">
              <w:rPr>
                <w:rFonts w:ascii="Arial" w:eastAsia="Times New Roman" w:hAnsi="Arial" w:cs="Arial"/>
                <w:color w:val="000000"/>
                <w:kern w:val="0"/>
                <w:lang w:eastAsia="en-IN"/>
                <w14:ligatures w14:val="none"/>
              </w:rPr>
              <w:t>7</w:t>
            </w:r>
            <w:r w:rsidRPr="00BA462F">
              <w:rPr>
                <w:rFonts w:ascii="Arial" w:eastAsia="Times New Roman" w:hAnsi="Arial" w:cs="Arial"/>
                <w:color w:val="000000"/>
                <w:kern w:val="0"/>
                <w:vertAlign w:val="superscript"/>
                <w:lang w:eastAsia="en-IN"/>
                <w14:ligatures w14:val="none"/>
              </w:rPr>
              <w:t>th</w:t>
            </w:r>
            <w:r w:rsidRPr="00BA462F">
              <w:rPr>
                <w:rFonts w:ascii="Arial" w:eastAsia="Times New Roman" w:hAnsi="Arial" w:cs="Arial"/>
                <w:color w:val="000000"/>
                <w:kern w:val="0"/>
                <w:lang w:eastAsia="en-IN"/>
                <w14:ligatures w14:val="none"/>
              </w:rPr>
              <w:t xml:space="preserve"> day</w:t>
            </w:r>
          </w:p>
        </w:tc>
        <w:tc>
          <w:tcPr>
            <w:tcW w:w="1323" w:type="pct"/>
            <w:tcBorders>
              <w:left w:val="single" w:sz="4" w:space="0" w:color="auto"/>
            </w:tcBorders>
            <w:noWrap/>
            <w:vAlign w:val="bottom"/>
            <w:hideMark/>
          </w:tcPr>
          <w:p w14:paraId="1E31C563" w14:textId="77777777" w:rsidR="00C13730" w:rsidRPr="00BA462F" w:rsidRDefault="00C13730" w:rsidP="00C13730">
            <w:pPr>
              <w:jc w:val="center"/>
              <w:rPr>
                <w:rFonts w:ascii="Arial" w:hAnsi="Arial" w:cs="Arial"/>
              </w:rPr>
            </w:pPr>
            <w:r w:rsidRPr="00BA462F">
              <w:rPr>
                <w:rFonts w:ascii="Arial" w:hAnsi="Arial" w:cs="Arial"/>
                <w:color w:val="000000"/>
              </w:rPr>
              <w:t>392.18 ± 27.11</w:t>
            </w:r>
            <w:r w:rsidRPr="00BA462F">
              <w:rPr>
                <w:rFonts w:ascii="Arial" w:hAnsi="Arial" w:cs="Arial"/>
                <w:color w:val="000000"/>
                <w:vertAlign w:val="superscript"/>
              </w:rPr>
              <w:t>B</w:t>
            </w:r>
          </w:p>
        </w:tc>
        <w:tc>
          <w:tcPr>
            <w:tcW w:w="1311" w:type="pct"/>
            <w:noWrap/>
            <w:vAlign w:val="bottom"/>
            <w:hideMark/>
          </w:tcPr>
          <w:p w14:paraId="7C82A9FB" w14:textId="77777777" w:rsidR="00C13730" w:rsidRPr="00BA462F" w:rsidRDefault="00C13730" w:rsidP="00C13730">
            <w:pPr>
              <w:jc w:val="center"/>
              <w:rPr>
                <w:rFonts w:ascii="Arial" w:hAnsi="Arial" w:cs="Arial"/>
              </w:rPr>
            </w:pPr>
            <w:r w:rsidRPr="00BA462F">
              <w:rPr>
                <w:rFonts w:ascii="Arial" w:hAnsi="Arial" w:cs="Arial"/>
                <w:color w:val="000000"/>
              </w:rPr>
              <w:t>629.73 ± 1.50</w:t>
            </w:r>
            <w:r w:rsidRPr="00BA462F">
              <w:rPr>
                <w:rFonts w:ascii="Arial" w:hAnsi="Arial" w:cs="Arial"/>
                <w:color w:val="000000"/>
                <w:vertAlign w:val="superscript"/>
              </w:rPr>
              <w:t>B</w:t>
            </w:r>
          </w:p>
        </w:tc>
        <w:tc>
          <w:tcPr>
            <w:tcW w:w="1323" w:type="pct"/>
            <w:noWrap/>
            <w:vAlign w:val="bottom"/>
            <w:hideMark/>
          </w:tcPr>
          <w:p w14:paraId="3BC0083B" w14:textId="77777777" w:rsidR="00C13730" w:rsidRPr="00BA462F" w:rsidRDefault="00C13730" w:rsidP="00C13730">
            <w:pPr>
              <w:jc w:val="center"/>
              <w:rPr>
                <w:rFonts w:ascii="Arial" w:hAnsi="Arial" w:cs="Arial"/>
              </w:rPr>
            </w:pPr>
            <w:r w:rsidRPr="00BA462F">
              <w:rPr>
                <w:rFonts w:ascii="Arial" w:hAnsi="Arial" w:cs="Arial"/>
                <w:color w:val="000000"/>
              </w:rPr>
              <w:t>516.43 ± 2.79</w:t>
            </w:r>
            <w:r w:rsidRPr="00BA462F">
              <w:rPr>
                <w:rFonts w:ascii="Arial" w:hAnsi="Arial" w:cs="Arial"/>
                <w:color w:val="000000"/>
                <w:vertAlign w:val="superscript"/>
              </w:rPr>
              <w:t>B</w:t>
            </w:r>
          </w:p>
        </w:tc>
      </w:tr>
      <w:tr w:rsidR="00C13730" w:rsidRPr="00BA462F" w14:paraId="546CCA19" w14:textId="77777777" w:rsidTr="00647695">
        <w:trPr>
          <w:trHeight w:val="18"/>
        </w:trPr>
        <w:tc>
          <w:tcPr>
            <w:tcW w:w="1043" w:type="pct"/>
            <w:tcBorders>
              <w:right w:val="single" w:sz="4" w:space="0" w:color="auto"/>
            </w:tcBorders>
            <w:noWrap/>
            <w:vAlign w:val="bottom"/>
            <w:hideMark/>
          </w:tcPr>
          <w:p w14:paraId="0DEA793E" w14:textId="7BD1A7F3" w:rsidR="00C13730" w:rsidRPr="00BA462F" w:rsidRDefault="00C13730" w:rsidP="00C13730">
            <w:pPr>
              <w:jc w:val="center"/>
              <w:rPr>
                <w:rFonts w:ascii="Arial" w:hAnsi="Arial" w:cs="Arial"/>
              </w:rPr>
            </w:pPr>
            <w:r w:rsidRPr="00BA462F">
              <w:rPr>
                <w:rFonts w:ascii="Arial" w:eastAsia="Times New Roman" w:hAnsi="Arial" w:cs="Arial"/>
                <w:color w:val="000000"/>
                <w:kern w:val="0"/>
                <w:lang w:eastAsia="en-IN"/>
                <w14:ligatures w14:val="none"/>
              </w:rPr>
              <w:t>14</w:t>
            </w:r>
            <w:r w:rsidRPr="00BA462F">
              <w:rPr>
                <w:rFonts w:ascii="Arial" w:eastAsia="Times New Roman" w:hAnsi="Arial" w:cs="Arial"/>
                <w:color w:val="000000"/>
                <w:kern w:val="0"/>
                <w:vertAlign w:val="superscript"/>
                <w:lang w:eastAsia="en-IN"/>
                <w14:ligatures w14:val="none"/>
              </w:rPr>
              <w:t>th</w:t>
            </w:r>
            <w:r w:rsidRPr="00BA462F">
              <w:rPr>
                <w:rFonts w:ascii="Arial" w:eastAsia="Times New Roman" w:hAnsi="Arial" w:cs="Arial"/>
                <w:color w:val="000000"/>
                <w:kern w:val="0"/>
                <w:lang w:eastAsia="en-IN"/>
                <w14:ligatures w14:val="none"/>
              </w:rPr>
              <w:t xml:space="preserve"> day</w:t>
            </w:r>
          </w:p>
        </w:tc>
        <w:tc>
          <w:tcPr>
            <w:tcW w:w="1323" w:type="pct"/>
            <w:tcBorders>
              <w:left w:val="single" w:sz="4" w:space="0" w:color="auto"/>
            </w:tcBorders>
            <w:noWrap/>
            <w:vAlign w:val="bottom"/>
            <w:hideMark/>
          </w:tcPr>
          <w:p w14:paraId="773A0581" w14:textId="77777777" w:rsidR="00C13730" w:rsidRPr="00BA462F" w:rsidRDefault="00C13730" w:rsidP="00C13730">
            <w:pPr>
              <w:jc w:val="center"/>
              <w:rPr>
                <w:rFonts w:ascii="Arial" w:hAnsi="Arial" w:cs="Arial"/>
              </w:rPr>
            </w:pPr>
            <w:r w:rsidRPr="00BA462F">
              <w:rPr>
                <w:rFonts w:ascii="Arial" w:hAnsi="Arial" w:cs="Arial"/>
                <w:color w:val="000000"/>
              </w:rPr>
              <w:t>339.16 ± 34.64</w:t>
            </w:r>
            <w:r w:rsidRPr="00BA462F">
              <w:rPr>
                <w:rFonts w:ascii="Arial" w:hAnsi="Arial" w:cs="Arial"/>
                <w:color w:val="000000"/>
                <w:vertAlign w:val="superscript"/>
              </w:rPr>
              <w:t>q</w:t>
            </w:r>
          </w:p>
        </w:tc>
        <w:tc>
          <w:tcPr>
            <w:tcW w:w="1311" w:type="pct"/>
            <w:noWrap/>
            <w:vAlign w:val="bottom"/>
            <w:hideMark/>
          </w:tcPr>
          <w:p w14:paraId="6DAB82F1" w14:textId="77777777" w:rsidR="00C13730" w:rsidRPr="00BA462F" w:rsidRDefault="00C13730" w:rsidP="00C13730">
            <w:pPr>
              <w:jc w:val="center"/>
              <w:rPr>
                <w:rFonts w:ascii="Arial" w:hAnsi="Arial" w:cs="Arial"/>
              </w:rPr>
            </w:pPr>
            <w:r w:rsidRPr="00BA462F">
              <w:rPr>
                <w:rFonts w:ascii="Arial" w:hAnsi="Arial" w:cs="Arial"/>
                <w:color w:val="000000"/>
              </w:rPr>
              <w:t>691.33 ± 1.86</w:t>
            </w:r>
            <w:r w:rsidRPr="00BA462F">
              <w:rPr>
                <w:rFonts w:ascii="Arial" w:hAnsi="Arial" w:cs="Arial"/>
                <w:color w:val="000000"/>
                <w:vertAlign w:val="superscript"/>
              </w:rPr>
              <w:t>p</w:t>
            </w:r>
          </w:p>
        </w:tc>
        <w:tc>
          <w:tcPr>
            <w:tcW w:w="1323" w:type="pct"/>
            <w:noWrap/>
            <w:vAlign w:val="bottom"/>
            <w:hideMark/>
          </w:tcPr>
          <w:p w14:paraId="67CB3C8D" w14:textId="77777777" w:rsidR="00C13730" w:rsidRPr="00BA462F" w:rsidRDefault="00C13730" w:rsidP="00C13730">
            <w:pPr>
              <w:jc w:val="center"/>
              <w:rPr>
                <w:rFonts w:ascii="Arial" w:hAnsi="Arial" w:cs="Arial"/>
              </w:rPr>
            </w:pPr>
            <w:r w:rsidRPr="00BA462F">
              <w:rPr>
                <w:rFonts w:ascii="Arial" w:hAnsi="Arial" w:cs="Arial"/>
                <w:color w:val="000000"/>
              </w:rPr>
              <w:t>700.66 ± 5.04</w:t>
            </w:r>
            <w:r w:rsidRPr="00BA462F">
              <w:rPr>
                <w:rFonts w:ascii="Arial" w:hAnsi="Arial" w:cs="Arial"/>
                <w:color w:val="000000"/>
                <w:vertAlign w:val="superscript"/>
              </w:rPr>
              <w:t>p</w:t>
            </w:r>
          </w:p>
        </w:tc>
      </w:tr>
      <w:tr w:rsidR="00C13730" w:rsidRPr="00BA462F" w14:paraId="524E0463" w14:textId="77777777" w:rsidTr="00647695">
        <w:trPr>
          <w:trHeight w:val="18"/>
        </w:trPr>
        <w:tc>
          <w:tcPr>
            <w:tcW w:w="1043" w:type="pct"/>
            <w:tcBorders>
              <w:right w:val="single" w:sz="4" w:space="0" w:color="auto"/>
            </w:tcBorders>
            <w:noWrap/>
            <w:vAlign w:val="bottom"/>
            <w:hideMark/>
          </w:tcPr>
          <w:p w14:paraId="6C9200EA" w14:textId="69880F15" w:rsidR="00C13730" w:rsidRPr="00BA462F" w:rsidRDefault="00C13730" w:rsidP="00C13730">
            <w:pPr>
              <w:jc w:val="center"/>
              <w:rPr>
                <w:rFonts w:ascii="Arial" w:hAnsi="Arial" w:cs="Arial"/>
              </w:rPr>
            </w:pPr>
            <w:r w:rsidRPr="00BA462F">
              <w:rPr>
                <w:rFonts w:ascii="Arial" w:eastAsia="Times New Roman" w:hAnsi="Arial" w:cs="Arial"/>
                <w:color w:val="000000"/>
                <w:kern w:val="0"/>
                <w:lang w:eastAsia="en-IN"/>
                <w14:ligatures w14:val="none"/>
              </w:rPr>
              <w:t>21</w:t>
            </w:r>
            <w:r w:rsidRPr="00BA462F">
              <w:rPr>
                <w:rFonts w:ascii="Arial" w:eastAsia="Times New Roman" w:hAnsi="Arial" w:cs="Arial"/>
                <w:color w:val="000000"/>
                <w:kern w:val="0"/>
                <w:vertAlign w:val="superscript"/>
                <w:lang w:eastAsia="en-IN"/>
                <w14:ligatures w14:val="none"/>
              </w:rPr>
              <w:t>st</w:t>
            </w:r>
            <w:r w:rsidRPr="00BA462F">
              <w:rPr>
                <w:rFonts w:ascii="Arial" w:eastAsia="Times New Roman" w:hAnsi="Arial" w:cs="Arial"/>
                <w:color w:val="000000"/>
                <w:kern w:val="0"/>
                <w:lang w:eastAsia="en-IN"/>
                <w14:ligatures w14:val="none"/>
              </w:rPr>
              <w:t xml:space="preserve"> day</w:t>
            </w:r>
          </w:p>
        </w:tc>
        <w:tc>
          <w:tcPr>
            <w:tcW w:w="1323" w:type="pct"/>
            <w:tcBorders>
              <w:left w:val="single" w:sz="4" w:space="0" w:color="auto"/>
            </w:tcBorders>
            <w:noWrap/>
            <w:vAlign w:val="bottom"/>
            <w:hideMark/>
          </w:tcPr>
          <w:p w14:paraId="3839F710" w14:textId="77777777" w:rsidR="00C13730" w:rsidRPr="00BA462F" w:rsidRDefault="00C13730" w:rsidP="00C13730">
            <w:pPr>
              <w:jc w:val="center"/>
              <w:rPr>
                <w:rFonts w:ascii="Arial" w:hAnsi="Arial" w:cs="Arial"/>
              </w:rPr>
            </w:pPr>
            <w:r w:rsidRPr="00BA462F">
              <w:rPr>
                <w:rFonts w:ascii="Arial" w:hAnsi="Arial" w:cs="Arial"/>
                <w:color w:val="000000"/>
              </w:rPr>
              <w:t>416.86 ± 36.38</w:t>
            </w:r>
            <w:r w:rsidRPr="00BA462F">
              <w:rPr>
                <w:rFonts w:ascii="Arial" w:hAnsi="Arial" w:cs="Arial"/>
                <w:color w:val="000000"/>
                <w:vertAlign w:val="superscript"/>
              </w:rPr>
              <w:t>U</w:t>
            </w:r>
          </w:p>
        </w:tc>
        <w:tc>
          <w:tcPr>
            <w:tcW w:w="1311" w:type="pct"/>
            <w:noWrap/>
            <w:vAlign w:val="bottom"/>
            <w:hideMark/>
          </w:tcPr>
          <w:p w14:paraId="6972522C" w14:textId="77777777" w:rsidR="00C13730" w:rsidRPr="00BA462F" w:rsidRDefault="00C13730" w:rsidP="00C13730">
            <w:pPr>
              <w:jc w:val="center"/>
              <w:rPr>
                <w:rFonts w:ascii="Arial" w:hAnsi="Arial" w:cs="Arial"/>
              </w:rPr>
            </w:pPr>
            <w:r w:rsidRPr="00BA462F">
              <w:rPr>
                <w:rFonts w:ascii="Arial" w:hAnsi="Arial" w:cs="Arial"/>
                <w:color w:val="000000"/>
              </w:rPr>
              <w:t>659.23 ± 10.72</w:t>
            </w:r>
            <w:r w:rsidRPr="00BA462F">
              <w:rPr>
                <w:rFonts w:ascii="Arial" w:hAnsi="Arial" w:cs="Arial"/>
                <w:color w:val="000000"/>
                <w:vertAlign w:val="superscript"/>
              </w:rPr>
              <w:t>T</w:t>
            </w:r>
          </w:p>
        </w:tc>
        <w:tc>
          <w:tcPr>
            <w:tcW w:w="1323" w:type="pct"/>
            <w:noWrap/>
            <w:vAlign w:val="bottom"/>
            <w:hideMark/>
          </w:tcPr>
          <w:p w14:paraId="61C73EAB" w14:textId="77777777" w:rsidR="00C13730" w:rsidRPr="00BA462F" w:rsidRDefault="00C13730" w:rsidP="00C13730">
            <w:pPr>
              <w:jc w:val="center"/>
              <w:rPr>
                <w:rFonts w:ascii="Arial" w:hAnsi="Arial" w:cs="Arial"/>
              </w:rPr>
            </w:pPr>
            <w:r w:rsidRPr="00BA462F">
              <w:rPr>
                <w:rFonts w:ascii="Arial" w:hAnsi="Arial" w:cs="Arial"/>
                <w:color w:val="000000"/>
              </w:rPr>
              <w:t>691.16 ± 6.15</w:t>
            </w:r>
            <w:r w:rsidRPr="00BA462F">
              <w:rPr>
                <w:rFonts w:ascii="Arial" w:hAnsi="Arial" w:cs="Arial"/>
                <w:color w:val="000000"/>
                <w:vertAlign w:val="superscript"/>
              </w:rPr>
              <w:t>T</w:t>
            </w:r>
          </w:p>
        </w:tc>
      </w:tr>
      <w:tr w:rsidR="00C13730" w:rsidRPr="00BA462F" w14:paraId="75DD2CC4" w14:textId="77777777" w:rsidTr="00647695">
        <w:trPr>
          <w:trHeight w:val="18"/>
        </w:trPr>
        <w:tc>
          <w:tcPr>
            <w:tcW w:w="1043" w:type="pct"/>
            <w:tcBorders>
              <w:right w:val="single" w:sz="4" w:space="0" w:color="auto"/>
            </w:tcBorders>
            <w:noWrap/>
            <w:vAlign w:val="bottom"/>
            <w:hideMark/>
          </w:tcPr>
          <w:p w14:paraId="160B266E" w14:textId="534FAD7E" w:rsidR="00C13730" w:rsidRPr="00BA462F" w:rsidRDefault="00C13730" w:rsidP="00C13730">
            <w:pPr>
              <w:jc w:val="center"/>
              <w:rPr>
                <w:rFonts w:ascii="Arial" w:hAnsi="Arial" w:cs="Arial"/>
              </w:rPr>
            </w:pPr>
            <w:r w:rsidRPr="00BA462F">
              <w:rPr>
                <w:rFonts w:ascii="Arial" w:eastAsia="Times New Roman" w:hAnsi="Arial" w:cs="Arial"/>
                <w:color w:val="000000"/>
                <w:kern w:val="0"/>
                <w:lang w:eastAsia="en-IN"/>
                <w14:ligatures w14:val="none"/>
              </w:rPr>
              <w:t>28</w:t>
            </w:r>
            <w:r w:rsidRPr="00BA462F">
              <w:rPr>
                <w:rFonts w:ascii="Arial" w:eastAsia="Times New Roman" w:hAnsi="Arial" w:cs="Arial"/>
                <w:color w:val="000000"/>
                <w:kern w:val="0"/>
                <w:vertAlign w:val="superscript"/>
                <w:lang w:eastAsia="en-IN"/>
                <w14:ligatures w14:val="none"/>
              </w:rPr>
              <w:t>th</w:t>
            </w:r>
            <w:r w:rsidRPr="00BA462F">
              <w:rPr>
                <w:rFonts w:ascii="Arial" w:eastAsia="Times New Roman" w:hAnsi="Arial" w:cs="Arial"/>
                <w:color w:val="000000"/>
                <w:kern w:val="0"/>
                <w:lang w:eastAsia="en-IN"/>
                <w14:ligatures w14:val="none"/>
              </w:rPr>
              <w:t xml:space="preserve"> day</w:t>
            </w:r>
          </w:p>
        </w:tc>
        <w:tc>
          <w:tcPr>
            <w:tcW w:w="1323" w:type="pct"/>
            <w:tcBorders>
              <w:left w:val="single" w:sz="4" w:space="0" w:color="auto"/>
            </w:tcBorders>
            <w:noWrap/>
            <w:vAlign w:val="bottom"/>
            <w:hideMark/>
          </w:tcPr>
          <w:p w14:paraId="44CE02FB" w14:textId="77777777" w:rsidR="00C13730" w:rsidRPr="00BA462F" w:rsidRDefault="00C13730" w:rsidP="00C13730">
            <w:pPr>
              <w:jc w:val="center"/>
              <w:rPr>
                <w:rFonts w:ascii="Arial" w:hAnsi="Arial" w:cs="Arial"/>
              </w:rPr>
            </w:pPr>
            <w:r w:rsidRPr="00BA462F">
              <w:rPr>
                <w:rFonts w:ascii="Arial" w:hAnsi="Arial" w:cs="Arial"/>
                <w:color w:val="000000"/>
              </w:rPr>
              <w:t>391.50 ± 33.92</w:t>
            </w:r>
            <w:r w:rsidRPr="00BA462F">
              <w:rPr>
                <w:rFonts w:ascii="Arial" w:hAnsi="Arial" w:cs="Arial"/>
                <w:color w:val="000000"/>
                <w:vertAlign w:val="superscript"/>
              </w:rPr>
              <w:t>g</w:t>
            </w:r>
          </w:p>
        </w:tc>
        <w:tc>
          <w:tcPr>
            <w:tcW w:w="1311" w:type="pct"/>
            <w:noWrap/>
            <w:vAlign w:val="bottom"/>
            <w:hideMark/>
          </w:tcPr>
          <w:p w14:paraId="1696D5B9" w14:textId="77777777" w:rsidR="00C13730" w:rsidRPr="00BA462F" w:rsidRDefault="00C13730" w:rsidP="00C13730">
            <w:pPr>
              <w:jc w:val="center"/>
              <w:rPr>
                <w:rFonts w:ascii="Arial" w:hAnsi="Arial" w:cs="Arial"/>
              </w:rPr>
            </w:pPr>
            <w:r w:rsidRPr="00BA462F">
              <w:rPr>
                <w:rFonts w:ascii="Arial" w:hAnsi="Arial" w:cs="Arial"/>
                <w:color w:val="000000"/>
              </w:rPr>
              <w:t>653.00 ± 5.29</w:t>
            </w:r>
            <w:r w:rsidRPr="00BA462F">
              <w:rPr>
                <w:rFonts w:ascii="Arial" w:hAnsi="Arial" w:cs="Arial"/>
                <w:color w:val="000000"/>
                <w:vertAlign w:val="superscript"/>
              </w:rPr>
              <w:t>f</w:t>
            </w:r>
          </w:p>
        </w:tc>
        <w:tc>
          <w:tcPr>
            <w:tcW w:w="1323" w:type="pct"/>
            <w:noWrap/>
            <w:vAlign w:val="bottom"/>
            <w:hideMark/>
          </w:tcPr>
          <w:p w14:paraId="3391DDCB" w14:textId="77777777" w:rsidR="00C13730" w:rsidRPr="00BA462F" w:rsidRDefault="00C13730" w:rsidP="00C13730">
            <w:pPr>
              <w:jc w:val="center"/>
              <w:rPr>
                <w:rFonts w:ascii="Arial" w:hAnsi="Arial" w:cs="Arial"/>
              </w:rPr>
            </w:pPr>
            <w:r w:rsidRPr="00BA462F">
              <w:rPr>
                <w:rFonts w:ascii="Arial" w:hAnsi="Arial" w:cs="Arial"/>
                <w:color w:val="000000"/>
              </w:rPr>
              <w:t>696.96 ± 5.45</w:t>
            </w:r>
            <w:r w:rsidRPr="00BA462F">
              <w:rPr>
                <w:rFonts w:ascii="Arial" w:hAnsi="Arial" w:cs="Arial"/>
                <w:color w:val="000000"/>
                <w:vertAlign w:val="superscript"/>
              </w:rPr>
              <w:t>fg</w:t>
            </w:r>
          </w:p>
        </w:tc>
      </w:tr>
      <w:tr w:rsidR="00C13730" w:rsidRPr="00BA462F" w14:paraId="6533A851" w14:textId="77777777" w:rsidTr="00647695">
        <w:trPr>
          <w:trHeight w:val="18"/>
        </w:trPr>
        <w:tc>
          <w:tcPr>
            <w:tcW w:w="1043" w:type="pct"/>
            <w:tcBorders>
              <w:right w:val="single" w:sz="4" w:space="0" w:color="auto"/>
            </w:tcBorders>
            <w:noWrap/>
            <w:vAlign w:val="bottom"/>
            <w:hideMark/>
          </w:tcPr>
          <w:p w14:paraId="410B539D" w14:textId="7C61696F" w:rsidR="00C13730" w:rsidRPr="00BA462F" w:rsidRDefault="00C13730" w:rsidP="00C13730">
            <w:pPr>
              <w:jc w:val="center"/>
              <w:rPr>
                <w:rFonts w:ascii="Arial" w:hAnsi="Arial" w:cs="Arial"/>
              </w:rPr>
            </w:pPr>
            <w:r w:rsidRPr="00BA462F">
              <w:rPr>
                <w:rFonts w:ascii="Arial" w:eastAsia="Times New Roman" w:hAnsi="Arial" w:cs="Arial"/>
                <w:color w:val="000000"/>
                <w:kern w:val="0"/>
                <w:lang w:eastAsia="en-IN"/>
                <w14:ligatures w14:val="none"/>
              </w:rPr>
              <w:t>35</w:t>
            </w:r>
            <w:r w:rsidRPr="00BA462F">
              <w:rPr>
                <w:rFonts w:ascii="Arial" w:eastAsia="Times New Roman" w:hAnsi="Arial" w:cs="Arial"/>
                <w:color w:val="000000"/>
                <w:kern w:val="0"/>
                <w:vertAlign w:val="superscript"/>
                <w:lang w:eastAsia="en-IN"/>
                <w14:ligatures w14:val="none"/>
              </w:rPr>
              <w:t>th</w:t>
            </w:r>
            <w:r w:rsidRPr="00BA462F">
              <w:rPr>
                <w:rFonts w:ascii="Arial" w:eastAsia="Times New Roman" w:hAnsi="Arial" w:cs="Arial"/>
                <w:color w:val="000000"/>
                <w:kern w:val="0"/>
                <w:lang w:eastAsia="en-IN"/>
                <w14:ligatures w14:val="none"/>
              </w:rPr>
              <w:t xml:space="preserve"> day</w:t>
            </w:r>
          </w:p>
        </w:tc>
        <w:tc>
          <w:tcPr>
            <w:tcW w:w="1323" w:type="pct"/>
            <w:tcBorders>
              <w:left w:val="single" w:sz="4" w:space="0" w:color="auto"/>
            </w:tcBorders>
            <w:noWrap/>
            <w:vAlign w:val="bottom"/>
            <w:hideMark/>
          </w:tcPr>
          <w:p w14:paraId="6A9383FA" w14:textId="77777777" w:rsidR="00C13730" w:rsidRPr="00BA462F" w:rsidRDefault="00C13730" w:rsidP="00C13730">
            <w:pPr>
              <w:jc w:val="center"/>
              <w:rPr>
                <w:rFonts w:ascii="Arial" w:hAnsi="Arial" w:cs="Arial"/>
              </w:rPr>
            </w:pPr>
            <w:r w:rsidRPr="00BA462F">
              <w:rPr>
                <w:rFonts w:ascii="Arial" w:hAnsi="Arial" w:cs="Arial"/>
                <w:color w:val="000000"/>
              </w:rPr>
              <w:t>357.85 ± 34.38</w:t>
            </w:r>
            <w:r w:rsidRPr="00BA462F">
              <w:rPr>
                <w:rFonts w:ascii="Arial" w:hAnsi="Arial" w:cs="Arial"/>
                <w:color w:val="000000"/>
                <w:vertAlign w:val="superscript"/>
              </w:rPr>
              <w:t>4</w:t>
            </w:r>
          </w:p>
        </w:tc>
        <w:tc>
          <w:tcPr>
            <w:tcW w:w="1311" w:type="pct"/>
            <w:noWrap/>
            <w:vAlign w:val="bottom"/>
            <w:hideMark/>
          </w:tcPr>
          <w:p w14:paraId="48CD196F" w14:textId="77777777" w:rsidR="00C13730" w:rsidRPr="00BA462F" w:rsidRDefault="00C13730" w:rsidP="00C13730">
            <w:pPr>
              <w:jc w:val="center"/>
              <w:rPr>
                <w:rFonts w:ascii="Arial" w:hAnsi="Arial" w:cs="Arial"/>
              </w:rPr>
            </w:pPr>
            <w:r w:rsidRPr="00BA462F">
              <w:rPr>
                <w:rFonts w:ascii="Arial" w:hAnsi="Arial" w:cs="Arial"/>
                <w:color w:val="000000"/>
              </w:rPr>
              <w:t>627.03 ± 4.14</w:t>
            </w:r>
            <w:r w:rsidRPr="00BA462F">
              <w:rPr>
                <w:rFonts w:ascii="Arial" w:hAnsi="Arial" w:cs="Arial"/>
                <w:color w:val="000000"/>
                <w:vertAlign w:val="superscript"/>
              </w:rPr>
              <w:t>3</w:t>
            </w:r>
          </w:p>
        </w:tc>
        <w:tc>
          <w:tcPr>
            <w:tcW w:w="1323" w:type="pct"/>
            <w:noWrap/>
            <w:vAlign w:val="bottom"/>
            <w:hideMark/>
          </w:tcPr>
          <w:p w14:paraId="7F55986E" w14:textId="77777777" w:rsidR="00C13730" w:rsidRPr="00BA462F" w:rsidRDefault="00C13730" w:rsidP="00C13730">
            <w:pPr>
              <w:jc w:val="center"/>
              <w:rPr>
                <w:rFonts w:ascii="Arial" w:hAnsi="Arial" w:cs="Arial"/>
              </w:rPr>
            </w:pPr>
            <w:r w:rsidRPr="00BA462F">
              <w:rPr>
                <w:rFonts w:ascii="Arial" w:hAnsi="Arial" w:cs="Arial"/>
                <w:color w:val="000000"/>
              </w:rPr>
              <w:t>703.80 ± 5.71</w:t>
            </w:r>
            <w:r w:rsidRPr="00BA462F">
              <w:rPr>
                <w:rFonts w:ascii="Arial" w:hAnsi="Arial" w:cs="Arial"/>
                <w:color w:val="000000"/>
                <w:vertAlign w:val="superscript"/>
              </w:rPr>
              <w:t>3</w:t>
            </w:r>
          </w:p>
        </w:tc>
      </w:tr>
      <w:tr w:rsidR="00C13730" w:rsidRPr="00BA462F" w14:paraId="00BD4D3A" w14:textId="77777777" w:rsidTr="00647695">
        <w:trPr>
          <w:trHeight w:val="18"/>
        </w:trPr>
        <w:tc>
          <w:tcPr>
            <w:tcW w:w="1043" w:type="pct"/>
            <w:tcBorders>
              <w:right w:val="single" w:sz="4" w:space="0" w:color="auto"/>
            </w:tcBorders>
            <w:noWrap/>
            <w:vAlign w:val="bottom"/>
            <w:hideMark/>
          </w:tcPr>
          <w:p w14:paraId="09CD24F7" w14:textId="44D77907" w:rsidR="00C13730" w:rsidRPr="00BA462F" w:rsidRDefault="00C13730" w:rsidP="00C13730">
            <w:pPr>
              <w:jc w:val="center"/>
              <w:rPr>
                <w:rFonts w:ascii="Arial" w:hAnsi="Arial" w:cs="Arial"/>
              </w:rPr>
            </w:pPr>
            <w:r w:rsidRPr="00BA462F">
              <w:rPr>
                <w:rFonts w:ascii="Arial" w:eastAsia="Times New Roman" w:hAnsi="Arial" w:cs="Arial"/>
                <w:color w:val="000000"/>
                <w:kern w:val="0"/>
                <w:lang w:eastAsia="en-IN"/>
                <w14:ligatures w14:val="none"/>
              </w:rPr>
              <w:t>42</w:t>
            </w:r>
            <w:r w:rsidRPr="00BA462F">
              <w:rPr>
                <w:rFonts w:ascii="Arial" w:eastAsia="Times New Roman" w:hAnsi="Arial" w:cs="Arial"/>
                <w:color w:val="000000"/>
                <w:kern w:val="0"/>
                <w:vertAlign w:val="superscript"/>
                <w:lang w:eastAsia="en-IN"/>
                <w14:ligatures w14:val="none"/>
              </w:rPr>
              <w:t>nd</w:t>
            </w:r>
            <w:r w:rsidRPr="00BA462F">
              <w:rPr>
                <w:rFonts w:ascii="Arial" w:eastAsia="Times New Roman" w:hAnsi="Arial" w:cs="Arial"/>
                <w:color w:val="000000"/>
                <w:kern w:val="0"/>
                <w:lang w:eastAsia="en-IN"/>
                <w14:ligatures w14:val="none"/>
              </w:rPr>
              <w:t xml:space="preserve"> day</w:t>
            </w:r>
          </w:p>
        </w:tc>
        <w:tc>
          <w:tcPr>
            <w:tcW w:w="1323" w:type="pct"/>
            <w:tcBorders>
              <w:left w:val="single" w:sz="4" w:space="0" w:color="auto"/>
            </w:tcBorders>
            <w:noWrap/>
            <w:vAlign w:val="bottom"/>
            <w:hideMark/>
          </w:tcPr>
          <w:p w14:paraId="1E0FBCAC" w14:textId="77777777" w:rsidR="00C13730" w:rsidRPr="00BA462F" w:rsidRDefault="00C13730" w:rsidP="00C13730">
            <w:pPr>
              <w:jc w:val="center"/>
              <w:rPr>
                <w:rFonts w:ascii="Arial" w:hAnsi="Arial" w:cs="Arial"/>
              </w:rPr>
            </w:pPr>
            <w:r w:rsidRPr="00BA462F">
              <w:rPr>
                <w:rFonts w:ascii="Arial" w:hAnsi="Arial" w:cs="Arial"/>
                <w:color w:val="000000"/>
              </w:rPr>
              <w:t>392.32 ± 20.57</w:t>
            </w:r>
            <w:r w:rsidRPr="00BA462F">
              <w:rPr>
                <w:rFonts w:ascii="Arial" w:hAnsi="Arial" w:cs="Arial"/>
                <w:color w:val="000000"/>
                <w:vertAlign w:val="superscript"/>
              </w:rPr>
              <w:t>n</w:t>
            </w:r>
          </w:p>
        </w:tc>
        <w:tc>
          <w:tcPr>
            <w:tcW w:w="1311" w:type="pct"/>
            <w:noWrap/>
            <w:vAlign w:val="bottom"/>
            <w:hideMark/>
          </w:tcPr>
          <w:p w14:paraId="2D6FFBB3" w14:textId="77777777" w:rsidR="00C13730" w:rsidRPr="00BA462F" w:rsidRDefault="00C13730" w:rsidP="00C13730">
            <w:pPr>
              <w:jc w:val="center"/>
              <w:rPr>
                <w:rFonts w:ascii="Arial" w:hAnsi="Arial" w:cs="Arial"/>
              </w:rPr>
            </w:pPr>
            <w:r w:rsidRPr="00BA462F">
              <w:rPr>
                <w:rFonts w:ascii="Arial" w:hAnsi="Arial" w:cs="Arial"/>
                <w:color w:val="000000"/>
              </w:rPr>
              <w:t>665.96 ± 5.75</w:t>
            </w:r>
            <w:r w:rsidRPr="00BA462F">
              <w:rPr>
                <w:rFonts w:ascii="Arial" w:hAnsi="Arial" w:cs="Arial"/>
                <w:color w:val="000000"/>
                <w:vertAlign w:val="superscript"/>
              </w:rPr>
              <w:t>m</w:t>
            </w:r>
          </w:p>
        </w:tc>
        <w:tc>
          <w:tcPr>
            <w:tcW w:w="1323" w:type="pct"/>
            <w:noWrap/>
            <w:vAlign w:val="bottom"/>
            <w:hideMark/>
          </w:tcPr>
          <w:p w14:paraId="3C17D44D" w14:textId="77777777" w:rsidR="00C13730" w:rsidRPr="00BA462F" w:rsidRDefault="00C13730" w:rsidP="00C13730">
            <w:pPr>
              <w:jc w:val="center"/>
              <w:rPr>
                <w:rFonts w:ascii="Arial" w:hAnsi="Arial" w:cs="Arial"/>
              </w:rPr>
            </w:pPr>
            <w:r w:rsidRPr="00BA462F">
              <w:rPr>
                <w:rFonts w:ascii="Arial" w:hAnsi="Arial" w:cs="Arial"/>
                <w:color w:val="000000"/>
              </w:rPr>
              <w:t>727.86 ± 4.18</w:t>
            </w:r>
            <w:r w:rsidRPr="00BA462F">
              <w:rPr>
                <w:rFonts w:ascii="Arial" w:hAnsi="Arial" w:cs="Arial"/>
                <w:color w:val="000000"/>
                <w:vertAlign w:val="superscript"/>
              </w:rPr>
              <w:t>lm</w:t>
            </w:r>
          </w:p>
        </w:tc>
      </w:tr>
      <w:tr w:rsidR="00C13730" w:rsidRPr="00BA462F" w14:paraId="4E6479E3" w14:textId="77777777" w:rsidTr="00647695">
        <w:trPr>
          <w:trHeight w:val="18"/>
        </w:trPr>
        <w:tc>
          <w:tcPr>
            <w:tcW w:w="1043" w:type="pct"/>
            <w:tcBorders>
              <w:right w:val="single" w:sz="4" w:space="0" w:color="auto"/>
            </w:tcBorders>
            <w:noWrap/>
            <w:vAlign w:val="bottom"/>
            <w:hideMark/>
          </w:tcPr>
          <w:p w14:paraId="79485274" w14:textId="69A39B31" w:rsidR="00C13730" w:rsidRPr="00BA462F" w:rsidRDefault="00C13730" w:rsidP="00C13730">
            <w:pPr>
              <w:jc w:val="center"/>
              <w:rPr>
                <w:rFonts w:ascii="Arial" w:hAnsi="Arial" w:cs="Arial"/>
              </w:rPr>
            </w:pPr>
            <w:r w:rsidRPr="00BA462F">
              <w:rPr>
                <w:rFonts w:ascii="Arial" w:eastAsia="Times New Roman" w:hAnsi="Arial" w:cs="Arial"/>
                <w:color w:val="000000"/>
                <w:kern w:val="0"/>
                <w:lang w:eastAsia="en-IN"/>
                <w14:ligatures w14:val="none"/>
              </w:rPr>
              <w:lastRenderedPageBreak/>
              <w:t>49</w:t>
            </w:r>
            <w:r w:rsidRPr="00BA462F">
              <w:rPr>
                <w:rFonts w:ascii="Arial" w:eastAsia="Times New Roman" w:hAnsi="Arial" w:cs="Arial"/>
                <w:color w:val="000000"/>
                <w:kern w:val="0"/>
                <w:vertAlign w:val="superscript"/>
                <w:lang w:eastAsia="en-IN"/>
                <w14:ligatures w14:val="none"/>
              </w:rPr>
              <w:t>th</w:t>
            </w:r>
            <w:r w:rsidRPr="00BA462F">
              <w:rPr>
                <w:rFonts w:ascii="Arial" w:eastAsia="Times New Roman" w:hAnsi="Arial" w:cs="Arial"/>
                <w:color w:val="000000"/>
                <w:kern w:val="0"/>
                <w:lang w:eastAsia="en-IN"/>
                <w14:ligatures w14:val="none"/>
              </w:rPr>
              <w:t xml:space="preserve"> day</w:t>
            </w:r>
          </w:p>
        </w:tc>
        <w:tc>
          <w:tcPr>
            <w:tcW w:w="1323" w:type="pct"/>
            <w:tcBorders>
              <w:left w:val="single" w:sz="4" w:space="0" w:color="auto"/>
            </w:tcBorders>
            <w:noWrap/>
            <w:vAlign w:val="bottom"/>
            <w:hideMark/>
          </w:tcPr>
          <w:p w14:paraId="669028AC" w14:textId="77777777" w:rsidR="00C13730" w:rsidRPr="00BA462F" w:rsidRDefault="00C13730" w:rsidP="00C13730">
            <w:pPr>
              <w:jc w:val="center"/>
              <w:rPr>
                <w:rFonts w:ascii="Arial" w:hAnsi="Arial" w:cs="Arial"/>
              </w:rPr>
            </w:pPr>
            <w:r w:rsidRPr="00BA462F">
              <w:rPr>
                <w:rFonts w:ascii="Arial" w:hAnsi="Arial" w:cs="Arial"/>
                <w:color w:val="000000"/>
              </w:rPr>
              <w:t>358.68 ± 9.58</w:t>
            </w:r>
            <w:r w:rsidRPr="00BA462F">
              <w:rPr>
                <w:rFonts w:ascii="Arial" w:hAnsi="Arial" w:cs="Arial"/>
                <w:color w:val="000000"/>
                <w:vertAlign w:val="superscript"/>
              </w:rPr>
              <w:t>O</w:t>
            </w:r>
          </w:p>
        </w:tc>
        <w:tc>
          <w:tcPr>
            <w:tcW w:w="1311" w:type="pct"/>
            <w:noWrap/>
            <w:vAlign w:val="bottom"/>
            <w:hideMark/>
          </w:tcPr>
          <w:p w14:paraId="01ACBD6A" w14:textId="77777777" w:rsidR="00C13730" w:rsidRPr="00BA462F" w:rsidRDefault="00C13730" w:rsidP="00C13730">
            <w:pPr>
              <w:jc w:val="center"/>
              <w:rPr>
                <w:rFonts w:ascii="Arial" w:hAnsi="Arial" w:cs="Arial"/>
              </w:rPr>
            </w:pPr>
            <w:r w:rsidRPr="00BA462F">
              <w:rPr>
                <w:rFonts w:ascii="Arial" w:hAnsi="Arial" w:cs="Arial"/>
                <w:color w:val="000000"/>
              </w:rPr>
              <w:t>643.53 ± 5.29</w:t>
            </w:r>
            <w:r w:rsidRPr="00BA462F">
              <w:rPr>
                <w:rFonts w:ascii="Arial" w:hAnsi="Arial" w:cs="Arial"/>
                <w:color w:val="000000"/>
                <w:vertAlign w:val="superscript"/>
              </w:rPr>
              <w:t>N</w:t>
            </w:r>
          </w:p>
        </w:tc>
        <w:tc>
          <w:tcPr>
            <w:tcW w:w="1323" w:type="pct"/>
            <w:noWrap/>
            <w:vAlign w:val="bottom"/>
            <w:hideMark/>
          </w:tcPr>
          <w:p w14:paraId="5AEB328B" w14:textId="77777777" w:rsidR="00C13730" w:rsidRPr="00BA462F" w:rsidRDefault="00C13730" w:rsidP="00C13730">
            <w:pPr>
              <w:jc w:val="center"/>
              <w:rPr>
                <w:rFonts w:ascii="Arial" w:hAnsi="Arial" w:cs="Arial"/>
              </w:rPr>
            </w:pPr>
            <w:r w:rsidRPr="00BA462F">
              <w:rPr>
                <w:rFonts w:ascii="Arial" w:hAnsi="Arial" w:cs="Arial"/>
                <w:color w:val="000000"/>
              </w:rPr>
              <w:t>720.50 ± 10.31</w:t>
            </w:r>
            <w:r w:rsidRPr="00BA462F">
              <w:rPr>
                <w:rFonts w:ascii="Arial" w:hAnsi="Arial" w:cs="Arial"/>
                <w:color w:val="000000"/>
                <w:vertAlign w:val="superscript"/>
              </w:rPr>
              <w:t>N</w:t>
            </w:r>
          </w:p>
        </w:tc>
      </w:tr>
      <w:tr w:rsidR="00C13730" w:rsidRPr="00BA462F" w14:paraId="14C7CE67" w14:textId="77777777" w:rsidTr="00647695">
        <w:trPr>
          <w:trHeight w:val="18"/>
        </w:trPr>
        <w:tc>
          <w:tcPr>
            <w:tcW w:w="1043" w:type="pct"/>
            <w:tcBorders>
              <w:right w:val="single" w:sz="4" w:space="0" w:color="auto"/>
            </w:tcBorders>
            <w:noWrap/>
            <w:vAlign w:val="bottom"/>
            <w:hideMark/>
          </w:tcPr>
          <w:p w14:paraId="7FA4CD28" w14:textId="53652590" w:rsidR="00C13730" w:rsidRPr="00BA462F" w:rsidRDefault="00C13730" w:rsidP="00C13730">
            <w:pPr>
              <w:jc w:val="center"/>
              <w:rPr>
                <w:rFonts w:ascii="Arial" w:hAnsi="Arial" w:cs="Arial"/>
              </w:rPr>
            </w:pPr>
            <w:r w:rsidRPr="00BA462F">
              <w:rPr>
                <w:rFonts w:ascii="Arial" w:eastAsia="Times New Roman" w:hAnsi="Arial" w:cs="Arial"/>
                <w:color w:val="000000"/>
                <w:kern w:val="0"/>
                <w:lang w:eastAsia="en-IN"/>
                <w14:ligatures w14:val="none"/>
              </w:rPr>
              <w:t>56</w:t>
            </w:r>
            <w:r w:rsidRPr="00BA462F">
              <w:rPr>
                <w:rFonts w:ascii="Arial" w:eastAsia="Times New Roman" w:hAnsi="Arial" w:cs="Arial"/>
                <w:color w:val="000000"/>
                <w:kern w:val="0"/>
                <w:vertAlign w:val="superscript"/>
                <w:lang w:eastAsia="en-IN"/>
                <w14:ligatures w14:val="none"/>
              </w:rPr>
              <w:t>th</w:t>
            </w:r>
            <w:r w:rsidRPr="00BA462F">
              <w:rPr>
                <w:rFonts w:ascii="Arial" w:eastAsia="Times New Roman" w:hAnsi="Arial" w:cs="Arial"/>
                <w:color w:val="000000"/>
                <w:kern w:val="0"/>
                <w:lang w:eastAsia="en-IN"/>
                <w14:ligatures w14:val="none"/>
              </w:rPr>
              <w:t xml:space="preserve"> day</w:t>
            </w:r>
          </w:p>
        </w:tc>
        <w:tc>
          <w:tcPr>
            <w:tcW w:w="1323" w:type="pct"/>
            <w:tcBorders>
              <w:left w:val="single" w:sz="4" w:space="0" w:color="auto"/>
            </w:tcBorders>
            <w:noWrap/>
            <w:vAlign w:val="bottom"/>
            <w:hideMark/>
          </w:tcPr>
          <w:p w14:paraId="705F739C" w14:textId="77777777" w:rsidR="00C13730" w:rsidRPr="00BA462F" w:rsidRDefault="00C13730" w:rsidP="00C13730">
            <w:pPr>
              <w:jc w:val="center"/>
              <w:rPr>
                <w:rFonts w:ascii="Arial" w:hAnsi="Arial" w:cs="Arial"/>
              </w:rPr>
            </w:pPr>
            <w:r w:rsidRPr="00BA462F">
              <w:rPr>
                <w:rFonts w:ascii="Arial" w:hAnsi="Arial" w:cs="Arial"/>
                <w:color w:val="000000"/>
              </w:rPr>
              <w:t>321.20 ± 13.68</w:t>
            </w:r>
            <w:r w:rsidRPr="00BA462F">
              <w:rPr>
                <w:rFonts w:ascii="Arial" w:hAnsi="Arial" w:cs="Arial"/>
                <w:color w:val="000000"/>
                <w:vertAlign w:val="superscript"/>
              </w:rPr>
              <w:t>E</w:t>
            </w:r>
          </w:p>
        </w:tc>
        <w:tc>
          <w:tcPr>
            <w:tcW w:w="1311" w:type="pct"/>
            <w:noWrap/>
            <w:vAlign w:val="bottom"/>
            <w:hideMark/>
          </w:tcPr>
          <w:p w14:paraId="5C529B92" w14:textId="77777777" w:rsidR="00C13730" w:rsidRPr="00BA462F" w:rsidRDefault="00C13730" w:rsidP="00C13730">
            <w:pPr>
              <w:jc w:val="center"/>
              <w:rPr>
                <w:rFonts w:ascii="Arial" w:hAnsi="Arial" w:cs="Arial"/>
              </w:rPr>
            </w:pPr>
            <w:r w:rsidRPr="00BA462F">
              <w:rPr>
                <w:rFonts w:ascii="Arial" w:hAnsi="Arial" w:cs="Arial"/>
                <w:color w:val="000000"/>
              </w:rPr>
              <w:t>619.90 ± 9.10</w:t>
            </w:r>
            <w:r w:rsidRPr="00BA462F">
              <w:rPr>
                <w:rFonts w:ascii="Arial" w:hAnsi="Arial" w:cs="Arial"/>
                <w:color w:val="000000"/>
                <w:vertAlign w:val="superscript"/>
              </w:rPr>
              <w:t>D</w:t>
            </w:r>
          </w:p>
        </w:tc>
        <w:tc>
          <w:tcPr>
            <w:tcW w:w="1323" w:type="pct"/>
            <w:noWrap/>
            <w:vAlign w:val="bottom"/>
            <w:hideMark/>
          </w:tcPr>
          <w:p w14:paraId="682716FD" w14:textId="77777777" w:rsidR="00C13730" w:rsidRPr="00BA462F" w:rsidRDefault="00C13730" w:rsidP="00C13730">
            <w:pPr>
              <w:jc w:val="center"/>
              <w:rPr>
                <w:rFonts w:ascii="Arial" w:hAnsi="Arial" w:cs="Arial"/>
              </w:rPr>
            </w:pPr>
            <w:r w:rsidRPr="00BA462F">
              <w:rPr>
                <w:rFonts w:ascii="Arial" w:hAnsi="Arial" w:cs="Arial"/>
                <w:color w:val="000000"/>
              </w:rPr>
              <w:t>705.56 ± 7.91</w:t>
            </w:r>
            <w:r w:rsidRPr="00BA462F">
              <w:rPr>
                <w:rFonts w:ascii="Arial" w:hAnsi="Arial" w:cs="Arial"/>
                <w:color w:val="000000"/>
                <w:vertAlign w:val="superscript"/>
              </w:rPr>
              <w:t>D</w:t>
            </w:r>
          </w:p>
        </w:tc>
      </w:tr>
      <w:tr w:rsidR="00C13730" w:rsidRPr="00BA462F" w14:paraId="28B786BD" w14:textId="77777777" w:rsidTr="00647695">
        <w:trPr>
          <w:trHeight w:val="18"/>
        </w:trPr>
        <w:tc>
          <w:tcPr>
            <w:tcW w:w="1043" w:type="pct"/>
            <w:tcBorders>
              <w:bottom w:val="single" w:sz="4" w:space="0" w:color="auto"/>
              <w:right w:val="single" w:sz="4" w:space="0" w:color="auto"/>
            </w:tcBorders>
            <w:noWrap/>
            <w:vAlign w:val="bottom"/>
            <w:hideMark/>
          </w:tcPr>
          <w:p w14:paraId="5046087A" w14:textId="587DA07B" w:rsidR="00C13730" w:rsidRPr="00BA462F" w:rsidRDefault="00C13730" w:rsidP="00C13730">
            <w:pPr>
              <w:jc w:val="center"/>
              <w:rPr>
                <w:rFonts w:ascii="Arial" w:hAnsi="Arial" w:cs="Arial"/>
              </w:rPr>
            </w:pPr>
            <w:r w:rsidRPr="00BA462F">
              <w:rPr>
                <w:rFonts w:ascii="Arial" w:eastAsia="Times New Roman" w:hAnsi="Arial" w:cs="Arial"/>
                <w:color w:val="000000"/>
                <w:kern w:val="0"/>
                <w:lang w:eastAsia="en-IN"/>
                <w14:ligatures w14:val="none"/>
              </w:rPr>
              <w:t>63</w:t>
            </w:r>
            <w:r w:rsidRPr="00BA462F">
              <w:rPr>
                <w:rFonts w:ascii="Arial" w:eastAsia="Times New Roman" w:hAnsi="Arial" w:cs="Arial"/>
                <w:color w:val="000000"/>
                <w:kern w:val="0"/>
                <w:vertAlign w:val="superscript"/>
                <w:lang w:eastAsia="en-IN"/>
                <w14:ligatures w14:val="none"/>
              </w:rPr>
              <w:t>rd</w:t>
            </w:r>
            <w:r w:rsidRPr="00BA462F">
              <w:rPr>
                <w:rFonts w:ascii="Arial" w:eastAsia="Times New Roman" w:hAnsi="Arial" w:cs="Arial"/>
                <w:color w:val="000000"/>
                <w:kern w:val="0"/>
                <w:lang w:eastAsia="en-IN"/>
                <w14:ligatures w14:val="none"/>
              </w:rPr>
              <w:t xml:space="preserve"> day</w:t>
            </w:r>
          </w:p>
        </w:tc>
        <w:tc>
          <w:tcPr>
            <w:tcW w:w="1323" w:type="pct"/>
            <w:tcBorders>
              <w:left w:val="single" w:sz="4" w:space="0" w:color="auto"/>
              <w:bottom w:val="single" w:sz="4" w:space="0" w:color="auto"/>
            </w:tcBorders>
            <w:noWrap/>
            <w:vAlign w:val="bottom"/>
            <w:hideMark/>
          </w:tcPr>
          <w:p w14:paraId="29C01FF7" w14:textId="77777777" w:rsidR="00C13730" w:rsidRPr="00BA462F" w:rsidRDefault="00C13730" w:rsidP="00C13730">
            <w:pPr>
              <w:jc w:val="center"/>
              <w:rPr>
                <w:rFonts w:ascii="Arial" w:hAnsi="Arial" w:cs="Arial"/>
              </w:rPr>
            </w:pPr>
            <w:r w:rsidRPr="00BA462F">
              <w:rPr>
                <w:rFonts w:ascii="Arial" w:hAnsi="Arial" w:cs="Arial"/>
                <w:color w:val="000000"/>
              </w:rPr>
              <w:t>320.42 ± 22.89</w:t>
            </w:r>
            <w:r w:rsidRPr="00BA462F">
              <w:rPr>
                <w:rFonts w:ascii="Arial" w:hAnsi="Arial" w:cs="Arial"/>
                <w:color w:val="000000"/>
                <w:vertAlign w:val="superscript"/>
              </w:rPr>
              <w:t>I</w:t>
            </w:r>
          </w:p>
        </w:tc>
        <w:tc>
          <w:tcPr>
            <w:tcW w:w="1311" w:type="pct"/>
            <w:tcBorders>
              <w:bottom w:val="single" w:sz="4" w:space="0" w:color="auto"/>
            </w:tcBorders>
            <w:noWrap/>
            <w:vAlign w:val="bottom"/>
            <w:hideMark/>
          </w:tcPr>
          <w:p w14:paraId="20BE2A40" w14:textId="77777777" w:rsidR="00C13730" w:rsidRPr="00BA462F" w:rsidRDefault="00C13730" w:rsidP="00C13730">
            <w:pPr>
              <w:jc w:val="center"/>
              <w:rPr>
                <w:rFonts w:ascii="Arial" w:hAnsi="Arial" w:cs="Arial"/>
              </w:rPr>
            </w:pPr>
            <w:r w:rsidRPr="00BA462F">
              <w:rPr>
                <w:rFonts w:ascii="Arial" w:hAnsi="Arial" w:cs="Arial"/>
                <w:color w:val="000000"/>
              </w:rPr>
              <w:t>597.13 ± 3.79</w:t>
            </w:r>
            <w:r w:rsidRPr="00BA462F">
              <w:rPr>
                <w:rFonts w:ascii="Arial" w:hAnsi="Arial" w:cs="Arial"/>
                <w:color w:val="000000"/>
                <w:vertAlign w:val="superscript"/>
              </w:rPr>
              <w:t>H</w:t>
            </w:r>
          </w:p>
        </w:tc>
        <w:tc>
          <w:tcPr>
            <w:tcW w:w="1323" w:type="pct"/>
            <w:tcBorders>
              <w:bottom w:val="single" w:sz="4" w:space="0" w:color="auto"/>
            </w:tcBorders>
            <w:noWrap/>
            <w:vAlign w:val="bottom"/>
            <w:hideMark/>
          </w:tcPr>
          <w:p w14:paraId="3A67A168" w14:textId="77777777" w:rsidR="00C13730" w:rsidRPr="00BA462F" w:rsidRDefault="00C13730" w:rsidP="00C13730">
            <w:pPr>
              <w:jc w:val="center"/>
              <w:rPr>
                <w:rFonts w:ascii="Arial" w:hAnsi="Arial" w:cs="Arial"/>
              </w:rPr>
            </w:pPr>
            <w:r w:rsidRPr="00BA462F">
              <w:rPr>
                <w:rFonts w:ascii="Arial" w:hAnsi="Arial" w:cs="Arial"/>
                <w:color w:val="000000"/>
              </w:rPr>
              <w:t>685.56 ± 5.72</w:t>
            </w:r>
            <w:r w:rsidRPr="00BA462F">
              <w:rPr>
                <w:rFonts w:ascii="Arial" w:hAnsi="Arial" w:cs="Arial"/>
                <w:color w:val="000000"/>
                <w:vertAlign w:val="superscript"/>
              </w:rPr>
              <w:t>H</w:t>
            </w:r>
          </w:p>
        </w:tc>
      </w:tr>
    </w:tbl>
    <w:p w14:paraId="5EE25631" w14:textId="204EA5CE" w:rsidR="00ED2DA0" w:rsidRDefault="00ED2DA0" w:rsidP="00915BCB">
      <w:pPr>
        <w:spacing w:after="4" w:line="249" w:lineRule="auto"/>
        <w:ind w:left="-5" w:right="-123" w:hanging="10"/>
        <w:jc w:val="center"/>
        <w:rPr>
          <w:rFonts w:ascii="Arial" w:hAnsi="Arial" w:cs="Arial"/>
          <w:bCs/>
          <w:sz w:val="20"/>
          <w:szCs w:val="20"/>
        </w:rPr>
      </w:pPr>
      <w:r w:rsidRPr="008A16D3">
        <w:rPr>
          <w:rFonts w:ascii="Arial" w:hAnsi="Arial" w:cs="Arial"/>
          <w:sz w:val="20"/>
          <w:szCs w:val="20"/>
        </w:rPr>
        <w:t>(</w:t>
      </w:r>
      <w:r w:rsidRPr="008A16D3">
        <w:rPr>
          <w:rFonts w:ascii="Arial" w:hAnsi="Arial" w:cs="Arial"/>
          <w:bCs/>
          <w:sz w:val="20"/>
          <w:szCs w:val="20"/>
        </w:rPr>
        <w:t xml:space="preserve">*Note </w:t>
      </w:r>
      <w:r w:rsidR="00DA6F8B">
        <w:rPr>
          <w:rFonts w:ascii="Arial" w:hAnsi="Arial" w:cs="Arial"/>
          <w:bCs/>
          <w:sz w:val="20"/>
          <w:szCs w:val="20"/>
        </w:rPr>
        <w:t xml:space="preserve">C= Control, </w:t>
      </w:r>
      <w:r w:rsidRPr="008A16D3">
        <w:rPr>
          <w:rFonts w:ascii="Arial" w:hAnsi="Arial" w:cs="Arial"/>
          <w:bCs/>
          <w:sz w:val="20"/>
          <w:szCs w:val="20"/>
        </w:rPr>
        <w:t xml:space="preserve">T1= Bio-floc (20:1), </w:t>
      </w:r>
      <w:r w:rsidR="00A96EE9">
        <w:rPr>
          <w:rFonts w:ascii="Arial" w:hAnsi="Arial" w:cs="Arial"/>
          <w:bCs/>
          <w:sz w:val="20"/>
          <w:szCs w:val="20"/>
        </w:rPr>
        <w:t>T2</w:t>
      </w:r>
      <w:r w:rsidRPr="008A16D3">
        <w:rPr>
          <w:rFonts w:ascii="Arial" w:hAnsi="Arial" w:cs="Arial"/>
          <w:bCs/>
          <w:sz w:val="20"/>
          <w:szCs w:val="20"/>
        </w:rPr>
        <w:t>=Biofloc (20:1) + 0.5% Jeevamruth; The mean values followed by the different superscript letters in each factor indicate significant difference at 0.05.)</w:t>
      </w:r>
    </w:p>
    <w:p w14:paraId="7DC63074" w14:textId="77777777" w:rsidR="00BD4D33" w:rsidRDefault="00BD4D33" w:rsidP="00E61B4E">
      <w:pPr>
        <w:rPr>
          <w:rFonts w:ascii="Arial" w:hAnsi="Arial" w:cs="Arial"/>
          <w:b/>
          <w:bCs/>
        </w:rPr>
      </w:pPr>
    </w:p>
    <w:p w14:paraId="6F61B25E" w14:textId="19697B73" w:rsidR="005E1806" w:rsidRPr="00C97B36" w:rsidRDefault="00A67A45" w:rsidP="00C97B36">
      <w:pPr>
        <w:rPr>
          <w:rFonts w:ascii="Arial" w:hAnsi="Arial" w:cs="Arial"/>
          <w:b/>
          <w:bCs/>
        </w:rPr>
      </w:pPr>
      <w:r>
        <w:rPr>
          <w:rFonts w:ascii="Arial" w:hAnsi="Arial" w:cs="Arial"/>
          <w:noProof/>
        </w:rPr>
        <mc:AlternateContent>
          <mc:Choice Requires="wpg">
            <w:drawing>
              <wp:anchor distT="0" distB="0" distL="114300" distR="114300" simplePos="0" relativeHeight="251688960" behindDoc="0" locked="0" layoutInCell="1" allowOverlap="1" wp14:anchorId="05E1EE55" wp14:editId="73DB4D45">
                <wp:simplePos x="0" y="0"/>
                <wp:positionH relativeFrom="margin">
                  <wp:posOffset>2450737</wp:posOffset>
                </wp:positionH>
                <wp:positionV relativeFrom="paragraph">
                  <wp:posOffset>2433774</wp:posOffset>
                </wp:positionV>
                <wp:extent cx="869950" cy="204470"/>
                <wp:effectExtent l="0" t="0" r="25400" b="24130"/>
                <wp:wrapNone/>
                <wp:docPr id="2056649397" name="Group 9"/>
                <wp:cNvGraphicFramePr/>
                <a:graphic xmlns:a="http://schemas.openxmlformats.org/drawingml/2006/main">
                  <a:graphicData uri="http://schemas.microsoft.com/office/word/2010/wordprocessingGroup">
                    <wpg:wgp>
                      <wpg:cNvGrpSpPr/>
                      <wpg:grpSpPr>
                        <a:xfrm>
                          <a:off x="0" y="0"/>
                          <a:ext cx="869950" cy="204470"/>
                          <a:chOff x="0" y="0"/>
                          <a:chExt cx="869950" cy="204470"/>
                        </a:xfrm>
                      </wpg:grpSpPr>
                      <wps:wsp>
                        <wps:cNvPr id="1408575055" name="Text Box 4"/>
                        <wps:cNvSpPr txBox="1"/>
                        <wps:spPr>
                          <a:xfrm>
                            <a:off x="0" y="0"/>
                            <a:ext cx="869950" cy="204470"/>
                          </a:xfrm>
                          <a:prstGeom prst="rect">
                            <a:avLst/>
                          </a:prstGeom>
                          <a:solidFill>
                            <a:schemeClr val="lt1"/>
                          </a:solidFill>
                          <a:ln w="12700">
                            <a:solidFill>
                              <a:prstClr val="black"/>
                            </a:solidFill>
                          </a:ln>
                        </wps:spPr>
                        <wps:txbx>
                          <w:txbxContent>
                            <w:p w14:paraId="1204BD0F" w14:textId="77777777" w:rsidR="00B435F6" w:rsidRPr="00015425" w:rsidRDefault="00B435F6" w:rsidP="005E1806">
                              <w:pPr>
                                <w:rPr>
                                  <w:color w:val="808080" w:themeColor="background1" w:themeShade="80"/>
                                  <w:sz w:val="16"/>
                                  <w:szCs w:val="16"/>
                                  <w:lang w:val="en-US"/>
                                </w:rPr>
                              </w:pPr>
                              <w:r w:rsidRPr="00015425">
                                <w:rPr>
                                  <w:color w:val="808080" w:themeColor="background1" w:themeShade="80"/>
                                  <w:sz w:val="16"/>
                                  <w:szCs w:val="16"/>
                                  <w:lang w:val="en-US"/>
                                </w:rPr>
                                <w:t xml:space="preserve">    C       T1</w:t>
                              </w:r>
                              <w:r w:rsidRPr="00015425">
                                <w:rPr>
                                  <w:color w:val="808080" w:themeColor="background1" w:themeShade="80"/>
                                  <w:sz w:val="16"/>
                                  <w:szCs w:val="16"/>
                                  <w:lang w:val="en-US"/>
                                </w:rPr>
                                <w:tab/>
                                <w:t xml:space="preserve">     T2</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703369243" name="Rectangle 5"/>
                        <wps:cNvSpPr/>
                        <wps:spPr>
                          <a:xfrm>
                            <a:off x="98854" y="89586"/>
                            <a:ext cx="60960" cy="60960"/>
                          </a:xfrm>
                          <a:prstGeom prst="rect">
                            <a:avLst/>
                          </a:prstGeom>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60437962" name="Rectangle 5"/>
                        <wps:cNvSpPr/>
                        <wps:spPr>
                          <a:xfrm>
                            <a:off x="315097" y="89586"/>
                            <a:ext cx="60960" cy="60960"/>
                          </a:xfrm>
                          <a:prstGeom prst="rect">
                            <a:avLst/>
                          </a:prstGeom>
                          <a:solidFill>
                            <a:schemeClr val="accent2"/>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77963218" name="Rectangle 5"/>
                        <wps:cNvSpPr/>
                        <wps:spPr>
                          <a:xfrm>
                            <a:off x="574589" y="86497"/>
                            <a:ext cx="60960" cy="60960"/>
                          </a:xfrm>
                          <a:prstGeom prst="rect">
                            <a:avLst/>
                          </a:prstGeom>
                          <a:solidFill>
                            <a:schemeClr val="bg1">
                              <a:lumMod val="65000"/>
                            </a:schemeClr>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05E1EE55" id="_x0000_s1036" style="position:absolute;margin-left:192.95pt;margin-top:191.65pt;width:68.5pt;height:16.1pt;z-index:251688960;mso-position-horizontal-relative:margin;mso-width-relative:margin;mso-height-relative:margin" coordsize="8699,204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">
                <v:shape id="_x0000_s1037" type="#_x0000_t202" style="position:absolute;width:8699;height:20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" fillcolor="white [3201]" strokeweight="1pt">
                  <v:textbox>
                    <w:txbxContent>
                      <w:p w14:paraId="1204BD0F" w14:textId="77777777" w:rsidR="00B435F6" w:rsidRPr="00015425" w:rsidRDefault="00B435F6" w:rsidP="005E1806">
                        <w:pPr>
                          <w:rPr>
                            <w:color w:val="808080" w:themeColor="background1" w:themeShade="80"/>
                            <w:sz w:val="16"/>
                            <w:szCs w:val="16"/>
                            <w:lang w:val="en-US"/>
                          </w:rPr>
                        </w:pPr>
                        <w:r w:rsidRPr="00015425">
                          <w:rPr>
                            <w:color w:val="808080" w:themeColor="background1" w:themeShade="80"/>
                            <w:sz w:val="16"/>
                            <w:szCs w:val="16"/>
                            <w:lang w:val="en-US"/>
                          </w:rPr>
                          <w:t xml:space="preserve">    C       T1</w:t>
                        </w:r>
                        <w:r w:rsidRPr="00015425">
                          <w:rPr>
                            <w:color w:val="808080" w:themeColor="background1" w:themeShade="80"/>
                            <w:sz w:val="16"/>
                            <w:szCs w:val="16"/>
                            <w:lang w:val="en-US"/>
                          </w:rPr>
                          <w:tab/>
                          <w:t xml:space="preserve">     T2</w:t>
                        </w:r>
                      </w:p>
                    </w:txbxContent>
                  </v:textbox>
                </v:shape>
                <v:rect id="Rectangle 5" o:spid="_x0000_s1038" style="position:absolute;left:988;top:895;width:610;height:61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" fillcolor="#4472c4 [3204]" stroked="f" strokeweight="1pt"/>
                <v:rect id="Rectangle 5" o:spid="_x0000_s1039" style="position:absolute;left:3150;top:895;width:610;height:61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" fillcolor="#ed7d31 [3205]" stroked="f" strokeweight="1pt"/>
                <v:rect id="Rectangle 5" o:spid="_x0000_s1040" style="position:absolute;left:5745;top:864;width:610;height:61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" fillcolor="#a5a5a5 [2092]" stroked="f" strokeweight="1pt"/>
                <w10:wrap anchorx="margin"/>
              </v:group>
            </w:pict>
          </mc:Fallback>
        </mc:AlternateContent>
      </w:r>
      <w:r w:rsidR="00BD4D33" w:rsidRPr="006079B2">
        <w:rPr>
          <w:rFonts w:ascii="Arial" w:hAnsi="Arial" w:cs="Arial"/>
          <w:b/>
          <w:bCs/>
          <w:noProof/>
        </w:rPr>
        <w:drawing>
          <wp:inline distT="0" distB="0" distL="0" distR="0" wp14:anchorId="01820C40" wp14:editId="7FA5AF2C">
            <wp:extent cx="5486400" cy="2514600"/>
            <wp:effectExtent l="0" t="0" r="0" b="0"/>
            <wp:docPr id="1163516486" name="Chart 3"/>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inline>
        </w:drawing>
      </w:r>
    </w:p>
    <w:p w14:paraId="1799E5DB" w14:textId="6840CF9C" w:rsidR="00726987" w:rsidRDefault="00726987" w:rsidP="00E05B72">
      <w:pPr>
        <w:spacing w:line="360" w:lineRule="auto"/>
        <w:rPr>
          <w:rFonts w:ascii="Arial" w:hAnsi="Arial" w:cs="Arial"/>
          <w:b/>
          <w:sz w:val="20"/>
          <w:szCs w:val="20"/>
          <w:u w:val="single"/>
        </w:rPr>
      </w:pPr>
    </w:p>
    <w:p w14:paraId="3EC7F718" w14:textId="2E4493E0" w:rsidR="00726987" w:rsidRDefault="00726987" w:rsidP="00726987">
      <w:pPr>
        <w:spacing w:line="360" w:lineRule="auto"/>
        <w:jc w:val="center"/>
        <w:rPr>
          <w:rFonts w:ascii="Arial" w:hAnsi="Arial" w:cs="Arial"/>
          <w:b/>
          <w:sz w:val="20"/>
          <w:szCs w:val="20"/>
        </w:rPr>
      </w:pPr>
      <w:r w:rsidRPr="00A152F0">
        <w:rPr>
          <w:rFonts w:ascii="Arial" w:hAnsi="Arial" w:cs="Arial"/>
          <w:b/>
          <w:sz w:val="20"/>
          <w:szCs w:val="20"/>
        </w:rPr>
        <w:t xml:space="preserve">Figure </w:t>
      </w:r>
      <w:r w:rsidR="00774601">
        <w:rPr>
          <w:rFonts w:ascii="Arial" w:hAnsi="Arial" w:cs="Arial"/>
          <w:b/>
          <w:sz w:val="20"/>
          <w:szCs w:val="20"/>
        </w:rPr>
        <w:t>3</w:t>
      </w:r>
      <w:r w:rsidRPr="00A152F0">
        <w:rPr>
          <w:rFonts w:ascii="Arial" w:hAnsi="Arial" w:cs="Arial"/>
          <w:b/>
          <w:sz w:val="20"/>
          <w:szCs w:val="20"/>
        </w:rPr>
        <w:t>:</w:t>
      </w:r>
      <w:r>
        <w:rPr>
          <w:rFonts w:ascii="Arial" w:hAnsi="Arial" w:cs="Arial"/>
          <w:b/>
          <w:sz w:val="20"/>
          <w:szCs w:val="20"/>
        </w:rPr>
        <w:t xml:space="preserve"> </w:t>
      </w:r>
      <w:r w:rsidRPr="00224BC0">
        <w:rPr>
          <w:rFonts w:ascii="Arial" w:hAnsi="Arial" w:cs="Arial"/>
          <w:b/>
          <w:sz w:val="20"/>
          <w:szCs w:val="20"/>
        </w:rPr>
        <w:t xml:space="preserve">Average </w:t>
      </w:r>
      <w:r w:rsidR="00774601">
        <w:rPr>
          <w:rFonts w:ascii="Arial" w:hAnsi="Arial" w:cs="Arial"/>
          <w:b/>
          <w:sz w:val="20"/>
          <w:szCs w:val="20"/>
        </w:rPr>
        <w:t>TDS</w:t>
      </w:r>
      <w:r w:rsidRPr="00224BC0">
        <w:rPr>
          <w:rFonts w:ascii="Arial" w:hAnsi="Arial" w:cs="Arial"/>
          <w:b/>
          <w:sz w:val="20"/>
          <w:szCs w:val="20"/>
        </w:rPr>
        <w:t xml:space="preserve"> Value Recorded During the Experiment</w:t>
      </w:r>
    </w:p>
    <w:p w14:paraId="743F484A" w14:textId="7AE71D6C" w:rsidR="00853F87" w:rsidRDefault="00853F87" w:rsidP="00853F87">
      <w:pPr>
        <w:spacing w:line="276" w:lineRule="auto"/>
        <w:ind w:firstLine="720"/>
        <w:jc w:val="both"/>
        <w:rPr>
          <w:rFonts w:ascii="Arial" w:hAnsi="Arial" w:cs="Arial"/>
          <w:sz w:val="20"/>
          <w:szCs w:val="20"/>
        </w:rPr>
      </w:pPr>
      <w:r w:rsidRPr="00853F87">
        <w:rPr>
          <w:rFonts w:ascii="Arial" w:hAnsi="Arial" w:cs="Arial"/>
          <w:sz w:val="20"/>
          <w:szCs w:val="20"/>
        </w:rPr>
        <w:t>Biofloc treatments showed significantly higher TDS values (p &lt; 0.05) than the control throughout the culture period. The Jeevamruth treatment (T2) consistently recorded the highest TDS, indicating increased microbial biomass and mineralization of organic matter. Despite higher values, TDS remained within tolerable limits for freshwater fish culture (Boyd, 2022).</w:t>
      </w:r>
    </w:p>
    <w:p w14:paraId="72651F9E" w14:textId="77777777" w:rsidR="00853F87" w:rsidRPr="00853F87" w:rsidRDefault="00853F87" w:rsidP="00853F87">
      <w:pPr>
        <w:spacing w:line="276" w:lineRule="auto"/>
        <w:ind w:firstLine="720"/>
        <w:jc w:val="both"/>
        <w:rPr>
          <w:rFonts w:ascii="Arial" w:hAnsi="Arial" w:cs="Arial"/>
          <w:b/>
          <w:sz w:val="16"/>
          <w:szCs w:val="16"/>
          <w:u w:val="single"/>
        </w:rPr>
      </w:pPr>
    </w:p>
    <w:p w14:paraId="2D741EEA" w14:textId="735307A2" w:rsidR="000C2F1D" w:rsidRPr="005E763E" w:rsidRDefault="00E05B72" w:rsidP="00E05B72">
      <w:pPr>
        <w:spacing w:line="360" w:lineRule="auto"/>
        <w:rPr>
          <w:rFonts w:ascii="Arial" w:hAnsi="Arial" w:cs="Arial"/>
          <w:b/>
          <w:sz w:val="22"/>
          <w:szCs w:val="22"/>
        </w:rPr>
      </w:pPr>
      <w:r>
        <w:rPr>
          <w:rFonts w:ascii="Arial" w:hAnsi="Arial" w:cs="Arial"/>
          <w:b/>
          <w:sz w:val="20"/>
          <w:szCs w:val="20"/>
          <w:u w:val="single"/>
        </w:rPr>
        <w:t xml:space="preserve">3.1.4 </w:t>
      </w:r>
      <w:r w:rsidR="000C2F1D" w:rsidRPr="00E05B72">
        <w:rPr>
          <w:rFonts w:ascii="Arial" w:hAnsi="Arial" w:cs="Arial"/>
          <w:b/>
          <w:sz w:val="20"/>
          <w:szCs w:val="20"/>
          <w:u w:val="single"/>
        </w:rPr>
        <w:t>Average Salinity</w:t>
      </w:r>
      <w:r w:rsidR="00F22A46">
        <w:rPr>
          <w:rFonts w:ascii="Arial" w:hAnsi="Arial" w:cs="Arial"/>
          <w:b/>
          <w:sz w:val="20"/>
          <w:szCs w:val="20"/>
          <w:u w:val="single"/>
        </w:rPr>
        <w:t>(ppt)</w:t>
      </w:r>
      <w:r w:rsidR="000C2F1D" w:rsidRPr="00E05B72">
        <w:rPr>
          <w:rFonts w:ascii="Arial" w:hAnsi="Arial" w:cs="Arial"/>
          <w:b/>
          <w:sz w:val="20"/>
          <w:szCs w:val="20"/>
          <w:u w:val="single"/>
        </w:rPr>
        <w:t xml:space="preserve"> Value Recorded During Experiment Period</w:t>
      </w:r>
      <w:r w:rsidR="000C2F1D" w:rsidRPr="005E763E">
        <w:rPr>
          <w:rFonts w:ascii="Arial" w:hAnsi="Arial" w:cs="Arial"/>
          <w:b/>
          <w:sz w:val="22"/>
          <w:szCs w:val="22"/>
        </w:rPr>
        <w:t>.</w:t>
      </w:r>
    </w:p>
    <w:tbl>
      <w:tblPr>
        <w:tblStyle w:val="Tablaconcuadrcula"/>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41"/>
        <w:gridCol w:w="2343"/>
        <w:gridCol w:w="2343"/>
        <w:gridCol w:w="2399"/>
      </w:tblGrid>
      <w:tr w:rsidR="000C2F1D" w:rsidRPr="00C0587E" w14:paraId="650D41B8" w14:textId="77777777" w:rsidTr="00E12DEF">
        <w:trPr>
          <w:trHeight w:val="66"/>
        </w:trPr>
        <w:tc>
          <w:tcPr>
            <w:tcW w:w="5000" w:type="pct"/>
            <w:gridSpan w:val="4"/>
            <w:noWrap/>
            <w:hideMark/>
          </w:tcPr>
          <w:p w14:paraId="5AD2D39E" w14:textId="72953C36" w:rsidR="000C2F1D" w:rsidRPr="00C0587E" w:rsidRDefault="00E12DEF" w:rsidP="00E12DEF">
            <w:pPr>
              <w:rPr>
                <w:rFonts w:ascii="Arial" w:hAnsi="Arial" w:cs="Arial"/>
              </w:rPr>
            </w:pPr>
            <w:r w:rsidRPr="00224BC0">
              <w:rPr>
                <w:rFonts w:ascii="Arial" w:hAnsi="Arial" w:cs="Arial"/>
                <w:b/>
                <w:sz w:val="20"/>
                <w:szCs w:val="20"/>
              </w:rPr>
              <w:t xml:space="preserve">Table </w:t>
            </w:r>
            <w:r>
              <w:rPr>
                <w:rFonts w:ascii="Arial" w:hAnsi="Arial" w:cs="Arial"/>
                <w:b/>
                <w:sz w:val="20"/>
                <w:szCs w:val="20"/>
              </w:rPr>
              <w:t>4</w:t>
            </w:r>
            <w:r w:rsidRPr="00224BC0">
              <w:rPr>
                <w:rFonts w:ascii="Arial" w:hAnsi="Arial" w:cs="Arial"/>
                <w:b/>
                <w:sz w:val="20"/>
                <w:szCs w:val="20"/>
              </w:rPr>
              <w:t xml:space="preserve">: Average </w:t>
            </w:r>
            <w:r>
              <w:rPr>
                <w:rFonts w:ascii="Arial" w:hAnsi="Arial" w:cs="Arial"/>
                <w:b/>
                <w:sz w:val="20"/>
                <w:szCs w:val="20"/>
              </w:rPr>
              <w:t>Salinity</w:t>
            </w:r>
            <w:r w:rsidR="00F22A46">
              <w:rPr>
                <w:rFonts w:ascii="Arial" w:hAnsi="Arial" w:cs="Arial"/>
                <w:b/>
                <w:sz w:val="20"/>
                <w:szCs w:val="20"/>
              </w:rPr>
              <w:t>(ppt)</w:t>
            </w:r>
            <w:r w:rsidRPr="00224BC0">
              <w:rPr>
                <w:rFonts w:ascii="Arial" w:hAnsi="Arial" w:cs="Arial"/>
                <w:b/>
                <w:sz w:val="20"/>
                <w:szCs w:val="20"/>
              </w:rPr>
              <w:t xml:space="preserve"> Value Recorded During the </w:t>
            </w:r>
            <w:commentRangeStart w:id="4"/>
            <w:r w:rsidRPr="00224BC0">
              <w:rPr>
                <w:rFonts w:ascii="Arial" w:hAnsi="Arial" w:cs="Arial"/>
                <w:b/>
                <w:sz w:val="20"/>
                <w:szCs w:val="20"/>
              </w:rPr>
              <w:t>Experiment</w:t>
            </w:r>
            <w:commentRangeEnd w:id="4"/>
            <w:r w:rsidR="00AB048C">
              <w:rPr>
                <w:rStyle w:val="Refdecomentario"/>
                <w:lang w:bidi="gu-IN"/>
              </w:rPr>
              <w:commentReference w:id="4"/>
            </w:r>
          </w:p>
        </w:tc>
      </w:tr>
      <w:tr w:rsidR="000C2F1D" w:rsidRPr="00C0587E" w14:paraId="42FBD54F" w14:textId="77777777" w:rsidTr="00ED2DA0">
        <w:trPr>
          <w:trHeight w:val="66"/>
        </w:trPr>
        <w:tc>
          <w:tcPr>
            <w:tcW w:w="1075" w:type="pct"/>
            <w:tcBorders>
              <w:top w:val="single" w:sz="4" w:space="0" w:color="auto"/>
              <w:bottom w:val="single" w:sz="4" w:space="0" w:color="auto"/>
              <w:right w:val="single" w:sz="4" w:space="0" w:color="auto"/>
            </w:tcBorders>
            <w:noWrap/>
            <w:hideMark/>
          </w:tcPr>
          <w:p w14:paraId="489F0A35" w14:textId="77777777" w:rsidR="000C2F1D" w:rsidRPr="00C0587E" w:rsidRDefault="000C2F1D" w:rsidP="008051EB">
            <w:pPr>
              <w:jc w:val="center"/>
              <w:rPr>
                <w:rFonts w:ascii="Arial" w:hAnsi="Arial" w:cs="Arial"/>
              </w:rPr>
            </w:pPr>
            <w:r w:rsidRPr="00C0587E">
              <w:rPr>
                <w:rFonts w:ascii="Arial" w:hAnsi="Arial" w:cs="Arial"/>
              </w:rPr>
              <w:t>Treatment</w:t>
            </w:r>
          </w:p>
        </w:tc>
        <w:tc>
          <w:tcPr>
            <w:tcW w:w="1298" w:type="pct"/>
            <w:tcBorders>
              <w:top w:val="single" w:sz="4" w:space="0" w:color="auto"/>
              <w:left w:val="single" w:sz="4" w:space="0" w:color="auto"/>
              <w:bottom w:val="single" w:sz="4" w:space="0" w:color="auto"/>
            </w:tcBorders>
            <w:noWrap/>
            <w:hideMark/>
          </w:tcPr>
          <w:p w14:paraId="18576F58" w14:textId="77777777" w:rsidR="000C2F1D" w:rsidRPr="00C0587E" w:rsidRDefault="000C2F1D" w:rsidP="008051EB">
            <w:pPr>
              <w:jc w:val="center"/>
              <w:rPr>
                <w:rFonts w:ascii="Arial" w:hAnsi="Arial" w:cs="Arial"/>
              </w:rPr>
            </w:pPr>
            <w:r w:rsidRPr="00C0587E">
              <w:rPr>
                <w:rFonts w:ascii="Arial" w:hAnsi="Arial" w:cs="Arial"/>
              </w:rPr>
              <w:t>C</w:t>
            </w:r>
          </w:p>
        </w:tc>
        <w:tc>
          <w:tcPr>
            <w:tcW w:w="1298" w:type="pct"/>
            <w:tcBorders>
              <w:top w:val="single" w:sz="4" w:space="0" w:color="auto"/>
              <w:bottom w:val="single" w:sz="4" w:space="0" w:color="auto"/>
            </w:tcBorders>
            <w:noWrap/>
            <w:hideMark/>
          </w:tcPr>
          <w:p w14:paraId="472C5570" w14:textId="448B3C9C" w:rsidR="000C2F1D" w:rsidRPr="00C0587E" w:rsidRDefault="00884617" w:rsidP="008051EB">
            <w:pPr>
              <w:jc w:val="center"/>
              <w:rPr>
                <w:rFonts w:ascii="Arial" w:hAnsi="Arial" w:cs="Arial"/>
              </w:rPr>
            </w:pPr>
            <w:r w:rsidRPr="00C0587E">
              <w:rPr>
                <w:rFonts w:ascii="Arial" w:hAnsi="Arial" w:cs="Arial"/>
              </w:rPr>
              <w:t>T1</w:t>
            </w:r>
          </w:p>
        </w:tc>
        <w:tc>
          <w:tcPr>
            <w:tcW w:w="1329" w:type="pct"/>
            <w:tcBorders>
              <w:top w:val="single" w:sz="4" w:space="0" w:color="auto"/>
              <w:bottom w:val="single" w:sz="4" w:space="0" w:color="auto"/>
            </w:tcBorders>
            <w:noWrap/>
            <w:hideMark/>
          </w:tcPr>
          <w:p w14:paraId="0AD6833B" w14:textId="0DF78AB5" w:rsidR="000C2F1D" w:rsidRPr="00C0587E" w:rsidRDefault="00884617" w:rsidP="008051EB">
            <w:pPr>
              <w:jc w:val="center"/>
              <w:rPr>
                <w:rFonts w:ascii="Arial" w:hAnsi="Arial" w:cs="Arial"/>
              </w:rPr>
            </w:pPr>
            <w:r w:rsidRPr="00C0587E">
              <w:rPr>
                <w:rFonts w:ascii="Arial" w:hAnsi="Arial" w:cs="Arial"/>
              </w:rPr>
              <w:t>T2</w:t>
            </w:r>
          </w:p>
        </w:tc>
      </w:tr>
      <w:tr w:rsidR="00C13730" w:rsidRPr="00C0587E" w14:paraId="10D90497" w14:textId="77777777" w:rsidTr="00ED2DA0">
        <w:trPr>
          <w:trHeight w:val="157"/>
        </w:trPr>
        <w:tc>
          <w:tcPr>
            <w:tcW w:w="1075" w:type="pct"/>
            <w:tcBorders>
              <w:top w:val="single" w:sz="4" w:space="0" w:color="auto"/>
              <w:right w:val="single" w:sz="4" w:space="0" w:color="auto"/>
            </w:tcBorders>
            <w:noWrap/>
            <w:vAlign w:val="bottom"/>
            <w:hideMark/>
          </w:tcPr>
          <w:p w14:paraId="5233046D" w14:textId="01E1E38C" w:rsidR="00C13730" w:rsidRPr="00C0587E" w:rsidRDefault="00C13730" w:rsidP="00C13730">
            <w:pPr>
              <w:jc w:val="center"/>
              <w:rPr>
                <w:rFonts w:ascii="Arial" w:hAnsi="Arial" w:cs="Arial"/>
              </w:rPr>
            </w:pPr>
            <w:r w:rsidRPr="00C0587E">
              <w:rPr>
                <w:rFonts w:ascii="Arial" w:eastAsia="Times New Roman" w:hAnsi="Arial" w:cs="Arial"/>
                <w:color w:val="000000"/>
                <w:kern w:val="0"/>
                <w:lang w:eastAsia="en-IN"/>
                <w14:ligatures w14:val="none"/>
              </w:rPr>
              <w:t>0</w:t>
            </w:r>
            <w:r w:rsidRPr="00C0587E">
              <w:rPr>
                <w:rFonts w:ascii="Arial" w:eastAsia="Times New Roman" w:hAnsi="Arial" w:cs="Arial"/>
                <w:color w:val="000000"/>
                <w:kern w:val="0"/>
                <w:vertAlign w:val="superscript"/>
                <w:lang w:eastAsia="en-IN"/>
                <w14:ligatures w14:val="none"/>
              </w:rPr>
              <w:t>th</w:t>
            </w:r>
            <w:r w:rsidRPr="00C0587E">
              <w:rPr>
                <w:rFonts w:ascii="Arial" w:eastAsia="Times New Roman" w:hAnsi="Arial" w:cs="Arial"/>
                <w:color w:val="000000"/>
                <w:kern w:val="0"/>
                <w:lang w:eastAsia="en-IN"/>
                <w14:ligatures w14:val="none"/>
              </w:rPr>
              <w:t xml:space="preserve"> day</w:t>
            </w:r>
          </w:p>
        </w:tc>
        <w:tc>
          <w:tcPr>
            <w:tcW w:w="1298" w:type="pct"/>
            <w:tcBorders>
              <w:top w:val="single" w:sz="4" w:space="0" w:color="auto"/>
              <w:left w:val="single" w:sz="4" w:space="0" w:color="auto"/>
            </w:tcBorders>
            <w:noWrap/>
            <w:vAlign w:val="bottom"/>
            <w:hideMark/>
          </w:tcPr>
          <w:p w14:paraId="0A3DA371" w14:textId="77777777" w:rsidR="00C13730" w:rsidRPr="00C0587E" w:rsidRDefault="00C13730" w:rsidP="00C13730">
            <w:pPr>
              <w:jc w:val="center"/>
              <w:rPr>
                <w:rFonts w:ascii="Arial" w:hAnsi="Arial" w:cs="Arial"/>
              </w:rPr>
            </w:pPr>
            <w:r w:rsidRPr="00C0587E">
              <w:rPr>
                <w:rFonts w:ascii="Arial" w:hAnsi="Arial" w:cs="Arial"/>
                <w:color w:val="000000"/>
              </w:rPr>
              <w:t>0.30 ± 0.004</w:t>
            </w:r>
            <w:r w:rsidRPr="00C0587E">
              <w:rPr>
                <w:rFonts w:ascii="Arial" w:hAnsi="Arial" w:cs="Arial"/>
                <w:color w:val="000000"/>
                <w:vertAlign w:val="superscript"/>
              </w:rPr>
              <w:t>b</w:t>
            </w:r>
          </w:p>
        </w:tc>
        <w:tc>
          <w:tcPr>
            <w:tcW w:w="1298" w:type="pct"/>
            <w:tcBorders>
              <w:top w:val="single" w:sz="4" w:space="0" w:color="auto"/>
            </w:tcBorders>
            <w:noWrap/>
            <w:vAlign w:val="bottom"/>
            <w:hideMark/>
          </w:tcPr>
          <w:p w14:paraId="02738FD1" w14:textId="77777777" w:rsidR="00C13730" w:rsidRPr="00C0587E" w:rsidRDefault="00C13730" w:rsidP="00C13730">
            <w:pPr>
              <w:jc w:val="center"/>
              <w:rPr>
                <w:rFonts w:ascii="Arial" w:hAnsi="Arial" w:cs="Arial"/>
              </w:rPr>
            </w:pPr>
            <w:r w:rsidRPr="00C0587E">
              <w:rPr>
                <w:rFonts w:ascii="Arial" w:hAnsi="Arial" w:cs="Arial"/>
                <w:color w:val="000000"/>
              </w:rPr>
              <w:t>0.46 ± 0.006</w:t>
            </w:r>
            <w:r w:rsidRPr="00C0587E">
              <w:rPr>
                <w:rFonts w:ascii="Arial" w:hAnsi="Arial" w:cs="Arial"/>
                <w:color w:val="000000"/>
                <w:vertAlign w:val="superscript"/>
              </w:rPr>
              <w:t>a</w:t>
            </w:r>
          </w:p>
        </w:tc>
        <w:tc>
          <w:tcPr>
            <w:tcW w:w="1329" w:type="pct"/>
            <w:tcBorders>
              <w:top w:val="single" w:sz="4" w:space="0" w:color="auto"/>
            </w:tcBorders>
            <w:noWrap/>
            <w:vAlign w:val="bottom"/>
            <w:hideMark/>
          </w:tcPr>
          <w:p w14:paraId="2660ECDD" w14:textId="77777777" w:rsidR="00C13730" w:rsidRPr="00C0587E" w:rsidRDefault="00C13730" w:rsidP="00C13730">
            <w:pPr>
              <w:jc w:val="center"/>
              <w:rPr>
                <w:rFonts w:ascii="Arial" w:hAnsi="Arial" w:cs="Arial"/>
              </w:rPr>
            </w:pPr>
            <w:r w:rsidRPr="00C0587E">
              <w:rPr>
                <w:rFonts w:ascii="Arial" w:hAnsi="Arial" w:cs="Arial"/>
                <w:color w:val="000000"/>
              </w:rPr>
              <w:t>0.48 ± 0.003</w:t>
            </w:r>
            <w:r w:rsidRPr="00C0587E">
              <w:rPr>
                <w:rFonts w:ascii="Arial" w:hAnsi="Arial" w:cs="Arial"/>
                <w:color w:val="000000"/>
                <w:vertAlign w:val="superscript"/>
              </w:rPr>
              <w:t>a</w:t>
            </w:r>
          </w:p>
        </w:tc>
      </w:tr>
      <w:tr w:rsidR="00C13730" w:rsidRPr="00C0587E" w14:paraId="5CA05432" w14:textId="77777777" w:rsidTr="00ED2DA0">
        <w:trPr>
          <w:trHeight w:val="148"/>
        </w:trPr>
        <w:tc>
          <w:tcPr>
            <w:tcW w:w="1075" w:type="pct"/>
            <w:tcBorders>
              <w:right w:val="single" w:sz="4" w:space="0" w:color="auto"/>
            </w:tcBorders>
            <w:noWrap/>
            <w:vAlign w:val="bottom"/>
            <w:hideMark/>
          </w:tcPr>
          <w:p w14:paraId="7091C6D4" w14:textId="1210A670" w:rsidR="00C13730" w:rsidRPr="00C0587E" w:rsidRDefault="00C13730" w:rsidP="00C13730">
            <w:pPr>
              <w:jc w:val="center"/>
              <w:rPr>
                <w:rFonts w:ascii="Arial" w:hAnsi="Arial" w:cs="Arial"/>
              </w:rPr>
            </w:pPr>
            <w:r w:rsidRPr="00C0587E">
              <w:rPr>
                <w:rFonts w:ascii="Arial" w:eastAsia="Times New Roman" w:hAnsi="Arial" w:cs="Arial"/>
                <w:color w:val="000000"/>
                <w:kern w:val="0"/>
                <w:lang w:eastAsia="en-IN"/>
                <w14:ligatures w14:val="none"/>
              </w:rPr>
              <w:t>7</w:t>
            </w:r>
            <w:r w:rsidRPr="00C0587E">
              <w:rPr>
                <w:rFonts w:ascii="Arial" w:eastAsia="Times New Roman" w:hAnsi="Arial" w:cs="Arial"/>
                <w:color w:val="000000"/>
                <w:kern w:val="0"/>
                <w:vertAlign w:val="superscript"/>
                <w:lang w:eastAsia="en-IN"/>
                <w14:ligatures w14:val="none"/>
              </w:rPr>
              <w:t>th</w:t>
            </w:r>
            <w:r w:rsidRPr="00C0587E">
              <w:rPr>
                <w:rFonts w:ascii="Arial" w:eastAsia="Times New Roman" w:hAnsi="Arial" w:cs="Arial"/>
                <w:color w:val="000000"/>
                <w:kern w:val="0"/>
                <w:lang w:eastAsia="en-IN"/>
                <w14:ligatures w14:val="none"/>
              </w:rPr>
              <w:t xml:space="preserve"> day</w:t>
            </w:r>
          </w:p>
        </w:tc>
        <w:tc>
          <w:tcPr>
            <w:tcW w:w="1298" w:type="pct"/>
            <w:tcBorders>
              <w:left w:val="single" w:sz="4" w:space="0" w:color="auto"/>
            </w:tcBorders>
            <w:noWrap/>
            <w:vAlign w:val="bottom"/>
            <w:hideMark/>
          </w:tcPr>
          <w:p w14:paraId="2385B924" w14:textId="77777777" w:rsidR="00C13730" w:rsidRPr="00C0587E" w:rsidRDefault="00C13730" w:rsidP="00C13730">
            <w:pPr>
              <w:jc w:val="center"/>
              <w:rPr>
                <w:rFonts w:ascii="Arial" w:hAnsi="Arial" w:cs="Arial"/>
              </w:rPr>
            </w:pPr>
            <w:r w:rsidRPr="00C0587E">
              <w:rPr>
                <w:rFonts w:ascii="Arial" w:hAnsi="Arial" w:cs="Arial"/>
                <w:color w:val="000000"/>
              </w:rPr>
              <w:t>0.46 ± 0.003</w:t>
            </w:r>
            <w:r w:rsidRPr="00C0587E">
              <w:rPr>
                <w:rFonts w:ascii="Arial" w:hAnsi="Arial" w:cs="Arial"/>
                <w:color w:val="000000"/>
                <w:vertAlign w:val="superscript"/>
              </w:rPr>
              <w:t>A</w:t>
            </w:r>
          </w:p>
        </w:tc>
        <w:tc>
          <w:tcPr>
            <w:tcW w:w="1298" w:type="pct"/>
            <w:noWrap/>
            <w:vAlign w:val="bottom"/>
            <w:hideMark/>
          </w:tcPr>
          <w:p w14:paraId="45A708F2" w14:textId="77777777" w:rsidR="00C13730" w:rsidRPr="00C0587E" w:rsidRDefault="00C13730" w:rsidP="00C13730">
            <w:pPr>
              <w:jc w:val="center"/>
              <w:rPr>
                <w:rFonts w:ascii="Arial" w:hAnsi="Arial" w:cs="Arial"/>
              </w:rPr>
            </w:pPr>
            <w:r w:rsidRPr="00C0587E">
              <w:rPr>
                <w:rFonts w:ascii="Arial" w:hAnsi="Arial" w:cs="Arial"/>
                <w:color w:val="000000"/>
              </w:rPr>
              <w:t>0.46 ± 0.003</w:t>
            </w:r>
            <w:r w:rsidRPr="00C0587E">
              <w:rPr>
                <w:rFonts w:ascii="Arial" w:hAnsi="Arial" w:cs="Arial"/>
                <w:color w:val="000000"/>
                <w:vertAlign w:val="superscript"/>
              </w:rPr>
              <w:t>A</w:t>
            </w:r>
          </w:p>
        </w:tc>
        <w:tc>
          <w:tcPr>
            <w:tcW w:w="1329" w:type="pct"/>
            <w:noWrap/>
            <w:vAlign w:val="bottom"/>
            <w:hideMark/>
          </w:tcPr>
          <w:p w14:paraId="340F0F7F" w14:textId="77777777" w:rsidR="00C13730" w:rsidRPr="00C0587E" w:rsidRDefault="00C13730" w:rsidP="00C13730">
            <w:pPr>
              <w:jc w:val="center"/>
              <w:rPr>
                <w:rFonts w:ascii="Arial" w:hAnsi="Arial" w:cs="Arial"/>
              </w:rPr>
            </w:pPr>
            <w:r w:rsidRPr="00C0587E">
              <w:rPr>
                <w:rFonts w:ascii="Arial" w:hAnsi="Arial" w:cs="Arial"/>
                <w:color w:val="000000"/>
              </w:rPr>
              <w:t>0.48 ± 0.003</w:t>
            </w:r>
            <w:r w:rsidRPr="00C0587E">
              <w:rPr>
                <w:rFonts w:ascii="Arial" w:hAnsi="Arial" w:cs="Arial"/>
                <w:color w:val="000000"/>
                <w:vertAlign w:val="superscript"/>
              </w:rPr>
              <w:t>A</w:t>
            </w:r>
          </w:p>
        </w:tc>
      </w:tr>
      <w:tr w:rsidR="00C13730" w:rsidRPr="00C0587E" w14:paraId="438791B8" w14:textId="77777777" w:rsidTr="00ED2DA0">
        <w:trPr>
          <w:trHeight w:val="157"/>
        </w:trPr>
        <w:tc>
          <w:tcPr>
            <w:tcW w:w="1075" w:type="pct"/>
            <w:tcBorders>
              <w:right w:val="single" w:sz="4" w:space="0" w:color="auto"/>
            </w:tcBorders>
            <w:noWrap/>
            <w:vAlign w:val="bottom"/>
            <w:hideMark/>
          </w:tcPr>
          <w:p w14:paraId="0DCADABC" w14:textId="28EB5DC4" w:rsidR="00C13730" w:rsidRPr="00C0587E" w:rsidRDefault="00C13730" w:rsidP="00C13730">
            <w:pPr>
              <w:jc w:val="center"/>
              <w:rPr>
                <w:rFonts w:ascii="Arial" w:hAnsi="Arial" w:cs="Arial"/>
              </w:rPr>
            </w:pPr>
            <w:r w:rsidRPr="00C0587E">
              <w:rPr>
                <w:rFonts w:ascii="Arial" w:eastAsia="Times New Roman" w:hAnsi="Arial" w:cs="Arial"/>
                <w:color w:val="000000"/>
                <w:kern w:val="0"/>
                <w:lang w:eastAsia="en-IN"/>
                <w14:ligatures w14:val="none"/>
              </w:rPr>
              <w:t>14</w:t>
            </w:r>
            <w:r w:rsidRPr="00C0587E">
              <w:rPr>
                <w:rFonts w:ascii="Arial" w:eastAsia="Times New Roman" w:hAnsi="Arial" w:cs="Arial"/>
                <w:color w:val="000000"/>
                <w:kern w:val="0"/>
                <w:vertAlign w:val="superscript"/>
                <w:lang w:eastAsia="en-IN"/>
                <w14:ligatures w14:val="none"/>
              </w:rPr>
              <w:t>th</w:t>
            </w:r>
            <w:r w:rsidRPr="00C0587E">
              <w:rPr>
                <w:rFonts w:ascii="Arial" w:eastAsia="Times New Roman" w:hAnsi="Arial" w:cs="Arial"/>
                <w:color w:val="000000"/>
                <w:kern w:val="0"/>
                <w:lang w:eastAsia="en-IN"/>
                <w14:ligatures w14:val="none"/>
              </w:rPr>
              <w:t xml:space="preserve"> day</w:t>
            </w:r>
          </w:p>
        </w:tc>
        <w:tc>
          <w:tcPr>
            <w:tcW w:w="1298" w:type="pct"/>
            <w:tcBorders>
              <w:left w:val="single" w:sz="4" w:space="0" w:color="auto"/>
            </w:tcBorders>
            <w:noWrap/>
            <w:vAlign w:val="bottom"/>
            <w:hideMark/>
          </w:tcPr>
          <w:p w14:paraId="3A36063C" w14:textId="77777777" w:rsidR="00C13730" w:rsidRPr="00C0587E" w:rsidRDefault="00C13730" w:rsidP="00C13730">
            <w:pPr>
              <w:jc w:val="center"/>
              <w:rPr>
                <w:rFonts w:ascii="Arial" w:hAnsi="Arial" w:cs="Arial"/>
              </w:rPr>
            </w:pPr>
            <w:r w:rsidRPr="00C0587E">
              <w:rPr>
                <w:rFonts w:ascii="Arial" w:hAnsi="Arial" w:cs="Arial"/>
                <w:color w:val="000000"/>
              </w:rPr>
              <w:t>0.48 ± 0.003</w:t>
            </w:r>
            <w:r w:rsidRPr="00C0587E">
              <w:rPr>
                <w:rFonts w:ascii="Arial" w:hAnsi="Arial" w:cs="Arial"/>
                <w:color w:val="000000"/>
                <w:vertAlign w:val="superscript"/>
              </w:rPr>
              <w:t>p</w:t>
            </w:r>
          </w:p>
        </w:tc>
        <w:tc>
          <w:tcPr>
            <w:tcW w:w="1298" w:type="pct"/>
            <w:noWrap/>
            <w:vAlign w:val="bottom"/>
            <w:hideMark/>
          </w:tcPr>
          <w:p w14:paraId="3FC5FC2C" w14:textId="77777777" w:rsidR="00C13730" w:rsidRPr="00C0587E" w:rsidRDefault="00C13730" w:rsidP="00C13730">
            <w:pPr>
              <w:jc w:val="center"/>
              <w:rPr>
                <w:rFonts w:ascii="Arial" w:hAnsi="Arial" w:cs="Arial"/>
              </w:rPr>
            </w:pPr>
            <w:r w:rsidRPr="00C0587E">
              <w:rPr>
                <w:rFonts w:ascii="Arial" w:hAnsi="Arial" w:cs="Arial"/>
                <w:color w:val="000000"/>
              </w:rPr>
              <w:t>0.49 ± 0.003</w:t>
            </w:r>
            <w:r w:rsidRPr="00C0587E">
              <w:rPr>
                <w:rFonts w:ascii="Arial" w:hAnsi="Arial" w:cs="Arial"/>
                <w:color w:val="000000"/>
                <w:vertAlign w:val="superscript"/>
              </w:rPr>
              <w:t>p</w:t>
            </w:r>
          </w:p>
        </w:tc>
        <w:tc>
          <w:tcPr>
            <w:tcW w:w="1329" w:type="pct"/>
            <w:noWrap/>
            <w:vAlign w:val="bottom"/>
            <w:hideMark/>
          </w:tcPr>
          <w:p w14:paraId="2968053E" w14:textId="77777777" w:rsidR="00C13730" w:rsidRPr="00C0587E" w:rsidRDefault="00C13730" w:rsidP="00C13730">
            <w:pPr>
              <w:jc w:val="center"/>
              <w:rPr>
                <w:rFonts w:ascii="Arial" w:hAnsi="Arial" w:cs="Arial"/>
              </w:rPr>
            </w:pPr>
            <w:r w:rsidRPr="00C0587E">
              <w:rPr>
                <w:rFonts w:ascii="Arial" w:hAnsi="Arial" w:cs="Arial"/>
                <w:color w:val="000000"/>
              </w:rPr>
              <w:t>0.50 ± 0.003</w:t>
            </w:r>
            <w:r w:rsidRPr="00C0587E">
              <w:rPr>
                <w:rFonts w:ascii="Arial" w:hAnsi="Arial" w:cs="Arial"/>
                <w:color w:val="000000"/>
                <w:vertAlign w:val="superscript"/>
              </w:rPr>
              <w:t>p</w:t>
            </w:r>
          </w:p>
        </w:tc>
      </w:tr>
      <w:tr w:rsidR="00C13730" w:rsidRPr="00C0587E" w14:paraId="43EB9FC5" w14:textId="77777777" w:rsidTr="00ED2DA0">
        <w:trPr>
          <w:trHeight w:val="157"/>
        </w:trPr>
        <w:tc>
          <w:tcPr>
            <w:tcW w:w="1075" w:type="pct"/>
            <w:tcBorders>
              <w:right w:val="single" w:sz="4" w:space="0" w:color="auto"/>
            </w:tcBorders>
            <w:noWrap/>
            <w:vAlign w:val="bottom"/>
            <w:hideMark/>
          </w:tcPr>
          <w:p w14:paraId="42EE0CCC" w14:textId="056FD040" w:rsidR="00C13730" w:rsidRPr="00C0587E" w:rsidRDefault="00C13730" w:rsidP="00C13730">
            <w:pPr>
              <w:jc w:val="center"/>
              <w:rPr>
                <w:rFonts w:ascii="Arial" w:hAnsi="Arial" w:cs="Arial"/>
              </w:rPr>
            </w:pPr>
            <w:r w:rsidRPr="00C0587E">
              <w:rPr>
                <w:rFonts w:ascii="Arial" w:eastAsia="Times New Roman" w:hAnsi="Arial" w:cs="Arial"/>
                <w:color w:val="000000"/>
                <w:kern w:val="0"/>
                <w:lang w:eastAsia="en-IN"/>
                <w14:ligatures w14:val="none"/>
              </w:rPr>
              <w:t>21</w:t>
            </w:r>
            <w:r w:rsidRPr="00C0587E">
              <w:rPr>
                <w:rFonts w:ascii="Arial" w:eastAsia="Times New Roman" w:hAnsi="Arial" w:cs="Arial"/>
                <w:color w:val="000000"/>
                <w:kern w:val="0"/>
                <w:vertAlign w:val="superscript"/>
                <w:lang w:eastAsia="en-IN"/>
                <w14:ligatures w14:val="none"/>
              </w:rPr>
              <w:t>st</w:t>
            </w:r>
            <w:r w:rsidRPr="00C0587E">
              <w:rPr>
                <w:rFonts w:ascii="Arial" w:eastAsia="Times New Roman" w:hAnsi="Arial" w:cs="Arial"/>
                <w:color w:val="000000"/>
                <w:kern w:val="0"/>
                <w:lang w:eastAsia="en-IN"/>
                <w14:ligatures w14:val="none"/>
              </w:rPr>
              <w:t xml:space="preserve"> day</w:t>
            </w:r>
          </w:p>
        </w:tc>
        <w:tc>
          <w:tcPr>
            <w:tcW w:w="1298" w:type="pct"/>
            <w:tcBorders>
              <w:left w:val="single" w:sz="4" w:space="0" w:color="auto"/>
            </w:tcBorders>
            <w:noWrap/>
            <w:vAlign w:val="bottom"/>
            <w:hideMark/>
          </w:tcPr>
          <w:p w14:paraId="416DB67E" w14:textId="77777777" w:rsidR="00C13730" w:rsidRPr="00C0587E" w:rsidRDefault="00C13730" w:rsidP="00C13730">
            <w:pPr>
              <w:jc w:val="center"/>
              <w:rPr>
                <w:rFonts w:ascii="Arial" w:hAnsi="Arial" w:cs="Arial"/>
              </w:rPr>
            </w:pPr>
            <w:r w:rsidRPr="00C0587E">
              <w:rPr>
                <w:rFonts w:ascii="Arial" w:hAnsi="Arial" w:cs="Arial"/>
                <w:color w:val="000000"/>
              </w:rPr>
              <w:t>0.46 ± 0.007</w:t>
            </w:r>
            <w:r w:rsidRPr="00C0587E">
              <w:rPr>
                <w:rFonts w:ascii="Arial" w:hAnsi="Arial" w:cs="Arial"/>
                <w:color w:val="000000"/>
                <w:vertAlign w:val="superscript"/>
              </w:rPr>
              <w:t>Q</w:t>
            </w:r>
          </w:p>
        </w:tc>
        <w:tc>
          <w:tcPr>
            <w:tcW w:w="1298" w:type="pct"/>
            <w:noWrap/>
            <w:vAlign w:val="bottom"/>
            <w:hideMark/>
          </w:tcPr>
          <w:p w14:paraId="50DB9124" w14:textId="77777777" w:rsidR="00C13730" w:rsidRPr="00C0587E" w:rsidRDefault="00C13730" w:rsidP="00C13730">
            <w:pPr>
              <w:jc w:val="center"/>
              <w:rPr>
                <w:rFonts w:ascii="Arial" w:hAnsi="Arial" w:cs="Arial"/>
              </w:rPr>
            </w:pPr>
            <w:r w:rsidRPr="00C0587E">
              <w:rPr>
                <w:rFonts w:ascii="Arial" w:hAnsi="Arial" w:cs="Arial"/>
                <w:color w:val="000000"/>
              </w:rPr>
              <w:t>0.49 ± 0.003</w:t>
            </w:r>
            <w:r w:rsidRPr="00C0587E">
              <w:rPr>
                <w:rFonts w:ascii="Arial" w:hAnsi="Arial" w:cs="Arial"/>
                <w:color w:val="000000"/>
                <w:vertAlign w:val="superscript"/>
              </w:rPr>
              <w:t>PQ</w:t>
            </w:r>
          </w:p>
        </w:tc>
        <w:tc>
          <w:tcPr>
            <w:tcW w:w="1329" w:type="pct"/>
            <w:noWrap/>
            <w:vAlign w:val="bottom"/>
            <w:hideMark/>
          </w:tcPr>
          <w:p w14:paraId="125BFC1B" w14:textId="77777777" w:rsidR="00C13730" w:rsidRPr="00C0587E" w:rsidRDefault="00C13730" w:rsidP="00C13730">
            <w:pPr>
              <w:jc w:val="center"/>
              <w:rPr>
                <w:rFonts w:ascii="Arial" w:hAnsi="Arial" w:cs="Arial"/>
              </w:rPr>
            </w:pPr>
            <w:r w:rsidRPr="00C0587E">
              <w:rPr>
                <w:rFonts w:ascii="Arial" w:hAnsi="Arial" w:cs="Arial"/>
                <w:color w:val="000000"/>
              </w:rPr>
              <w:t>0.50 ± 0.003</w:t>
            </w:r>
            <w:r w:rsidRPr="00C0587E">
              <w:rPr>
                <w:rFonts w:ascii="Arial" w:hAnsi="Arial" w:cs="Arial"/>
                <w:color w:val="000000"/>
                <w:vertAlign w:val="superscript"/>
              </w:rPr>
              <w:t>P</w:t>
            </w:r>
          </w:p>
        </w:tc>
      </w:tr>
      <w:tr w:rsidR="00C13730" w:rsidRPr="00C0587E" w14:paraId="5BF65543" w14:textId="77777777" w:rsidTr="00ED2DA0">
        <w:trPr>
          <w:trHeight w:val="148"/>
        </w:trPr>
        <w:tc>
          <w:tcPr>
            <w:tcW w:w="1075" w:type="pct"/>
            <w:tcBorders>
              <w:right w:val="single" w:sz="4" w:space="0" w:color="auto"/>
            </w:tcBorders>
            <w:noWrap/>
            <w:vAlign w:val="bottom"/>
            <w:hideMark/>
          </w:tcPr>
          <w:p w14:paraId="415D1B10" w14:textId="417B500C" w:rsidR="00C13730" w:rsidRPr="00C0587E" w:rsidRDefault="00C13730" w:rsidP="00C13730">
            <w:pPr>
              <w:jc w:val="center"/>
              <w:rPr>
                <w:rFonts w:ascii="Arial" w:hAnsi="Arial" w:cs="Arial"/>
              </w:rPr>
            </w:pPr>
            <w:r w:rsidRPr="00C0587E">
              <w:rPr>
                <w:rFonts w:ascii="Arial" w:eastAsia="Times New Roman" w:hAnsi="Arial" w:cs="Arial"/>
                <w:color w:val="000000"/>
                <w:kern w:val="0"/>
                <w:lang w:eastAsia="en-IN"/>
                <w14:ligatures w14:val="none"/>
              </w:rPr>
              <w:t>28</w:t>
            </w:r>
            <w:r w:rsidRPr="00C0587E">
              <w:rPr>
                <w:rFonts w:ascii="Arial" w:eastAsia="Times New Roman" w:hAnsi="Arial" w:cs="Arial"/>
                <w:color w:val="000000"/>
                <w:kern w:val="0"/>
                <w:vertAlign w:val="superscript"/>
                <w:lang w:eastAsia="en-IN"/>
                <w14:ligatures w14:val="none"/>
              </w:rPr>
              <w:t>th</w:t>
            </w:r>
            <w:r w:rsidRPr="00C0587E">
              <w:rPr>
                <w:rFonts w:ascii="Arial" w:eastAsia="Times New Roman" w:hAnsi="Arial" w:cs="Arial"/>
                <w:color w:val="000000"/>
                <w:kern w:val="0"/>
                <w:lang w:eastAsia="en-IN"/>
                <w14:ligatures w14:val="none"/>
              </w:rPr>
              <w:t xml:space="preserve"> day</w:t>
            </w:r>
          </w:p>
        </w:tc>
        <w:tc>
          <w:tcPr>
            <w:tcW w:w="1298" w:type="pct"/>
            <w:tcBorders>
              <w:left w:val="single" w:sz="4" w:space="0" w:color="auto"/>
            </w:tcBorders>
            <w:noWrap/>
            <w:vAlign w:val="bottom"/>
            <w:hideMark/>
          </w:tcPr>
          <w:p w14:paraId="2BE40E21" w14:textId="77777777" w:rsidR="00C13730" w:rsidRPr="00C0587E" w:rsidRDefault="00C13730" w:rsidP="00C13730">
            <w:pPr>
              <w:jc w:val="center"/>
              <w:rPr>
                <w:rFonts w:ascii="Arial" w:hAnsi="Arial" w:cs="Arial"/>
              </w:rPr>
            </w:pPr>
            <w:r w:rsidRPr="00C0587E">
              <w:rPr>
                <w:rFonts w:ascii="Arial" w:hAnsi="Arial" w:cs="Arial"/>
                <w:color w:val="000000"/>
              </w:rPr>
              <w:t>0.45 ± 0.006</w:t>
            </w:r>
            <w:r w:rsidRPr="00C0587E">
              <w:rPr>
                <w:rFonts w:ascii="Arial" w:hAnsi="Arial" w:cs="Arial"/>
                <w:color w:val="000000"/>
                <w:vertAlign w:val="superscript"/>
              </w:rPr>
              <w:t>T</w:t>
            </w:r>
          </w:p>
        </w:tc>
        <w:tc>
          <w:tcPr>
            <w:tcW w:w="1298" w:type="pct"/>
            <w:noWrap/>
            <w:vAlign w:val="bottom"/>
            <w:hideMark/>
          </w:tcPr>
          <w:p w14:paraId="586173C2" w14:textId="77777777" w:rsidR="00C13730" w:rsidRPr="00C0587E" w:rsidRDefault="00C13730" w:rsidP="00C13730">
            <w:pPr>
              <w:jc w:val="center"/>
              <w:rPr>
                <w:rFonts w:ascii="Arial" w:hAnsi="Arial" w:cs="Arial"/>
              </w:rPr>
            </w:pPr>
            <w:r w:rsidRPr="00C0587E">
              <w:rPr>
                <w:rFonts w:ascii="Arial" w:hAnsi="Arial" w:cs="Arial"/>
                <w:color w:val="000000"/>
              </w:rPr>
              <w:t>0.50 ± 0.003</w:t>
            </w:r>
            <w:r w:rsidRPr="00C0587E">
              <w:rPr>
                <w:rFonts w:ascii="Arial" w:hAnsi="Arial" w:cs="Arial"/>
                <w:color w:val="000000"/>
                <w:vertAlign w:val="superscript"/>
              </w:rPr>
              <w:t>S</w:t>
            </w:r>
          </w:p>
        </w:tc>
        <w:tc>
          <w:tcPr>
            <w:tcW w:w="1329" w:type="pct"/>
            <w:noWrap/>
            <w:vAlign w:val="bottom"/>
            <w:hideMark/>
          </w:tcPr>
          <w:p w14:paraId="2DA2CB72" w14:textId="77777777" w:rsidR="00C13730" w:rsidRPr="00C0587E" w:rsidRDefault="00C13730" w:rsidP="00C13730">
            <w:pPr>
              <w:jc w:val="center"/>
              <w:rPr>
                <w:rFonts w:ascii="Arial" w:hAnsi="Arial" w:cs="Arial"/>
              </w:rPr>
            </w:pPr>
            <w:r w:rsidRPr="00C0587E">
              <w:rPr>
                <w:rFonts w:ascii="Arial" w:hAnsi="Arial" w:cs="Arial"/>
                <w:color w:val="000000"/>
              </w:rPr>
              <w:t>0.49 ± 0.006</w:t>
            </w:r>
            <w:r w:rsidRPr="00C0587E">
              <w:rPr>
                <w:rFonts w:ascii="Arial" w:hAnsi="Arial" w:cs="Arial"/>
                <w:color w:val="000000"/>
                <w:vertAlign w:val="superscript"/>
              </w:rPr>
              <w:t>S</w:t>
            </w:r>
          </w:p>
        </w:tc>
      </w:tr>
      <w:tr w:rsidR="00C13730" w:rsidRPr="00C0587E" w14:paraId="65BA2C4F" w14:textId="77777777" w:rsidTr="00ED2DA0">
        <w:trPr>
          <w:trHeight w:val="157"/>
        </w:trPr>
        <w:tc>
          <w:tcPr>
            <w:tcW w:w="1075" w:type="pct"/>
            <w:tcBorders>
              <w:right w:val="single" w:sz="4" w:space="0" w:color="auto"/>
            </w:tcBorders>
            <w:noWrap/>
            <w:vAlign w:val="bottom"/>
            <w:hideMark/>
          </w:tcPr>
          <w:p w14:paraId="1431E57A" w14:textId="3DC1CD29" w:rsidR="00C13730" w:rsidRPr="00C0587E" w:rsidRDefault="00C13730" w:rsidP="00C13730">
            <w:pPr>
              <w:jc w:val="center"/>
              <w:rPr>
                <w:rFonts w:ascii="Arial" w:hAnsi="Arial" w:cs="Arial"/>
              </w:rPr>
            </w:pPr>
            <w:r w:rsidRPr="00C0587E">
              <w:rPr>
                <w:rFonts w:ascii="Arial" w:eastAsia="Times New Roman" w:hAnsi="Arial" w:cs="Arial"/>
                <w:color w:val="000000"/>
                <w:kern w:val="0"/>
                <w:lang w:eastAsia="en-IN"/>
                <w14:ligatures w14:val="none"/>
              </w:rPr>
              <w:t>35</w:t>
            </w:r>
            <w:r w:rsidRPr="00C0587E">
              <w:rPr>
                <w:rFonts w:ascii="Arial" w:eastAsia="Times New Roman" w:hAnsi="Arial" w:cs="Arial"/>
                <w:color w:val="000000"/>
                <w:kern w:val="0"/>
                <w:vertAlign w:val="superscript"/>
                <w:lang w:eastAsia="en-IN"/>
                <w14:ligatures w14:val="none"/>
              </w:rPr>
              <w:t>th</w:t>
            </w:r>
            <w:r w:rsidRPr="00C0587E">
              <w:rPr>
                <w:rFonts w:ascii="Arial" w:eastAsia="Times New Roman" w:hAnsi="Arial" w:cs="Arial"/>
                <w:color w:val="000000"/>
                <w:kern w:val="0"/>
                <w:lang w:eastAsia="en-IN"/>
                <w14:ligatures w14:val="none"/>
              </w:rPr>
              <w:t xml:space="preserve"> day</w:t>
            </w:r>
          </w:p>
        </w:tc>
        <w:tc>
          <w:tcPr>
            <w:tcW w:w="1298" w:type="pct"/>
            <w:tcBorders>
              <w:left w:val="single" w:sz="4" w:space="0" w:color="auto"/>
            </w:tcBorders>
            <w:noWrap/>
            <w:vAlign w:val="bottom"/>
            <w:hideMark/>
          </w:tcPr>
          <w:p w14:paraId="593D2FA4" w14:textId="77777777" w:rsidR="00C13730" w:rsidRPr="00C0587E" w:rsidRDefault="00C13730" w:rsidP="00C13730">
            <w:pPr>
              <w:jc w:val="center"/>
              <w:rPr>
                <w:rFonts w:ascii="Arial" w:hAnsi="Arial" w:cs="Arial"/>
              </w:rPr>
            </w:pPr>
            <w:r w:rsidRPr="00C0587E">
              <w:rPr>
                <w:rFonts w:ascii="Arial" w:hAnsi="Arial" w:cs="Arial"/>
                <w:color w:val="000000"/>
              </w:rPr>
              <w:t>0.44 ± 0.009</w:t>
            </w:r>
            <w:r w:rsidRPr="00C0587E">
              <w:rPr>
                <w:rFonts w:ascii="Arial" w:hAnsi="Arial" w:cs="Arial"/>
                <w:color w:val="000000"/>
                <w:vertAlign w:val="superscript"/>
              </w:rPr>
              <w:t>t</w:t>
            </w:r>
          </w:p>
        </w:tc>
        <w:tc>
          <w:tcPr>
            <w:tcW w:w="1298" w:type="pct"/>
            <w:noWrap/>
            <w:vAlign w:val="bottom"/>
            <w:hideMark/>
          </w:tcPr>
          <w:p w14:paraId="57970CE4" w14:textId="77777777" w:rsidR="00C13730" w:rsidRPr="00C0587E" w:rsidRDefault="00C13730" w:rsidP="00C13730">
            <w:pPr>
              <w:jc w:val="center"/>
              <w:rPr>
                <w:rFonts w:ascii="Arial" w:hAnsi="Arial" w:cs="Arial"/>
              </w:rPr>
            </w:pPr>
            <w:r w:rsidRPr="00C0587E">
              <w:rPr>
                <w:rFonts w:ascii="Arial" w:hAnsi="Arial" w:cs="Arial"/>
                <w:color w:val="000000"/>
              </w:rPr>
              <w:t>0.48 ± 0.003</w:t>
            </w:r>
            <w:r w:rsidRPr="00C0587E">
              <w:rPr>
                <w:rFonts w:ascii="Arial" w:hAnsi="Arial" w:cs="Arial"/>
                <w:color w:val="000000"/>
                <w:vertAlign w:val="superscript"/>
              </w:rPr>
              <w:t>s</w:t>
            </w:r>
          </w:p>
        </w:tc>
        <w:tc>
          <w:tcPr>
            <w:tcW w:w="1329" w:type="pct"/>
            <w:noWrap/>
            <w:vAlign w:val="bottom"/>
            <w:hideMark/>
          </w:tcPr>
          <w:p w14:paraId="58D6634A" w14:textId="77777777" w:rsidR="00C13730" w:rsidRPr="00C0587E" w:rsidRDefault="00C13730" w:rsidP="00C13730">
            <w:pPr>
              <w:jc w:val="center"/>
              <w:rPr>
                <w:rFonts w:ascii="Arial" w:hAnsi="Arial" w:cs="Arial"/>
              </w:rPr>
            </w:pPr>
            <w:r w:rsidRPr="00C0587E">
              <w:rPr>
                <w:rFonts w:ascii="Arial" w:hAnsi="Arial" w:cs="Arial"/>
                <w:color w:val="000000"/>
              </w:rPr>
              <w:t>0.49 ± 0.003</w:t>
            </w:r>
            <w:r w:rsidRPr="00C0587E">
              <w:rPr>
                <w:rFonts w:ascii="Arial" w:hAnsi="Arial" w:cs="Arial"/>
                <w:color w:val="000000"/>
                <w:vertAlign w:val="superscript"/>
              </w:rPr>
              <w:t>s</w:t>
            </w:r>
          </w:p>
        </w:tc>
      </w:tr>
      <w:tr w:rsidR="00C13730" w:rsidRPr="00C0587E" w14:paraId="79D704CF" w14:textId="77777777" w:rsidTr="00ED2DA0">
        <w:trPr>
          <w:trHeight w:val="157"/>
        </w:trPr>
        <w:tc>
          <w:tcPr>
            <w:tcW w:w="1075" w:type="pct"/>
            <w:tcBorders>
              <w:right w:val="single" w:sz="4" w:space="0" w:color="auto"/>
            </w:tcBorders>
            <w:noWrap/>
            <w:vAlign w:val="bottom"/>
            <w:hideMark/>
          </w:tcPr>
          <w:p w14:paraId="3242AE0A" w14:textId="45AB2B76" w:rsidR="00C13730" w:rsidRPr="00C0587E" w:rsidRDefault="00C13730" w:rsidP="00C13730">
            <w:pPr>
              <w:jc w:val="center"/>
              <w:rPr>
                <w:rFonts w:ascii="Arial" w:hAnsi="Arial" w:cs="Arial"/>
              </w:rPr>
            </w:pPr>
            <w:r w:rsidRPr="00C0587E">
              <w:rPr>
                <w:rFonts w:ascii="Arial" w:eastAsia="Times New Roman" w:hAnsi="Arial" w:cs="Arial"/>
                <w:color w:val="000000"/>
                <w:kern w:val="0"/>
                <w:lang w:eastAsia="en-IN"/>
                <w14:ligatures w14:val="none"/>
              </w:rPr>
              <w:t>42</w:t>
            </w:r>
            <w:r w:rsidRPr="00C0587E">
              <w:rPr>
                <w:rFonts w:ascii="Arial" w:eastAsia="Times New Roman" w:hAnsi="Arial" w:cs="Arial"/>
                <w:color w:val="000000"/>
                <w:kern w:val="0"/>
                <w:vertAlign w:val="superscript"/>
                <w:lang w:eastAsia="en-IN"/>
                <w14:ligatures w14:val="none"/>
              </w:rPr>
              <w:t>nd</w:t>
            </w:r>
            <w:r w:rsidRPr="00C0587E">
              <w:rPr>
                <w:rFonts w:ascii="Arial" w:eastAsia="Times New Roman" w:hAnsi="Arial" w:cs="Arial"/>
                <w:color w:val="000000"/>
                <w:kern w:val="0"/>
                <w:lang w:eastAsia="en-IN"/>
                <w14:ligatures w14:val="none"/>
              </w:rPr>
              <w:t xml:space="preserve"> day</w:t>
            </w:r>
          </w:p>
        </w:tc>
        <w:tc>
          <w:tcPr>
            <w:tcW w:w="1298" w:type="pct"/>
            <w:tcBorders>
              <w:left w:val="single" w:sz="4" w:space="0" w:color="auto"/>
            </w:tcBorders>
            <w:noWrap/>
            <w:vAlign w:val="bottom"/>
            <w:hideMark/>
          </w:tcPr>
          <w:p w14:paraId="431B7938" w14:textId="77777777" w:rsidR="00C13730" w:rsidRPr="00C0587E" w:rsidRDefault="00C13730" w:rsidP="00C13730">
            <w:pPr>
              <w:jc w:val="center"/>
              <w:rPr>
                <w:rFonts w:ascii="Arial" w:hAnsi="Arial" w:cs="Arial"/>
              </w:rPr>
            </w:pPr>
            <w:r w:rsidRPr="00C0587E">
              <w:rPr>
                <w:rFonts w:ascii="Arial" w:hAnsi="Arial" w:cs="Arial"/>
                <w:color w:val="000000"/>
              </w:rPr>
              <w:t>0.45 ± 0.006</w:t>
            </w:r>
            <w:r w:rsidRPr="00C0587E">
              <w:rPr>
                <w:rFonts w:ascii="Arial" w:hAnsi="Arial" w:cs="Arial"/>
                <w:color w:val="000000"/>
                <w:vertAlign w:val="superscript"/>
              </w:rPr>
              <w:t>V</w:t>
            </w:r>
          </w:p>
        </w:tc>
        <w:tc>
          <w:tcPr>
            <w:tcW w:w="1298" w:type="pct"/>
            <w:noWrap/>
            <w:vAlign w:val="bottom"/>
            <w:hideMark/>
          </w:tcPr>
          <w:p w14:paraId="57FAAE5A" w14:textId="77777777" w:rsidR="00C13730" w:rsidRPr="00C0587E" w:rsidRDefault="00C13730" w:rsidP="00C13730">
            <w:pPr>
              <w:jc w:val="center"/>
              <w:rPr>
                <w:rFonts w:ascii="Arial" w:hAnsi="Arial" w:cs="Arial"/>
              </w:rPr>
            </w:pPr>
            <w:r w:rsidRPr="00C0587E">
              <w:rPr>
                <w:rFonts w:ascii="Arial" w:hAnsi="Arial" w:cs="Arial"/>
                <w:color w:val="000000"/>
              </w:rPr>
              <w:t>0.49 ± 0.006</w:t>
            </w:r>
            <w:r w:rsidRPr="00C0587E">
              <w:rPr>
                <w:rFonts w:ascii="Arial" w:hAnsi="Arial" w:cs="Arial"/>
                <w:color w:val="000000"/>
                <w:vertAlign w:val="superscript"/>
              </w:rPr>
              <w:t>U</w:t>
            </w:r>
          </w:p>
        </w:tc>
        <w:tc>
          <w:tcPr>
            <w:tcW w:w="1329" w:type="pct"/>
            <w:noWrap/>
            <w:vAlign w:val="bottom"/>
            <w:hideMark/>
          </w:tcPr>
          <w:p w14:paraId="46FF84BE" w14:textId="77777777" w:rsidR="00C13730" w:rsidRPr="00C0587E" w:rsidRDefault="00C13730" w:rsidP="00C13730">
            <w:pPr>
              <w:jc w:val="center"/>
              <w:rPr>
                <w:rFonts w:ascii="Arial" w:hAnsi="Arial" w:cs="Arial"/>
              </w:rPr>
            </w:pPr>
            <w:r w:rsidRPr="00C0587E">
              <w:rPr>
                <w:rFonts w:ascii="Arial" w:hAnsi="Arial" w:cs="Arial"/>
                <w:color w:val="000000"/>
              </w:rPr>
              <w:t>0.49 ± 0.003</w:t>
            </w:r>
            <w:r w:rsidRPr="00C0587E">
              <w:rPr>
                <w:rFonts w:ascii="Arial" w:hAnsi="Arial" w:cs="Arial"/>
                <w:color w:val="000000"/>
                <w:vertAlign w:val="superscript"/>
              </w:rPr>
              <w:t>U</w:t>
            </w:r>
          </w:p>
        </w:tc>
      </w:tr>
      <w:tr w:rsidR="00C13730" w:rsidRPr="00C0587E" w14:paraId="74AF3A20" w14:textId="77777777" w:rsidTr="00ED2DA0">
        <w:trPr>
          <w:trHeight w:val="148"/>
        </w:trPr>
        <w:tc>
          <w:tcPr>
            <w:tcW w:w="1075" w:type="pct"/>
            <w:tcBorders>
              <w:right w:val="single" w:sz="4" w:space="0" w:color="auto"/>
            </w:tcBorders>
            <w:noWrap/>
            <w:vAlign w:val="bottom"/>
            <w:hideMark/>
          </w:tcPr>
          <w:p w14:paraId="48E06D30" w14:textId="2695A547" w:rsidR="00C13730" w:rsidRPr="00C0587E" w:rsidRDefault="00C13730" w:rsidP="00C13730">
            <w:pPr>
              <w:jc w:val="center"/>
              <w:rPr>
                <w:rFonts w:ascii="Arial" w:hAnsi="Arial" w:cs="Arial"/>
              </w:rPr>
            </w:pPr>
            <w:r w:rsidRPr="00C0587E">
              <w:rPr>
                <w:rFonts w:ascii="Arial" w:eastAsia="Times New Roman" w:hAnsi="Arial" w:cs="Arial"/>
                <w:color w:val="000000"/>
                <w:kern w:val="0"/>
                <w:lang w:eastAsia="en-IN"/>
                <w14:ligatures w14:val="none"/>
              </w:rPr>
              <w:t>49</w:t>
            </w:r>
            <w:r w:rsidRPr="00C0587E">
              <w:rPr>
                <w:rFonts w:ascii="Arial" w:eastAsia="Times New Roman" w:hAnsi="Arial" w:cs="Arial"/>
                <w:color w:val="000000"/>
                <w:kern w:val="0"/>
                <w:vertAlign w:val="superscript"/>
                <w:lang w:eastAsia="en-IN"/>
                <w14:ligatures w14:val="none"/>
              </w:rPr>
              <w:t>th</w:t>
            </w:r>
            <w:r w:rsidRPr="00C0587E">
              <w:rPr>
                <w:rFonts w:ascii="Arial" w:eastAsia="Times New Roman" w:hAnsi="Arial" w:cs="Arial"/>
                <w:color w:val="000000"/>
                <w:kern w:val="0"/>
                <w:lang w:eastAsia="en-IN"/>
                <w14:ligatures w14:val="none"/>
              </w:rPr>
              <w:t xml:space="preserve"> day</w:t>
            </w:r>
          </w:p>
        </w:tc>
        <w:tc>
          <w:tcPr>
            <w:tcW w:w="1298" w:type="pct"/>
            <w:tcBorders>
              <w:left w:val="single" w:sz="4" w:space="0" w:color="auto"/>
            </w:tcBorders>
            <w:noWrap/>
            <w:vAlign w:val="bottom"/>
            <w:hideMark/>
          </w:tcPr>
          <w:p w14:paraId="64C9AB2B" w14:textId="77777777" w:rsidR="00C13730" w:rsidRPr="00C0587E" w:rsidRDefault="00C13730" w:rsidP="00C13730">
            <w:pPr>
              <w:jc w:val="center"/>
              <w:rPr>
                <w:rFonts w:ascii="Arial" w:hAnsi="Arial" w:cs="Arial"/>
              </w:rPr>
            </w:pPr>
            <w:r w:rsidRPr="00C0587E">
              <w:rPr>
                <w:rFonts w:ascii="Arial" w:hAnsi="Arial" w:cs="Arial"/>
                <w:color w:val="000000"/>
              </w:rPr>
              <w:t>0.43 ± 0.006</w:t>
            </w:r>
            <w:r w:rsidRPr="00C0587E">
              <w:rPr>
                <w:rFonts w:ascii="Arial" w:hAnsi="Arial" w:cs="Arial"/>
                <w:color w:val="000000"/>
                <w:vertAlign w:val="superscript"/>
              </w:rPr>
              <w:t>z</w:t>
            </w:r>
          </w:p>
        </w:tc>
        <w:tc>
          <w:tcPr>
            <w:tcW w:w="1298" w:type="pct"/>
            <w:noWrap/>
            <w:vAlign w:val="bottom"/>
            <w:hideMark/>
          </w:tcPr>
          <w:p w14:paraId="6BB6018F" w14:textId="77777777" w:rsidR="00C13730" w:rsidRPr="00C0587E" w:rsidRDefault="00C13730" w:rsidP="00C13730">
            <w:pPr>
              <w:jc w:val="center"/>
              <w:rPr>
                <w:rFonts w:ascii="Arial" w:hAnsi="Arial" w:cs="Arial"/>
              </w:rPr>
            </w:pPr>
            <w:r w:rsidRPr="00C0587E">
              <w:rPr>
                <w:rFonts w:ascii="Arial" w:hAnsi="Arial" w:cs="Arial"/>
                <w:color w:val="000000"/>
              </w:rPr>
              <w:t>0.48 ± 0.007</w:t>
            </w:r>
            <w:r w:rsidRPr="00C0587E">
              <w:rPr>
                <w:rFonts w:ascii="Arial" w:hAnsi="Arial" w:cs="Arial"/>
                <w:color w:val="000000"/>
                <w:vertAlign w:val="superscript"/>
              </w:rPr>
              <w:t>y</w:t>
            </w:r>
          </w:p>
        </w:tc>
        <w:tc>
          <w:tcPr>
            <w:tcW w:w="1329" w:type="pct"/>
            <w:noWrap/>
            <w:vAlign w:val="bottom"/>
            <w:hideMark/>
          </w:tcPr>
          <w:p w14:paraId="4066BBA4" w14:textId="77777777" w:rsidR="00C13730" w:rsidRPr="00C0587E" w:rsidRDefault="00C13730" w:rsidP="00C13730">
            <w:pPr>
              <w:jc w:val="center"/>
              <w:rPr>
                <w:rFonts w:ascii="Arial" w:hAnsi="Arial" w:cs="Arial"/>
              </w:rPr>
            </w:pPr>
            <w:r w:rsidRPr="00C0587E">
              <w:rPr>
                <w:rFonts w:ascii="Arial" w:hAnsi="Arial" w:cs="Arial"/>
                <w:color w:val="000000"/>
              </w:rPr>
              <w:t>0.48 ± 0.003</w:t>
            </w:r>
            <w:r w:rsidRPr="00C0587E">
              <w:rPr>
                <w:rFonts w:ascii="Arial" w:hAnsi="Arial" w:cs="Arial"/>
                <w:color w:val="000000"/>
                <w:vertAlign w:val="superscript"/>
              </w:rPr>
              <w:t>y</w:t>
            </w:r>
          </w:p>
        </w:tc>
      </w:tr>
      <w:tr w:rsidR="00C13730" w:rsidRPr="00C0587E" w14:paraId="3223A13D" w14:textId="77777777" w:rsidTr="00ED2DA0">
        <w:trPr>
          <w:trHeight w:val="157"/>
        </w:trPr>
        <w:tc>
          <w:tcPr>
            <w:tcW w:w="1075" w:type="pct"/>
            <w:tcBorders>
              <w:right w:val="single" w:sz="4" w:space="0" w:color="auto"/>
            </w:tcBorders>
            <w:noWrap/>
            <w:vAlign w:val="bottom"/>
            <w:hideMark/>
          </w:tcPr>
          <w:p w14:paraId="0155D165" w14:textId="4F297E6E" w:rsidR="00C13730" w:rsidRPr="00C0587E" w:rsidRDefault="00C13730" w:rsidP="00C13730">
            <w:pPr>
              <w:jc w:val="center"/>
              <w:rPr>
                <w:rFonts w:ascii="Arial" w:hAnsi="Arial" w:cs="Arial"/>
              </w:rPr>
            </w:pPr>
            <w:r w:rsidRPr="00C0587E">
              <w:rPr>
                <w:rFonts w:ascii="Arial" w:eastAsia="Times New Roman" w:hAnsi="Arial" w:cs="Arial"/>
                <w:color w:val="000000"/>
                <w:kern w:val="0"/>
                <w:lang w:eastAsia="en-IN"/>
                <w14:ligatures w14:val="none"/>
              </w:rPr>
              <w:t>56</w:t>
            </w:r>
            <w:r w:rsidRPr="00C0587E">
              <w:rPr>
                <w:rFonts w:ascii="Arial" w:eastAsia="Times New Roman" w:hAnsi="Arial" w:cs="Arial"/>
                <w:color w:val="000000"/>
                <w:kern w:val="0"/>
                <w:vertAlign w:val="superscript"/>
                <w:lang w:eastAsia="en-IN"/>
                <w14:ligatures w14:val="none"/>
              </w:rPr>
              <w:t>th</w:t>
            </w:r>
            <w:r w:rsidRPr="00C0587E">
              <w:rPr>
                <w:rFonts w:ascii="Arial" w:eastAsia="Times New Roman" w:hAnsi="Arial" w:cs="Arial"/>
                <w:color w:val="000000"/>
                <w:kern w:val="0"/>
                <w:lang w:eastAsia="en-IN"/>
                <w14:ligatures w14:val="none"/>
              </w:rPr>
              <w:t xml:space="preserve"> day</w:t>
            </w:r>
          </w:p>
        </w:tc>
        <w:tc>
          <w:tcPr>
            <w:tcW w:w="1298" w:type="pct"/>
            <w:tcBorders>
              <w:left w:val="single" w:sz="4" w:space="0" w:color="auto"/>
            </w:tcBorders>
            <w:noWrap/>
            <w:vAlign w:val="bottom"/>
            <w:hideMark/>
          </w:tcPr>
          <w:p w14:paraId="544EB53B" w14:textId="77777777" w:rsidR="00C13730" w:rsidRPr="00C0587E" w:rsidRDefault="00C13730" w:rsidP="00C13730">
            <w:pPr>
              <w:jc w:val="center"/>
              <w:rPr>
                <w:rFonts w:ascii="Arial" w:hAnsi="Arial" w:cs="Arial"/>
              </w:rPr>
            </w:pPr>
            <w:r w:rsidRPr="00C0587E">
              <w:rPr>
                <w:rFonts w:ascii="Arial" w:hAnsi="Arial" w:cs="Arial"/>
                <w:color w:val="000000"/>
              </w:rPr>
              <w:t>0.42 ± 0.006</w:t>
            </w:r>
            <w:r w:rsidRPr="00C0587E">
              <w:rPr>
                <w:rFonts w:ascii="Arial" w:hAnsi="Arial" w:cs="Arial"/>
                <w:color w:val="000000"/>
                <w:vertAlign w:val="superscript"/>
              </w:rPr>
              <w:t>N</w:t>
            </w:r>
          </w:p>
        </w:tc>
        <w:tc>
          <w:tcPr>
            <w:tcW w:w="1298" w:type="pct"/>
            <w:noWrap/>
            <w:vAlign w:val="bottom"/>
            <w:hideMark/>
          </w:tcPr>
          <w:p w14:paraId="02AEA471" w14:textId="77777777" w:rsidR="00C13730" w:rsidRPr="00C0587E" w:rsidRDefault="00C13730" w:rsidP="00C13730">
            <w:pPr>
              <w:jc w:val="center"/>
              <w:rPr>
                <w:rFonts w:ascii="Arial" w:hAnsi="Arial" w:cs="Arial"/>
              </w:rPr>
            </w:pPr>
            <w:r w:rsidRPr="00C0587E">
              <w:rPr>
                <w:rFonts w:ascii="Arial" w:hAnsi="Arial" w:cs="Arial"/>
                <w:color w:val="000000"/>
              </w:rPr>
              <w:t>0.47 ± 0.006</w:t>
            </w:r>
            <w:r w:rsidRPr="00C0587E">
              <w:rPr>
                <w:rFonts w:ascii="Arial" w:hAnsi="Arial" w:cs="Arial"/>
                <w:color w:val="000000"/>
                <w:vertAlign w:val="superscript"/>
              </w:rPr>
              <w:t>M</w:t>
            </w:r>
          </w:p>
        </w:tc>
        <w:tc>
          <w:tcPr>
            <w:tcW w:w="1329" w:type="pct"/>
            <w:noWrap/>
            <w:vAlign w:val="bottom"/>
            <w:hideMark/>
          </w:tcPr>
          <w:p w14:paraId="00E729F1" w14:textId="77777777" w:rsidR="00C13730" w:rsidRPr="00C0587E" w:rsidRDefault="00C13730" w:rsidP="00C13730">
            <w:pPr>
              <w:jc w:val="center"/>
              <w:rPr>
                <w:rFonts w:ascii="Arial" w:hAnsi="Arial" w:cs="Arial"/>
              </w:rPr>
            </w:pPr>
            <w:r w:rsidRPr="00C0587E">
              <w:rPr>
                <w:rFonts w:ascii="Arial" w:hAnsi="Arial" w:cs="Arial"/>
                <w:color w:val="000000"/>
              </w:rPr>
              <w:t>0.47 ± 0.003</w:t>
            </w:r>
            <w:r w:rsidRPr="00C0587E">
              <w:rPr>
                <w:rFonts w:ascii="Arial" w:hAnsi="Arial" w:cs="Arial"/>
                <w:color w:val="000000"/>
                <w:vertAlign w:val="superscript"/>
              </w:rPr>
              <w:t>M</w:t>
            </w:r>
          </w:p>
        </w:tc>
      </w:tr>
      <w:tr w:rsidR="00C13730" w:rsidRPr="00C0587E" w14:paraId="726C360D" w14:textId="77777777" w:rsidTr="00ED2DA0">
        <w:trPr>
          <w:trHeight w:val="157"/>
        </w:trPr>
        <w:tc>
          <w:tcPr>
            <w:tcW w:w="1075" w:type="pct"/>
            <w:tcBorders>
              <w:bottom w:val="single" w:sz="4" w:space="0" w:color="auto"/>
              <w:right w:val="single" w:sz="4" w:space="0" w:color="auto"/>
            </w:tcBorders>
            <w:noWrap/>
            <w:vAlign w:val="bottom"/>
            <w:hideMark/>
          </w:tcPr>
          <w:p w14:paraId="1BED6100" w14:textId="1C336BD4" w:rsidR="00C13730" w:rsidRPr="00C0587E" w:rsidRDefault="00C13730" w:rsidP="00C13730">
            <w:pPr>
              <w:jc w:val="center"/>
              <w:rPr>
                <w:rFonts w:ascii="Arial" w:hAnsi="Arial" w:cs="Arial"/>
              </w:rPr>
            </w:pPr>
            <w:r w:rsidRPr="00C0587E">
              <w:rPr>
                <w:rFonts w:ascii="Arial" w:eastAsia="Times New Roman" w:hAnsi="Arial" w:cs="Arial"/>
                <w:color w:val="000000"/>
                <w:kern w:val="0"/>
                <w:lang w:eastAsia="en-IN"/>
                <w14:ligatures w14:val="none"/>
              </w:rPr>
              <w:t>63</w:t>
            </w:r>
            <w:r w:rsidRPr="00C0587E">
              <w:rPr>
                <w:rFonts w:ascii="Arial" w:eastAsia="Times New Roman" w:hAnsi="Arial" w:cs="Arial"/>
                <w:color w:val="000000"/>
                <w:kern w:val="0"/>
                <w:vertAlign w:val="superscript"/>
                <w:lang w:eastAsia="en-IN"/>
                <w14:ligatures w14:val="none"/>
              </w:rPr>
              <w:t>rd</w:t>
            </w:r>
            <w:r w:rsidRPr="00C0587E">
              <w:rPr>
                <w:rFonts w:ascii="Arial" w:eastAsia="Times New Roman" w:hAnsi="Arial" w:cs="Arial"/>
                <w:color w:val="000000"/>
                <w:kern w:val="0"/>
                <w:lang w:eastAsia="en-IN"/>
                <w14:ligatures w14:val="none"/>
              </w:rPr>
              <w:t xml:space="preserve"> day</w:t>
            </w:r>
          </w:p>
        </w:tc>
        <w:tc>
          <w:tcPr>
            <w:tcW w:w="1298" w:type="pct"/>
            <w:tcBorders>
              <w:left w:val="single" w:sz="4" w:space="0" w:color="auto"/>
              <w:bottom w:val="single" w:sz="4" w:space="0" w:color="auto"/>
            </w:tcBorders>
            <w:noWrap/>
            <w:vAlign w:val="bottom"/>
            <w:hideMark/>
          </w:tcPr>
          <w:p w14:paraId="7CAF0D8B" w14:textId="77777777" w:rsidR="00C13730" w:rsidRPr="00C0587E" w:rsidRDefault="00C13730" w:rsidP="00C13730">
            <w:pPr>
              <w:jc w:val="center"/>
              <w:rPr>
                <w:rFonts w:ascii="Arial" w:hAnsi="Arial" w:cs="Arial"/>
              </w:rPr>
            </w:pPr>
            <w:r w:rsidRPr="00C0587E">
              <w:rPr>
                <w:rFonts w:ascii="Arial" w:hAnsi="Arial" w:cs="Arial"/>
                <w:color w:val="000000"/>
              </w:rPr>
              <w:t>0.45 ± 0.003</w:t>
            </w:r>
            <w:r w:rsidRPr="00C0587E">
              <w:rPr>
                <w:rFonts w:ascii="Arial" w:hAnsi="Arial" w:cs="Arial"/>
                <w:color w:val="000000"/>
                <w:vertAlign w:val="superscript"/>
              </w:rPr>
              <w:t>l</w:t>
            </w:r>
          </w:p>
        </w:tc>
        <w:tc>
          <w:tcPr>
            <w:tcW w:w="1298" w:type="pct"/>
            <w:tcBorders>
              <w:bottom w:val="single" w:sz="4" w:space="0" w:color="auto"/>
            </w:tcBorders>
            <w:noWrap/>
            <w:vAlign w:val="bottom"/>
            <w:hideMark/>
          </w:tcPr>
          <w:p w14:paraId="5277EC64" w14:textId="77777777" w:rsidR="00C13730" w:rsidRPr="00C0587E" w:rsidRDefault="00C13730" w:rsidP="00C13730">
            <w:pPr>
              <w:jc w:val="center"/>
              <w:rPr>
                <w:rFonts w:ascii="Arial" w:hAnsi="Arial" w:cs="Arial"/>
              </w:rPr>
            </w:pPr>
            <w:r w:rsidRPr="00C0587E">
              <w:rPr>
                <w:rFonts w:ascii="Arial" w:hAnsi="Arial" w:cs="Arial"/>
                <w:color w:val="000000"/>
              </w:rPr>
              <w:t>0.47 ± 0.003</w:t>
            </w:r>
            <w:r w:rsidRPr="00C0587E">
              <w:rPr>
                <w:rFonts w:ascii="Arial" w:hAnsi="Arial" w:cs="Arial"/>
                <w:color w:val="000000"/>
                <w:vertAlign w:val="superscript"/>
              </w:rPr>
              <w:t>K</w:t>
            </w:r>
          </w:p>
        </w:tc>
        <w:tc>
          <w:tcPr>
            <w:tcW w:w="1329" w:type="pct"/>
            <w:tcBorders>
              <w:bottom w:val="single" w:sz="4" w:space="0" w:color="auto"/>
            </w:tcBorders>
            <w:noWrap/>
            <w:vAlign w:val="bottom"/>
            <w:hideMark/>
          </w:tcPr>
          <w:p w14:paraId="5DB48C65" w14:textId="77777777" w:rsidR="00C13730" w:rsidRPr="00C0587E" w:rsidRDefault="00C13730" w:rsidP="00C13730">
            <w:pPr>
              <w:jc w:val="center"/>
              <w:rPr>
                <w:rFonts w:ascii="Arial" w:hAnsi="Arial" w:cs="Arial"/>
              </w:rPr>
            </w:pPr>
            <w:r w:rsidRPr="00C0587E">
              <w:rPr>
                <w:rFonts w:ascii="Arial" w:hAnsi="Arial" w:cs="Arial"/>
                <w:color w:val="000000"/>
              </w:rPr>
              <w:t>0.47 ± 0.003</w:t>
            </w:r>
            <w:r w:rsidRPr="00C0587E">
              <w:rPr>
                <w:rFonts w:ascii="Arial" w:hAnsi="Arial" w:cs="Arial"/>
                <w:color w:val="000000"/>
                <w:vertAlign w:val="superscript"/>
              </w:rPr>
              <w:t>K</w:t>
            </w:r>
          </w:p>
        </w:tc>
      </w:tr>
    </w:tbl>
    <w:p w14:paraId="2702F574" w14:textId="043B8C02" w:rsidR="00C97B36" w:rsidRDefault="00C97B36" w:rsidP="00915BCB">
      <w:pPr>
        <w:spacing w:after="4" w:line="249" w:lineRule="auto"/>
        <w:ind w:left="-5" w:right="-123" w:hanging="10"/>
        <w:jc w:val="center"/>
        <w:rPr>
          <w:rFonts w:ascii="Arial" w:hAnsi="Arial" w:cs="Arial"/>
          <w:bCs/>
          <w:sz w:val="20"/>
          <w:szCs w:val="20"/>
        </w:rPr>
      </w:pPr>
      <w:r w:rsidRPr="008A16D3">
        <w:rPr>
          <w:rFonts w:ascii="Arial" w:hAnsi="Arial" w:cs="Arial"/>
          <w:sz w:val="20"/>
          <w:szCs w:val="20"/>
        </w:rPr>
        <w:t>(</w:t>
      </w:r>
      <w:r w:rsidRPr="008A16D3">
        <w:rPr>
          <w:rFonts w:ascii="Arial" w:hAnsi="Arial" w:cs="Arial"/>
          <w:bCs/>
          <w:sz w:val="20"/>
          <w:szCs w:val="20"/>
        </w:rPr>
        <w:t xml:space="preserve">*Note </w:t>
      </w:r>
      <w:r w:rsidR="00DA6F8B">
        <w:rPr>
          <w:rFonts w:ascii="Arial" w:hAnsi="Arial" w:cs="Arial"/>
          <w:bCs/>
          <w:sz w:val="20"/>
          <w:szCs w:val="20"/>
        </w:rPr>
        <w:t xml:space="preserve">C= Control, </w:t>
      </w:r>
      <w:r w:rsidRPr="008A16D3">
        <w:rPr>
          <w:rFonts w:ascii="Arial" w:hAnsi="Arial" w:cs="Arial"/>
          <w:bCs/>
          <w:sz w:val="20"/>
          <w:szCs w:val="20"/>
        </w:rPr>
        <w:t xml:space="preserve">T1= Bio-floc (20:1), </w:t>
      </w:r>
      <w:r w:rsidR="00A96EE9">
        <w:rPr>
          <w:rFonts w:ascii="Arial" w:hAnsi="Arial" w:cs="Arial"/>
          <w:bCs/>
          <w:sz w:val="20"/>
          <w:szCs w:val="20"/>
        </w:rPr>
        <w:t>T2</w:t>
      </w:r>
      <w:r w:rsidRPr="008A16D3">
        <w:rPr>
          <w:rFonts w:ascii="Arial" w:hAnsi="Arial" w:cs="Arial"/>
          <w:bCs/>
          <w:sz w:val="20"/>
          <w:szCs w:val="20"/>
        </w:rPr>
        <w:t>=Biofloc (20:1) + 0.5% Jeevamruth; The mean values followed by the different superscript letters in each factor indicate significant difference at 0.05.)</w:t>
      </w:r>
    </w:p>
    <w:p w14:paraId="6001879C" w14:textId="77777777" w:rsidR="00826CC5" w:rsidRPr="006079B2" w:rsidRDefault="00826CC5" w:rsidP="00E61B4E">
      <w:pPr>
        <w:rPr>
          <w:rFonts w:ascii="Arial" w:hAnsi="Arial" w:cs="Arial"/>
          <w:b/>
          <w:bCs/>
        </w:rPr>
      </w:pPr>
    </w:p>
    <w:p w14:paraId="4BC48275" w14:textId="1D7665DC" w:rsidR="00726987" w:rsidRPr="00A67A45" w:rsidRDefault="005E1806" w:rsidP="00A67A45">
      <w:pPr>
        <w:rPr>
          <w:rFonts w:ascii="Arial" w:hAnsi="Arial" w:cs="Arial"/>
          <w:b/>
          <w:bCs/>
        </w:rPr>
      </w:pPr>
      <w:r>
        <w:rPr>
          <w:rFonts w:ascii="Arial" w:hAnsi="Arial" w:cs="Arial"/>
          <w:noProof/>
        </w:rPr>
        <w:lastRenderedPageBreak/>
        <mc:AlternateContent>
          <mc:Choice Requires="wpg">
            <w:drawing>
              <wp:anchor distT="0" distB="0" distL="114300" distR="114300" simplePos="0" relativeHeight="251686912" behindDoc="0" locked="0" layoutInCell="1" allowOverlap="1" wp14:anchorId="53962C3B" wp14:editId="08460E48">
                <wp:simplePos x="0" y="0"/>
                <wp:positionH relativeFrom="margin">
                  <wp:posOffset>2577465</wp:posOffset>
                </wp:positionH>
                <wp:positionV relativeFrom="paragraph">
                  <wp:posOffset>3001010</wp:posOffset>
                </wp:positionV>
                <wp:extent cx="869950" cy="204470"/>
                <wp:effectExtent l="0" t="0" r="25400" b="24130"/>
                <wp:wrapNone/>
                <wp:docPr id="583528645" name="Group 9"/>
                <wp:cNvGraphicFramePr/>
                <a:graphic xmlns:a="http://schemas.openxmlformats.org/drawingml/2006/main">
                  <a:graphicData uri="http://schemas.microsoft.com/office/word/2010/wordprocessingGroup">
                    <wpg:wgp>
                      <wpg:cNvGrpSpPr/>
                      <wpg:grpSpPr>
                        <a:xfrm>
                          <a:off x="0" y="0"/>
                          <a:ext cx="869950" cy="204470"/>
                          <a:chOff x="0" y="0"/>
                          <a:chExt cx="869950" cy="204470"/>
                        </a:xfrm>
                      </wpg:grpSpPr>
                      <wps:wsp>
                        <wps:cNvPr id="1076721915" name="Text Box 4"/>
                        <wps:cNvSpPr txBox="1"/>
                        <wps:spPr>
                          <a:xfrm>
                            <a:off x="0" y="0"/>
                            <a:ext cx="869950" cy="204470"/>
                          </a:xfrm>
                          <a:prstGeom prst="rect">
                            <a:avLst/>
                          </a:prstGeom>
                          <a:solidFill>
                            <a:schemeClr val="lt1"/>
                          </a:solidFill>
                          <a:ln w="12700">
                            <a:solidFill>
                              <a:prstClr val="black"/>
                            </a:solidFill>
                          </a:ln>
                        </wps:spPr>
                        <wps:txbx>
                          <w:txbxContent>
                            <w:p w14:paraId="69319659" w14:textId="77777777" w:rsidR="00B435F6" w:rsidRPr="00015425" w:rsidRDefault="00B435F6" w:rsidP="005E1806">
                              <w:pPr>
                                <w:rPr>
                                  <w:color w:val="808080" w:themeColor="background1" w:themeShade="80"/>
                                  <w:sz w:val="16"/>
                                  <w:szCs w:val="16"/>
                                  <w:lang w:val="en-US"/>
                                </w:rPr>
                              </w:pPr>
                              <w:r w:rsidRPr="00015425">
                                <w:rPr>
                                  <w:color w:val="808080" w:themeColor="background1" w:themeShade="80"/>
                                  <w:sz w:val="16"/>
                                  <w:szCs w:val="16"/>
                                  <w:lang w:val="en-US"/>
                                </w:rPr>
                                <w:t xml:space="preserve">    C       T1</w:t>
                              </w:r>
                              <w:r w:rsidRPr="00015425">
                                <w:rPr>
                                  <w:color w:val="808080" w:themeColor="background1" w:themeShade="80"/>
                                  <w:sz w:val="16"/>
                                  <w:szCs w:val="16"/>
                                  <w:lang w:val="en-US"/>
                                </w:rPr>
                                <w:tab/>
                                <w:t xml:space="preserve">     T2</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693315749" name="Rectangle 5"/>
                        <wps:cNvSpPr/>
                        <wps:spPr>
                          <a:xfrm>
                            <a:off x="98854" y="89586"/>
                            <a:ext cx="60960" cy="60960"/>
                          </a:xfrm>
                          <a:prstGeom prst="rect">
                            <a:avLst/>
                          </a:prstGeom>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529011051" name="Rectangle 5"/>
                        <wps:cNvSpPr/>
                        <wps:spPr>
                          <a:xfrm>
                            <a:off x="315097" y="89586"/>
                            <a:ext cx="60960" cy="60960"/>
                          </a:xfrm>
                          <a:prstGeom prst="rect">
                            <a:avLst/>
                          </a:prstGeom>
                          <a:solidFill>
                            <a:schemeClr val="accent2"/>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909493823" name="Rectangle 5"/>
                        <wps:cNvSpPr/>
                        <wps:spPr>
                          <a:xfrm>
                            <a:off x="574589" y="86497"/>
                            <a:ext cx="60960" cy="60960"/>
                          </a:xfrm>
                          <a:prstGeom prst="rect">
                            <a:avLst/>
                          </a:prstGeom>
                          <a:solidFill>
                            <a:schemeClr val="bg1">
                              <a:lumMod val="65000"/>
                            </a:schemeClr>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53962C3B" id="_x0000_s1041" style="position:absolute;margin-left:202.95pt;margin-top:236.3pt;width:68.5pt;height:16.1pt;z-index:251686912;mso-position-horizontal-relative:margin;mso-width-relative:margin;mso-height-relative:margin" coordsize="8699,204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">
                <v:shape id="_x0000_s1042" type="#_x0000_t202" style="position:absolute;width:8699;height:20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" fillcolor="white [3201]" strokeweight="1pt">
                  <v:textbox>
                    <w:txbxContent>
                      <w:p w14:paraId="69319659" w14:textId="77777777" w:rsidR="00B435F6" w:rsidRPr="00015425" w:rsidRDefault="00B435F6" w:rsidP="005E1806">
                        <w:pPr>
                          <w:rPr>
                            <w:color w:val="808080" w:themeColor="background1" w:themeShade="80"/>
                            <w:sz w:val="16"/>
                            <w:szCs w:val="16"/>
                            <w:lang w:val="en-US"/>
                          </w:rPr>
                        </w:pPr>
                        <w:r w:rsidRPr="00015425">
                          <w:rPr>
                            <w:color w:val="808080" w:themeColor="background1" w:themeShade="80"/>
                            <w:sz w:val="16"/>
                            <w:szCs w:val="16"/>
                            <w:lang w:val="en-US"/>
                          </w:rPr>
                          <w:t xml:space="preserve">    C       T1</w:t>
                        </w:r>
                        <w:r w:rsidRPr="00015425">
                          <w:rPr>
                            <w:color w:val="808080" w:themeColor="background1" w:themeShade="80"/>
                            <w:sz w:val="16"/>
                            <w:szCs w:val="16"/>
                            <w:lang w:val="en-US"/>
                          </w:rPr>
                          <w:tab/>
                          <w:t xml:space="preserve">     T2</w:t>
                        </w:r>
                      </w:p>
                    </w:txbxContent>
                  </v:textbox>
                </v:shape>
                <v:rect id="Rectangle 5" o:spid="_x0000_s1043" style="position:absolute;left:988;top:895;width:610;height:61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" fillcolor="#4472c4 [3204]" stroked="f" strokeweight="1pt"/>
                <v:rect id="Rectangle 5" o:spid="_x0000_s1044" style="position:absolute;left:3150;top:895;width:610;height:61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" fillcolor="#ed7d31 [3205]" stroked="f" strokeweight="1pt"/>
                <v:rect id="Rectangle 5" o:spid="_x0000_s1045" style="position:absolute;left:5745;top:864;width:610;height:61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" fillcolor="#a5a5a5 [2092]" stroked="f" strokeweight="1pt"/>
                <w10:wrap anchorx="margin"/>
              </v:group>
            </w:pict>
          </mc:Fallback>
        </mc:AlternateContent>
      </w:r>
      <w:r w:rsidR="00B53740" w:rsidRPr="006079B2">
        <w:rPr>
          <w:rFonts w:ascii="Arial" w:hAnsi="Arial" w:cs="Arial"/>
          <w:b/>
          <w:bCs/>
          <w:noProof/>
        </w:rPr>
        <w:drawing>
          <wp:inline distT="0" distB="0" distL="0" distR="0" wp14:anchorId="41DA01EC" wp14:editId="012C5120">
            <wp:extent cx="5486400" cy="3124200"/>
            <wp:effectExtent l="0" t="0" r="0" b="0"/>
            <wp:docPr id="435106321" name="Chart 4"/>
            <wp:cNvGraphicFramePr/>
            <a:graphic xmlns:a="http://schemas.openxmlformats.org/drawingml/2006/main">
              <a:graphicData uri="http://schemas.openxmlformats.org/drawingml/2006/chart">
                <c:chart xmlns:c="http://schemas.openxmlformats.org/drawingml/2006/chart" xmlns:r="http://schemas.openxmlformats.org/officeDocument/2006/relationships" r:id="rId20"/>
              </a:graphicData>
            </a:graphic>
          </wp:inline>
        </w:drawing>
      </w:r>
    </w:p>
    <w:p w14:paraId="0064F89D" w14:textId="77777777" w:rsidR="00853F87" w:rsidRDefault="00853F87" w:rsidP="00726987">
      <w:pPr>
        <w:spacing w:line="360" w:lineRule="auto"/>
        <w:jc w:val="center"/>
        <w:rPr>
          <w:rFonts w:ascii="Arial" w:hAnsi="Arial" w:cs="Arial"/>
          <w:b/>
          <w:sz w:val="20"/>
          <w:szCs w:val="20"/>
        </w:rPr>
      </w:pPr>
    </w:p>
    <w:p w14:paraId="5AAE1A88" w14:textId="2C7ADC5F" w:rsidR="00726987" w:rsidRDefault="00726987" w:rsidP="00726987">
      <w:pPr>
        <w:spacing w:line="360" w:lineRule="auto"/>
        <w:jc w:val="center"/>
        <w:rPr>
          <w:rFonts w:ascii="Arial" w:hAnsi="Arial" w:cs="Arial"/>
          <w:b/>
          <w:sz w:val="20"/>
          <w:szCs w:val="20"/>
        </w:rPr>
      </w:pPr>
      <w:r w:rsidRPr="00A152F0">
        <w:rPr>
          <w:rFonts w:ascii="Arial" w:hAnsi="Arial" w:cs="Arial"/>
          <w:b/>
          <w:sz w:val="20"/>
          <w:szCs w:val="20"/>
        </w:rPr>
        <w:t xml:space="preserve">Figure </w:t>
      </w:r>
      <w:r w:rsidR="00774601">
        <w:rPr>
          <w:rFonts w:ascii="Arial" w:hAnsi="Arial" w:cs="Arial"/>
          <w:b/>
          <w:sz w:val="20"/>
          <w:szCs w:val="20"/>
        </w:rPr>
        <w:t>4</w:t>
      </w:r>
      <w:r w:rsidRPr="00A152F0">
        <w:rPr>
          <w:rFonts w:ascii="Arial" w:hAnsi="Arial" w:cs="Arial"/>
          <w:b/>
          <w:sz w:val="20"/>
          <w:szCs w:val="20"/>
        </w:rPr>
        <w:t>:</w:t>
      </w:r>
      <w:r>
        <w:rPr>
          <w:rFonts w:ascii="Arial" w:hAnsi="Arial" w:cs="Arial"/>
          <w:b/>
          <w:sz w:val="20"/>
          <w:szCs w:val="20"/>
        </w:rPr>
        <w:t xml:space="preserve"> </w:t>
      </w:r>
      <w:r w:rsidRPr="00224BC0">
        <w:rPr>
          <w:rFonts w:ascii="Arial" w:hAnsi="Arial" w:cs="Arial"/>
          <w:b/>
          <w:sz w:val="20"/>
          <w:szCs w:val="20"/>
        </w:rPr>
        <w:t xml:space="preserve">Average </w:t>
      </w:r>
      <w:r w:rsidR="00774601">
        <w:rPr>
          <w:rFonts w:ascii="Arial" w:hAnsi="Arial" w:cs="Arial"/>
          <w:b/>
          <w:sz w:val="20"/>
          <w:szCs w:val="20"/>
        </w:rPr>
        <w:t>Salinity</w:t>
      </w:r>
      <w:r w:rsidRPr="00224BC0">
        <w:rPr>
          <w:rFonts w:ascii="Arial" w:hAnsi="Arial" w:cs="Arial"/>
          <w:b/>
          <w:sz w:val="20"/>
          <w:szCs w:val="20"/>
        </w:rPr>
        <w:t xml:space="preserve"> Value Recorded During the Experiment</w:t>
      </w:r>
    </w:p>
    <w:p w14:paraId="255C56F0" w14:textId="5D392D8F" w:rsidR="00013895" w:rsidRDefault="00013895" w:rsidP="00013895">
      <w:pPr>
        <w:spacing w:line="276" w:lineRule="auto"/>
        <w:ind w:firstLine="720"/>
        <w:jc w:val="both"/>
        <w:rPr>
          <w:rFonts w:ascii="Arial" w:hAnsi="Arial" w:cs="Arial"/>
          <w:bCs/>
          <w:sz w:val="20"/>
          <w:szCs w:val="20"/>
        </w:rPr>
      </w:pPr>
      <w:r w:rsidRPr="00013895">
        <w:rPr>
          <w:rFonts w:ascii="Arial" w:hAnsi="Arial" w:cs="Arial"/>
          <w:bCs/>
          <w:sz w:val="20"/>
          <w:szCs w:val="20"/>
        </w:rPr>
        <w:t xml:space="preserve">Salinity remained low and stable across treatments, ranging from 0.30 to 0.50 ppt. Minor increases observed in biofloc treatments may be attributed to ion accumulation from microbial decomposition. However, no significant salinity stress was evident, and all values remained suitable for </w:t>
      </w:r>
      <w:r w:rsidRPr="00013895">
        <w:rPr>
          <w:rFonts w:ascii="Arial" w:hAnsi="Arial" w:cs="Arial"/>
          <w:bCs/>
          <w:i/>
          <w:iCs/>
          <w:sz w:val="20"/>
          <w:szCs w:val="20"/>
        </w:rPr>
        <w:t>Labeo rohita</w:t>
      </w:r>
      <w:r w:rsidRPr="00013895">
        <w:rPr>
          <w:rFonts w:ascii="Arial" w:hAnsi="Arial" w:cs="Arial"/>
          <w:bCs/>
          <w:sz w:val="20"/>
          <w:szCs w:val="20"/>
        </w:rPr>
        <w:t xml:space="preserve"> culture (Boyd, 2020).</w:t>
      </w:r>
    </w:p>
    <w:p w14:paraId="26055695" w14:textId="77777777" w:rsidR="00013895" w:rsidRPr="00013895" w:rsidRDefault="00013895" w:rsidP="00B85F44">
      <w:pPr>
        <w:spacing w:line="276" w:lineRule="auto"/>
        <w:jc w:val="both"/>
        <w:rPr>
          <w:rFonts w:ascii="Arial" w:hAnsi="Arial" w:cs="Arial"/>
          <w:bCs/>
          <w:sz w:val="20"/>
          <w:szCs w:val="20"/>
        </w:rPr>
      </w:pPr>
    </w:p>
    <w:p w14:paraId="329DED65" w14:textId="22501BBE" w:rsidR="00CD36D4" w:rsidRPr="00E05B72" w:rsidRDefault="00E05B72" w:rsidP="00E05B72">
      <w:pPr>
        <w:spacing w:line="360" w:lineRule="auto"/>
        <w:rPr>
          <w:rFonts w:ascii="Arial" w:hAnsi="Arial" w:cs="Arial"/>
          <w:b/>
          <w:sz w:val="20"/>
          <w:szCs w:val="20"/>
          <w:u w:val="single"/>
        </w:rPr>
      </w:pPr>
      <w:r>
        <w:rPr>
          <w:rFonts w:ascii="Arial" w:hAnsi="Arial" w:cs="Arial"/>
          <w:b/>
          <w:sz w:val="20"/>
          <w:szCs w:val="20"/>
          <w:u w:val="single"/>
        </w:rPr>
        <w:t xml:space="preserve">3.1.5 </w:t>
      </w:r>
      <w:r w:rsidR="00CD36D4" w:rsidRPr="00E05B72">
        <w:rPr>
          <w:rFonts w:ascii="Arial" w:hAnsi="Arial" w:cs="Arial"/>
          <w:b/>
          <w:sz w:val="20"/>
          <w:szCs w:val="20"/>
          <w:u w:val="single"/>
        </w:rPr>
        <w:t>Average Conductivity</w:t>
      </w:r>
      <w:r w:rsidR="00F22A46">
        <w:rPr>
          <w:rFonts w:ascii="Arial" w:hAnsi="Arial" w:cs="Arial"/>
          <w:b/>
          <w:sz w:val="20"/>
          <w:szCs w:val="20"/>
          <w:u w:val="single"/>
        </w:rPr>
        <w:t>(s/cm)</w:t>
      </w:r>
      <w:r w:rsidR="00CD36D4" w:rsidRPr="00E05B72">
        <w:rPr>
          <w:rFonts w:ascii="Arial" w:hAnsi="Arial" w:cs="Arial"/>
          <w:b/>
          <w:sz w:val="20"/>
          <w:szCs w:val="20"/>
          <w:u w:val="single"/>
        </w:rPr>
        <w:t xml:space="preserve"> Value Recorded During Experiment Period.</w:t>
      </w:r>
    </w:p>
    <w:tbl>
      <w:tblPr>
        <w:tblStyle w:val="Tablaconcuadrcula"/>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98"/>
        <w:gridCol w:w="2610"/>
        <w:gridCol w:w="2208"/>
        <w:gridCol w:w="2210"/>
      </w:tblGrid>
      <w:tr w:rsidR="00CD36D4" w:rsidRPr="00C0587E" w14:paraId="4355C378" w14:textId="77777777" w:rsidTr="00E12DEF">
        <w:trPr>
          <w:trHeight w:val="31"/>
        </w:trPr>
        <w:tc>
          <w:tcPr>
            <w:tcW w:w="5000" w:type="pct"/>
            <w:gridSpan w:val="4"/>
            <w:tcBorders>
              <w:bottom w:val="single" w:sz="4" w:space="0" w:color="auto"/>
            </w:tcBorders>
            <w:noWrap/>
            <w:hideMark/>
          </w:tcPr>
          <w:p w14:paraId="6FA90C9D" w14:textId="733E026E" w:rsidR="00CD36D4" w:rsidRPr="00C0587E" w:rsidRDefault="00E12DEF" w:rsidP="00E12DEF">
            <w:pPr>
              <w:rPr>
                <w:rFonts w:ascii="Arial" w:hAnsi="Arial" w:cs="Arial"/>
              </w:rPr>
            </w:pPr>
            <w:r w:rsidRPr="00224BC0">
              <w:rPr>
                <w:rFonts w:ascii="Arial" w:hAnsi="Arial" w:cs="Arial"/>
                <w:b/>
                <w:sz w:val="20"/>
                <w:szCs w:val="20"/>
              </w:rPr>
              <w:t xml:space="preserve">Table </w:t>
            </w:r>
            <w:r>
              <w:rPr>
                <w:rFonts w:ascii="Arial" w:hAnsi="Arial" w:cs="Arial"/>
                <w:b/>
                <w:sz w:val="20"/>
                <w:szCs w:val="20"/>
              </w:rPr>
              <w:t>5</w:t>
            </w:r>
            <w:r w:rsidRPr="00224BC0">
              <w:rPr>
                <w:rFonts w:ascii="Arial" w:hAnsi="Arial" w:cs="Arial"/>
                <w:b/>
                <w:sz w:val="20"/>
                <w:szCs w:val="20"/>
              </w:rPr>
              <w:t xml:space="preserve">: Average </w:t>
            </w:r>
            <w:r>
              <w:rPr>
                <w:rFonts w:ascii="Arial" w:hAnsi="Arial" w:cs="Arial"/>
                <w:b/>
                <w:sz w:val="20"/>
                <w:szCs w:val="20"/>
              </w:rPr>
              <w:t>Conductivity</w:t>
            </w:r>
            <w:r w:rsidR="0033282E">
              <w:rPr>
                <w:rFonts w:ascii="Arial" w:hAnsi="Arial" w:cs="Arial"/>
                <w:b/>
                <w:sz w:val="20"/>
                <w:szCs w:val="20"/>
              </w:rPr>
              <w:t>(s/cm)</w:t>
            </w:r>
            <w:r>
              <w:rPr>
                <w:rFonts w:ascii="Arial" w:hAnsi="Arial" w:cs="Arial"/>
                <w:b/>
                <w:sz w:val="20"/>
                <w:szCs w:val="20"/>
              </w:rPr>
              <w:t xml:space="preserve"> </w:t>
            </w:r>
            <w:r w:rsidRPr="00224BC0">
              <w:rPr>
                <w:rFonts w:ascii="Arial" w:hAnsi="Arial" w:cs="Arial"/>
                <w:b/>
                <w:sz w:val="20"/>
                <w:szCs w:val="20"/>
              </w:rPr>
              <w:t xml:space="preserve">Value Recorded During the </w:t>
            </w:r>
            <w:commentRangeStart w:id="5"/>
            <w:r w:rsidRPr="00224BC0">
              <w:rPr>
                <w:rFonts w:ascii="Arial" w:hAnsi="Arial" w:cs="Arial"/>
                <w:b/>
                <w:sz w:val="20"/>
                <w:szCs w:val="20"/>
              </w:rPr>
              <w:t>Experiment</w:t>
            </w:r>
            <w:commentRangeEnd w:id="5"/>
            <w:r w:rsidR="00AB048C">
              <w:rPr>
                <w:rStyle w:val="Refdecomentario"/>
                <w:lang w:bidi="gu-IN"/>
              </w:rPr>
              <w:commentReference w:id="5"/>
            </w:r>
          </w:p>
        </w:tc>
      </w:tr>
      <w:tr w:rsidR="00CD36D4" w:rsidRPr="00C0587E" w14:paraId="6DBCDD09" w14:textId="77777777" w:rsidTr="00647695">
        <w:trPr>
          <w:trHeight w:val="31"/>
        </w:trPr>
        <w:tc>
          <w:tcPr>
            <w:tcW w:w="1107" w:type="pct"/>
            <w:tcBorders>
              <w:top w:val="single" w:sz="4" w:space="0" w:color="auto"/>
              <w:bottom w:val="single" w:sz="4" w:space="0" w:color="auto"/>
              <w:right w:val="single" w:sz="4" w:space="0" w:color="auto"/>
            </w:tcBorders>
            <w:noWrap/>
            <w:hideMark/>
          </w:tcPr>
          <w:p w14:paraId="4C38A3BE" w14:textId="77777777" w:rsidR="00CD36D4" w:rsidRPr="00C0587E" w:rsidRDefault="00CD36D4" w:rsidP="00244FE2">
            <w:pPr>
              <w:jc w:val="center"/>
              <w:rPr>
                <w:rFonts w:ascii="Arial" w:hAnsi="Arial" w:cs="Arial"/>
              </w:rPr>
            </w:pPr>
            <w:r w:rsidRPr="00C0587E">
              <w:rPr>
                <w:rFonts w:ascii="Arial" w:hAnsi="Arial" w:cs="Arial"/>
              </w:rPr>
              <w:t>Treatment</w:t>
            </w:r>
          </w:p>
        </w:tc>
        <w:tc>
          <w:tcPr>
            <w:tcW w:w="1446" w:type="pct"/>
            <w:tcBorders>
              <w:top w:val="single" w:sz="4" w:space="0" w:color="auto"/>
              <w:left w:val="single" w:sz="4" w:space="0" w:color="auto"/>
              <w:bottom w:val="single" w:sz="4" w:space="0" w:color="auto"/>
            </w:tcBorders>
            <w:noWrap/>
            <w:hideMark/>
          </w:tcPr>
          <w:p w14:paraId="33EE7F00" w14:textId="77777777" w:rsidR="00CD36D4" w:rsidRPr="00C0587E" w:rsidRDefault="00CD36D4" w:rsidP="00244FE2">
            <w:pPr>
              <w:jc w:val="center"/>
              <w:rPr>
                <w:rFonts w:ascii="Arial" w:hAnsi="Arial" w:cs="Arial"/>
              </w:rPr>
            </w:pPr>
            <w:r w:rsidRPr="00C0587E">
              <w:rPr>
                <w:rFonts w:ascii="Arial" w:hAnsi="Arial" w:cs="Arial"/>
              </w:rPr>
              <w:t>C</w:t>
            </w:r>
          </w:p>
        </w:tc>
        <w:tc>
          <w:tcPr>
            <w:tcW w:w="1223" w:type="pct"/>
            <w:tcBorders>
              <w:top w:val="single" w:sz="4" w:space="0" w:color="auto"/>
              <w:bottom w:val="single" w:sz="4" w:space="0" w:color="auto"/>
            </w:tcBorders>
            <w:noWrap/>
            <w:hideMark/>
          </w:tcPr>
          <w:p w14:paraId="6EE7FA3F" w14:textId="16CB1F94" w:rsidR="00CD36D4" w:rsidRPr="00C0587E" w:rsidRDefault="00884617" w:rsidP="00244FE2">
            <w:pPr>
              <w:jc w:val="center"/>
              <w:rPr>
                <w:rFonts w:ascii="Arial" w:hAnsi="Arial" w:cs="Arial"/>
              </w:rPr>
            </w:pPr>
            <w:r w:rsidRPr="00C0587E">
              <w:rPr>
                <w:rFonts w:ascii="Arial" w:hAnsi="Arial" w:cs="Arial"/>
              </w:rPr>
              <w:t>T1</w:t>
            </w:r>
          </w:p>
        </w:tc>
        <w:tc>
          <w:tcPr>
            <w:tcW w:w="1224" w:type="pct"/>
            <w:tcBorders>
              <w:top w:val="single" w:sz="4" w:space="0" w:color="auto"/>
              <w:bottom w:val="single" w:sz="4" w:space="0" w:color="auto"/>
            </w:tcBorders>
            <w:noWrap/>
            <w:hideMark/>
          </w:tcPr>
          <w:p w14:paraId="54782784" w14:textId="1078A5F8" w:rsidR="00CD36D4" w:rsidRPr="00C0587E" w:rsidRDefault="00884617" w:rsidP="00244FE2">
            <w:pPr>
              <w:jc w:val="center"/>
              <w:rPr>
                <w:rFonts w:ascii="Arial" w:hAnsi="Arial" w:cs="Arial"/>
              </w:rPr>
            </w:pPr>
            <w:r w:rsidRPr="00C0587E">
              <w:rPr>
                <w:rFonts w:ascii="Arial" w:hAnsi="Arial" w:cs="Arial"/>
              </w:rPr>
              <w:t>T2</w:t>
            </w:r>
          </w:p>
        </w:tc>
      </w:tr>
      <w:tr w:rsidR="00C13730" w:rsidRPr="00C0587E" w14:paraId="6D1C44BA" w14:textId="77777777" w:rsidTr="00647695">
        <w:trPr>
          <w:trHeight w:val="31"/>
        </w:trPr>
        <w:tc>
          <w:tcPr>
            <w:tcW w:w="1107" w:type="pct"/>
            <w:tcBorders>
              <w:top w:val="single" w:sz="4" w:space="0" w:color="auto"/>
              <w:right w:val="single" w:sz="4" w:space="0" w:color="auto"/>
            </w:tcBorders>
            <w:noWrap/>
            <w:hideMark/>
          </w:tcPr>
          <w:p w14:paraId="0178A253" w14:textId="1B6FB855" w:rsidR="00C13730" w:rsidRPr="00C0587E" w:rsidRDefault="00C13730" w:rsidP="00C13730">
            <w:pPr>
              <w:jc w:val="center"/>
              <w:rPr>
                <w:rFonts w:ascii="Arial" w:hAnsi="Arial" w:cs="Arial"/>
              </w:rPr>
            </w:pPr>
            <w:r w:rsidRPr="00C0587E">
              <w:rPr>
                <w:rFonts w:ascii="Arial" w:eastAsia="Times New Roman" w:hAnsi="Arial" w:cs="Arial"/>
                <w:color w:val="000000"/>
                <w:kern w:val="0"/>
                <w:lang w:eastAsia="en-IN"/>
                <w14:ligatures w14:val="none"/>
              </w:rPr>
              <w:t>0</w:t>
            </w:r>
            <w:r w:rsidRPr="00C0587E">
              <w:rPr>
                <w:rFonts w:ascii="Arial" w:eastAsia="Times New Roman" w:hAnsi="Arial" w:cs="Arial"/>
                <w:color w:val="000000"/>
                <w:kern w:val="0"/>
                <w:vertAlign w:val="superscript"/>
                <w:lang w:eastAsia="en-IN"/>
                <w14:ligatures w14:val="none"/>
              </w:rPr>
              <w:t>th</w:t>
            </w:r>
            <w:r w:rsidRPr="00C0587E">
              <w:rPr>
                <w:rFonts w:ascii="Arial" w:eastAsia="Times New Roman" w:hAnsi="Arial" w:cs="Arial"/>
                <w:color w:val="000000"/>
                <w:kern w:val="0"/>
                <w:lang w:eastAsia="en-IN"/>
                <w14:ligatures w14:val="none"/>
              </w:rPr>
              <w:t xml:space="preserve"> day</w:t>
            </w:r>
          </w:p>
        </w:tc>
        <w:tc>
          <w:tcPr>
            <w:tcW w:w="1446" w:type="pct"/>
            <w:tcBorders>
              <w:top w:val="single" w:sz="4" w:space="0" w:color="auto"/>
              <w:left w:val="single" w:sz="4" w:space="0" w:color="auto"/>
            </w:tcBorders>
            <w:noWrap/>
            <w:vAlign w:val="center"/>
            <w:hideMark/>
          </w:tcPr>
          <w:p w14:paraId="0BF80DF7" w14:textId="77777777" w:rsidR="00C13730" w:rsidRPr="00C0587E" w:rsidRDefault="00C13730" w:rsidP="00C13730">
            <w:pPr>
              <w:jc w:val="center"/>
              <w:rPr>
                <w:rFonts w:ascii="Arial" w:hAnsi="Arial" w:cs="Arial"/>
              </w:rPr>
            </w:pPr>
            <w:r w:rsidRPr="00C0587E">
              <w:rPr>
                <w:rFonts w:ascii="Arial" w:hAnsi="Arial" w:cs="Arial"/>
                <w:color w:val="000000"/>
              </w:rPr>
              <w:t>0.57 ± 0.03</w:t>
            </w:r>
            <w:r w:rsidRPr="00C0587E">
              <w:rPr>
                <w:rFonts w:ascii="Arial" w:hAnsi="Arial" w:cs="Arial"/>
                <w:color w:val="000000"/>
                <w:vertAlign w:val="superscript"/>
              </w:rPr>
              <w:t>b</w:t>
            </w:r>
          </w:p>
        </w:tc>
        <w:tc>
          <w:tcPr>
            <w:tcW w:w="1223" w:type="pct"/>
            <w:tcBorders>
              <w:top w:val="single" w:sz="4" w:space="0" w:color="auto"/>
            </w:tcBorders>
            <w:noWrap/>
            <w:vAlign w:val="center"/>
            <w:hideMark/>
          </w:tcPr>
          <w:p w14:paraId="19DFC4F4" w14:textId="6D276845" w:rsidR="00C13730" w:rsidRPr="00C0587E" w:rsidRDefault="00C13730" w:rsidP="00C13730">
            <w:pPr>
              <w:jc w:val="center"/>
              <w:rPr>
                <w:rFonts w:ascii="Arial" w:hAnsi="Arial" w:cs="Arial"/>
              </w:rPr>
            </w:pPr>
            <w:r w:rsidRPr="00C0587E">
              <w:rPr>
                <w:rFonts w:ascii="Arial" w:hAnsi="Arial" w:cs="Arial"/>
                <w:color w:val="000000"/>
              </w:rPr>
              <w:t>1.02 ± 0.01</w:t>
            </w:r>
            <w:r w:rsidRPr="00C0587E">
              <w:rPr>
                <w:rFonts w:ascii="Arial" w:hAnsi="Arial" w:cs="Arial"/>
                <w:color w:val="000000"/>
                <w:vertAlign w:val="superscript"/>
              </w:rPr>
              <w:t>a</w:t>
            </w:r>
          </w:p>
        </w:tc>
        <w:tc>
          <w:tcPr>
            <w:tcW w:w="1224" w:type="pct"/>
            <w:tcBorders>
              <w:top w:val="single" w:sz="4" w:space="0" w:color="auto"/>
            </w:tcBorders>
            <w:noWrap/>
            <w:vAlign w:val="center"/>
            <w:hideMark/>
          </w:tcPr>
          <w:p w14:paraId="38938022" w14:textId="77777777" w:rsidR="00C13730" w:rsidRPr="00C0587E" w:rsidRDefault="00C13730" w:rsidP="00C13730">
            <w:pPr>
              <w:jc w:val="center"/>
              <w:rPr>
                <w:rFonts w:ascii="Arial" w:hAnsi="Arial" w:cs="Arial"/>
              </w:rPr>
            </w:pPr>
            <w:r w:rsidRPr="00C0587E">
              <w:rPr>
                <w:rFonts w:ascii="Arial" w:hAnsi="Arial" w:cs="Arial"/>
                <w:color w:val="000000"/>
              </w:rPr>
              <w:t>1.05 ± 0.01</w:t>
            </w:r>
            <w:r w:rsidRPr="00C0587E">
              <w:rPr>
                <w:rFonts w:ascii="Arial" w:hAnsi="Arial" w:cs="Arial"/>
                <w:color w:val="000000"/>
                <w:vertAlign w:val="superscript"/>
              </w:rPr>
              <w:t>a</w:t>
            </w:r>
          </w:p>
        </w:tc>
      </w:tr>
      <w:tr w:rsidR="00C13730" w:rsidRPr="00C0587E" w14:paraId="17215C79" w14:textId="77777777" w:rsidTr="00647695">
        <w:trPr>
          <w:trHeight w:val="31"/>
        </w:trPr>
        <w:tc>
          <w:tcPr>
            <w:tcW w:w="1107" w:type="pct"/>
            <w:tcBorders>
              <w:right w:val="single" w:sz="4" w:space="0" w:color="auto"/>
            </w:tcBorders>
            <w:noWrap/>
            <w:hideMark/>
          </w:tcPr>
          <w:p w14:paraId="708589E1" w14:textId="083F9475" w:rsidR="00C13730" w:rsidRPr="00C0587E" w:rsidRDefault="00C13730" w:rsidP="00C13730">
            <w:pPr>
              <w:jc w:val="center"/>
              <w:rPr>
                <w:rFonts w:ascii="Arial" w:hAnsi="Arial" w:cs="Arial"/>
              </w:rPr>
            </w:pPr>
            <w:r w:rsidRPr="00C0587E">
              <w:rPr>
                <w:rFonts w:ascii="Arial" w:eastAsia="Times New Roman" w:hAnsi="Arial" w:cs="Arial"/>
                <w:color w:val="000000"/>
                <w:kern w:val="0"/>
                <w:lang w:eastAsia="en-IN"/>
                <w14:ligatures w14:val="none"/>
              </w:rPr>
              <w:t>7</w:t>
            </w:r>
            <w:r w:rsidRPr="00C0587E">
              <w:rPr>
                <w:rFonts w:ascii="Arial" w:eastAsia="Times New Roman" w:hAnsi="Arial" w:cs="Arial"/>
                <w:color w:val="000000"/>
                <w:kern w:val="0"/>
                <w:vertAlign w:val="superscript"/>
                <w:lang w:eastAsia="en-IN"/>
                <w14:ligatures w14:val="none"/>
              </w:rPr>
              <w:t>th</w:t>
            </w:r>
            <w:r w:rsidRPr="00C0587E">
              <w:rPr>
                <w:rFonts w:ascii="Arial" w:eastAsia="Times New Roman" w:hAnsi="Arial" w:cs="Arial"/>
                <w:color w:val="000000"/>
                <w:kern w:val="0"/>
                <w:lang w:eastAsia="en-IN"/>
                <w14:ligatures w14:val="none"/>
              </w:rPr>
              <w:t xml:space="preserve"> day</w:t>
            </w:r>
          </w:p>
        </w:tc>
        <w:tc>
          <w:tcPr>
            <w:tcW w:w="1446" w:type="pct"/>
            <w:tcBorders>
              <w:left w:val="single" w:sz="4" w:space="0" w:color="auto"/>
            </w:tcBorders>
            <w:noWrap/>
            <w:vAlign w:val="center"/>
            <w:hideMark/>
          </w:tcPr>
          <w:p w14:paraId="4E0775BF" w14:textId="77777777" w:rsidR="00C13730" w:rsidRPr="00C0587E" w:rsidRDefault="00C13730" w:rsidP="00C13730">
            <w:pPr>
              <w:jc w:val="center"/>
              <w:rPr>
                <w:rFonts w:ascii="Arial" w:hAnsi="Arial" w:cs="Arial"/>
              </w:rPr>
            </w:pPr>
            <w:r w:rsidRPr="00C0587E">
              <w:rPr>
                <w:rFonts w:ascii="Arial" w:hAnsi="Arial" w:cs="Arial"/>
                <w:color w:val="000000"/>
              </w:rPr>
              <w:t>0.59 ± 0.004</w:t>
            </w:r>
            <w:r w:rsidRPr="00C0587E">
              <w:rPr>
                <w:rFonts w:ascii="Arial" w:hAnsi="Arial" w:cs="Arial"/>
                <w:color w:val="000000"/>
                <w:vertAlign w:val="superscript"/>
              </w:rPr>
              <w:t>B</w:t>
            </w:r>
          </w:p>
        </w:tc>
        <w:tc>
          <w:tcPr>
            <w:tcW w:w="1223" w:type="pct"/>
            <w:noWrap/>
            <w:vAlign w:val="center"/>
            <w:hideMark/>
          </w:tcPr>
          <w:p w14:paraId="335DBD77" w14:textId="77777777" w:rsidR="00C13730" w:rsidRPr="00C0587E" w:rsidRDefault="00C13730" w:rsidP="00C13730">
            <w:pPr>
              <w:jc w:val="center"/>
              <w:rPr>
                <w:rFonts w:ascii="Arial" w:hAnsi="Arial" w:cs="Arial"/>
              </w:rPr>
            </w:pPr>
            <w:r w:rsidRPr="00C0587E">
              <w:rPr>
                <w:rFonts w:ascii="Arial" w:hAnsi="Arial" w:cs="Arial"/>
                <w:color w:val="000000"/>
              </w:rPr>
              <w:t>1.03 ± 0.003</w:t>
            </w:r>
            <w:r w:rsidRPr="00C0587E">
              <w:rPr>
                <w:rFonts w:ascii="Arial" w:hAnsi="Arial" w:cs="Arial"/>
                <w:color w:val="000000"/>
                <w:vertAlign w:val="superscript"/>
              </w:rPr>
              <w:t>A</w:t>
            </w:r>
          </w:p>
        </w:tc>
        <w:tc>
          <w:tcPr>
            <w:tcW w:w="1224" w:type="pct"/>
            <w:noWrap/>
            <w:vAlign w:val="center"/>
            <w:hideMark/>
          </w:tcPr>
          <w:p w14:paraId="2E3A4ABC" w14:textId="77777777" w:rsidR="00C13730" w:rsidRPr="00C0587E" w:rsidRDefault="00C13730" w:rsidP="00C13730">
            <w:pPr>
              <w:jc w:val="center"/>
              <w:rPr>
                <w:rFonts w:ascii="Arial" w:hAnsi="Arial" w:cs="Arial"/>
              </w:rPr>
            </w:pPr>
            <w:r w:rsidRPr="00C0587E">
              <w:rPr>
                <w:rFonts w:ascii="Arial" w:hAnsi="Arial" w:cs="Arial"/>
                <w:color w:val="000000"/>
              </w:rPr>
              <w:t>1.05 ± 0.003</w:t>
            </w:r>
            <w:r w:rsidRPr="00C0587E">
              <w:rPr>
                <w:rFonts w:ascii="Arial" w:hAnsi="Arial" w:cs="Arial"/>
                <w:color w:val="000000"/>
                <w:vertAlign w:val="superscript"/>
              </w:rPr>
              <w:t>A</w:t>
            </w:r>
          </w:p>
        </w:tc>
      </w:tr>
      <w:tr w:rsidR="00C13730" w:rsidRPr="00C0587E" w14:paraId="5845006A" w14:textId="77777777" w:rsidTr="00647695">
        <w:trPr>
          <w:trHeight w:val="31"/>
        </w:trPr>
        <w:tc>
          <w:tcPr>
            <w:tcW w:w="1107" w:type="pct"/>
            <w:tcBorders>
              <w:right w:val="single" w:sz="4" w:space="0" w:color="auto"/>
            </w:tcBorders>
            <w:noWrap/>
            <w:hideMark/>
          </w:tcPr>
          <w:p w14:paraId="75E53FDB" w14:textId="48C5CA5B" w:rsidR="00C13730" w:rsidRPr="00C0587E" w:rsidRDefault="00C13730" w:rsidP="00C13730">
            <w:pPr>
              <w:jc w:val="center"/>
              <w:rPr>
                <w:rFonts w:ascii="Arial" w:hAnsi="Arial" w:cs="Arial"/>
              </w:rPr>
            </w:pPr>
            <w:r w:rsidRPr="00C0587E">
              <w:rPr>
                <w:rFonts w:ascii="Arial" w:eastAsia="Times New Roman" w:hAnsi="Arial" w:cs="Arial"/>
                <w:color w:val="000000"/>
                <w:kern w:val="0"/>
                <w:lang w:eastAsia="en-IN"/>
                <w14:ligatures w14:val="none"/>
              </w:rPr>
              <w:t>14</w:t>
            </w:r>
            <w:r w:rsidRPr="00C0587E">
              <w:rPr>
                <w:rFonts w:ascii="Arial" w:eastAsia="Times New Roman" w:hAnsi="Arial" w:cs="Arial"/>
                <w:color w:val="000000"/>
                <w:kern w:val="0"/>
                <w:vertAlign w:val="superscript"/>
                <w:lang w:eastAsia="en-IN"/>
                <w14:ligatures w14:val="none"/>
              </w:rPr>
              <w:t>th</w:t>
            </w:r>
            <w:r w:rsidRPr="00C0587E">
              <w:rPr>
                <w:rFonts w:ascii="Arial" w:eastAsia="Times New Roman" w:hAnsi="Arial" w:cs="Arial"/>
                <w:color w:val="000000"/>
                <w:kern w:val="0"/>
                <w:lang w:eastAsia="en-IN"/>
                <w14:ligatures w14:val="none"/>
              </w:rPr>
              <w:t xml:space="preserve"> day</w:t>
            </w:r>
          </w:p>
        </w:tc>
        <w:tc>
          <w:tcPr>
            <w:tcW w:w="1446" w:type="pct"/>
            <w:tcBorders>
              <w:left w:val="single" w:sz="4" w:space="0" w:color="auto"/>
            </w:tcBorders>
            <w:noWrap/>
            <w:vAlign w:val="center"/>
            <w:hideMark/>
          </w:tcPr>
          <w:p w14:paraId="76CFB3B5" w14:textId="77777777" w:rsidR="00C13730" w:rsidRPr="00C0587E" w:rsidRDefault="00C13730" w:rsidP="00C13730">
            <w:pPr>
              <w:jc w:val="center"/>
              <w:rPr>
                <w:rFonts w:ascii="Arial" w:hAnsi="Arial" w:cs="Arial"/>
              </w:rPr>
            </w:pPr>
            <w:r w:rsidRPr="00C0587E">
              <w:rPr>
                <w:rFonts w:ascii="Arial" w:hAnsi="Arial" w:cs="Arial"/>
                <w:color w:val="000000"/>
              </w:rPr>
              <w:t>0.59 ± 0.0</w:t>
            </w:r>
            <w:r w:rsidRPr="00C0587E">
              <w:rPr>
                <w:rFonts w:ascii="Arial" w:hAnsi="Arial" w:cs="Arial"/>
                <w:color w:val="000000"/>
                <w:vertAlign w:val="superscript"/>
              </w:rPr>
              <w:t>1r</w:t>
            </w:r>
          </w:p>
        </w:tc>
        <w:tc>
          <w:tcPr>
            <w:tcW w:w="1223" w:type="pct"/>
            <w:noWrap/>
            <w:vAlign w:val="center"/>
            <w:hideMark/>
          </w:tcPr>
          <w:p w14:paraId="1C038675" w14:textId="77777777" w:rsidR="00C13730" w:rsidRPr="00C0587E" w:rsidRDefault="00C13730" w:rsidP="00C13730">
            <w:pPr>
              <w:jc w:val="center"/>
              <w:rPr>
                <w:rFonts w:ascii="Arial" w:hAnsi="Arial" w:cs="Arial"/>
              </w:rPr>
            </w:pPr>
            <w:r w:rsidRPr="00C0587E">
              <w:rPr>
                <w:rFonts w:ascii="Arial" w:hAnsi="Arial" w:cs="Arial"/>
                <w:color w:val="000000"/>
              </w:rPr>
              <w:t>1.05 ± 0.003</w:t>
            </w:r>
            <w:r w:rsidRPr="00C0587E">
              <w:rPr>
                <w:rFonts w:ascii="Arial" w:hAnsi="Arial" w:cs="Arial"/>
                <w:color w:val="000000"/>
                <w:vertAlign w:val="superscript"/>
              </w:rPr>
              <w:t>q</w:t>
            </w:r>
          </w:p>
        </w:tc>
        <w:tc>
          <w:tcPr>
            <w:tcW w:w="1224" w:type="pct"/>
            <w:noWrap/>
            <w:vAlign w:val="center"/>
            <w:hideMark/>
          </w:tcPr>
          <w:p w14:paraId="4E4A0255" w14:textId="77777777" w:rsidR="00C13730" w:rsidRPr="00C0587E" w:rsidRDefault="00C13730" w:rsidP="00C13730">
            <w:pPr>
              <w:jc w:val="center"/>
              <w:rPr>
                <w:rFonts w:ascii="Arial" w:hAnsi="Arial" w:cs="Arial"/>
              </w:rPr>
            </w:pPr>
            <w:r w:rsidRPr="00C0587E">
              <w:rPr>
                <w:rFonts w:ascii="Arial" w:hAnsi="Arial" w:cs="Arial"/>
                <w:color w:val="000000"/>
              </w:rPr>
              <w:t>1.07 ± 0.004</w:t>
            </w:r>
            <w:r w:rsidRPr="00C0587E">
              <w:rPr>
                <w:rFonts w:ascii="Arial" w:hAnsi="Arial" w:cs="Arial"/>
                <w:color w:val="000000"/>
                <w:vertAlign w:val="superscript"/>
              </w:rPr>
              <w:t>q</w:t>
            </w:r>
          </w:p>
        </w:tc>
      </w:tr>
      <w:tr w:rsidR="00C13730" w:rsidRPr="00C0587E" w14:paraId="418282F2" w14:textId="77777777" w:rsidTr="00647695">
        <w:trPr>
          <w:trHeight w:val="31"/>
        </w:trPr>
        <w:tc>
          <w:tcPr>
            <w:tcW w:w="1107" w:type="pct"/>
            <w:tcBorders>
              <w:right w:val="single" w:sz="4" w:space="0" w:color="auto"/>
            </w:tcBorders>
            <w:noWrap/>
            <w:hideMark/>
          </w:tcPr>
          <w:p w14:paraId="6A2DB766" w14:textId="403F7F43" w:rsidR="00C13730" w:rsidRPr="00C0587E" w:rsidRDefault="00C13730" w:rsidP="00C13730">
            <w:pPr>
              <w:jc w:val="center"/>
              <w:rPr>
                <w:rFonts w:ascii="Arial" w:hAnsi="Arial" w:cs="Arial"/>
              </w:rPr>
            </w:pPr>
            <w:r w:rsidRPr="00C0587E">
              <w:rPr>
                <w:rFonts w:ascii="Arial" w:eastAsia="Times New Roman" w:hAnsi="Arial" w:cs="Arial"/>
                <w:color w:val="000000"/>
                <w:kern w:val="0"/>
                <w:lang w:eastAsia="en-IN"/>
                <w14:ligatures w14:val="none"/>
              </w:rPr>
              <w:t>21</w:t>
            </w:r>
            <w:r w:rsidRPr="00C0587E">
              <w:rPr>
                <w:rFonts w:ascii="Arial" w:eastAsia="Times New Roman" w:hAnsi="Arial" w:cs="Arial"/>
                <w:color w:val="000000"/>
                <w:kern w:val="0"/>
                <w:vertAlign w:val="superscript"/>
                <w:lang w:eastAsia="en-IN"/>
                <w14:ligatures w14:val="none"/>
              </w:rPr>
              <w:t>st</w:t>
            </w:r>
            <w:r w:rsidRPr="00C0587E">
              <w:rPr>
                <w:rFonts w:ascii="Arial" w:eastAsia="Times New Roman" w:hAnsi="Arial" w:cs="Arial"/>
                <w:color w:val="000000"/>
                <w:kern w:val="0"/>
                <w:lang w:eastAsia="en-IN"/>
                <w14:ligatures w14:val="none"/>
              </w:rPr>
              <w:t xml:space="preserve"> day</w:t>
            </w:r>
          </w:p>
        </w:tc>
        <w:tc>
          <w:tcPr>
            <w:tcW w:w="1446" w:type="pct"/>
            <w:tcBorders>
              <w:left w:val="single" w:sz="4" w:space="0" w:color="auto"/>
            </w:tcBorders>
            <w:noWrap/>
            <w:vAlign w:val="center"/>
            <w:hideMark/>
          </w:tcPr>
          <w:p w14:paraId="76E1BC89" w14:textId="77777777" w:rsidR="00C13730" w:rsidRPr="00C0587E" w:rsidRDefault="00C13730" w:rsidP="00C13730">
            <w:pPr>
              <w:jc w:val="center"/>
              <w:rPr>
                <w:rFonts w:ascii="Arial" w:hAnsi="Arial" w:cs="Arial"/>
              </w:rPr>
            </w:pPr>
            <w:r w:rsidRPr="00C0587E">
              <w:rPr>
                <w:rFonts w:ascii="Arial" w:hAnsi="Arial" w:cs="Arial"/>
                <w:color w:val="000000"/>
              </w:rPr>
              <w:t>0.59 ± 0.004</w:t>
            </w:r>
            <w:r w:rsidRPr="00C0587E">
              <w:rPr>
                <w:rFonts w:ascii="Arial" w:hAnsi="Arial" w:cs="Arial"/>
                <w:color w:val="000000"/>
                <w:vertAlign w:val="superscript"/>
              </w:rPr>
              <w:t>V</w:t>
            </w:r>
          </w:p>
        </w:tc>
        <w:tc>
          <w:tcPr>
            <w:tcW w:w="1223" w:type="pct"/>
            <w:noWrap/>
            <w:vAlign w:val="center"/>
            <w:hideMark/>
          </w:tcPr>
          <w:p w14:paraId="33E5C408" w14:textId="77777777" w:rsidR="00C13730" w:rsidRPr="00C0587E" w:rsidRDefault="00C13730" w:rsidP="00C13730">
            <w:pPr>
              <w:jc w:val="center"/>
              <w:rPr>
                <w:rFonts w:ascii="Arial" w:hAnsi="Arial" w:cs="Arial"/>
              </w:rPr>
            </w:pPr>
            <w:r w:rsidRPr="00C0587E">
              <w:rPr>
                <w:rFonts w:ascii="Arial" w:hAnsi="Arial" w:cs="Arial"/>
                <w:color w:val="000000"/>
              </w:rPr>
              <w:t>1.05 ± 0.01</w:t>
            </w:r>
            <w:r w:rsidRPr="00C0587E">
              <w:rPr>
                <w:rFonts w:ascii="Arial" w:hAnsi="Arial" w:cs="Arial"/>
                <w:color w:val="000000"/>
                <w:vertAlign w:val="superscript"/>
              </w:rPr>
              <w:t>UV</w:t>
            </w:r>
          </w:p>
        </w:tc>
        <w:tc>
          <w:tcPr>
            <w:tcW w:w="1224" w:type="pct"/>
            <w:noWrap/>
            <w:vAlign w:val="center"/>
            <w:hideMark/>
          </w:tcPr>
          <w:p w14:paraId="109E3BE1" w14:textId="77777777" w:rsidR="00C13730" w:rsidRPr="00C0587E" w:rsidRDefault="00C13730" w:rsidP="00C13730">
            <w:pPr>
              <w:jc w:val="center"/>
              <w:rPr>
                <w:rFonts w:ascii="Arial" w:hAnsi="Arial" w:cs="Arial"/>
              </w:rPr>
            </w:pPr>
            <w:r w:rsidRPr="00C0587E">
              <w:rPr>
                <w:rFonts w:ascii="Arial" w:hAnsi="Arial" w:cs="Arial"/>
                <w:color w:val="000000"/>
              </w:rPr>
              <w:t>1.08 ± 0.005</w:t>
            </w:r>
            <w:r w:rsidRPr="00C0587E">
              <w:rPr>
                <w:rFonts w:ascii="Arial" w:hAnsi="Arial" w:cs="Arial"/>
                <w:color w:val="000000"/>
                <w:vertAlign w:val="superscript"/>
              </w:rPr>
              <w:t>TU</w:t>
            </w:r>
          </w:p>
        </w:tc>
      </w:tr>
      <w:tr w:rsidR="00C13730" w:rsidRPr="00C0587E" w14:paraId="057E4EFC" w14:textId="77777777" w:rsidTr="00647695">
        <w:trPr>
          <w:trHeight w:val="31"/>
        </w:trPr>
        <w:tc>
          <w:tcPr>
            <w:tcW w:w="1107" w:type="pct"/>
            <w:tcBorders>
              <w:right w:val="single" w:sz="4" w:space="0" w:color="auto"/>
            </w:tcBorders>
            <w:noWrap/>
            <w:hideMark/>
          </w:tcPr>
          <w:p w14:paraId="46E65A27" w14:textId="6DA06CF2" w:rsidR="00C13730" w:rsidRPr="00C0587E" w:rsidRDefault="00C13730" w:rsidP="00C13730">
            <w:pPr>
              <w:jc w:val="center"/>
              <w:rPr>
                <w:rFonts w:ascii="Arial" w:hAnsi="Arial" w:cs="Arial"/>
              </w:rPr>
            </w:pPr>
            <w:r w:rsidRPr="00C0587E">
              <w:rPr>
                <w:rFonts w:ascii="Arial" w:eastAsia="Times New Roman" w:hAnsi="Arial" w:cs="Arial"/>
                <w:color w:val="000000"/>
                <w:kern w:val="0"/>
                <w:lang w:eastAsia="en-IN"/>
                <w14:ligatures w14:val="none"/>
              </w:rPr>
              <w:t>28</w:t>
            </w:r>
            <w:r w:rsidRPr="00C0587E">
              <w:rPr>
                <w:rFonts w:ascii="Arial" w:eastAsia="Times New Roman" w:hAnsi="Arial" w:cs="Arial"/>
                <w:color w:val="000000"/>
                <w:kern w:val="0"/>
                <w:vertAlign w:val="superscript"/>
                <w:lang w:eastAsia="en-IN"/>
                <w14:ligatures w14:val="none"/>
              </w:rPr>
              <w:t>th</w:t>
            </w:r>
            <w:r w:rsidRPr="00C0587E">
              <w:rPr>
                <w:rFonts w:ascii="Arial" w:eastAsia="Times New Roman" w:hAnsi="Arial" w:cs="Arial"/>
                <w:color w:val="000000"/>
                <w:kern w:val="0"/>
                <w:lang w:eastAsia="en-IN"/>
                <w14:ligatures w14:val="none"/>
              </w:rPr>
              <w:t xml:space="preserve"> day</w:t>
            </w:r>
          </w:p>
        </w:tc>
        <w:tc>
          <w:tcPr>
            <w:tcW w:w="1446" w:type="pct"/>
            <w:tcBorders>
              <w:left w:val="single" w:sz="4" w:space="0" w:color="auto"/>
            </w:tcBorders>
            <w:noWrap/>
            <w:vAlign w:val="center"/>
            <w:hideMark/>
          </w:tcPr>
          <w:p w14:paraId="0E1D54A6" w14:textId="77777777" w:rsidR="00C13730" w:rsidRPr="00C0587E" w:rsidRDefault="00C13730" w:rsidP="00C13730">
            <w:pPr>
              <w:jc w:val="center"/>
              <w:rPr>
                <w:rFonts w:ascii="Arial" w:hAnsi="Arial" w:cs="Arial"/>
              </w:rPr>
            </w:pPr>
            <w:r w:rsidRPr="00C0587E">
              <w:rPr>
                <w:rFonts w:ascii="Arial" w:hAnsi="Arial" w:cs="Arial"/>
                <w:color w:val="000000"/>
              </w:rPr>
              <w:t>0.58 ± 0.01</w:t>
            </w:r>
            <w:r w:rsidRPr="00C0587E">
              <w:rPr>
                <w:rFonts w:ascii="Arial" w:hAnsi="Arial" w:cs="Arial"/>
                <w:color w:val="000000"/>
                <w:vertAlign w:val="superscript"/>
              </w:rPr>
              <w:t>g</w:t>
            </w:r>
          </w:p>
        </w:tc>
        <w:tc>
          <w:tcPr>
            <w:tcW w:w="1223" w:type="pct"/>
            <w:noWrap/>
            <w:vAlign w:val="center"/>
            <w:hideMark/>
          </w:tcPr>
          <w:p w14:paraId="76D8C0DB" w14:textId="77777777" w:rsidR="00C13730" w:rsidRPr="00C0587E" w:rsidRDefault="00C13730" w:rsidP="00C13730">
            <w:pPr>
              <w:jc w:val="center"/>
              <w:rPr>
                <w:rFonts w:ascii="Arial" w:hAnsi="Arial" w:cs="Arial"/>
              </w:rPr>
            </w:pPr>
            <w:r w:rsidRPr="00C0587E">
              <w:rPr>
                <w:rFonts w:ascii="Arial" w:hAnsi="Arial" w:cs="Arial"/>
                <w:color w:val="000000"/>
              </w:rPr>
              <w:t>1.05 ± 0.004</w:t>
            </w:r>
            <w:r w:rsidRPr="00C0587E">
              <w:rPr>
                <w:rFonts w:ascii="Arial" w:hAnsi="Arial" w:cs="Arial"/>
                <w:color w:val="000000"/>
                <w:vertAlign w:val="superscript"/>
              </w:rPr>
              <w:t>f</w:t>
            </w:r>
          </w:p>
        </w:tc>
        <w:tc>
          <w:tcPr>
            <w:tcW w:w="1224" w:type="pct"/>
            <w:noWrap/>
            <w:vAlign w:val="center"/>
            <w:hideMark/>
          </w:tcPr>
          <w:p w14:paraId="746B8612" w14:textId="77777777" w:rsidR="00C13730" w:rsidRPr="00C0587E" w:rsidRDefault="00C13730" w:rsidP="00C13730">
            <w:pPr>
              <w:jc w:val="center"/>
              <w:rPr>
                <w:rFonts w:ascii="Arial" w:hAnsi="Arial" w:cs="Arial"/>
              </w:rPr>
            </w:pPr>
            <w:r w:rsidRPr="00C0587E">
              <w:rPr>
                <w:rFonts w:ascii="Arial" w:hAnsi="Arial" w:cs="Arial"/>
                <w:color w:val="000000"/>
              </w:rPr>
              <w:t>1.09 ± 0.004</w:t>
            </w:r>
            <w:r w:rsidRPr="00C0587E">
              <w:rPr>
                <w:rFonts w:ascii="Arial" w:hAnsi="Arial" w:cs="Arial"/>
                <w:color w:val="000000"/>
                <w:vertAlign w:val="superscript"/>
              </w:rPr>
              <w:t>e</w:t>
            </w:r>
          </w:p>
        </w:tc>
      </w:tr>
      <w:tr w:rsidR="00C13730" w:rsidRPr="00C0587E" w14:paraId="6F4D4172" w14:textId="77777777" w:rsidTr="00647695">
        <w:trPr>
          <w:trHeight w:val="31"/>
        </w:trPr>
        <w:tc>
          <w:tcPr>
            <w:tcW w:w="1107" w:type="pct"/>
            <w:tcBorders>
              <w:right w:val="single" w:sz="4" w:space="0" w:color="auto"/>
            </w:tcBorders>
            <w:noWrap/>
            <w:hideMark/>
          </w:tcPr>
          <w:p w14:paraId="59A8D68A" w14:textId="62D6CF9C" w:rsidR="00C13730" w:rsidRPr="00C0587E" w:rsidRDefault="00C13730" w:rsidP="00C13730">
            <w:pPr>
              <w:jc w:val="center"/>
              <w:rPr>
                <w:rFonts w:ascii="Arial" w:hAnsi="Arial" w:cs="Arial"/>
              </w:rPr>
            </w:pPr>
            <w:r w:rsidRPr="00C0587E">
              <w:rPr>
                <w:rFonts w:ascii="Arial" w:eastAsia="Times New Roman" w:hAnsi="Arial" w:cs="Arial"/>
                <w:color w:val="000000"/>
                <w:kern w:val="0"/>
                <w:lang w:eastAsia="en-IN"/>
                <w14:ligatures w14:val="none"/>
              </w:rPr>
              <w:t>35</w:t>
            </w:r>
            <w:r w:rsidRPr="00C0587E">
              <w:rPr>
                <w:rFonts w:ascii="Arial" w:eastAsia="Times New Roman" w:hAnsi="Arial" w:cs="Arial"/>
                <w:color w:val="000000"/>
                <w:kern w:val="0"/>
                <w:vertAlign w:val="superscript"/>
                <w:lang w:eastAsia="en-IN"/>
                <w14:ligatures w14:val="none"/>
              </w:rPr>
              <w:t>th</w:t>
            </w:r>
            <w:r w:rsidRPr="00C0587E">
              <w:rPr>
                <w:rFonts w:ascii="Arial" w:eastAsia="Times New Roman" w:hAnsi="Arial" w:cs="Arial"/>
                <w:color w:val="000000"/>
                <w:kern w:val="0"/>
                <w:lang w:eastAsia="en-IN"/>
                <w14:ligatures w14:val="none"/>
              </w:rPr>
              <w:t xml:space="preserve"> day</w:t>
            </w:r>
          </w:p>
        </w:tc>
        <w:tc>
          <w:tcPr>
            <w:tcW w:w="1446" w:type="pct"/>
            <w:tcBorders>
              <w:left w:val="single" w:sz="4" w:space="0" w:color="auto"/>
            </w:tcBorders>
            <w:noWrap/>
            <w:vAlign w:val="center"/>
            <w:hideMark/>
          </w:tcPr>
          <w:p w14:paraId="3D3B406D" w14:textId="77777777" w:rsidR="00C13730" w:rsidRPr="00C0587E" w:rsidRDefault="00C13730" w:rsidP="00C13730">
            <w:pPr>
              <w:jc w:val="center"/>
              <w:rPr>
                <w:rFonts w:ascii="Arial" w:hAnsi="Arial" w:cs="Arial"/>
              </w:rPr>
            </w:pPr>
            <w:r w:rsidRPr="00C0587E">
              <w:rPr>
                <w:rFonts w:ascii="Arial" w:hAnsi="Arial" w:cs="Arial"/>
                <w:color w:val="000000"/>
              </w:rPr>
              <w:t>0.54 ± 0.01</w:t>
            </w:r>
            <w:r w:rsidRPr="00C0587E">
              <w:rPr>
                <w:rFonts w:ascii="Arial" w:hAnsi="Arial" w:cs="Arial"/>
                <w:color w:val="000000"/>
                <w:vertAlign w:val="superscript"/>
              </w:rPr>
              <w:t>4</w:t>
            </w:r>
          </w:p>
        </w:tc>
        <w:tc>
          <w:tcPr>
            <w:tcW w:w="1223" w:type="pct"/>
            <w:noWrap/>
            <w:vAlign w:val="center"/>
            <w:hideMark/>
          </w:tcPr>
          <w:p w14:paraId="5D73B678" w14:textId="77777777" w:rsidR="00C13730" w:rsidRPr="00C0587E" w:rsidRDefault="00C13730" w:rsidP="00C13730">
            <w:pPr>
              <w:jc w:val="center"/>
              <w:rPr>
                <w:rFonts w:ascii="Arial" w:hAnsi="Arial" w:cs="Arial"/>
              </w:rPr>
            </w:pPr>
            <w:r w:rsidRPr="00C0587E">
              <w:rPr>
                <w:rFonts w:ascii="Arial" w:hAnsi="Arial" w:cs="Arial"/>
                <w:color w:val="000000"/>
              </w:rPr>
              <w:t>1.02 ± 0.004</w:t>
            </w:r>
            <w:r w:rsidRPr="00C0587E">
              <w:rPr>
                <w:rFonts w:ascii="Arial" w:hAnsi="Arial" w:cs="Arial"/>
                <w:color w:val="000000"/>
                <w:vertAlign w:val="superscript"/>
              </w:rPr>
              <w:t>3</w:t>
            </w:r>
          </w:p>
        </w:tc>
        <w:tc>
          <w:tcPr>
            <w:tcW w:w="1224" w:type="pct"/>
            <w:noWrap/>
            <w:vAlign w:val="center"/>
            <w:hideMark/>
          </w:tcPr>
          <w:p w14:paraId="3B2BF276" w14:textId="77777777" w:rsidR="00C13730" w:rsidRPr="00C0587E" w:rsidRDefault="00C13730" w:rsidP="00C13730">
            <w:pPr>
              <w:jc w:val="center"/>
              <w:rPr>
                <w:rFonts w:ascii="Arial" w:hAnsi="Arial" w:cs="Arial"/>
              </w:rPr>
            </w:pPr>
            <w:r w:rsidRPr="00C0587E">
              <w:rPr>
                <w:rFonts w:ascii="Arial" w:hAnsi="Arial" w:cs="Arial"/>
                <w:color w:val="000000"/>
              </w:rPr>
              <w:t>1.06 ± 0.005</w:t>
            </w:r>
            <w:r w:rsidRPr="00C0587E">
              <w:rPr>
                <w:rFonts w:ascii="Arial" w:hAnsi="Arial" w:cs="Arial"/>
                <w:color w:val="000000"/>
                <w:vertAlign w:val="superscript"/>
              </w:rPr>
              <w:t>2</w:t>
            </w:r>
          </w:p>
        </w:tc>
      </w:tr>
      <w:tr w:rsidR="00C13730" w:rsidRPr="00C0587E" w14:paraId="55E42900" w14:textId="77777777" w:rsidTr="00647695">
        <w:trPr>
          <w:trHeight w:val="31"/>
        </w:trPr>
        <w:tc>
          <w:tcPr>
            <w:tcW w:w="1107" w:type="pct"/>
            <w:tcBorders>
              <w:right w:val="single" w:sz="4" w:space="0" w:color="auto"/>
            </w:tcBorders>
            <w:noWrap/>
            <w:hideMark/>
          </w:tcPr>
          <w:p w14:paraId="01D4A223" w14:textId="7C2A17B2" w:rsidR="00C13730" w:rsidRPr="00C0587E" w:rsidRDefault="00C13730" w:rsidP="00C13730">
            <w:pPr>
              <w:jc w:val="center"/>
              <w:rPr>
                <w:rFonts w:ascii="Arial" w:hAnsi="Arial" w:cs="Arial"/>
              </w:rPr>
            </w:pPr>
            <w:r w:rsidRPr="00C0587E">
              <w:rPr>
                <w:rFonts w:ascii="Arial" w:eastAsia="Times New Roman" w:hAnsi="Arial" w:cs="Arial"/>
                <w:color w:val="000000"/>
                <w:kern w:val="0"/>
                <w:lang w:eastAsia="en-IN"/>
                <w14:ligatures w14:val="none"/>
              </w:rPr>
              <w:t>42</w:t>
            </w:r>
            <w:r w:rsidRPr="00C0587E">
              <w:rPr>
                <w:rFonts w:ascii="Arial" w:eastAsia="Times New Roman" w:hAnsi="Arial" w:cs="Arial"/>
                <w:color w:val="000000"/>
                <w:kern w:val="0"/>
                <w:vertAlign w:val="superscript"/>
                <w:lang w:eastAsia="en-IN"/>
                <w14:ligatures w14:val="none"/>
              </w:rPr>
              <w:t>nd</w:t>
            </w:r>
            <w:r w:rsidRPr="00C0587E">
              <w:rPr>
                <w:rFonts w:ascii="Arial" w:eastAsia="Times New Roman" w:hAnsi="Arial" w:cs="Arial"/>
                <w:color w:val="000000"/>
                <w:kern w:val="0"/>
                <w:lang w:eastAsia="en-IN"/>
                <w14:ligatures w14:val="none"/>
              </w:rPr>
              <w:t xml:space="preserve"> day</w:t>
            </w:r>
          </w:p>
        </w:tc>
        <w:tc>
          <w:tcPr>
            <w:tcW w:w="1446" w:type="pct"/>
            <w:tcBorders>
              <w:left w:val="single" w:sz="4" w:space="0" w:color="auto"/>
            </w:tcBorders>
            <w:noWrap/>
            <w:vAlign w:val="center"/>
            <w:hideMark/>
          </w:tcPr>
          <w:p w14:paraId="555CC599" w14:textId="77777777" w:rsidR="00C13730" w:rsidRPr="00C0587E" w:rsidRDefault="00C13730" w:rsidP="00C13730">
            <w:pPr>
              <w:jc w:val="center"/>
              <w:rPr>
                <w:rFonts w:ascii="Arial" w:hAnsi="Arial" w:cs="Arial"/>
              </w:rPr>
            </w:pPr>
            <w:r w:rsidRPr="00C0587E">
              <w:rPr>
                <w:rFonts w:ascii="Arial" w:hAnsi="Arial" w:cs="Arial"/>
                <w:color w:val="000000"/>
              </w:rPr>
              <w:t>0.55 ± 0.008</w:t>
            </w:r>
            <w:r w:rsidRPr="00C0587E">
              <w:rPr>
                <w:rFonts w:ascii="Arial" w:hAnsi="Arial" w:cs="Arial"/>
                <w:color w:val="000000"/>
                <w:vertAlign w:val="superscript"/>
              </w:rPr>
              <w:t>n</w:t>
            </w:r>
          </w:p>
        </w:tc>
        <w:tc>
          <w:tcPr>
            <w:tcW w:w="1223" w:type="pct"/>
            <w:noWrap/>
            <w:vAlign w:val="center"/>
            <w:hideMark/>
          </w:tcPr>
          <w:p w14:paraId="43CBBCF9" w14:textId="6AA0D6B6" w:rsidR="00C13730" w:rsidRPr="00C0587E" w:rsidRDefault="00C13730" w:rsidP="00C13730">
            <w:pPr>
              <w:jc w:val="center"/>
              <w:rPr>
                <w:rFonts w:ascii="Arial" w:hAnsi="Arial" w:cs="Arial"/>
              </w:rPr>
            </w:pPr>
            <w:r w:rsidRPr="00C0587E">
              <w:rPr>
                <w:rFonts w:ascii="Arial" w:hAnsi="Arial" w:cs="Arial"/>
                <w:color w:val="000000"/>
              </w:rPr>
              <w:t>1.04 ± 0.004</w:t>
            </w:r>
            <w:r w:rsidRPr="00C0587E">
              <w:rPr>
                <w:rFonts w:ascii="Arial" w:hAnsi="Arial" w:cs="Arial"/>
                <w:color w:val="000000"/>
                <w:vertAlign w:val="superscript"/>
              </w:rPr>
              <w:t>m</w:t>
            </w:r>
          </w:p>
        </w:tc>
        <w:tc>
          <w:tcPr>
            <w:tcW w:w="1224" w:type="pct"/>
            <w:noWrap/>
            <w:vAlign w:val="center"/>
            <w:hideMark/>
          </w:tcPr>
          <w:p w14:paraId="7A1D6702" w14:textId="77777777" w:rsidR="00C13730" w:rsidRPr="00C0587E" w:rsidRDefault="00C13730" w:rsidP="00C13730">
            <w:pPr>
              <w:jc w:val="center"/>
              <w:rPr>
                <w:rFonts w:ascii="Arial" w:hAnsi="Arial" w:cs="Arial"/>
              </w:rPr>
            </w:pPr>
            <w:r w:rsidRPr="00C0587E">
              <w:rPr>
                <w:rFonts w:ascii="Arial" w:hAnsi="Arial" w:cs="Arial"/>
                <w:color w:val="000000"/>
              </w:rPr>
              <w:t>1.07 ± 0.005</w:t>
            </w:r>
            <w:r w:rsidRPr="00C0587E">
              <w:rPr>
                <w:rFonts w:ascii="Arial" w:hAnsi="Arial" w:cs="Arial"/>
                <w:color w:val="000000"/>
                <w:vertAlign w:val="superscript"/>
              </w:rPr>
              <w:t>l</w:t>
            </w:r>
          </w:p>
        </w:tc>
      </w:tr>
      <w:tr w:rsidR="00C13730" w:rsidRPr="00C0587E" w14:paraId="09FAA0A7" w14:textId="77777777" w:rsidTr="00647695">
        <w:trPr>
          <w:trHeight w:val="31"/>
        </w:trPr>
        <w:tc>
          <w:tcPr>
            <w:tcW w:w="1107" w:type="pct"/>
            <w:tcBorders>
              <w:right w:val="single" w:sz="4" w:space="0" w:color="auto"/>
            </w:tcBorders>
            <w:noWrap/>
            <w:hideMark/>
          </w:tcPr>
          <w:p w14:paraId="2D05C177" w14:textId="149F8767" w:rsidR="00C13730" w:rsidRPr="00C0587E" w:rsidRDefault="00C13730" w:rsidP="00C13730">
            <w:pPr>
              <w:jc w:val="center"/>
              <w:rPr>
                <w:rFonts w:ascii="Arial" w:hAnsi="Arial" w:cs="Arial"/>
              </w:rPr>
            </w:pPr>
            <w:r w:rsidRPr="00C0587E">
              <w:rPr>
                <w:rFonts w:ascii="Arial" w:eastAsia="Times New Roman" w:hAnsi="Arial" w:cs="Arial"/>
                <w:color w:val="000000"/>
                <w:kern w:val="0"/>
                <w:lang w:eastAsia="en-IN"/>
                <w14:ligatures w14:val="none"/>
              </w:rPr>
              <w:t>49</w:t>
            </w:r>
            <w:r w:rsidRPr="00C0587E">
              <w:rPr>
                <w:rFonts w:ascii="Arial" w:eastAsia="Times New Roman" w:hAnsi="Arial" w:cs="Arial"/>
                <w:color w:val="000000"/>
                <w:kern w:val="0"/>
                <w:vertAlign w:val="superscript"/>
                <w:lang w:eastAsia="en-IN"/>
                <w14:ligatures w14:val="none"/>
              </w:rPr>
              <w:t>th</w:t>
            </w:r>
            <w:r w:rsidRPr="00C0587E">
              <w:rPr>
                <w:rFonts w:ascii="Arial" w:eastAsia="Times New Roman" w:hAnsi="Arial" w:cs="Arial"/>
                <w:color w:val="000000"/>
                <w:kern w:val="0"/>
                <w:lang w:eastAsia="en-IN"/>
                <w14:ligatures w14:val="none"/>
              </w:rPr>
              <w:t xml:space="preserve"> day</w:t>
            </w:r>
          </w:p>
        </w:tc>
        <w:tc>
          <w:tcPr>
            <w:tcW w:w="1446" w:type="pct"/>
            <w:tcBorders>
              <w:left w:val="single" w:sz="4" w:space="0" w:color="auto"/>
            </w:tcBorders>
            <w:noWrap/>
            <w:vAlign w:val="center"/>
            <w:hideMark/>
          </w:tcPr>
          <w:p w14:paraId="50DBAB40" w14:textId="77777777" w:rsidR="00C13730" w:rsidRPr="00C0587E" w:rsidRDefault="00C13730" w:rsidP="00C13730">
            <w:pPr>
              <w:jc w:val="center"/>
              <w:rPr>
                <w:rFonts w:ascii="Arial" w:hAnsi="Arial" w:cs="Arial"/>
              </w:rPr>
            </w:pPr>
            <w:r w:rsidRPr="00C0587E">
              <w:rPr>
                <w:rFonts w:ascii="Arial" w:hAnsi="Arial" w:cs="Arial"/>
                <w:color w:val="000000"/>
              </w:rPr>
              <w:t>0.57 ± 0.006</w:t>
            </w:r>
            <w:r w:rsidRPr="00C0587E">
              <w:rPr>
                <w:rFonts w:ascii="Arial" w:hAnsi="Arial" w:cs="Arial"/>
                <w:color w:val="000000"/>
                <w:vertAlign w:val="superscript"/>
              </w:rPr>
              <w:t>P</w:t>
            </w:r>
          </w:p>
        </w:tc>
        <w:tc>
          <w:tcPr>
            <w:tcW w:w="1223" w:type="pct"/>
            <w:noWrap/>
            <w:vAlign w:val="center"/>
            <w:hideMark/>
          </w:tcPr>
          <w:p w14:paraId="0705E4E6" w14:textId="77777777" w:rsidR="00C13730" w:rsidRPr="00C0587E" w:rsidRDefault="00C13730" w:rsidP="00C13730">
            <w:pPr>
              <w:jc w:val="center"/>
              <w:rPr>
                <w:rFonts w:ascii="Arial" w:hAnsi="Arial" w:cs="Arial"/>
              </w:rPr>
            </w:pPr>
            <w:r w:rsidRPr="00C0587E">
              <w:rPr>
                <w:rFonts w:ascii="Arial" w:hAnsi="Arial" w:cs="Arial"/>
                <w:color w:val="000000"/>
              </w:rPr>
              <w:t>1.05 ± 0.003</w:t>
            </w:r>
            <w:r w:rsidRPr="00C0587E">
              <w:rPr>
                <w:rFonts w:ascii="Arial" w:hAnsi="Arial" w:cs="Arial"/>
                <w:color w:val="000000"/>
                <w:vertAlign w:val="superscript"/>
              </w:rPr>
              <w:t>O</w:t>
            </w:r>
          </w:p>
        </w:tc>
        <w:tc>
          <w:tcPr>
            <w:tcW w:w="1224" w:type="pct"/>
            <w:noWrap/>
            <w:vAlign w:val="center"/>
            <w:hideMark/>
          </w:tcPr>
          <w:p w14:paraId="082B0F25" w14:textId="77777777" w:rsidR="00C13730" w:rsidRPr="00C0587E" w:rsidRDefault="00C13730" w:rsidP="00C13730">
            <w:pPr>
              <w:jc w:val="center"/>
              <w:rPr>
                <w:rFonts w:ascii="Arial" w:hAnsi="Arial" w:cs="Arial"/>
              </w:rPr>
            </w:pPr>
            <w:r w:rsidRPr="00C0587E">
              <w:rPr>
                <w:rFonts w:ascii="Arial" w:hAnsi="Arial" w:cs="Arial"/>
                <w:color w:val="000000"/>
              </w:rPr>
              <w:t>1.08 ± 0.004</w:t>
            </w:r>
            <w:r w:rsidRPr="00C0587E">
              <w:rPr>
                <w:rFonts w:ascii="Arial" w:hAnsi="Arial" w:cs="Arial"/>
                <w:color w:val="000000"/>
                <w:vertAlign w:val="superscript"/>
              </w:rPr>
              <w:t>N</w:t>
            </w:r>
          </w:p>
        </w:tc>
      </w:tr>
      <w:tr w:rsidR="00C13730" w:rsidRPr="00C0587E" w14:paraId="60BC0488" w14:textId="77777777" w:rsidTr="00647695">
        <w:trPr>
          <w:trHeight w:val="31"/>
        </w:trPr>
        <w:tc>
          <w:tcPr>
            <w:tcW w:w="1107" w:type="pct"/>
            <w:tcBorders>
              <w:right w:val="single" w:sz="4" w:space="0" w:color="auto"/>
            </w:tcBorders>
            <w:noWrap/>
            <w:hideMark/>
          </w:tcPr>
          <w:p w14:paraId="6EF1D259" w14:textId="5298F947" w:rsidR="00C13730" w:rsidRPr="00C0587E" w:rsidRDefault="00C13730" w:rsidP="00C13730">
            <w:pPr>
              <w:jc w:val="center"/>
              <w:rPr>
                <w:rFonts w:ascii="Arial" w:hAnsi="Arial" w:cs="Arial"/>
              </w:rPr>
            </w:pPr>
            <w:r w:rsidRPr="00C0587E">
              <w:rPr>
                <w:rFonts w:ascii="Arial" w:eastAsia="Times New Roman" w:hAnsi="Arial" w:cs="Arial"/>
                <w:color w:val="000000"/>
                <w:kern w:val="0"/>
                <w:lang w:eastAsia="en-IN"/>
                <w14:ligatures w14:val="none"/>
              </w:rPr>
              <w:t>56</w:t>
            </w:r>
            <w:r w:rsidRPr="00C0587E">
              <w:rPr>
                <w:rFonts w:ascii="Arial" w:eastAsia="Times New Roman" w:hAnsi="Arial" w:cs="Arial"/>
                <w:color w:val="000000"/>
                <w:kern w:val="0"/>
                <w:vertAlign w:val="superscript"/>
                <w:lang w:eastAsia="en-IN"/>
                <w14:ligatures w14:val="none"/>
              </w:rPr>
              <w:t>th</w:t>
            </w:r>
            <w:r w:rsidRPr="00C0587E">
              <w:rPr>
                <w:rFonts w:ascii="Arial" w:eastAsia="Times New Roman" w:hAnsi="Arial" w:cs="Arial"/>
                <w:color w:val="000000"/>
                <w:kern w:val="0"/>
                <w:lang w:eastAsia="en-IN"/>
                <w14:ligatures w14:val="none"/>
              </w:rPr>
              <w:t xml:space="preserve"> day</w:t>
            </w:r>
          </w:p>
        </w:tc>
        <w:tc>
          <w:tcPr>
            <w:tcW w:w="1446" w:type="pct"/>
            <w:tcBorders>
              <w:left w:val="single" w:sz="4" w:space="0" w:color="auto"/>
            </w:tcBorders>
            <w:noWrap/>
            <w:vAlign w:val="center"/>
            <w:hideMark/>
          </w:tcPr>
          <w:p w14:paraId="4E1F9C90" w14:textId="77777777" w:rsidR="00C13730" w:rsidRPr="00C0587E" w:rsidRDefault="00C13730" w:rsidP="00C13730">
            <w:pPr>
              <w:jc w:val="center"/>
              <w:rPr>
                <w:rFonts w:ascii="Arial" w:hAnsi="Arial" w:cs="Arial"/>
              </w:rPr>
            </w:pPr>
            <w:r w:rsidRPr="00C0587E">
              <w:rPr>
                <w:rFonts w:ascii="Arial" w:hAnsi="Arial" w:cs="Arial"/>
                <w:color w:val="000000"/>
              </w:rPr>
              <w:t>0.54 ± 0.007</w:t>
            </w:r>
            <w:r w:rsidRPr="00C0587E">
              <w:rPr>
                <w:rFonts w:ascii="Arial" w:hAnsi="Arial" w:cs="Arial"/>
                <w:color w:val="000000"/>
                <w:vertAlign w:val="superscript"/>
              </w:rPr>
              <w:t>F</w:t>
            </w:r>
          </w:p>
        </w:tc>
        <w:tc>
          <w:tcPr>
            <w:tcW w:w="1223" w:type="pct"/>
            <w:noWrap/>
            <w:vAlign w:val="center"/>
            <w:hideMark/>
          </w:tcPr>
          <w:p w14:paraId="24D790FA" w14:textId="77777777" w:rsidR="00C13730" w:rsidRPr="00C0587E" w:rsidRDefault="00C13730" w:rsidP="00C13730">
            <w:pPr>
              <w:jc w:val="center"/>
              <w:rPr>
                <w:rFonts w:ascii="Arial" w:hAnsi="Arial" w:cs="Arial"/>
              </w:rPr>
            </w:pPr>
            <w:r w:rsidRPr="00C0587E">
              <w:rPr>
                <w:rFonts w:ascii="Arial" w:hAnsi="Arial" w:cs="Arial"/>
                <w:color w:val="000000"/>
              </w:rPr>
              <w:t>1.01 ± 0.005</w:t>
            </w:r>
            <w:r w:rsidRPr="00C0587E">
              <w:rPr>
                <w:rFonts w:ascii="Arial" w:hAnsi="Arial" w:cs="Arial"/>
                <w:color w:val="000000"/>
                <w:vertAlign w:val="superscript"/>
              </w:rPr>
              <w:t>E</w:t>
            </w:r>
          </w:p>
        </w:tc>
        <w:tc>
          <w:tcPr>
            <w:tcW w:w="1224" w:type="pct"/>
            <w:noWrap/>
            <w:vAlign w:val="center"/>
            <w:hideMark/>
          </w:tcPr>
          <w:p w14:paraId="7CE19F4F" w14:textId="77777777" w:rsidR="00C13730" w:rsidRPr="00C0587E" w:rsidRDefault="00C13730" w:rsidP="00C13730">
            <w:pPr>
              <w:jc w:val="center"/>
              <w:rPr>
                <w:rFonts w:ascii="Arial" w:hAnsi="Arial" w:cs="Arial"/>
              </w:rPr>
            </w:pPr>
            <w:r w:rsidRPr="00C0587E">
              <w:rPr>
                <w:rFonts w:ascii="Arial" w:hAnsi="Arial" w:cs="Arial"/>
                <w:color w:val="000000"/>
              </w:rPr>
              <w:t>1.06 ± 0.005</w:t>
            </w:r>
            <w:r w:rsidRPr="00C0587E">
              <w:rPr>
                <w:rFonts w:ascii="Arial" w:hAnsi="Arial" w:cs="Arial"/>
                <w:color w:val="000000"/>
                <w:vertAlign w:val="superscript"/>
              </w:rPr>
              <w:t>D</w:t>
            </w:r>
          </w:p>
        </w:tc>
      </w:tr>
      <w:tr w:rsidR="00C13730" w:rsidRPr="00C0587E" w14:paraId="1C517ECB" w14:textId="77777777" w:rsidTr="00647695">
        <w:trPr>
          <w:trHeight w:val="31"/>
        </w:trPr>
        <w:tc>
          <w:tcPr>
            <w:tcW w:w="1107" w:type="pct"/>
            <w:tcBorders>
              <w:bottom w:val="single" w:sz="4" w:space="0" w:color="auto"/>
              <w:right w:val="single" w:sz="4" w:space="0" w:color="auto"/>
            </w:tcBorders>
            <w:noWrap/>
            <w:hideMark/>
          </w:tcPr>
          <w:p w14:paraId="2806C354" w14:textId="7F404D20" w:rsidR="00C13730" w:rsidRPr="00C0587E" w:rsidRDefault="00C13730" w:rsidP="00C13730">
            <w:pPr>
              <w:jc w:val="center"/>
              <w:rPr>
                <w:rFonts w:ascii="Arial" w:hAnsi="Arial" w:cs="Arial"/>
              </w:rPr>
            </w:pPr>
            <w:r w:rsidRPr="00C0587E">
              <w:rPr>
                <w:rFonts w:ascii="Arial" w:eastAsia="Times New Roman" w:hAnsi="Arial" w:cs="Arial"/>
                <w:color w:val="000000"/>
                <w:kern w:val="0"/>
                <w:lang w:eastAsia="en-IN"/>
                <w14:ligatures w14:val="none"/>
              </w:rPr>
              <w:t>63</w:t>
            </w:r>
            <w:r w:rsidRPr="00C0587E">
              <w:rPr>
                <w:rFonts w:ascii="Arial" w:eastAsia="Times New Roman" w:hAnsi="Arial" w:cs="Arial"/>
                <w:color w:val="000000"/>
                <w:kern w:val="0"/>
                <w:vertAlign w:val="superscript"/>
                <w:lang w:eastAsia="en-IN"/>
                <w14:ligatures w14:val="none"/>
              </w:rPr>
              <w:t>rd</w:t>
            </w:r>
            <w:r w:rsidRPr="00C0587E">
              <w:rPr>
                <w:rFonts w:ascii="Arial" w:eastAsia="Times New Roman" w:hAnsi="Arial" w:cs="Arial"/>
                <w:color w:val="000000"/>
                <w:kern w:val="0"/>
                <w:lang w:eastAsia="en-IN"/>
                <w14:ligatures w14:val="none"/>
              </w:rPr>
              <w:t xml:space="preserve"> day</w:t>
            </w:r>
          </w:p>
        </w:tc>
        <w:tc>
          <w:tcPr>
            <w:tcW w:w="1446" w:type="pct"/>
            <w:tcBorders>
              <w:left w:val="single" w:sz="4" w:space="0" w:color="auto"/>
              <w:bottom w:val="single" w:sz="4" w:space="0" w:color="auto"/>
            </w:tcBorders>
            <w:noWrap/>
            <w:vAlign w:val="center"/>
            <w:hideMark/>
          </w:tcPr>
          <w:p w14:paraId="268032E7" w14:textId="77777777" w:rsidR="00C13730" w:rsidRPr="00C0587E" w:rsidRDefault="00C13730" w:rsidP="00C13730">
            <w:pPr>
              <w:jc w:val="center"/>
              <w:rPr>
                <w:rFonts w:ascii="Arial" w:hAnsi="Arial" w:cs="Arial"/>
              </w:rPr>
            </w:pPr>
            <w:r w:rsidRPr="00C0587E">
              <w:rPr>
                <w:rFonts w:ascii="Arial" w:hAnsi="Arial" w:cs="Arial"/>
                <w:color w:val="000000"/>
              </w:rPr>
              <w:t>0.55 ± 0.008</w:t>
            </w:r>
            <w:r w:rsidRPr="00C0587E">
              <w:rPr>
                <w:rFonts w:ascii="Arial" w:hAnsi="Arial" w:cs="Arial"/>
                <w:color w:val="000000"/>
                <w:vertAlign w:val="superscript"/>
              </w:rPr>
              <w:t>J</w:t>
            </w:r>
          </w:p>
        </w:tc>
        <w:tc>
          <w:tcPr>
            <w:tcW w:w="1223" w:type="pct"/>
            <w:tcBorders>
              <w:bottom w:val="single" w:sz="4" w:space="0" w:color="auto"/>
            </w:tcBorders>
            <w:noWrap/>
            <w:vAlign w:val="center"/>
            <w:hideMark/>
          </w:tcPr>
          <w:p w14:paraId="3008D62C" w14:textId="77777777" w:rsidR="00C13730" w:rsidRPr="00C0587E" w:rsidRDefault="00C13730" w:rsidP="00C13730">
            <w:pPr>
              <w:jc w:val="center"/>
              <w:rPr>
                <w:rFonts w:ascii="Arial" w:hAnsi="Arial" w:cs="Arial"/>
              </w:rPr>
            </w:pPr>
            <w:r w:rsidRPr="00C0587E">
              <w:rPr>
                <w:rFonts w:ascii="Arial" w:hAnsi="Arial" w:cs="Arial"/>
                <w:color w:val="000000"/>
              </w:rPr>
              <w:t>1.03 ± 0.004</w:t>
            </w:r>
            <w:r w:rsidRPr="00C0587E">
              <w:rPr>
                <w:rFonts w:ascii="Arial" w:hAnsi="Arial" w:cs="Arial"/>
                <w:color w:val="000000"/>
                <w:vertAlign w:val="superscript"/>
              </w:rPr>
              <w:t>I</w:t>
            </w:r>
          </w:p>
        </w:tc>
        <w:tc>
          <w:tcPr>
            <w:tcW w:w="1224" w:type="pct"/>
            <w:tcBorders>
              <w:bottom w:val="single" w:sz="4" w:space="0" w:color="auto"/>
            </w:tcBorders>
            <w:noWrap/>
            <w:vAlign w:val="center"/>
            <w:hideMark/>
          </w:tcPr>
          <w:p w14:paraId="5E0D3105" w14:textId="77777777" w:rsidR="00C13730" w:rsidRPr="00C0587E" w:rsidRDefault="00C13730" w:rsidP="00C13730">
            <w:pPr>
              <w:jc w:val="center"/>
              <w:rPr>
                <w:rFonts w:ascii="Arial" w:hAnsi="Arial" w:cs="Arial"/>
              </w:rPr>
            </w:pPr>
            <w:r w:rsidRPr="00C0587E">
              <w:rPr>
                <w:rFonts w:ascii="Arial" w:hAnsi="Arial" w:cs="Arial"/>
                <w:color w:val="000000"/>
              </w:rPr>
              <w:t>1.07 ± 0.005</w:t>
            </w:r>
            <w:r w:rsidRPr="00C0587E">
              <w:rPr>
                <w:rFonts w:ascii="Arial" w:hAnsi="Arial" w:cs="Arial"/>
                <w:color w:val="000000"/>
                <w:vertAlign w:val="superscript"/>
              </w:rPr>
              <w:t>H</w:t>
            </w:r>
          </w:p>
        </w:tc>
      </w:tr>
    </w:tbl>
    <w:p w14:paraId="494FE4BC" w14:textId="7B76D6BB" w:rsidR="00C97B36" w:rsidRDefault="00C97B36" w:rsidP="00915BCB">
      <w:pPr>
        <w:spacing w:after="4" w:line="249" w:lineRule="auto"/>
        <w:ind w:left="-5" w:right="-123" w:hanging="10"/>
        <w:jc w:val="center"/>
        <w:rPr>
          <w:rFonts w:ascii="Arial" w:hAnsi="Arial" w:cs="Arial"/>
          <w:bCs/>
          <w:sz w:val="20"/>
          <w:szCs w:val="20"/>
        </w:rPr>
      </w:pPr>
      <w:r w:rsidRPr="008A16D3">
        <w:rPr>
          <w:rFonts w:ascii="Arial" w:hAnsi="Arial" w:cs="Arial"/>
          <w:sz w:val="20"/>
          <w:szCs w:val="20"/>
        </w:rPr>
        <w:t>(</w:t>
      </w:r>
      <w:r w:rsidRPr="008A16D3">
        <w:rPr>
          <w:rFonts w:ascii="Arial" w:hAnsi="Arial" w:cs="Arial"/>
          <w:bCs/>
          <w:sz w:val="20"/>
          <w:szCs w:val="20"/>
        </w:rPr>
        <w:t xml:space="preserve">*Note </w:t>
      </w:r>
      <w:r w:rsidR="00DA6F8B">
        <w:rPr>
          <w:rFonts w:ascii="Arial" w:hAnsi="Arial" w:cs="Arial"/>
          <w:bCs/>
          <w:sz w:val="20"/>
          <w:szCs w:val="20"/>
        </w:rPr>
        <w:t xml:space="preserve">C= Control, </w:t>
      </w:r>
      <w:r w:rsidRPr="008A16D3">
        <w:rPr>
          <w:rFonts w:ascii="Arial" w:hAnsi="Arial" w:cs="Arial"/>
          <w:bCs/>
          <w:sz w:val="20"/>
          <w:szCs w:val="20"/>
        </w:rPr>
        <w:t xml:space="preserve">T1= Bio-floc (20:1), </w:t>
      </w:r>
      <w:r w:rsidR="00A96EE9">
        <w:rPr>
          <w:rFonts w:ascii="Arial" w:hAnsi="Arial" w:cs="Arial"/>
          <w:bCs/>
          <w:sz w:val="20"/>
          <w:szCs w:val="20"/>
        </w:rPr>
        <w:t>T2</w:t>
      </w:r>
      <w:r w:rsidRPr="008A16D3">
        <w:rPr>
          <w:rFonts w:ascii="Arial" w:hAnsi="Arial" w:cs="Arial"/>
          <w:bCs/>
          <w:sz w:val="20"/>
          <w:szCs w:val="20"/>
        </w:rPr>
        <w:t>=Biofloc (20:1) + 0.5% Jeevamruth; The mean values followed by the different superscript letters in each factor indicate significant difference at 0.05.)</w:t>
      </w:r>
    </w:p>
    <w:p w14:paraId="02B403B1" w14:textId="31D0BF97" w:rsidR="00773BEC" w:rsidRPr="006079B2" w:rsidRDefault="00A67A45" w:rsidP="00E61B4E">
      <w:pPr>
        <w:rPr>
          <w:rFonts w:ascii="Arial" w:hAnsi="Arial" w:cs="Arial"/>
          <w:b/>
          <w:bCs/>
        </w:rPr>
      </w:pPr>
      <w:r>
        <w:rPr>
          <w:rFonts w:ascii="Arial" w:hAnsi="Arial" w:cs="Arial"/>
          <w:noProof/>
        </w:rPr>
        <w:lastRenderedPageBreak/>
        <mc:AlternateContent>
          <mc:Choice Requires="wpg">
            <w:drawing>
              <wp:anchor distT="0" distB="0" distL="114300" distR="114300" simplePos="0" relativeHeight="251684864" behindDoc="0" locked="0" layoutInCell="1" allowOverlap="1" wp14:anchorId="4EE59348" wp14:editId="7D440202">
                <wp:simplePos x="0" y="0"/>
                <wp:positionH relativeFrom="margin">
                  <wp:posOffset>2537823</wp:posOffset>
                </wp:positionH>
                <wp:positionV relativeFrom="paragraph">
                  <wp:posOffset>2825206</wp:posOffset>
                </wp:positionV>
                <wp:extent cx="869950" cy="204470"/>
                <wp:effectExtent l="0" t="0" r="25400" b="24130"/>
                <wp:wrapNone/>
                <wp:docPr id="1205294802" name="Group 9"/>
                <wp:cNvGraphicFramePr/>
                <a:graphic xmlns:a="http://schemas.openxmlformats.org/drawingml/2006/main">
                  <a:graphicData uri="http://schemas.microsoft.com/office/word/2010/wordprocessingGroup">
                    <wpg:wgp>
                      <wpg:cNvGrpSpPr/>
                      <wpg:grpSpPr>
                        <a:xfrm>
                          <a:off x="0" y="0"/>
                          <a:ext cx="869950" cy="204470"/>
                          <a:chOff x="0" y="0"/>
                          <a:chExt cx="869950" cy="204470"/>
                        </a:xfrm>
                      </wpg:grpSpPr>
                      <wps:wsp>
                        <wps:cNvPr id="177449727" name="Text Box 4"/>
                        <wps:cNvSpPr txBox="1"/>
                        <wps:spPr>
                          <a:xfrm>
                            <a:off x="0" y="0"/>
                            <a:ext cx="869950" cy="204470"/>
                          </a:xfrm>
                          <a:prstGeom prst="rect">
                            <a:avLst/>
                          </a:prstGeom>
                          <a:solidFill>
                            <a:schemeClr val="lt1"/>
                          </a:solidFill>
                          <a:ln w="12700">
                            <a:solidFill>
                              <a:prstClr val="black"/>
                            </a:solidFill>
                          </a:ln>
                        </wps:spPr>
                        <wps:txbx>
                          <w:txbxContent>
                            <w:p w14:paraId="74E4451D" w14:textId="77777777" w:rsidR="00B435F6" w:rsidRPr="00015425" w:rsidRDefault="00B435F6" w:rsidP="005E1806">
                              <w:pPr>
                                <w:rPr>
                                  <w:color w:val="808080" w:themeColor="background1" w:themeShade="80"/>
                                  <w:sz w:val="16"/>
                                  <w:szCs w:val="16"/>
                                  <w:lang w:val="en-US"/>
                                </w:rPr>
                              </w:pPr>
                              <w:r w:rsidRPr="00015425">
                                <w:rPr>
                                  <w:color w:val="808080" w:themeColor="background1" w:themeShade="80"/>
                                  <w:sz w:val="16"/>
                                  <w:szCs w:val="16"/>
                                  <w:lang w:val="en-US"/>
                                </w:rPr>
                                <w:t xml:space="preserve">    C       T1</w:t>
                              </w:r>
                              <w:r w:rsidRPr="00015425">
                                <w:rPr>
                                  <w:color w:val="808080" w:themeColor="background1" w:themeShade="80"/>
                                  <w:sz w:val="16"/>
                                  <w:szCs w:val="16"/>
                                  <w:lang w:val="en-US"/>
                                </w:rPr>
                                <w:tab/>
                                <w:t xml:space="preserve">     T2</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157767352" name="Rectangle 5"/>
                        <wps:cNvSpPr/>
                        <wps:spPr>
                          <a:xfrm>
                            <a:off x="98854" y="89586"/>
                            <a:ext cx="60960" cy="60960"/>
                          </a:xfrm>
                          <a:prstGeom prst="rect">
                            <a:avLst/>
                          </a:prstGeom>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423190716" name="Rectangle 5"/>
                        <wps:cNvSpPr/>
                        <wps:spPr>
                          <a:xfrm>
                            <a:off x="315097" y="89586"/>
                            <a:ext cx="60960" cy="60960"/>
                          </a:xfrm>
                          <a:prstGeom prst="rect">
                            <a:avLst/>
                          </a:prstGeom>
                          <a:solidFill>
                            <a:schemeClr val="accent2"/>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30606563" name="Rectangle 5"/>
                        <wps:cNvSpPr/>
                        <wps:spPr>
                          <a:xfrm>
                            <a:off x="574589" y="86497"/>
                            <a:ext cx="60960" cy="60960"/>
                          </a:xfrm>
                          <a:prstGeom prst="rect">
                            <a:avLst/>
                          </a:prstGeom>
                          <a:solidFill>
                            <a:schemeClr val="bg1">
                              <a:lumMod val="65000"/>
                            </a:schemeClr>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4EE59348" id="_x0000_s1046" style="position:absolute;margin-left:199.85pt;margin-top:222.45pt;width:68.5pt;height:16.1pt;z-index:251684864;mso-position-horizontal-relative:margin;mso-width-relative:margin;mso-height-relative:margin" coordsize="8699,204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">
                <v:shape id="_x0000_s1047" type="#_x0000_t202" style="position:absolute;width:8699;height:20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" fillcolor="white [3201]" strokeweight="1pt">
                  <v:textbox>
                    <w:txbxContent>
                      <w:p w14:paraId="74E4451D" w14:textId="77777777" w:rsidR="00B435F6" w:rsidRPr="00015425" w:rsidRDefault="00B435F6" w:rsidP="005E1806">
                        <w:pPr>
                          <w:rPr>
                            <w:color w:val="808080" w:themeColor="background1" w:themeShade="80"/>
                            <w:sz w:val="16"/>
                            <w:szCs w:val="16"/>
                            <w:lang w:val="en-US"/>
                          </w:rPr>
                        </w:pPr>
                        <w:r w:rsidRPr="00015425">
                          <w:rPr>
                            <w:color w:val="808080" w:themeColor="background1" w:themeShade="80"/>
                            <w:sz w:val="16"/>
                            <w:szCs w:val="16"/>
                            <w:lang w:val="en-US"/>
                          </w:rPr>
                          <w:t xml:space="preserve">    C       T1</w:t>
                        </w:r>
                        <w:r w:rsidRPr="00015425">
                          <w:rPr>
                            <w:color w:val="808080" w:themeColor="background1" w:themeShade="80"/>
                            <w:sz w:val="16"/>
                            <w:szCs w:val="16"/>
                            <w:lang w:val="en-US"/>
                          </w:rPr>
                          <w:tab/>
                          <w:t xml:space="preserve">     T2</w:t>
                        </w:r>
                      </w:p>
                    </w:txbxContent>
                  </v:textbox>
                </v:shape>
                <v:rect id="Rectangle 5" o:spid="_x0000_s1048" style="position:absolute;left:988;top:895;width:610;height:61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" fillcolor="#4472c4 [3204]" stroked="f" strokeweight="1pt"/>
                <v:rect id="Rectangle 5" o:spid="_x0000_s1049" style="position:absolute;left:3150;top:895;width:610;height:61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" fillcolor="#ed7d31 [3205]" stroked="f" strokeweight="1pt"/>
                <v:rect id="Rectangle 5" o:spid="_x0000_s1050" style="position:absolute;left:5745;top:864;width:610;height:61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" fillcolor="#a5a5a5 [2092]" stroked="f" strokeweight="1pt"/>
                <w10:wrap anchorx="margin"/>
              </v:group>
            </w:pict>
          </mc:Fallback>
        </mc:AlternateContent>
      </w:r>
      <w:r w:rsidRPr="006079B2">
        <w:rPr>
          <w:rFonts w:ascii="Arial" w:hAnsi="Arial" w:cs="Arial"/>
          <w:b/>
          <w:bCs/>
          <w:noProof/>
        </w:rPr>
        <w:drawing>
          <wp:anchor distT="0" distB="0" distL="114300" distR="114300" simplePos="0" relativeHeight="251658240" behindDoc="1" locked="0" layoutInCell="1" allowOverlap="1" wp14:anchorId="0B1D8E9D" wp14:editId="657BCB55">
            <wp:simplePos x="0" y="0"/>
            <wp:positionH relativeFrom="margin">
              <wp:align>left</wp:align>
            </wp:positionH>
            <wp:positionV relativeFrom="paragraph">
              <wp:posOffset>299085</wp:posOffset>
            </wp:positionV>
            <wp:extent cx="5486400" cy="2655570"/>
            <wp:effectExtent l="0" t="0" r="0" b="0"/>
            <wp:wrapSquare wrapText="bothSides"/>
            <wp:docPr id="1869969049" name="Chart 5"/>
            <wp:cNvGraphicFramePr/>
            <a:graphic xmlns:a="http://schemas.openxmlformats.org/drawingml/2006/main">
              <a:graphicData uri="http://schemas.openxmlformats.org/drawingml/2006/chart">
                <c:chart xmlns:c="http://schemas.openxmlformats.org/drawingml/2006/chart" xmlns:r="http://schemas.openxmlformats.org/officeDocument/2006/relationships" r:id="rId21"/>
              </a:graphicData>
            </a:graphic>
            <wp14:sizeRelH relativeFrom="margin">
              <wp14:pctWidth>0</wp14:pctWidth>
            </wp14:sizeRelH>
            <wp14:sizeRelV relativeFrom="margin">
              <wp14:pctHeight>0</wp14:pctHeight>
            </wp14:sizeRelV>
          </wp:anchor>
        </w:drawing>
      </w:r>
    </w:p>
    <w:p w14:paraId="24A22F59" w14:textId="50C53335" w:rsidR="005E1806" w:rsidRDefault="005E1806" w:rsidP="00E05B72">
      <w:pPr>
        <w:spacing w:line="360" w:lineRule="auto"/>
        <w:rPr>
          <w:rFonts w:ascii="Arial" w:hAnsi="Arial" w:cs="Arial"/>
          <w:b/>
          <w:sz w:val="20"/>
          <w:szCs w:val="20"/>
          <w:u w:val="single"/>
        </w:rPr>
      </w:pPr>
    </w:p>
    <w:p w14:paraId="0804C15C" w14:textId="765E51D4" w:rsidR="00726987" w:rsidRDefault="00726987" w:rsidP="00726987">
      <w:pPr>
        <w:spacing w:line="360" w:lineRule="auto"/>
        <w:jc w:val="center"/>
        <w:rPr>
          <w:rFonts w:ascii="Arial" w:hAnsi="Arial" w:cs="Arial"/>
          <w:b/>
          <w:sz w:val="20"/>
          <w:szCs w:val="20"/>
        </w:rPr>
      </w:pPr>
      <w:r w:rsidRPr="00A152F0">
        <w:rPr>
          <w:rFonts w:ascii="Arial" w:hAnsi="Arial" w:cs="Arial"/>
          <w:b/>
          <w:sz w:val="20"/>
          <w:szCs w:val="20"/>
        </w:rPr>
        <w:t xml:space="preserve">Figure </w:t>
      </w:r>
      <w:r w:rsidR="00774601">
        <w:rPr>
          <w:rFonts w:ascii="Arial" w:hAnsi="Arial" w:cs="Arial"/>
          <w:b/>
          <w:sz w:val="20"/>
          <w:szCs w:val="20"/>
        </w:rPr>
        <w:t>5</w:t>
      </w:r>
      <w:r w:rsidRPr="00A152F0">
        <w:rPr>
          <w:rFonts w:ascii="Arial" w:hAnsi="Arial" w:cs="Arial"/>
          <w:b/>
          <w:sz w:val="20"/>
          <w:szCs w:val="20"/>
        </w:rPr>
        <w:t>:</w:t>
      </w:r>
      <w:r>
        <w:rPr>
          <w:rFonts w:ascii="Arial" w:hAnsi="Arial" w:cs="Arial"/>
          <w:b/>
          <w:sz w:val="20"/>
          <w:szCs w:val="20"/>
        </w:rPr>
        <w:t xml:space="preserve"> </w:t>
      </w:r>
      <w:r w:rsidRPr="00224BC0">
        <w:rPr>
          <w:rFonts w:ascii="Arial" w:hAnsi="Arial" w:cs="Arial"/>
          <w:b/>
          <w:sz w:val="20"/>
          <w:szCs w:val="20"/>
        </w:rPr>
        <w:t xml:space="preserve">Average </w:t>
      </w:r>
      <w:r w:rsidR="00774601">
        <w:rPr>
          <w:rFonts w:ascii="Arial" w:hAnsi="Arial" w:cs="Arial"/>
          <w:b/>
          <w:sz w:val="20"/>
          <w:szCs w:val="20"/>
        </w:rPr>
        <w:t>Conductivity</w:t>
      </w:r>
      <w:r w:rsidRPr="00224BC0">
        <w:rPr>
          <w:rFonts w:ascii="Arial" w:hAnsi="Arial" w:cs="Arial"/>
          <w:b/>
          <w:sz w:val="20"/>
          <w:szCs w:val="20"/>
        </w:rPr>
        <w:t xml:space="preserve"> Value Recorded During the Experiment</w:t>
      </w:r>
    </w:p>
    <w:p w14:paraId="12AC573E" w14:textId="2DD640A9" w:rsidR="00B85F44" w:rsidRDefault="00B85F44" w:rsidP="002040B2">
      <w:pPr>
        <w:spacing w:line="276" w:lineRule="auto"/>
        <w:ind w:firstLine="720"/>
        <w:jc w:val="both"/>
        <w:rPr>
          <w:rFonts w:ascii="Arial" w:hAnsi="Arial" w:cs="Arial"/>
          <w:bCs/>
          <w:sz w:val="20"/>
          <w:szCs w:val="20"/>
        </w:rPr>
      </w:pPr>
      <w:r w:rsidRPr="00B85F44">
        <w:rPr>
          <w:rFonts w:ascii="Arial" w:hAnsi="Arial" w:cs="Arial"/>
          <w:bCs/>
          <w:sz w:val="20"/>
          <w:szCs w:val="20"/>
        </w:rPr>
        <w:t>Conductivity was significantly higher (p &lt; 0.05) in T1 and T2 compared to the control. The highest conductivity was observed in the Jeevamruth treatment, reflecting increased ionic concentration due to microbial nutrient transformation. These values remained within acceptable freshwater aquaculture limits (APHA, 1998).</w:t>
      </w:r>
    </w:p>
    <w:p w14:paraId="08C4DA64" w14:textId="77777777" w:rsidR="002040B2" w:rsidRPr="00B85F44" w:rsidRDefault="002040B2" w:rsidP="002040B2">
      <w:pPr>
        <w:spacing w:line="276" w:lineRule="auto"/>
        <w:ind w:firstLine="720"/>
        <w:jc w:val="both"/>
        <w:rPr>
          <w:rFonts w:ascii="Arial" w:hAnsi="Arial" w:cs="Arial"/>
          <w:bCs/>
          <w:sz w:val="20"/>
          <w:szCs w:val="20"/>
        </w:rPr>
      </w:pPr>
    </w:p>
    <w:p w14:paraId="501F48A3" w14:textId="3366BCAC" w:rsidR="000911CE" w:rsidRPr="005E763E" w:rsidRDefault="00E05B72" w:rsidP="00E05B72">
      <w:pPr>
        <w:spacing w:line="360" w:lineRule="auto"/>
        <w:rPr>
          <w:rFonts w:ascii="Arial" w:hAnsi="Arial" w:cs="Arial"/>
          <w:b/>
          <w:sz w:val="22"/>
          <w:szCs w:val="22"/>
        </w:rPr>
      </w:pPr>
      <w:r>
        <w:rPr>
          <w:rFonts w:ascii="Arial" w:hAnsi="Arial" w:cs="Arial"/>
          <w:b/>
          <w:sz w:val="20"/>
          <w:szCs w:val="20"/>
          <w:u w:val="single"/>
        </w:rPr>
        <w:t xml:space="preserve">3.1.6 </w:t>
      </w:r>
      <w:r w:rsidR="000911CE" w:rsidRPr="00E05B72">
        <w:rPr>
          <w:rFonts w:ascii="Arial" w:hAnsi="Arial" w:cs="Arial"/>
          <w:b/>
          <w:sz w:val="20"/>
          <w:szCs w:val="20"/>
          <w:u w:val="single"/>
        </w:rPr>
        <w:t>Average Dissolve Oxygen</w:t>
      </w:r>
      <w:r w:rsidR="0033282E">
        <w:rPr>
          <w:rFonts w:ascii="Arial" w:hAnsi="Arial" w:cs="Arial"/>
          <w:b/>
          <w:sz w:val="20"/>
          <w:szCs w:val="20"/>
          <w:u w:val="single"/>
        </w:rPr>
        <w:t>(ppm)</w:t>
      </w:r>
      <w:r w:rsidR="000911CE" w:rsidRPr="00E05B72">
        <w:rPr>
          <w:rFonts w:ascii="Arial" w:hAnsi="Arial" w:cs="Arial"/>
          <w:b/>
          <w:sz w:val="20"/>
          <w:szCs w:val="20"/>
          <w:u w:val="single"/>
        </w:rPr>
        <w:t xml:space="preserve"> Value Recorded During Experiment Period</w:t>
      </w:r>
      <w:r w:rsidR="000911CE" w:rsidRPr="005E763E">
        <w:rPr>
          <w:rFonts w:ascii="Arial" w:hAnsi="Arial" w:cs="Arial"/>
          <w:b/>
          <w:sz w:val="22"/>
          <w:szCs w:val="22"/>
        </w:rPr>
        <w:t>.</w:t>
      </w:r>
    </w:p>
    <w:tbl>
      <w:tblPr>
        <w:tblStyle w:val="Tablaconcuadrcula"/>
        <w:tblW w:w="4994"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39"/>
        <w:gridCol w:w="2344"/>
        <w:gridCol w:w="2131"/>
        <w:gridCol w:w="2201"/>
      </w:tblGrid>
      <w:tr w:rsidR="000911CE" w:rsidRPr="00C0587E" w14:paraId="392BBA23" w14:textId="77777777" w:rsidTr="00E12DEF">
        <w:trPr>
          <w:trHeight w:val="225"/>
        </w:trPr>
        <w:tc>
          <w:tcPr>
            <w:tcW w:w="5000" w:type="pct"/>
            <w:gridSpan w:val="4"/>
            <w:noWrap/>
            <w:hideMark/>
          </w:tcPr>
          <w:p w14:paraId="5B327127" w14:textId="3E4ADB4F" w:rsidR="000911CE" w:rsidRPr="00C0587E" w:rsidRDefault="00E12DEF" w:rsidP="00E12DEF">
            <w:pPr>
              <w:rPr>
                <w:rFonts w:ascii="Arial" w:hAnsi="Arial" w:cs="Arial"/>
              </w:rPr>
            </w:pPr>
            <w:r w:rsidRPr="00224BC0">
              <w:rPr>
                <w:rFonts w:ascii="Arial" w:hAnsi="Arial" w:cs="Arial"/>
                <w:b/>
                <w:sz w:val="20"/>
                <w:szCs w:val="20"/>
              </w:rPr>
              <w:t xml:space="preserve">Table </w:t>
            </w:r>
            <w:r>
              <w:rPr>
                <w:rFonts w:ascii="Arial" w:hAnsi="Arial" w:cs="Arial"/>
                <w:b/>
                <w:sz w:val="20"/>
                <w:szCs w:val="20"/>
              </w:rPr>
              <w:t>6</w:t>
            </w:r>
            <w:r w:rsidRPr="00224BC0">
              <w:rPr>
                <w:rFonts w:ascii="Arial" w:hAnsi="Arial" w:cs="Arial"/>
                <w:b/>
                <w:sz w:val="20"/>
                <w:szCs w:val="20"/>
              </w:rPr>
              <w:t xml:space="preserve">: Average </w:t>
            </w:r>
            <w:r>
              <w:rPr>
                <w:rFonts w:ascii="Arial" w:hAnsi="Arial" w:cs="Arial"/>
                <w:b/>
                <w:sz w:val="20"/>
                <w:szCs w:val="20"/>
              </w:rPr>
              <w:t>Dissolve Oxygen</w:t>
            </w:r>
            <w:r w:rsidR="0033282E">
              <w:rPr>
                <w:rFonts w:ascii="Arial" w:hAnsi="Arial" w:cs="Arial"/>
                <w:b/>
                <w:sz w:val="20"/>
                <w:szCs w:val="20"/>
              </w:rPr>
              <w:t>(ppm)</w:t>
            </w:r>
            <w:r w:rsidRPr="00224BC0">
              <w:rPr>
                <w:rFonts w:ascii="Arial" w:hAnsi="Arial" w:cs="Arial"/>
                <w:b/>
                <w:sz w:val="20"/>
                <w:szCs w:val="20"/>
              </w:rPr>
              <w:t xml:space="preserve"> Value Recorded During the </w:t>
            </w:r>
            <w:commentRangeStart w:id="6"/>
            <w:r w:rsidRPr="00224BC0">
              <w:rPr>
                <w:rFonts w:ascii="Arial" w:hAnsi="Arial" w:cs="Arial"/>
                <w:b/>
                <w:sz w:val="20"/>
                <w:szCs w:val="20"/>
              </w:rPr>
              <w:t>Experiment</w:t>
            </w:r>
            <w:commentRangeEnd w:id="6"/>
            <w:r w:rsidR="00AB048C">
              <w:rPr>
                <w:rStyle w:val="Refdecomentario"/>
                <w:lang w:bidi="gu-IN"/>
              </w:rPr>
              <w:commentReference w:id="6"/>
            </w:r>
          </w:p>
        </w:tc>
      </w:tr>
      <w:tr w:rsidR="000911CE" w:rsidRPr="00C0587E" w14:paraId="4E7D8E91" w14:textId="77777777" w:rsidTr="00647695">
        <w:trPr>
          <w:trHeight w:val="225"/>
        </w:trPr>
        <w:tc>
          <w:tcPr>
            <w:tcW w:w="1297" w:type="pct"/>
            <w:tcBorders>
              <w:top w:val="single" w:sz="4" w:space="0" w:color="auto"/>
              <w:bottom w:val="single" w:sz="4" w:space="0" w:color="auto"/>
              <w:right w:val="single" w:sz="4" w:space="0" w:color="auto"/>
            </w:tcBorders>
            <w:noWrap/>
            <w:hideMark/>
          </w:tcPr>
          <w:p w14:paraId="5D90A9CE" w14:textId="77777777" w:rsidR="000911CE" w:rsidRPr="00C0587E" w:rsidRDefault="000911CE" w:rsidP="00A6251D">
            <w:pPr>
              <w:jc w:val="center"/>
              <w:rPr>
                <w:rFonts w:ascii="Arial" w:hAnsi="Arial" w:cs="Arial"/>
              </w:rPr>
            </w:pPr>
            <w:r w:rsidRPr="00C0587E">
              <w:rPr>
                <w:rFonts w:ascii="Arial" w:hAnsi="Arial" w:cs="Arial"/>
              </w:rPr>
              <w:t>Treatment</w:t>
            </w:r>
          </w:p>
        </w:tc>
        <w:tc>
          <w:tcPr>
            <w:tcW w:w="1300" w:type="pct"/>
            <w:tcBorders>
              <w:top w:val="single" w:sz="4" w:space="0" w:color="auto"/>
              <w:left w:val="single" w:sz="4" w:space="0" w:color="auto"/>
              <w:bottom w:val="single" w:sz="4" w:space="0" w:color="auto"/>
            </w:tcBorders>
            <w:noWrap/>
            <w:hideMark/>
          </w:tcPr>
          <w:p w14:paraId="11CF1C8E" w14:textId="77777777" w:rsidR="000911CE" w:rsidRPr="00C0587E" w:rsidRDefault="000911CE" w:rsidP="00A6251D">
            <w:pPr>
              <w:jc w:val="center"/>
              <w:rPr>
                <w:rFonts w:ascii="Arial" w:hAnsi="Arial" w:cs="Arial"/>
              </w:rPr>
            </w:pPr>
            <w:r w:rsidRPr="00C0587E">
              <w:rPr>
                <w:rFonts w:ascii="Arial" w:hAnsi="Arial" w:cs="Arial"/>
              </w:rPr>
              <w:t>C</w:t>
            </w:r>
          </w:p>
        </w:tc>
        <w:tc>
          <w:tcPr>
            <w:tcW w:w="1182" w:type="pct"/>
            <w:tcBorders>
              <w:top w:val="single" w:sz="4" w:space="0" w:color="auto"/>
              <w:bottom w:val="single" w:sz="4" w:space="0" w:color="auto"/>
            </w:tcBorders>
            <w:noWrap/>
            <w:hideMark/>
          </w:tcPr>
          <w:p w14:paraId="494E5E58" w14:textId="2A89CE1D" w:rsidR="000911CE" w:rsidRPr="00C0587E" w:rsidRDefault="00884617" w:rsidP="00A6251D">
            <w:pPr>
              <w:jc w:val="center"/>
              <w:rPr>
                <w:rFonts w:ascii="Arial" w:hAnsi="Arial" w:cs="Arial"/>
              </w:rPr>
            </w:pPr>
            <w:r w:rsidRPr="00C0587E">
              <w:rPr>
                <w:rFonts w:ascii="Arial" w:hAnsi="Arial" w:cs="Arial"/>
              </w:rPr>
              <w:t>T1</w:t>
            </w:r>
          </w:p>
        </w:tc>
        <w:tc>
          <w:tcPr>
            <w:tcW w:w="1221" w:type="pct"/>
            <w:tcBorders>
              <w:top w:val="single" w:sz="4" w:space="0" w:color="auto"/>
              <w:bottom w:val="single" w:sz="4" w:space="0" w:color="auto"/>
            </w:tcBorders>
            <w:noWrap/>
            <w:hideMark/>
          </w:tcPr>
          <w:p w14:paraId="5E8644F0" w14:textId="01C8E3FD" w:rsidR="000911CE" w:rsidRPr="00C0587E" w:rsidRDefault="00884617" w:rsidP="00A6251D">
            <w:pPr>
              <w:jc w:val="center"/>
              <w:rPr>
                <w:rFonts w:ascii="Arial" w:hAnsi="Arial" w:cs="Arial"/>
              </w:rPr>
            </w:pPr>
            <w:r w:rsidRPr="00C0587E">
              <w:rPr>
                <w:rFonts w:ascii="Arial" w:hAnsi="Arial" w:cs="Arial"/>
              </w:rPr>
              <w:t>T2</w:t>
            </w:r>
          </w:p>
        </w:tc>
      </w:tr>
      <w:tr w:rsidR="00C13730" w:rsidRPr="00C0587E" w14:paraId="024AD2D2" w14:textId="77777777" w:rsidTr="00647695">
        <w:trPr>
          <w:trHeight w:val="225"/>
        </w:trPr>
        <w:tc>
          <w:tcPr>
            <w:tcW w:w="1297" w:type="pct"/>
            <w:tcBorders>
              <w:top w:val="single" w:sz="4" w:space="0" w:color="auto"/>
              <w:right w:val="single" w:sz="4" w:space="0" w:color="auto"/>
            </w:tcBorders>
            <w:noWrap/>
            <w:vAlign w:val="bottom"/>
            <w:hideMark/>
          </w:tcPr>
          <w:p w14:paraId="41D33BD3" w14:textId="3C04E2BD" w:rsidR="00C13730" w:rsidRPr="00C0587E" w:rsidRDefault="00C13730" w:rsidP="00C13730">
            <w:pPr>
              <w:jc w:val="center"/>
              <w:rPr>
                <w:rFonts w:ascii="Arial" w:hAnsi="Arial" w:cs="Arial"/>
                <w:b/>
                <w:bCs/>
              </w:rPr>
            </w:pPr>
            <w:r w:rsidRPr="00C0587E">
              <w:rPr>
                <w:rFonts w:ascii="Arial" w:eastAsia="Times New Roman" w:hAnsi="Arial" w:cs="Arial"/>
                <w:color w:val="000000"/>
                <w:kern w:val="0"/>
                <w:lang w:eastAsia="en-IN"/>
                <w14:ligatures w14:val="none"/>
              </w:rPr>
              <w:t>0</w:t>
            </w:r>
            <w:r w:rsidRPr="00C0587E">
              <w:rPr>
                <w:rFonts w:ascii="Arial" w:eastAsia="Times New Roman" w:hAnsi="Arial" w:cs="Arial"/>
                <w:color w:val="000000"/>
                <w:kern w:val="0"/>
                <w:vertAlign w:val="superscript"/>
                <w:lang w:eastAsia="en-IN"/>
                <w14:ligatures w14:val="none"/>
              </w:rPr>
              <w:t>th</w:t>
            </w:r>
            <w:r w:rsidRPr="00C0587E">
              <w:rPr>
                <w:rFonts w:ascii="Arial" w:eastAsia="Times New Roman" w:hAnsi="Arial" w:cs="Arial"/>
                <w:color w:val="000000"/>
                <w:kern w:val="0"/>
                <w:lang w:eastAsia="en-IN"/>
                <w14:ligatures w14:val="none"/>
              </w:rPr>
              <w:t xml:space="preserve"> day</w:t>
            </w:r>
          </w:p>
        </w:tc>
        <w:tc>
          <w:tcPr>
            <w:tcW w:w="1300" w:type="pct"/>
            <w:tcBorders>
              <w:top w:val="single" w:sz="4" w:space="0" w:color="auto"/>
              <w:left w:val="single" w:sz="4" w:space="0" w:color="auto"/>
            </w:tcBorders>
            <w:noWrap/>
            <w:vAlign w:val="bottom"/>
            <w:hideMark/>
          </w:tcPr>
          <w:p w14:paraId="5FAADDC0" w14:textId="77777777" w:rsidR="00C13730" w:rsidRPr="00C0587E" w:rsidRDefault="00C13730" w:rsidP="00C13730">
            <w:pPr>
              <w:jc w:val="center"/>
              <w:rPr>
                <w:rFonts w:ascii="Arial" w:hAnsi="Arial" w:cs="Arial"/>
              </w:rPr>
            </w:pPr>
            <w:r w:rsidRPr="00C0587E">
              <w:rPr>
                <w:rFonts w:ascii="Arial" w:hAnsi="Arial" w:cs="Arial"/>
                <w:color w:val="000000"/>
              </w:rPr>
              <w:t>5.83 ± 0.02</w:t>
            </w:r>
            <w:r w:rsidRPr="00C0587E">
              <w:rPr>
                <w:rFonts w:ascii="Arial" w:hAnsi="Arial" w:cs="Arial"/>
                <w:color w:val="000000"/>
                <w:vertAlign w:val="superscript"/>
              </w:rPr>
              <w:t>ab</w:t>
            </w:r>
          </w:p>
        </w:tc>
        <w:tc>
          <w:tcPr>
            <w:tcW w:w="1182" w:type="pct"/>
            <w:tcBorders>
              <w:top w:val="single" w:sz="4" w:space="0" w:color="auto"/>
            </w:tcBorders>
            <w:noWrap/>
            <w:vAlign w:val="bottom"/>
            <w:hideMark/>
          </w:tcPr>
          <w:p w14:paraId="4D2C8F04" w14:textId="77777777" w:rsidR="00C13730" w:rsidRPr="00C0587E" w:rsidRDefault="00C13730" w:rsidP="00C13730">
            <w:pPr>
              <w:jc w:val="center"/>
              <w:rPr>
                <w:rFonts w:ascii="Arial" w:hAnsi="Arial" w:cs="Arial"/>
              </w:rPr>
            </w:pPr>
            <w:r w:rsidRPr="00C0587E">
              <w:rPr>
                <w:rFonts w:ascii="Arial" w:hAnsi="Arial" w:cs="Arial"/>
                <w:color w:val="000000"/>
              </w:rPr>
              <w:t>5.03 ± 0.07</w:t>
            </w:r>
            <w:r w:rsidRPr="00C0587E">
              <w:rPr>
                <w:rFonts w:ascii="Arial" w:hAnsi="Arial" w:cs="Arial"/>
                <w:color w:val="000000"/>
                <w:vertAlign w:val="superscript"/>
              </w:rPr>
              <w:t>b</w:t>
            </w:r>
          </w:p>
        </w:tc>
        <w:tc>
          <w:tcPr>
            <w:tcW w:w="1221" w:type="pct"/>
            <w:tcBorders>
              <w:top w:val="single" w:sz="4" w:space="0" w:color="auto"/>
            </w:tcBorders>
            <w:noWrap/>
            <w:vAlign w:val="bottom"/>
            <w:hideMark/>
          </w:tcPr>
          <w:p w14:paraId="417776B4" w14:textId="77777777" w:rsidR="00C13730" w:rsidRPr="00C0587E" w:rsidRDefault="00C13730" w:rsidP="00C13730">
            <w:pPr>
              <w:jc w:val="center"/>
              <w:rPr>
                <w:rFonts w:ascii="Arial" w:hAnsi="Arial" w:cs="Arial"/>
              </w:rPr>
            </w:pPr>
            <w:r w:rsidRPr="00C0587E">
              <w:rPr>
                <w:rFonts w:ascii="Arial" w:hAnsi="Arial" w:cs="Arial"/>
                <w:color w:val="000000"/>
              </w:rPr>
              <w:t>5.53 ± 0.07</w:t>
            </w:r>
            <w:r w:rsidRPr="00C0587E">
              <w:rPr>
                <w:rFonts w:ascii="Arial" w:hAnsi="Arial" w:cs="Arial"/>
                <w:color w:val="000000"/>
                <w:vertAlign w:val="superscript"/>
              </w:rPr>
              <w:t>ab</w:t>
            </w:r>
          </w:p>
        </w:tc>
      </w:tr>
      <w:tr w:rsidR="00C13730" w:rsidRPr="00C0587E" w14:paraId="287A48B3" w14:textId="77777777" w:rsidTr="00647695">
        <w:trPr>
          <w:trHeight w:val="225"/>
        </w:trPr>
        <w:tc>
          <w:tcPr>
            <w:tcW w:w="1297" w:type="pct"/>
            <w:tcBorders>
              <w:right w:val="single" w:sz="4" w:space="0" w:color="auto"/>
            </w:tcBorders>
            <w:noWrap/>
            <w:vAlign w:val="bottom"/>
            <w:hideMark/>
          </w:tcPr>
          <w:p w14:paraId="0B866F79" w14:textId="6B2A7240" w:rsidR="00C13730" w:rsidRPr="00C0587E" w:rsidRDefault="00C13730" w:rsidP="00C13730">
            <w:pPr>
              <w:jc w:val="center"/>
              <w:rPr>
                <w:rFonts w:ascii="Arial" w:hAnsi="Arial" w:cs="Arial"/>
                <w:b/>
                <w:bCs/>
              </w:rPr>
            </w:pPr>
            <w:r w:rsidRPr="00C0587E">
              <w:rPr>
                <w:rFonts w:ascii="Arial" w:eastAsia="Times New Roman" w:hAnsi="Arial" w:cs="Arial"/>
                <w:color w:val="000000"/>
                <w:kern w:val="0"/>
                <w:lang w:eastAsia="en-IN"/>
                <w14:ligatures w14:val="none"/>
              </w:rPr>
              <w:t>7</w:t>
            </w:r>
            <w:r w:rsidRPr="00C0587E">
              <w:rPr>
                <w:rFonts w:ascii="Arial" w:eastAsia="Times New Roman" w:hAnsi="Arial" w:cs="Arial"/>
                <w:color w:val="000000"/>
                <w:kern w:val="0"/>
                <w:vertAlign w:val="superscript"/>
                <w:lang w:eastAsia="en-IN"/>
                <w14:ligatures w14:val="none"/>
              </w:rPr>
              <w:t>th</w:t>
            </w:r>
            <w:r w:rsidRPr="00C0587E">
              <w:rPr>
                <w:rFonts w:ascii="Arial" w:eastAsia="Times New Roman" w:hAnsi="Arial" w:cs="Arial"/>
                <w:color w:val="000000"/>
                <w:kern w:val="0"/>
                <w:lang w:eastAsia="en-IN"/>
                <w14:ligatures w14:val="none"/>
              </w:rPr>
              <w:t xml:space="preserve"> day</w:t>
            </w:r>
          </w:p>
        </w:tc>
        <w:tc>
          <w:tcPr>
            <w:tcW w:w="1300" w:type="pct"/>
            <w:tcBorders>
              <w:left w:val="single" w:sz="4" w:space="0" w:color="auto"/>
            </w:tcBorders>
            <w:noWrap/>
            <w:vAlign w:val="bottom"/>
            <w:hideMark/>
          </w:tcPr>
          <w:p w14:paraId="3F6F3CBE" w14:textId="77777777" w:rsidR="00C13730" w:rsidRPr="00C0587E" w:rsidRDefault="00C13730" w:rsidP="00C13730">
            <w:pPr>
              <w:jc w:val="center"/>
              <w:rPr>
                <w:rFonts w:ascii="Arial" w:hAnsi="Arial" w:cs="Arial"/>
              </w:rPr>
            </w:pPr>
            <w:r w:rsidRPr="00C0587E">
              <w:rPr>
                <w:rFonts w:ascii="Arial" w:hAnsi="Arial" w:cs="Arial"/>
                <w:color w:val="000000"/>
              </w:rPr>
              <w:t>5.80 ± 0.02</w:t>
            </w:r>
            <w:r w:rsidRPr="00C0587E">
              <w:rPr>
                <w:rFonts w:ascii="Arial" w:hAnsi="Arial" w:cs="Arial"/>
                <w:color w:val="000000"/>
                <w:vertAlign w:val="superscript"/>
              </w:rPr>
              <w:t>A</w:t>
            </w:r>
          </w:p>
        </w:tc>
        <w:tc>
          <w:tcPr>
            <w:tcW w:w="1182" w:type="pct"/>
            <w:noWrap/>
            <w:vAlign w:val="bottom"/>
            <w:hideMark/>
          </w:tcPr>
          <w:p w14:paraId="4AC273AE" w14:textId="77777777" w:rsidR="00C13730" w:rsidRPr="00C0587E" w:rsidRDefault="00C13730" w:rsidP="00C13730">
            <w:pPr>
              <w:jc w:val="center"/>
              <w:rPr>
                <w:rFonts w:ascii="Arial" w:hAnsi="Arial" w:cs="Arial"/>
              </w:rPr>
            </w:pPr>
            <w:r w:rsidRPr="00C0587E">
              <w:rPr>
                <w:rFonts w:ascii="Arial" w:hAnsi="Arial" w:cs="Arial"/>
                <w:color w:val="000000"/>
              </w:rPr>
              <w:t>5.23 ± 0.07</w:t>
            </w:r>
            <w:r w:rsidRPr="00C0587E">
              <w:rPr>
                <w:rFonts w:ascii="Arial" w:hAnsi="Arial" w:cs="Arial"/>
                <w:color w:val="000000"/>
                <w:vertAlign w:val="superscript"/>
              </w:rPr>
              <w:t>A</w:t>
            </w:r>
          </w:p>
        </w:tc>
        <w:tc>
          <w:tcPr>
            <w:tcW w:w="1221" w:type="pct"/>
            <w:noWrap/>
            <w:vAlign w:val="bottom"/>
            <w:hideMark/>
          </w:tcPr>
          <w:p w14:paraId="20DCBFF7" w14:textId="77777777" w:rsidR="00C13730" w:rsidRPr="00C0587E" w:rsidRDefault="00C13730" w:rsidP="00C13730">
            <w:pPr>
              <w:jc w:val="center"/>
              <w:rPr>
                <w:rFonts w:ascii="Arial" w:hAnsi="Arial" w:cs="Arial"/>
              </w:rPr>
            </w:pPr>
            <w:r w:rsidRPr="00C0587E">
              <w:rPr>
                <w:rFonts w:ascii="Arial" w:hAnsi="Arial" w:cs="Arial"/>
                <w:color w:val="000000"/>
              </w:rPr>
              <w:t>5.67 ± 0.07</w:t>
            </w:r>
            <w:r w:rsidRPr="00C0587E">
              <w:rPr>
                <w:rFonts w:ascii="Arial" w:hAnsi="Arial" w:cs="Arial"/>
                <w:color w:val="000000"/>
                <w:vertAlign w:val="superscript"/>
              </w:rPr>
              <w:t>A</w:t>
            </w:r>
          </w:p>
        </w:tc>
      </w:tr>
      <w:tr w:rsidR="00C13730" w:rsidRPr="00C0587E" w14:paraId="4650C1A3" w14:textId="77777777" w:rsidTr="00647695">
        <w:trPr>
          <w:trHeight w:val="225"/>
        </w:trPr>
        <w:tc>
          <w:tcPr>
            <w:tcW w:w="1297" w:type="pct"/>
            <w:tcBorders>
              <w:right w:val="single" w:sz="4" w:space="0" w:color="auto"/>
            </w:tcBorders>
            <w:noWrap/>
            <w:vAlign w:val="bottom"/>
            <w:hideMark/>
          </w:tcPr>
          <w:p w14:paraId="7643B817" w14:textId="54FE33AD" w:rsidR="00C13730" w:rsidRPr="00C0587E" w:rsidRDefault="00C13730" w:rsidP="00C13730">
            <w:pPr>
              <w:jc w:val="center"/>
              <w:rPr>
                <w:rFonts w:ascii="Arial" w:hAnsi="Arial" w:cs="Arial"/>
                <w:b/>
                <w:bCs/>
              </w:rPr>
            </w:pPr>
            <w:r w:rsidRPr="00C0587E">
              <w:rPr>
                <w:rFonts w:ascii="Arial" w:eastAsia="Times New Roman" w:hAnsi="Arial" w:cs="Arial"/>
                <w:color w:val="000000"/>
                <w:kern w:val="0"/>
                <w:lang w:eastAsia="en-IN"/>
                <w14:ligatures w14:val="none"/>
              </w:rPr>
              <w:t>14</w:t>
            </w:r>
            <w:r w:rsidRPr="00C0587E">
              <w:rPr>
                <w:rFonts w:ascii="Arial" w:eastAsia="Times New Roman" w:hAnsi="Arial" w:cs="Arial"/>
                <w:color w:val="000000"/>
                <w:kern w:val="0"/>
                <w:vertAlign w:val="superscript"/>
                <w:lang w:eastAsia="en-IN"/>
                <w14:ligatures w14:val="none"/>
              </w:rPr>
              <w:t>th</w:t>
            </w:r>
            <w:r w:rsidRPr="00C0587E">
              <w:rPr>
                <w:rFonts w:ascii="Arial" w:eastAsia="Times New Roman" w:hAnsi="Arial" w:cs="Arial"/>
                <w:color w:val="000000"/>
                <w:kern w:val="0"/>
                <w:lang w:eastAsia="en-IN"/>
                <w14:ligatures w14:val="none"/>
              </w:rPr>
              <w:t xml:space="preserve"> day</w:t>
            </w:r>
          </w:p>
        </w:tc>
        <w:tc>
          <w:tcPr>
            <w:tcW w:w="1300" w:type="pct"/>
            <w:tcBorders>
              <w:left w:val="single" w:sz="4" w:space="0" w:color="auto"/>
            </w:tcBorders>
            <w:noWrap/>
            <w:vAlign w:val="bottom"/>
            <w:hideMark/>
          </w:tcPr>
          <w:p w14:paraId="1EFA4BFC" w14:textId="77777777" w:rsidR="00C13730" w:rsidRPr="00C0587E" w:rsidRDefault="00C13730" w:rsidP="00C13730">
            <w:pPr>
              <w:jc w:val="center"/>
              <w:rPr>
                <w:rFonts w:ascii="Arial" w:hAnsi="Arial" w:cs="Arial"/>
              </w:rPr>
            </w:pPr>
            <w:r w:rsidRPr="00C0587E">
              <w:rPr>
                <w:rFonts w:ascii="Arial" w:hAnsi="Arial" w:cs="Arial"/>
                <w:color w:val="000000"/>
              </w:rPr>
              <w:t>5.80 ± 0.06</w:t>
            </w:r>
            <w:r w:rsidRPr="00C0587E">
              <w:rPr>
                <w:rFonts w:ascii="Arial" w:hAnsi="Arial" w:cs="Arial"/>
                <w:color w:val="000000"/>
                <w:vertAlign w:val="superscript"/>
              </w:rPr>
              <w:t>M</w:t>
            </w:r>
          </w:p>
        </w:tc>
        <w:tc>
          <w:tcPr>
            <w:tcW w:w="1182" w:type="pct"/>
            <w:noWrap/>
            <w:vAlign w:val="bottom"/>
            <w:hideMark/>
          </w:tcPr>
          <w:p w14:paraId="0C5545D2" w14:textId="77777777" w:rsidR="00C13730" w:rsidRPr="00C0587E" w:rsidRDefault="00C13730" w:rsidP="00C13730">
            <w:pPr>
              <w:jc w:val="center"/>
              <w:rPr>
                <w:rFonts w:ascii="Arial" w:hAnsi="Arial" w:cs="Arial"/>
              </w:rPr>
            </w:pPr>
            <w:r w:rsidRPr="00C0587E">
              <w:rPr>
                <w:rFonts w:ascii="Arial" w:hAnsi="Arial" w:cs="Arial"/>
                <w:color w:val="000000"/>
              </w:rPr>
              <w:t>5.23 ± 0.18</w:t>
            </w:r>
            <w:r w:rsidRPr="00C0587E">
              <w:rPr>
                <w:rFonts w:ascii="Arial" w:hAnsi="Arial" w:cs="Arial"/>
                <w:color w:val="000000"/>
                <w:vertAlign w:val="superscript"/>
              </w:rPr>
              <w:t>M</w:t>
            </w:r>
          </w:p>
        </w:tc>
        <w:tc>
          <w:tcPr>
            <w:tcW w:w="1221" w:type="pct"/>
            <w:noWrap/>
            <w:vAlign w:val="bottom"/>
            <w:hideMark/>
          </w:tcPr>
          <w:p w14:paraId="3E643008" w14:textId="77777777" w:rsidR="00C13730" w:rsidRPr="00C0587E" w:rsidRDefault="00C13730" w:rsidP="00C13730">
            <w:pPr>
              <w:jc w:val="center"/>
              <w:rPr>
                <w:rFonts w:ascii="Arial" w:hAnsi="Arial" w:cs="Arial"/>
              </w:rPr>
            </w:pPr>
            <w:r w:rsidRPr="00C0587E">
              <w:rPr>
                <w:rFonts w:ascii="Arial" w:hAnsi="Arial" w:cs="Arial"/>
                <w:color w:val="000000"/>
              </w:rPr>
              <w:t>5.67 ± 0.09</w:t>
            </w:r>
            <w:r w:rsidRPr="00C0587E">
              <w:rPr>
                <w:rFonts w:ascii="Arial" w:hAnsi="Arial" w:cs="Arial"/>
                <w:color w:val="000000"/>
                <w:vertAlign w:val="superscript"/>
              </w:rPr>
              <w:t>M</w:t>
            </w:r>
          </w:p>
        </w:tc>
      </w:tr>
      <w:tr w:rsidR="00C13730" w:rsidRPr="00C0587E" w14:paraId="54D0ADEC" w14:textId="77777777" w:rsidTr="00647695">
        <w:trPr>
          <w:trHeight w:val="225"/>
        </w:trPr>
        <w:tc>
          <w:tcPr>
            <w:tcW w:w="1297" w:type="pct"/>
            <w:tcBorders>
              <w:right w:val="single" w:sz="4" w:space="0" w:color="auto"/>
            </w:tcBorders>
            <w:noWrap/>
            <w:vAlign w:val="bottom"/>
            <w:hideMark/>
          </w:tcPr>
          <w:p w14:paraId="23216435" w14:textId="315C2264" w:rsidR="00C13730" w:rsidRPr="00C0587E" w:rsidRDefault="00C13730" w:rsidP="00C13730">
            <w:pPr>
              <w:jc w:val="center"/>
              <w:rPr>
                <w:rFonts w:ascii="Arial" w:hAnsi="Arial" w:cs="Arial"/>
                <w:b/>
                <w:bCs/>
              </w:rPr>
            </w:pPr>
            <w:r w:rsidRPr="00C0587E">
              <w:rPr>
                <w:rFonts w:ascii="Arial" w:eastAsia="Times New Roman" w:hAnsi="Arial" w:cs="Arial"/>
                <w:color w:val="000000"/>
                <w:kern w:val="0"/>
                <w:lang w:eastAsia="en-IN"/>
                <w14:ligatures w14:val="none"/>
              </w:rPr>
              <w:t>21</w:t>
            </w:r>
            <w:r w:rsidRPr="00C0587E">
              <w:rPr>
                <w:rFonts w:ascii="Arial" w:eastAsia="Times New Roman" w:hAnsi="Arial" w:cs="Arial"/>
                <w:color w:val="000000"/>
                <w:kern w:val="0"/>
                <w:vertAlign w:val="superscript"/>
                <w:lang w:eastAsia="en-IN"/>
                <w14:ligatures w14:val="none"/>
              </w:rPr>
              <w:t>st</w:t>
            </w:r>
            <w:r w:rsidRPr="00C0587E">
              <w:rPr>
                <w:rFonts w:ascii="Arial" w:eastAsia="Times New Roman" w:hAnsi="Arial" w:cs="Arial"/>
                <w:color w:val="000000"/>
                <w:kern w:val="0"/>
                <w:lang w:eastAsia="en-IN"/>
                <w14:ligatures w14:val="none"/>
              </w:rPr>
              <w:t xml:space="preserve"> day</w:t>
            </w:r>
          </w:p>
        </w:tc>
        <w:tc>
          <w:tcPr>
            <w:tcW w:w="1300" w:type="pct"/>
            <w:tcBorders>
              <w:left w:val="single" w:sz="4" w:space="0" w:color="auto"/>
            </w:tcBorders>
            <w:noWrap/>
            <w:vAlign w:val="bottom"/>
            <w:hideMark/>
          </w:tcPr>
          <w:p w14:paraId="530DFE80" w14:textId="77777777" w:rsidR="00C13730" w:rsidRPr="00C0587E" w:rsidRDefault="00C13730" w:rsidP="00C13730">
            <w:pPr>
              <w:jc w:val="center"/>
              <w:rPr>
                <w:rFonts w:ascii="Arial" w:hAnsi="Arial" w:cs="Arial"/>
              </w:rPr>
            </w:pPr>
            <w:r w:rsidRPr="00C0587E">
              <w:rPr>
                <w:rFonts w:ascii="Arial" w:hAnsi="Arial" w:cs="Arial"/>
                <w:color w:val="000000"/>
              </w:rPr>
              <w:t>5.80 ± 0.06</w:t>
            </w:r>
            <w:r w:rsidRPr="00C0587E">
              <w:rPr>
                <w:rFonts w:ascii="Arial" w:hAnsi="Arial" w:cs="Arial"/>
                <w:color w:val="000000"/>
                <w:vertAlign w:val="superscript"/>
              </w:rPr>
              <w:t>p</w:t>
            </w:r>
          </w:p>
        </w:tc>
        <w:tc>
          <w:tcPr>
            <w:tcW w:w="1182" w:type="pct"/>
            <w:noWrap/>
            <w:vAlign w:val="bottom"/>
            <w:hideMark/>
          </w:tcPr>
          <w:p w14:paraId="4221C048" w14:textId="237353EB" w:rsidR="00C13730" w:rsidRPr="00C0587E" w:rsidRDefault="00C13730" w:rsidP="00C13730">
            <w:pPr>
              <w:jc w:val="center"/>
              <w:rPr>
                <w:rFonts w:ascii="Arial" w:hAnsi="Arial" w:cs="Arial"/>
              </w:rPr>
            </w:pPr>
            <w:r w:rsidRPr="00C0587E">
              <w:rPr>
                <w:rFonts w:ascii="Arial" w:hAnsi="Arial" w:cs="Arial"/>
                <w:color w:val="000000"/>
              </w:rPr>
              <w:t>5.20 ± 0.12</w:t>
            </w:r>
            <w:r w:rsidRPr="00C0587E">
              <w:rPr>
                <w:rFonts w:ascii="Arial" w:hAnsi="Arial" w:cs="Arial"/>
                <w:color w:val="000000"/>
                <w:vertAlign w:val="superscript"/>
              </w:rPr>
              <w:t>p</w:t>
            </w:r>
          </w:p>
        </w:tc>
        <w:tc>
          <w:tcPr>
            <w:tcW w:w="1221" w:type="pct"/>
            <w:noWrap/>
            <w:vAlign w:val="bottom"/>
            <w:hideMark/>
          </w:tcPr>
          <w:p w14:paraId="23DA4EDE" w14:textId="77777777" w:rsidR="00C13730" w:rsidRPr="00C0587E" w:rsidRDefault="00C13730" w:rsidP="00C13730">
            <w:pPr>
              <w:jc w:val="center"/>
              <w:rPr>
                <w:rFonts w:ascii="Arial" w:hAnsi="Arial" w:cs="Arial"/>
              </w:rPr>
            </w:pPr>
            <w:r w:rsidRPr="00C0587E">
              <w:rPr>
                <w:rFonts w:ascii="Arial" w:hAnsi="Arial" w:cs="Arial"/>
                <w:color w:val="000000"/>
              </w:rPr>
              <w:t>5.63 ± 0.22</w:t>
            </w:r>
            <w:r w:rsidRPr="00C0587E">
              <w:rPr>
                <w:rFonts w:ascii="Arial" w:hAnsi="Arial" w:cs="Arial"/>
                <w:color w:val="000000"/>
                <w:vertAlign w:val="superscript"/>
              </w:rPr>
              <w:t>p</w:t>
            </w:r>
          </w:p>
        </w:tc>
      </w:tr>
      <w:tr w:rsidR="00C13730" w:rsidRPr="00C0587E" w14:paraId="6D36521F" w14:textId="77777777" w:rsidTr="00647695">
        <w:trPr>
          <w:trHeight w:val="225"/>
        </w:trPr>
        <w:tc>
          <w:tcPr>
            <w:tcW w:w="1297" w:type="pct"/>
            <w:tcBorders>
              <w:right w:val="single" w:sz="4" w:space="0" w:color="auto"/>
            </w:tcBorders>
            <w:noWrap/>
            <w:vAlign w:val="bottom"/>
            <w:hideMark/>
          </w:tcPr>
          <w:p w14:paraId="64AD0E66" w14:textId="37FAAF19" w:rsidR="00C13730" w:rsidRPr="00C0587E" w:rsidRDefault="00C13730" w:rsidP="00C13730">
            <w:pPr>
              <w:jc w:val="center"/>
              <w:rPr>
                <w:rFonts w:ascii="Arial" w:hAnsi="Arial" w:cs="Arial"/>
                <w:b/>
                <w:bCs/>
              </w:rPr>
            </w:pPr>
            <w:r w:rsidRPr="00C0587E">
              <w:rPr>
                <w:rFonts w:ascii="Arial" w:eastAsia="Times New Roman" w:hAnsi="Arial" w:cs="Arial"/>
                <w:color w:val="000000"/>
                <w:kern w:val="0"/>
                <w:lang w:eastAsia="en-IN"/>
                <w14:ligatures w14:val="none"/>
              </w:rPr>
              <w:t>28</w:t>
            </w:r>
            <w:r w:rsidRPr="00C0587E">
              <w:rPr>
                <w:rFonts w:ascii="Arial" w:eastAsia="Times New Roman" w:hAnsi="Arial" w:cs="Arial"/>
                <w:color w:val="000000"/>
                <w:kern w:val="0"/>
                <w:vertAlign w:val="superscript"/>
                <w:lang w:eastAsia="en-IN"/>
                <w14:ligatures w14:val="none"/>
              </w:rPr>
              <w:t>th</w:t>
            </w:r>
            <w:r w:rsidRPr="00C0587E">
              <w:rPr>
                <w:rFonts w:ascii="Arial" w:eastAsia="Times New Roman" w:hAnsi="Arial" w:cs="Arial"/>
                <w:color w:val="000000"/>
                <w:kern w:val="0"/>
                <w:lang w:eastAsia="en-IN"/>
                <w14:ligatures w14:val="none"/>
              </w:rPr>
              <w:t xml:space="preserve"> day</w:t>
            </w:r>
          </w:p>
        </w:tc>
        <w:tc>
          <w:tcPr>
            <w:tcW w:w="1300" w:type="pct"/>
            <w:tcBorders>
              <w:left w:val="single" w:sz="4" w:space="0" w:color="auto"/>
            </w:tcBorders>
            <w:noWrap/>
            <w:vAlign w:val="bottom"/>
            <w:hideMark/>
          </w:tcPr>
          <w:p w14:paraId="5E0E4CD3" w14:textId="77777777" w:rsidR="00C13730" w:rsidRPr="00C0587E" w:rsidRDefault="00C13730" w:rsidP="00C13730">
            <w:pPr>
              <w:jc w:val="center"/>
              <w:rPr>
                <w:rFonts w:ascii="Arial" w:hAnsi="Arial" w:cs="Arial"/>
              </w:rPr>
            </w:pPr>
            <w:r w:rsidRPr="00C0587E">
              <w:rPr>
                <w:rFonts w:ascii="Arial" w:hAnsi="Arial" w:cs="Arial"/>
                <w:color w:val="000000"/>
              </w:rPr>
              <w:t>5.70 ± 0.06</w:t>
            </w:r>
            <w:r w:rsidRPr="00C0587E">
              <w:rPr>
                <w:rFonts w:ascii="Arial" w:hAnsi="Arial" w:cs="Arial"/>
                <w:color w:val="000000"/>
                <w:vertAlign w:val="superscript"/>
              </w:rPr>
              <w:t>P</w:t>
            </w:r>
          </w:p>
        </w:tc>
        <w:tc>
          <w:tcPr>
            <w:tcW w:w="1182" w:type="pct"/>
            <w:noWrap/>
            <w:vAlign w:val="bottom"/>
            <w:hideMark/>
          </w:tcPr>
          <w:p w14:paraId="30055098" w14:textId="3C9B75C4" w:rsidR="00C13730" w:rsidRPr="00C0587E" w:rsidRDefault="00C13730" w:rsidP="00C13730">
            <w:pPr>
              <w:jc w:val="center"/>
              <w:rPr>
                <w:rFonts w:ascii="Arial" w:hAnsi="Arial" w:cs="Arial"/>
              </w:rPr>
            </w:pPr>
            <w:r w:rsidRPr="00C0587E">
              <w:rPr>
                <w:rFonts w:ascii="Arial" w:hAnsi="Arial" w:cs="Arial"/>
                <w:color w:val="000000"/>
              </w:rPr>
              <w:t>5.07 ± 0.09</w:t>
            </w:r>
            <w:r w:rsidRPr="00C0587E">
              <w:rPr>
                <w:rFonts w:ascii="Arial" w:hAnsi="Arial" w:cs="Arial"/>
                <w:color w:val="000000"/>
                <w:vertAlign w:val="superscript"/>
              </w:rPr>
              <w:t>P</w:t>
            </w:r>
          </w:p>
        </w:tc>
        <w:tc>
          <w:tcPr>
            <w:tcW w:w="1221" w:type="pct"/>
            <w:noWrap/>
            <w:vAlign w:val="bottom"/>
            <w:hideMark/>
          </w:tcPr>
          <w:p w14:paraId="56F19602" w14:textId="77777777" w:rsidR="00C13730" w:rsidRPr="00C0587E" w:rsidRDefault="00C13730" w:rsidP="00C13730">
            <w:pPr>
              <w:jc w:val="center"/>
              <w:rPr>
                <w:rFonts w:ascii="Arial" w:hAnsi="Arial" w:cs="Arial"/>
              </w:rPr>
            </w:pPr>
            <w:r w:rsidRPr="00C0587E">
              <w:rPr>
                <w:rFonts w:ascii="Arial" w:hAnsi="Arial" w:cs="Arial"/>
                <w:color w:val="000000"/>
              </w:rPr>
              <w:t>5.50 ± 0.25</w:t>
            </w:r>
            <w:r w:rsidRPr="00C0587E">
              <w:rPr>
                <w:rFonts w:ascii="Arial" w:hAnsi="Arial" w:cs="Arial"/>
                <w:color w:val="000000"/>
                <w:vertAlign w:val="superscript"/>
              </w:rPr>
              <w:t>P</w:t>
            </w:r>
          </w:p>
        </w:tc>
      </w:tr>
      <w:tr w:rsidR="00C13730" w:rsidRPr="00C0587E" w14:paraId="189A9C49" w14:textId="77777777" w:rsidTr="00647695">
        <w:trPr>
          <w:trHeight w:val="225"/>
        </w:trPr>
        <w:tc>
          <w:tcPr>
            <w:tcW w:w="1297" w:type="pct"/>
            <w:tcBorders>
              <w:right w:val="single" w:sz="4" w:space="0" w:color="auto"/>
            </w:tcBorders>
            <w:noWrap/>
            <w:vAlign w:val="bottom"/>
            <w:hideMark/>
          </w:tcPr>
          <w:p w14:paraId="57F94FB1" w14:textId="7F4968D7" w:rsidR="00C13730" w:rsidRPr="00C0587E" w:rsidRDefault="00C13730" w:rsidP="00C13730">
            <w:pPr>
              <w:jc w:val="center"/>
              <w:rPr>
                <w:rFonts w:ascii="Arial" w:hAnsi="Arial" w:cs="Arial"/>
                <w:b/>
                <w:bCs/>
              </w:rPr>
            </w:pPr>
            <w:r w:rsidRPr="00C0587E">
              <w:rPr>
                <w:rFonts w:ascii="Arial" w:eastAsia="Times New Roman" w:hAnsi="Arial" w:cs="Arial"/>
                <w:color w:val="000000"/>
                <w:kern w:val="0"/>
                <w:lang w:eastAsia="en-IN"/>
                <w14:ligatures w14:val="none"/>
              </w:rPr>
              <w:t>35</w:t>
            </w:r>
            <w:r w:rsidRPr="00C0587E">
              <w:rPr>
                <w:rFonts w:ascii="Arial" w:eastAsia="Times New Roman" w:hAnsi="Arial" w:cs="Arial"/>
                <w:color w:val="000000"/>
                <w:kern w:val="0"/>
                <w:vertAlign w:val="superscript"/>
                <w:lang w:eastAsia="en-IN"/>
                <w14:ligatures w14:val="none"/>
              </w:rPr>
              <w:t>th</w:t>
            </w:r>
            <w:r w:rsidRPr="00C0587E">
              <w:rPr>
                <w:rFonts w:ascii="Arial" w:eastAsia="Times New Roman" w:hAnsi="Arial" w:cs="Arial"/>
                <w:color w:val="000000"/>
                <w:kern w:val="0"/>
                <w:lang w:eastAsia="en-IN"/>
                <w14:ligatures w14:val="none"/>
              </w:rPr>
              <w:t xml:space="preserve"> day</w:t>
            </w:r>
          </w:p>
        </w:tc>
        <w:tc>
          <w:tcPr>
            <w:tcW w:w="1300" w:type="pct"/>
            <w:tcBorders>
              <w:left w:val="single" w:sz="4" w:space="0" w:color="auto"/>
            </w:tcBorders>
            <w:noWrap/>
            <w:vAlign w:val="bottom"/>
            <w:hideMark/>
          </w:tcPr>
          <w:p w14:paraId="127330D1" w14:textId="77777777" w:rsidR="00C13730" w:rsidRPr="00C0587E" w:rsidRDefault="00C13730" w:rsidP="00C13730">
            <w:pPr>
              <w:jc w:val="center"/>
              <w:rPr>
                <w:rFonts w:ascii="Arial" w:hAnsi="Arial" w:cs="Arial"/>
              </w:rPr>
            </w:pPr>
            <w:r w:rsidRPr="00C0587E">
              <w:rPr>
                <w:rFonts w:ascii="Arial" w:hAnsi="Arial" w:cs="Arial"/>
                <w:color w:val="000000"/>
              </w:rPr>
              <w:t>5.80 ± 0.06</w:t>
            </w:r>
            <w:r w:rsidRPr="00C0587E">
              <w:rPr>
                <w:rFonts w:ascii="Arial" w:hAnsi="Arial" w:cs="Arial"/>
                <w:color w:val="000000"/>
                <w:vertAlign w:val="superscript"/>
              </w:rPr>
              <w:t>d</w:t>
            </w:r>
          </w:p>
        </w:tc>
        <w:tc>
          <w:tcPr>
            <w:tcW w:w="1182" w:type="pct"/>
            <w:noWrap/>
            <w:vAlign w:val="bottom"/>
            <w:hideMark/>
          </w:tcPr>
          <w:p w14:paraId="5817F4D7" w14:textId="4D29D091" w:rsidR="00C13730" w:rsidRPr="00C0587E" w:rsidRDefault="00C13730" w:rsidP="00C13730">
            <w:pPr>
              <w:jc w:val="center"/>
              <w:rPr>
                <w:rFonts w:ascii="Arial" w:hAnsi="Arial" w:cs="Arial"/>
              </w:rPr>
            </w:pPr>
            <w:r w:rsidRPr="00C0587E">
              <w:rPr>
                <w:rFonts w:ascii="Arial" w:hAnsi="Arial" w:cs="Arial"/>
                <w:color w:val="000000"/>
              </w:rPr>
              <w:t>5.20 ± 0.06</w:t>
            </w:r>
            <w:r w:rsidRPr="00C0587E">
              <w:rPr>
                <w:rFonts w:ascii="Arial" w:hAnsi="Arial" w:cs="Arial"/>
                <w:color w:val="000000"/>
                <w:vertAlign w:val="superscript"/>
              </w:rPr>
              <w:t>e</w:t>
            </w:r>
          </w:p>
        </w:tc>
        <w:tc>
          <w:tcPr>
            <w:tcW w:w="1221" w:type="pct"/>
            <w:noWrap/>
            <w:vAlign w:val="bottom"/>
            <w:hideMark/>
          </w:tcPr>
          <w:p w14:paraId="2A18CB9A" w14:textId="77777777" w:rsidR="00C13730" w:rsidRPr="00C0587E" w:rsidRDefault="00C13730" w:rsidP="00C13730">
            <w:pPr>
              <w:jc w:val="center"/>
              <w:rPr>
                <w:rFonts w:ascii="Arial" w:hAnsi="Arial" w:cs="Arial"/>
              </w:rPr>
            </w:pPr>
            <w:r w:rsidRPr="00C0587E">
              <w:rPr>
                <w:rFonts w:ascii="Arial" w:hAnsi="Arial" w:cs="Arial"/>
                <w:color w:val="000000"/>
              </w:rPr>
              <w:t>5.47 ± 0.19</w:t>
            </w:r>
            <w:r w:rsidRPr="00C0587E">
              <w:rPr>
                <w:rFonts w:ascii="Arial" w:hAnsi="Arial" w:cs="Arial"/>
                <w:color w:val="000000"/>
                <w:vertAlign w:val="superscript"/>
              </w:rPr>
              <w:t>de</w:t>
            </w:r>
          </w:p>
        </w:tc>
      </w:tr>
      <w:tr w:rsidR="00C13730" w:rsidRPr="00C0587E" w14:paraId="0C3EB13D" w14:textId="77777777" w:rsidTr="00647695">
        <w:trPr>
          <w:trHeight w:val="225"/>
        </w:trPr>
        <w:tc>
          <w:tcPr>
            <w:tcW w:w="1297" w:type="pct"/>
            <w:tcBorders>
              <w:right w:val="single" w:sz="4" w:space="0" w:color="auto"/>
            </w:tcBorders>
            <w:noWrap/>
            <w:vAlign w:val="bottom"/>
            <w:hideMark/>
          </w:tcPr>
          <w:p w14:paraId="7E6A63EC" w14:textId="6D5FEFED" w:rsidR="00C13730" w:rsidRPr="00C0587E" w:rsidRDefault="00C13730" w:rsidP="00C13730">
            <w:pPr>
              <w:jc w:val="center"/>
              <w:rPr>
                <w:rFonts w:ascii="Arial" w:hAnsi="Arial" w:cs="Arial"/>
                <w:b/>
                <w:bCs/>
              </w:rPr>
            </w:pPr>
            <w:r w:rsidRPr="00C0587E">
              <w:rPr>
                <w:rFonts w:ascii="Arial" w:eastAsia="Times New Roman" w:hAnsi="Arial" w:cs="Arial"/>
                <w:color w:val="000000"/>
                <w:kern w:val="0"/>
                <w:lang w:eastAsia="en-IN"/>
                <w14:ligatures w14:val="none"/>
              </w:rPr>
              <w:t>42</w:t>
            </w:r>
            <w:r w:rsidRPr="00C0587E">
              <w:rPr>
                <w:rFonts w:ascii="Arial" w:eastAsia="Times New Roman" w:hAnsi="Arial" w:cs="Arial"/>
                <w:color w:val="000000"/>
                <w:kern w:val="0"/>
                <w:vertAlign w:val="superscript"/>
                <w:lang w:eastAsia="en-IN"/>
                <w14:ligatures w14:val="none"/>
              </w:rPr>
              <w:t>nd</w:t>
            </w:r>
            <w:r w:rsidRPr="00C0587E">
              <w:rPr>
                <w:rFonts w:ascii="Arial" w:eastAsia="Times New Roman" w:hAnsi="Arial" w:cs="Arial"/>
                <w:color w:val="000000"/>
                <w:kern w:val="0"/>
                <w:lang w:eastAsia="en-IN"/>
                <w14:ligatures w14:val="none"/>
              </w:rPr>
              <w:t xml:space="preserve"> day</w:t>
            </w:r>
          </w:p>
        </w:tc>
        <w:tc>
          <w:tcPr>
            <w:tcW w:w="1300" w:type="pct"/>
            <w:tcBorders>
              <w:left w:val="single" w:sz="4" w:space="0" w:color="auto"/>
            </w:tcBorders>
            <w:noWrap/>
            <w:vAlign w:val="bottom"/>
            <w:hideMark/>
          </w:tcPr>
          <w:p w14:paraId="528858E8" w14:textId="77777777" w:rsidR="00C13730" w:rsidRPr="00C0587E" w:rsidRDefault="00C13730" w:rsidP="00C13730">
            <w:pPr>
              <w:jc w:val="center"/>
              <w:rPr>
                <w:rFonts w:ascii="Arial" w:hAnsi="Arial" w:cs="Arial"/>
              </w:rPr>
            </w:pPr>
            <w:r w:rsidRPr="00C0587E">
              <w:rPr>
                <w:rFonts w:ascii="Arial" w:hAnsi="Arial" w:cs="Arial"/>
                <w:color w:val="000000"/>
              </w:rPr>
              <w:t>5.83 ± 0.03</w:t>
            </w:r>
            <w:r w:rsidRPr="00C0587E">
              <w:rPr>
                <w:rFonts w:ascii="Arial" w:hAnsi="Arial" w:cs="Arial"/>
                <w:color w:val="000000"/>
                <w:vertAlign w:val="superscript"/>
              </w:rPr>
              <w:t>D</w:t>
            </w:r>
          </w:p>
        </w:tc>
        <w:tc>
          <w:tcPr>
            <w:tcW w:w="1182" w:type="pct"/>
            <w:noWrap/>
            <w:vAlign w:val="bottom"/>
            <w:hideMark/>
          </w:tcPr>
          <w:p w14:paraId="2D385985" w14:textId="3A0B0789" w:rsidR="00C13730" w:rsidRPr="00C0587E" w:rsidRDefault="00C13730" w:rsidP="00C13730">
            <w:pPr>
              <w:jc w:val="center"/>
              <w:rPr>
                <w:rFonts w:ascii="Arial" w:hAnsi="Arial" w:cs="Arial"/>
              </w:rPr>
            </w:pPr>
            <w:r w:rsidRPr="00C0587E">
              <w:rPr>
                <w:rFonts w:ascii="Arial" w:hAnsi="Arial" w:cs="Arial"/>
                <w:color w:val="000000"/>
              </w:rPr>
              <w:t>5.03 ± 0.12</w:t>
            </w:r>
            <w:r w:rsidRPr="00C0587E">
              <w:rPr>
                <w:rFonts w:ascii="Arial" w:hAnsi="Arial" w:cs="Arial"/>
                <w:color w:val="000000"/>
                <w:vertAlign w:val="superscript"/>
              </w:rPr>
              <w:t>D</w:t>
            </w:r>
          </w:p>
        </w:tc>
        <w:tc>
          <w:tcPr>
            <w:tcW w:w="1221" w:type="pct"/>
            <w:noWrap/>
            <w:vAlign w:val="bottom"/>
            <w:hideMark/>
          </w:tcPr>
          <w:p w14:paraId="65CEFF08" w14:textId="77777777" w:rsidR="00C13730" w:rsidRPr="00C0587E" w:rsidRDefault="00C13730" w:rsidP="00C13730">
            <w:pPr>
              <w:jc w:val="center"/>
              <w:rPr>
                <w:rFonts w:ascii="Arial" w:hAnsi="Arial" w:cs="Arial"/>
              </w:rPr>
            </w:pPr>
            <w:r w:rsidRPr="00C0587E">
              <w:rPr>
                <w:rFonts w:ascii="Arial" w:hAnsi="Arial" w:cs="Arial"/>
                <w:color w:val="000000"/>
              </w:rPr>
              <w:t>5.33 ± 0.13</w:t>
            </w:r>
            <w:r w:rsidRPr="00C0587E">
              <w:rPr>
                <w:rFonts w:ascii="Arial" w:hAnsi="Arial" w:cs="Arial"/>
                <w:color w:val="000000"/>
                <w:vertAlign w:val="superscript"/>
              </w:rPr>
              <w:t>D</w:t>
            </w:r>
          </w:p>
        </w:tc>
      </w:tr>
      <w:tr w:rsidR="00C13730" w:rsidRPr="00C0587E" w14:paraId="17482144" w14:textId="77777777" w:rsidTr="00647695">
        <w:trPr>
          <w:trHeight w:val="225"/>
        </w:trPr>
        <w:tc>
          <w:tcPr>
            <w:tcW w:w="1297" w:type="pct"/>
            <w:tcBorders>
              <w:right w:val="single" w:sz="4" w:space="0" w:color="auto"/>
            </w:tcBorders>
            <w:noWrap/>
            <w:vAlign w:val="bottom"/>
            <w:hideMark/>
          </w:tcPr>
          <w:p w14:paraId="5C221BDE" w14:textId="32472B9E" w:rsidR="00C13730" w:rsidRPr="00C0587E" w:rsidRDefault="00C13730" w:rsidP="00C13730">
            <w:pPr>
              <w:jc w:val="center"/>
              <w:rPr>
                <w:rFonts w:ascii="Arial" w:hAnsi="Arial" w:cs="Arial"/>
                <w:b/>
                <w:bCs/>
              </w:rPr>
            </w:pPr>
            <w:r w:rsidRPr="00C0587E">
              <w:rPr>
                <w:rFonts w:ascii="Arial" w:eastAsia="Times New Roman" w:hAnsi="Arial" w:cs="Arial"/>
                <w:color w:val="000000"/>
                <w:kern w:val="0"/>
                <w:lang w:eastAsia="en-IN"/>
                <w14:ligatures w14:val="none"/>
              </w:rPr>
              <w:t>49</w:t>
            </w:r>
            <w:r w:rsidRPr="00C0587E">
              <w:rPr>
                <w:rFonts w:ascii="Arial" w:eastAsia="Times New Roman" w:hAnsi="Arial" w:cs="Arial"/>
                <w:color w:val="000000"/>
                <w:kern w:val="0"/>
                <w:vertAlign w:val="superscript"/>
                <w:lang w:eastAsia="en-IN"/>
                <w14:ligatures w14:val="none"/>
              </w:rPr>
              <w:t>th</w:t>
            </w:r>
            <w:r w:rsidRPr="00C0587E">
              <w:rPr>
                <w:rFonts w:ascii="Arial" w:eastAsia="Times New Roman" w:hAnsi="Arial" w:cs="Arial"/>
                <w:color w:val="000000"/>
                <w:kern w:val="0"/>
                <w:lang w:eastAsia="en-IN"/>
                <w14:ligatures w14:val="none"/>
              </w:rPr>
              <w:t xml:space="preserve"> day</w:t>
            </w:r>
          </w:p>
        </w:tc>
        <w:tc>
          <w:tcPr>
            <w:tcW w:w="1300" w:type="pct"/>
            <w:tcBorders>
              <w:left w:val="single" w:sz="4" w:space="0" w:color="auto"/>
            </w:tcBorders>
            <w:noWrap/>
            <w:vAlign w:val="bottom"/>
            <w:hideMark/>
          </w:tcPr>
          <w:p w14:paraId="23940205" w14:textId="77777777" w:rsidR="00C13730" w:rsidRPr="00C0587E" w:rsidRDefault="00C13730" w:rsidP="00C13730">
            <w:pPr>
              <w:jc w:val="center"/>
              <w:rPr>
                <w:rFonts w:ascii="Arial" w:hAnsi="Arial" w:cs="Arial"/>
              </w:rPr>
            </w:pPr>
            <w:r w:rsidRPr="00C0587E">
              <w:rPr>
                <w:rFonts w:ascii="Arial" w:hAnsi="Arial" w:cs="Arial"/>
                <w:color w:val="000000"/>
              </w:rPr>
              <w:t>5.67 ± 0.09</w:t>
            </w:r>
            <w:r w:rsidRPr="00C0587E">
              <w:rPr>
                <w:rFonts w:ascii="Arial" w:hAnsi="Arial" w:cs="Arial"/>
                <w:color w:val="000000"/>
                <w:vertAlign w:val="superscript"/>
              </w:rPr>
              <w:t>m</w:t>
            </w:r>
          </w:p>
        </w:tc>
        <w:tc>
          <w:tcPr>
            <w:tcW w:w="1182" w:type="pct"/>
            <w:noWrap/>
            <w:vAlign w:val="bottom"/>
            <w:hideMark/>
          </w:tcPr>
          <w:p w14:paraId="23EFA310" w14:textId="63B7D72C" w:rsidR="00C13730" w:rsidRPr="00C0587E" w:rsidRDefault="00C13730" w:rsidP="00C13730">
            <w:pPr>
              <w:jc w:val="center"/>
              <w:rPr>
                <w:rFonts w:ascii="Arial" w:hAnsi="Arial" w:cs="Arial"/>
              </w:rPr>
            </w:pPr>
            <w:r w:rsidRPr="00C0587E">
              <w:rPr>
                <w:rFonts w:ascii="Arial" w:hAnsi="Arial" w:cs="Arial"/>
                <w:color w:val="000000"/>
              </w:rPr>
              <w:t>5.17 ± 0.09</w:t>
            </w:r>
            <w:r w:rsidRPr="00C0587E">
              <w:rPr>
                <w:rFonts w:ascii="Arial" w:hAnsi="Arial" w:cs="Arial"/>
                <w:color w:val="000000"/>
                <w:vertAlign w:val="superscript"/>
              </w:rPr>
              <w:t>n</w:t>
            </w:r>
          </w:p>
        </w:tc>
        <w:tc>
          <w:tcPr>
            <w:tcW w:w="1221" w:type="pct"/>
            <w:noWrap/>
            <w:vAlign w:val="bottom"/>
            <w:hideMark/>
          </w:tcPr>
          <w:p w14:paraId="3B4F5E9A" w14:textId="77777777" w:rsidR="00C13730" w:rsidRPr="00C0587E" w:rsidRDefault="00C13730" w:rsidP="00C13730">
            <w:pPr>
              <w:jc w:val="center"/>
              <w:rPr>
                <w:rFonts w:ascii="Arial" w:hAnsi="Arial" w:cs="Arial"/>
              </w:rPr>
            </w:pPr>
            <w:r w:rsidRPr="00C0587E">
              <w:rPr>
                <w:rFonts w:ascii="Arial" w:hAnsi="Arial" w:cs="Arial"/>
                <w:color w:val="000000"/>
              </w:rPr>
              <w:t>5.40 ± 0.12</w:t>
            </w:r>
            <w:r w:rsidRPr="00C0587E">
              <w:rPr>
                <w:rFonts w:ascii="Arial" w:hAnsi="Arial" w:cs="Arial"/>
                <w:color w:val="000000"/>
                <w:vertAlign w:val="superscript"/>
              </w:rPr>
              <w:t>mn</w:t>
            </w:r>
          </w:p>
        </w:tc>
      </w:tr>
      <w:tr w:rsidR="00C13730" w:rsidRPr="00C0587E" w14:paraId="6A28B0FF" w14:textId="77777777" w:rsidTr="00647695">
        <w:trPr>
          <w:trHeight w:val="225"/>
        </w:trPr>
        <w:tc>
          <w:tcPr>
            <w:tcW w:w="1297" w:type="pct"/>
            <w:tcBorders>
              <w:right w:val="single" w:sz="4" w:space="0" w:color="auto"/>
            </w:tcBorders>
            <w:noWrap/>
            <w:vAlign w:val="bottom"/>
            <w:hideMark/>
          </w:tcPr>
          <w:p w14:paraId="4530DEC8" w14:textId="7AFC7B3D" w:rsidR="00C13730" w:rsidRPr="00C0587E" w:rsidRDefault="00C13730" w:rsidP="00C13730">
            <w:pPr>
              <w:jc w:val="center"/>
              <w:rPr>
                <w:rFonts w:ascii="Arial" w:hAnsi="Arial" w:cs="Arial"/>
                <w:b/>
                <w:bCs/>
              </w:rPr>
            </w:pPr>
            <w:r w:rsidRPr="00C0587E">
              <w:rPr>
                <w:rFonts w:ascii="Arial" w:eastAsia="Times New Roman" w:hAnsi="Arial" w:cs="Arial"/>
                <w:color w:val="000000"/>
                <w:kern w:val="0"/>
                <w:lang w:eastAsia="en-IN"/>
                <w14:ligatures w14:val="none"/>
              </w:rPr>
              <w:t>56</w:t>
            </w:r>
            <w:r w:rsidRPr="00C0587E">
              <w:rPr>
                <w:rFonts w:ascii="Arial" w:eastAsia="Times New Roman" w:hAnsi="Arial" w:cs="Arial"/>
                <w:color w:val="000000"/>
                <w:kern w:val="0"/>
                <w:vertAlign w:val="superscript"/>
                <w:lang w:eastAsia="en-IN"/>
                <w14:ligatures w14:val="none"/>
              </w:rPr>
              <w:t>th</w:t>
            </w:r>
            <w:r w:rsidRPr="00C0587E">
              <w:rPr>
                <w:rFonts w:ascii="Arial" w:eastAsia="Times New Roman" w:hAnsi="Arial" w:cs="Arial"/>
                <w:color w:val="000000"/>
                <w:kern w:val="0"/>
                <w:lang w:eastAsia="en-IN"/>
                <w14:ligatures w14:val="none"/>
              </w:rPr>
              <w:t xml:space="preserve"> day</w:t>
            </w:r>
          </w:p>
        </w:tc>
        <w:tc>
          <w:tcPr>
            <w:tcW w:w="1300" w:type="pct"/>
            <w:tcBorders>
              <w:left w:val="single" w:sz="4" w:space="0" w:color="auto"/>
            </w:tcBorders>
            <w:noWrap/>
            <w:vAlign w:val="bottom"/>
            <w:hideMark/>
          </w:tcPr>
          <w:p w14:paraId="7EDF7785" w14:textId="77777777" w:rsidR="00C13730" w:rsidRPr="00C0587E" w:rsidRDefault="00C13730" w:rsidP="00C13730">
            <w:pPr>
              <w:jc w:val="center"/>
              <w:rPr>
                <w:rFonts w:ascii="Arial" w:hAnsi="Arial" w:cs="Arial"/>
              </w:rPr>
            </w:pPr>
            <w:r w:rsidRPr="00C0587E">
              <w:rPr>
                <w:rFonts w:ascii="Arial" w:hAnsi="Arial" w:cs="Arial"/>
                <w:color w:val="000000"/>
              </w:rPr>
              <w:t>5.43 ± 0.12</w:t>
            </w:r>
            <w:r w:rsidRPr="00C0587E">
              <w:rPr>
                <w:rFonts w:ascii="Arial" w:hAnsi="Arial" w:cs="Arial"/>
                <w:color w:val="000000"/>
                <w:vertAlign w:val="superscript"/>
              </w:rPr>
              <w:t>j</w:t>
            </w:r>
          </w:p>
        </w:tc>
        <w:tc>
          <w:tcPr>
            <w:tcW w:w="1182" w:type="pct"/>
            <w:noWrap/>
            <w:vAlign w:val="bottom"/>
            <w:hideMark/>
          </w:tcPr>
          <w:p w14:paraId="376D8B16" w14:textId="2A028A8A" w:rsidR="00C13730" w:rsidRPr="00C0587E" w:rsidRDefault="00C13730" w:rsidP="00C13730">
            <w:pPr>
              <w:jc w:val="center"/>
              <w:rPr>
                <w:rFonts w:ascii="Arial" w:hAnsi="Arial" w:cs="Arial"/>
              </w:rPr>
            </w:pPr>
            <w:r w:rsidRPr="00C0587E">
              <w:rPr>
                <w:rFonts w:ascii="Arial" w:hAnsi="Arial" w:cs="Arial"/>
                <w:color w:val="000000"/>
              </w:rPr>
              <w:t>4.90 ± 0.06</w:t>
            </w:r>
            <w:r w:rsidRPr="00C0587E">
              <w:rPr>
                <w:rFonts w:ascii="Arial" w:hAnsi="Arial" w:cs="Arial"/>
                <w:color w:val="000000"/>
                <w:vertAlign w:val="superscript"/>
              </w:rPr>
              <w:t>f</w:t>
            </w:r>
          </w:p>
        </w:tc>
        <w:tc>
          <w:tcPr>
            <w:tcW w:w="1221" w:type="pct"/>
            <w:noWrap/>
            <w:vAlign w:val="bottom"/>
            <w:hideMark/>
          </w:tcPr>
          <w:p w14:paraId="007D9B52" w14:textId="77777777" w:rsidR="00C13730" w:rsidRPr="00C0587E" w:rsidRDefault="00C13730" w:rsidP="00C13730">
            <w:pPr>
              <w:jc w:val="center"/>
              <w:rPr>
                <w:rFonts w:ascii="Arial" w:hAnsi="Arial" w:cs="Arial"/>
              </w:rPr>
            </w:pPr>
            <w:r w:rsidRPr="00C0587E">
              <w:rPr>
                <w:rFonts w:ascii="Arial" w:hAnsi="Arial" w:cs="Arial"/>
                <w:color w:val="000000"/>
              </w:rPr>
              <w:t>5.23 ± 0.12</w:t>
            </w:r>
            <w:r w:rsidRPr="00C0587E">
              <w:rPr>
                <w:rFonts w:ascii="Arial" w:hAnsi="Arial" w:cs="Arial"/>
                <w:color w:val="000000"/>
                <w:vertAlign w:val="superscript"/>
              </w:rPr>
              <w:t>fj</w:t>
            </w:r>
          </w:p>
        </w:tc>
      </w:tr>
      <w:tr w:rsidR="00C13730" w:rsidRPr="00C0587E" w14:paraId="67AE703D" w14:textId="77777777" w:rsidTr="00647695">
        <w:trPr>
          <w:trHeight w:val="225"/>
        </w:trPr>
        <w:tc>
          <w:tcPr>
            <w:tcW w:w="1297" w:type="pct"/>
            <w:tcBorders>
              <w:bottom w:val="single" w:sz="4" w:space="0" w:color="auto"/>
              <w:right w:val="single" w:sz="4" w:space="0" w:color="auto"/>
            </w:tcBorders>
            <w:noWrap/>
            <w:vAlign w:val="bottom"/>
            <w:hideMark/>
          </w:tcPr>
          <w:p w14:paraId="361B1D8D" w14:textId="7447CE09" w:rsidR="00C13730" w:rsidRPr="00C0587E" w:rsidRDefault="00C13730" w:rsidP="00C13730">
            <w:pPr>
              <w:jc w:val="center"/>
              <w:rPr>
                <w:rFonts w:ascii="Arial" w:hAnsi="Arial" w:cs="Arial"/>
                <w:b/>
                <w:bCs/>
              </w:rPr>
            </w:pPr>
            <w:r w:rsidRPr="00C0587E">
              <w:rPr>
                <w:rFonts w:ascii="Arial" w:eastAsia="Times New Roman" w:hAnsi="Arial" w:cs="Arial"/>
                <w:color w:val="000000"/>
                <w:kern w:val="0"/>
                <w:lang w:eastAsia="en-IN"/>
                <w14:ligatures w14:val="none"/>
              </w:rPr>
              <w:t>63</w:t>
            </w:r>
            <w:r w:rsidRPr="00C0587E">
              <w:rPr>
                <w:rFonts w:ascii="Arial" w:eastAsia="Times New Roman" w:hAnsi="Arial" w:cs="Arial"/>
                <w:color w:val="000000"/>
                <w:kern w:val="0"/>
                <w:vertAlign w:val="superscript"/>
                <w:lang w:eastAsia="en-IN"/>
                <w14:ligatures w14:val="none"/>
              </w:rPr>
              <w:t>rd</w:t>
            </w:r>
            <w:r w:rsidRPr="00C0587E">
              <w:rPr>
                <w:rFonts w:ascii="Arial" w:eastAsia="Times New Roman" w:hAnsi="Arial" w:cs="Arial"/>
                <w:color w:val="000000"/>
                <w:kern w:val="0"/>
                <w:lang w:eastAsia="en-IN"/>
                <w14:ligatures w14:val="none"/>
              </w:rPr>
              <w:t xml:space="preserve"> day</w:t>
            </w:r>
          </w:p>
        </w:tc>
        <w:tc>
          <w:tcPr>
            <w:tcW w:w="1300" w:type="pct"/>
            <w:tcBorders>
              <w:left w:val="single" w:sz="4" w:space="0" w:color="auto"/>
              <w:bottom w:val="single" w:sz="4" w:space="0" w:color="auto"/>
            </w:tcBorders>
            <w:noWrap/>
            <w:vAlign w:val="bottom"/>
            <w:hideMark/>
          </w:tcPr>
          <w:p w14:paraId="494967D0" w14:textId="77777777" w:rsidR="00C13730" w:rsidRPr="00C0587E" w:rsidRDefault="00C13730" w:rsidP="00C13730">
            <w:pPr>
              <w:jc w:val="center"/>
              <w:rPr>
                <w:rFonts w:ascii="Arial" w:hAnsi="Arial" w:cs="Arial"/>
              </w:rPr>
            </w:pPr>
            <w:r w:rsidRPr="00C0587E">
              <w:rPr>
                <w:rFonts w:ascii="Arial" w:hAnsi="Arial" w:cs="Arial"/>
                <w:color w:val="000000"/>
              </w:rPr>
              <w:t>5.53 ± 0.12</w:t>
            </w:r>
            <w:r w:rsidRPr="00C0587E">
              <w:rPr>
                <w:rFonts w:ascii="Arial" w:hAnsi="Arial" w:cs="Arial"/>
                <w:color w:val="000000"/>
                <w:vertAlign w:val="superscript"/>
              </w:rPr>
              <w:t>l</w:t>
            </w:r>
          </w:p>
        </w:tc>
        <w:tc>
          <w:tcPr>
            <w:tcW w:w="1182" w:type="pct"/>
            <w:tcBorders>
              <w:bottom w:val="single" w:sz="4" w:space="0" w:color="auto"/>
            </w:tcBorders>
            <w:noWrap/>
            <w:vAlign w:val="bottom"/>
            <w:hideMark/>
          </w:tcPr>
          <w:p w14:paraId="194B1CA9" w14:textId="77777777" w:rsidR="00C13730" w:rsidRPr="00C0587E" w:rsidRDefault="00C13730" w:rsidP="00C13730">
            <w:pPr>
              <w:jc w:val="center"/>
              <w:rPr>
                <w:rFonts w:ascii="Arial" w:hAnsi="Arial" w:cs="Arial"/>
              </w:rPr>
            </w:pPr>
            <w:r w:rsidRPr="00C0587E">
              <w:rPr>
                <w:rFonts w:ascii="Arial" w:hAnsi="Arial" w:cs="Arial"/>
                <w:color w:val="000000"/>
              </w:rPr>
              <w:t>5.00 ± 0.06</w:t>
            </w:r>
            <w:r w:rsidRPr="00C0587E">
              <w:rPr>
                <w:rFonts w:ascii="Arial" w:hAnsi="Arial" w:cs="Arial"/>
                <w:color w:val="000000"/>
                <w:vertAlign w:val="superscript"/>
              </w:rPr>
              <w:t>k</w:t>
            </w:r>
          </w:p>
        </w:tc>
        <w:tc>
          <w:tcPr>
            <w:tcW w:w="1221" w:type="pct"/>
            <w:tcBorders>
              <w:bottom w:val="single" w:sz="4" w:space="0" w:color="auto"/>
            </w:tcBorders>
            <w:noWrap/>
            <w:vAlign w:val="bottom"/>
            <w:hideMark/>
          </w:tcPr>
          <w:p w14:paraId="71973378" w14:textId="77777777" w:rsidR="00C13730" w:rsidRPr="00C0587E" w:rsidRDefault="00C13730" w:rsidP="00C13730">
            <w:pPr>
              <w:jc w:val="center"/>
              <w:rPr>
                <w:rFonts w:ascii="Arial" w:hAnsi="Arial" w:cs="Arial"/>
              </w:rPr>
            </w:pPr>
            <w:r w:rsidRPr="00C0587E">
              <w:rPr>
                <w:rFonts w:ascii="Arial" w:hAnsi="Arial" w:cs="Arial"/>
                <w:color w:val="000000"/>
              </w:rPr>
              <w:t>5.33 ± 0.12</w:t>
            </w:r>
            <w:r w:rsidRPr="00C0587E">
              <w:rPr>
                <w:rFonts w:ascii="Arial" w:hAnsi="Arial" w:cs="Arial"/>
                <w:color w:val="000000"/>
                <w:vertAlign w:val="superscript"/>
              </w:rPr>
              <w:t>kl</w:t>
            </w:r>
          </w:p>
        </w:tc>
      </w:tr>
    </w:tbl>
    <w:p w14:paraId="753151A3" w14:textId="1918B202" w:rsidR="00C97B36" w:rsidRDefault="00C97B36" w:rsidP="00915BCB">
      <w:pPr>
        <w:spacing w:after="4" w:line="249" w:lineRule="auto"/>
        <w:ind w:left="-5" w:right="-123" w:hanging="10"/>
        <w:jc w:val="center"/>
        <w:rPr>
          <w:rFonts w:ascii="Arial" w:hAnsi="Arial" w:cs="Arial"/>
          <w:bCs/>
          <w:sz w:val="20"/>
          <w:szCs w:val="20"/>
        </w:rPr>
      </w:pPr>
      <w:r w:rsidRPr="008A16D3">
        <w:rPr>
          <w:rFonts w:ascii="Arial" w:hAnsi="Arial" w:cs="Arial"/>
          <w:sz w:val="20"/>
          <w:szCs w:val="20"/>
        </w:rPr>
        <w:t>(</w:t>
      </w:r>
      <w:r w:rsidRPr="008A16D3">
        <w:rPr>
          <w:rFonts w:ascii="Arial" w:hAnsi="Arial" w:cs="Arial"/>
          <w:bCs/>
          <w:sz w:val="20"/>
          <w:szCs w:val="20"/>
        </w:rPr>
        <w:t xml:space="preserve">*Note </w:t>
      </w:r>
      <w:r w:rsidR="00DA6F8B">
        <w:rPr>
          <w:rFonts w:ascii="Arial" w:hAnsi="Arial" w:cs="Arial"/>
          <w:bCs/>
          <w:sz w:val="20"/>
          <w:szCs w:val="20"/>
        </w:rPr>
        <w:t xml:space="preserve">C= Control, </w:t>
      </w:r>
      <w:r w:rsidRPr="008A16D3">
        <w:rPr>
          <w:rFonts w:ascii="Arial" w:hAnsi="Arial" w:cs="Arial"/>
          <w:bCs/>
          <w:sz w:val="20"/>
          <w:szCs w:val="20"/>
        </w:rPr>
        <w:t xml:space="preserve">T1= Bio-floc (20:1), </w:t>
      </w:r>
      <w:r w:rsidR="00A96EE9">
        <w:rPr>
          <w:rFonts w:ascii="Arial" w:hAnsi="Arial" w:cs="Arial"/>
          <w:bCs/>
          <w:sz w:val="20"/>
          <w:szCs w:val="20"/>
        </w:rPr>
        <w:t>T2</w:t>
      </w:r>
      <w:r w:rsidRPr="008A16D3">
        <w:rPr>
          <w:rFonts w:ascii="Arial" w:hAnsi="Arial" w:cs="Arial"/>
          <w:bCs/>
          <w:sz w:val="20"/>
          <w:szCs w:val="20"/>
        </w:rPr>
        <w:t>=Biofloc (20:1) + 0.5% Jeevamruth; The mean values followed by the different superscript letters in each factor indicate significant difference at 0.05.)</w:t>
      </w:r>
    </w:p>
    <w:p w14:paraId="0B081521" w14:textId="77777777" w:rsidR="000911CE" w:rsidRPr="006079B2" w:rsidRDefault="000911CE" w:rsidP="00E61B4E">
      <w:pPr>
        <w:rPr>
          <w:rFonts w:ascii="Arial" w:hAnsi="Arial" w:cs="Arial"/>
          <w:b/>
          <w:bCs/>
        </w:rPr>
      </w:pPr>
    </w:p>
    <w:p w14:paraId="432F8950" w14:textId="62B2EA24" w:rsidR="006413AC" w:rsidRPr="006079B2" w:rsidRDefault="005E1806" w:rsidP="00E61B4E">
      <w:pPr>
        <w:rPr>
          <w:rFonts w:ascii="Arial" w:hAnsi="Arial" w:cs="Arial"/>
          <w:b/>
          <w:bCs/>
        </w:rPr>
      </w:pPr>
      <w:r>
        <w:rPr>
          <w:rFonts w:ascii="Arial" w:hAnsi="Arial" w:cs="Arial"/>
          <w:noProof/>
        </w:rPr>
        <w:lastRenderedPageBreak/>
        <mc:AlternateContent>
          <mc:Choice Requires="wpg">
            <w:drawing>
              <wp:anchor distT="0" distB="0" distL="114300" distR="114300" simplePos="0" relativeHeight="251682816" behindDoc="0" locked="0" layoutInCell="1" allowOverlap="1" wp14:anchorId="65B62821" wp14:editId="2AD9F683">
                <wp:simplePos x="0" y="0"/>
                <wp:positionH relativeFrom="margin">
                  <wp:posOffset>2441934</wp:posOffset>
                </wp:positionH>
                <wp:positionV relativeFrom="paragraph">
                  <wp:posOffset>2855540</wp:posOffset>
                </wp:positionV>
                <wp:extent cx="869950" cy="204470"/>
                <wp:effectExtent l="0" t="0" r="25400" b="24130"/>
                <wp:wrapNone/>
                <wp:docPr id="2130085806" name="Group 9"/>
                <wp:cNvGraphicFramePr/>
                <a:graphic xmlns:a="http://schemas.openxmlformats.org/drawingml/2006/main">
                  <a:graphicData uri="http://schemas.microsoft.com/office/word/2010/wordprocessingGroup">
                    <wpg:wgp>
                      <wpg:cNvGrpSpPr/>
                      <wpg:grpSpPr>
                        <a:xfrm>
                          <a:off x="0" y="0"/>
                          <a:ext cx="869950" cy="204470"/>
                          <a:chOff x="0" y="0"/>
                          <a:chExt cx="869950" cy="204470"/>
                        </a:xfrm>
                      </wpg:grpSpPr>
                      <wps:wsp>
                        <wps:cNvPr id="1644459393" name="Text Box 4"/>
                        <wps:cNvSpPr txBox="1"/>
                        <wps:spPr>
                          <a:xfrm>
                            <a:off x="0" y="0"/>
                            <a:ext cx="869950" cy="204470"/>
                          </a:xfrm>
                          <a:prstGeom prst="rect">
                            <a:avLst/>
                          </a:prstGeom>
                          <a:solidFill>
                            <a:schemeClr val="lt1"/>
                          </a:solidFill>
                          <a:ln w="12700">
                            <a:solidFill>
                              <a:prstClr val="black"/>
                            </a:solidFill>
                          </a:ln>
                        </wps:spPr>
                        <wps:txbx>
                          <w:txbxContent>
                            <w:p w14:paraId="7D10F326" w14:textId="77777777" w:rsidR="00B435F6" w:rsidRPr="00015425" w:rsidRDefault="00B435F6" w:rsidP="005E1806">
                              <w:pPr>
                                <w:rPr>
                                  <w:color w:val="808080" w:themeColor="background1" w:themeShade="80"/>
                                  <w:sz w:val="16"/>
                                  <w:szCs w:val="16"/>
                                  <w:lang w:val="en-US"/>
                                </w:rPr>
                              </w:pPr>
                              <w:r w:rsidRPr="00015425">
                                <w:rPr>
                                  <w:color w:val="808080" w:themeColor="background1" w:themeShade="80"/>
                                  <w:sz w:val="16"/>
                                  <w:szCs w:val="16"/>
                                  <w:lang w:val="en-US"/>
                                </w:rPr>
                                <w:t xml:space="preserve">    C       T1</w:t>
                              </w:r>
                              <w:r w:rsidRPr="00015425">
                                <w:rPr>
                                  <w:color w:val="808080" w:themeColor="background1" w:themeShade="80"/>
                                  <w:sz w:val="16"/>
                                  <w:szCs w:val="16"/>
                                  <w:lang w:val="en-US"/>
                                </w:rPr>
                                <w:tab/>
                                <w:t xml:space="preserve">     T2</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596344430" name="Rectangle 5"/>
                        <wps:cNvSpPr/>
                        <wps:spPr>
                          <a:xfrm>
                            <a:off x="98854" y="89586"/>
                            <a:ext cx="60960" cy="60960"/>
                          </a:xfrm>
                          <a:prstGeom prst="rect">
                            <a:avLst/>
                          </a:prstGeom>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241303762" name="Rectangle 5"/>
                        <wps:cNvSpPr/>
                        <wps:spPr>
                          <a:xfrm>
                            <a:off x="315097" y="89586"/>
                            <a:ext cx="60960" cy="60960"/>
                          </a:xfrm>
                          <a:prstGeom prst="rect">
                            <a:avLst/>
                          </a:prstGeom>
                          <a:solidFill>
                            <a:schemeClr val="accent2"/>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188226760" name="Rectangle 5"/>
                        <wps:cNvSpPr/>
                        <wps:spPr>
                          <a:xfrm>
                            <a:off x="574589" y="86497"/>
                            <a:ext cx="60960" cy="60960"/>
                          </a:xfrm>
                          <a:prstGeom prst="rect">
                            <a:avLst/>
                          </a:prstGeom>
                          <a:solidFill>
                            <a:schemeClr val="bg1">
                              <a:lumMod val="65000"/>
                            </a:schemeClr>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65B62821" id="_x0000_s1051" style="position:absolute;margin-left:192.3pt;margin-top:224.85pt;width:68.5pt;height:16.1pt;z-index:251682816;mso-position-horizontal-relative:margin;mso-width-relative:margin;mso-height-relative:margin" coordsize="8699,204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">
                <v:shape id="_x0000_s1052" type="#_x0000_t202" style="position:absolute;width:8699;height:20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" fillcolor="white [3201]" strokeweight="1pt">
                  <v:textbox>
                    <w:txbxContent>
                      <w:p w14:paraId="7D10F326" w14:textId="77777777" w:rsidR="00B435F6" w:rsidRPr="00015425" w:rsidRDefault="00B435F6" w:rsidP="005E1806">
                        <w:pPr>
                          <w:rPr>
                            <w:color w:val="808080" w:themeColor="background1" w:themeShade="80"/>
                            <w:sz w:val="16"/>
                            <w:szCs w:val="16"/>
                            <w:lang w:val="en-US"/>
                          </w:rPr>
                        </w:pPr>
                        <w:r w:rsidRPr="00015425">
                          <w:rPr>
                            <w:color w:val="808080" w:themeColor="background1" w:themeShade="80"/>
                            <w:sz w:val="16"/>
                            <w:szCs w:val="16"/>
                            <w:lang w:val="en-US"/>
                          </w:rPr>
                          <w:t xml:space="preserve">    C       T1</w:t>
                        </w:r>
                        <w:r w:rsidRPr="00015425">
                          <w:rPr>
                            <w:color w:val="808080" w:themeColor="background1" w:themeShade="80"/>
                            <w:sz w:val="16"/>
                            <w:szCs w:val="16"/>
                            <w:lang w:val="en-US"/>
                          </w:rPr>
                          <w:tab/>
                          <w:t xml:space="preserve">     T2</w:t>
                        </w:r>
                      </w:p>
                    </w:txbxContent>
                  </v:textbox>
                </v:shape>
                <v:rect id="Rectangle 5" o:spid="_x0000_s1053" style="position:absolute;left:988;top:895;width:610;height:61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" fillcolor="#4472c4 [3204]" stroked="f" strokeweight="1pt"/>
                <v:rect id="Rectangle 5" o:spid="_x0000_s1054" style="position:absolute;left:3150;top:895;width:610;height:61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" fillcolor="#ed7d31 [3205]" stroked="f" strokeweight="1pt"/>
                <v:rect id="Rectangle 5" o:spid="_x0000_s1055" style="position:absolute;left:5745;top:864;width:610;height:61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" fillcolor="#a5a5a5 [2092]" stroked="f" strokeweight="1pt"/>
                <w10:wrap anchorx="margin"/>
              </v:group>
            </w:pict>
          </mc:Fallback>
        </mc:AlternateContent>
      </w:r>
      <w:r w:rsidR="006413AC" w:rsidRPr="006079B2">
        <w:rPr>
          <w:rFonts w:ascii="Arial" w:hAnsi="Arial" w:cs="Arial"/>
          <w:b/>
          <w:bCs/>
          <w:noProof/>
        </w:rPr>
        <w:drawing>
          <wp:inline distT="0" distB="0" distL="0" distR="0" wp14:anchorId="34CC636F" wp14:editId="49851FA1">
            <wp:extent cx="5486400" cy="2781300"/>
            <wp:effectExtent l="0" t="0" r="0" b="0"/>
            <wp:docPr id="1298817506" name="Chart 6"/>
            <wp:cNvGraphicFramePr/>
            <a:graphic xmlns:a="http://schemas.openxmlformats.org/drawingml/2006/main">
              <a:graphicData uri="http://schemas.openxmlformats.org/drawingml/2006/chart">
                <c:chart xmlns:c="http://schemas.openxmlformats.org/drawingml/2006/chart" xmlns:r="http://schemas.openxmlformats.org/officeDocument/2006/relationships" r:id="rId22"/>
              </a:graphicData>
            </a:graphic>
          </wp:inline>
        </w:drawing>
      </w:r>
    </w:p>
    <w:p w14:paraId="6378E41B" w14:textId="77777777" w:rsidR="00726987" w:rsidRDefault="00726987" w:rsidP="00E05B72">
      <w:pPr>
        <w:spacing w:line="360" w:lineRule="auto"/>
        <w:rPr>
          <w:rFonts w:ascii="Arial" w:hAnsi="Arial" w:cs="Arial"/>
          <w:b/>
          <w:sz w:val="20"/>
          <w:szCs w:val="20"/>
          <w:u w:val="single"/>
        </w:rPr>
      </w:pPr>
    </w:p>
    <w:p w14:paraId="6926DFBB" w14:textId="20578155" w:rsidR="00726987" w:rsidRDefault="00726987" w:rsidP="00726987">
      <w:pPr>
        <w:spacing w:line="360" w:lineRule="auto"/>
        <w:jc w:val="center"/>
        <w:rPr>
          <w:rFonts w:ascii="Arial" w:hAnsi="Arial" w:cs="Arial"/>
          <w:b/>
          <w:sz w:val="20"/>
          <w:szCs w:val="20"/>
        </w:rPr>
      </w:pPr>
      <w:r w:rsidRPr="00A152F0">
        <w:rPr>
          <w:rFonts w:ascii="Arial" w:hAnsi="Arial" w:cs="Arial"/>
          <w:b/>
          <w:sz w:val="20"/>
          <w:szCs w:val="20"/>
        </w:rPr>
        <w:t xml:space="preserve">Figure </w:t>
      </w:r>
      <w:r w:rsidR="00774601">
        <w:rPr>
          <w:rFonts w:ascii="Arial" w:hAnsi="Arial" w:cs="Arial"/>
          <w:b/>
          <w:sz w:val="20"/>
          <w:szCs w:val="20"/>
        </w:rPr>
        <w:t>6</w:t>
      </w:r>
      <w:r w:rsidRPr="00A152F0">
        <w:rPr>
          <w:rFonts w:ascii="Arial" w:hAnsi="Arial" w:cs="Arial"/>
          <w:b/>
          <w:sz w:val="20"/>
          <w:szCs w:val="20"/>
        </w:rPr>
        <w:t>:</w:t>
      </w:r>
      <w:r>
        <w:rPr>
          <w:rFonts w:ascii="Arial" w:hAnsi="Arial" w:cs="Arial"/>
          <w:b/>
          <w:sz w:val="20"/>
          <w:szCs w:val="20"/>
        </w:rPr>
        <w:t xml:space="preserve"> </w:t>
      </w:r>
      <w:r w:rsidRPr="00224BC0">
        <w:rPr>
          <w:rFonts w:ascii="Arial" w:hAnsi="Arial" w:cs="Arial"/>
          <w:b/>
          <w:sz w:val="20"/>
          <w:szCs w:val="20"/>
        </w:rPr>
        <w:t xml:space="preserve">Average </w:t>
      </w:r>
      <w:r w:rsidR="00774601">
        <w:rPr>
          <w:rFonts w:ascii="Arial" w:hAnsi="Arial" w:cs="Arial"/>
          <w:b/>
          <w:sz w:val="20"/>
          <w:szCs w:val="20"/>
        </w:rPr>
        <w:t>Dissolve Oxygen</w:t>
      </w:r>
      <w:r w:rsidRPr="00224BC0">
        <w:rPr>
          <w:rFonts w:ascii="Arial" w:hAnsi="Arial" w:cs="Arial"/>
          <w:b/>
          <w:sz w:val="20"/>
          <w:szCs w:val="20"/>
        </w:rPr>
        <w:t xml:space="preserve"> Value Recorded During the Experiment</w:t>
      </w:r>
    </w:p>
    <w:p w14:paraId="1E93023A" w14:textId="01F00ECD" w:rsidR="00EB629F" w:rsidRDefault="00EB629F" w:rsidP="00EB629F">
      <w:pPr>
        <w:spacing w:line="276" w:lineRule="auto"/>
        <w:ind w:firstLine="720"/>
        <w:jc w:val="both"/>
        <w:rPr>
          <w:rFonts w:ascii="Arial" w:hAnsi="Arial" w:cs="Arial"/>
          <w:bCs/>
          <w:sz w:val="20"/>
          <w:szCs w:val="20"/>
        </w:rPr>
      </w:pPr>
      <w:r w:rsidRPr="00EB629F">
        <w:rPr>
          <w:rFonts w:ascii="Arial" w:hAnsi="Arial" w:cs="Arial"/>
          <w:bCs/>
          <w:sz w:val="20"/>
          <w:szCs w:val="20"/>
        </w:rPr>
        <w:t>DO ranged from 4.90 to 5.83 mg L</w:t>
      </w:r>
      <w:r w:rsidRPr="00EB629F">
        <w:rPr>
          <w:rFonts w:ascii="Cambria Math" w:hAnsi="Cambria Math" w:cs="Cambria Math"/>
          <w:bCs/>
          <w:sz w:val="20"/>
          <w:szCs w:val="20"/>
        </w:rPr>
        <w:t>⁻</w:t>
      </w:r>
      <w:r w:rsidRPr="00EB629F">
        <w:rPr>
          <w:rFonts w:ascii="Arial" w:hAnsi="Arial" w:cs="Arial"/>
          <w:bCs/>
          <w:sz w:val="20"/>
          <w:szCs w:val="20"/>
        </w:rPr>
        <w:t>¹ across treatments. Biofloc treatments recorded slightly lower DO values compared to the control, likely due to increased microbial respiration. Nevertheless, DO levels in all treatments remained above critical thresholds required for carp survival and growth (Boyd, 2020).</w:t>
      </w:r>
    </w:p>
    <w:p w14:paraId="120FA427" w14:textId="77777777" w:rsidR="00EB629F" w:rsidRPr="00EB629F" w:rsidRDefault="00EB629F" w:rsidP="00EB629F">
      <w:pPr>
        <w:spacing w:line="276" w:lineRule="auto"/>
        <w:ind w:firstLine="720"/>
        <w:jc w:val="both"/>
        <w:rPr>
          <w:rFonts w:ascii="Arial" w:hAnsi="Arial" w:cs="Arial"/>
          <w:bCs/>
          <w:sz w:val="20"/>
          <w:szCs w:val="20"/>
        </w:rPr>
      </w:pPr>
    </w:p>
    <w:p w14:paraId="157304AB" w14:textId="79D2621C" w:rsidR="00EA74D9" w:rsidRPr="00E05B72" w:rsidRDefault="00E05B72" w:rsidP="00E05B72">
      <w:pPr>
        <w:spacing w:line="360" w:lineRule="auto"/>
        <w:rPr>
          <w:rFonts w:ascii="Arial" w:hAnsi="Arial" w:cs="Arial"/>
          <w:b/>
          <w:sz w:val="20"/>
          <w:szCs w:val="20"/>
          <w:u w:val="single"/>
        </w:rPr>
      </w:pPr>
      <w:r>
        <w:rPr>
          <w:rFonts w:ascii="Arial" w:hAnsi="Arial" w:cs="Arial"/>
          <w:b/>
          <w:sz w:val="20"/>
          <w:szCs w:val="20"/>
          <w:u w:val="single"/>
        </w:rPr>
        <w:t xml:space="preserve">3.1.7 </w:t>
      </w:r>
      <w:r w:rsidR="00EA74D9" w:rsidRPr="00E05B72">
        <w:rPr>
          <w:rFonts w:ascii="Arial" w:hAnsi="Arial" w:cs="Arial"/>
          <w:b/>
          <w:sz w:val="20"/>
          <w:szCs w:val="20"/>
          <w:u w:val="single"/>
        </w:rPr>
        <w:t>Average Ammonia</w:t>
      </w:r>
      <w:r w:rsidR="0033282E">
        <w:rPr>
          <w:rFonts w:ascii="Arial" w:hAnsi="Arial" w:cs="Arial"/>
          <w:b/>
          <w:sz w:val="20"/>
          <w:szCs w:val="20"/>
          <w:u w:val="single"/>
        </w:rPr>
        <w:t>(ppm)</w:t>
      </w:r>
      <w:r w:rsidR="00EA74D9" w:rsidRPr="00E05B72">
        <w:rPr>
          <w:rFonts w:ascii="Arial" w:hAnsi="Arial" w:cs="Arial"/>
          <w:b/>
          <w:sz w:val="20"/>
          <w:szCs w:val="20"/>
          <w:u w:val="single"/>
        </w:rPr>
        <w:t xml:space="preserve"> Value Recorded During Experiment Period.</w:t>
      </w:r>
    </w:p>
    <w:tbl>
      <w:tblPr>
        <w:tblStyle w:val="Tablaconcuadrcula"/>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38"/>
        <w:gridCol w:w="2482"/>
        <w:gridCol w:w="2222"/>
        <w:gridCol w:w="2184"/>
      </w:tblGrid>
      <w:tr w:rsidR="00EA74D9" w:rsidRPr="00BD4D33" w14:paraId="656A8CD7" w14:textId="77777777" w:rsidTr="00E12DEF">
        <w:trPr>
          <w:trHeight w:val="102"/>
        </w:trPr>
        <w:tc>
          <w:tcPr>
            <w:tcW w:w="5000" w:type="pct"/>
            <w:gridSpan w:val="4"/>
            <w:tcBorders>
              <w:bottom w:val="single" w:sz="4" w:space="0" w:color="auto"/>
            </w:tcBorders>
            <w:noWrap/>
            <w:hideMark/>
          </w:tcPr>
          <w:p w14:paraId="7886C618" w14:textId="675B9C34" w:rsidR="00EA74D9" w:rsidRPr="00BD4D33" w:rsidRDefault="00E12DEF" w:rsidP="00E12DEF">
            <w:pPr>
              <w:rPr>
                <w:rFonts w:ascii="Arial" w:hAnsi="Arial" w:cs="Arial"/>
              </w:rPr>
            </w:pPr>
            <w:r w:rsidRPr="00224BC0">
              <w:rPr>
                <w:rFonts w:ascii="Arial" w:hAnsi="Arial" w:cs="Arial"/>
                <w:b/>
                <w:sz w:val="20"/>
                <w:szCs w:val="20"/>
              </w:rPr>
              <w:t xml:space="preserve">Table </w:t>
            </w:r>
            <w:r>
              <w:rPr>
                <w:rFonts w:ascii="Arial" w:hAnsi="Arial" w:cs="Arial"/>
                <w:b/>
                <w:sz w:val="20"/>
                <w:szCs w:val="20"/>
              </w:rPr>
              <w:t>7</w:t>
            </w:r>
            <w:r w:rsidRPr="00224BC0">
              <w:rPr>
                <w:rFonts w:ascii="Arial" w:hAnsi="Arial" w:cs="Arial"/>
                <w:b/>
                <w:sz w:val="20"/>
                <w:szCs w:val="20"/>
              </w:rPr>
              <w:t xml:space="preserve">: Average </w:t>
            </w:r>
            <w:r>
              <w:rPr>
                <w:rFonts w:ascii="Arial" w:hAnsi="Arial" w:cs="Arial"/>
                <w:b/>
                <w:sz w:val="20"/>
                <w:szCs w:val="20"/>
              </w:rPr>
              <w:t>Ammonia</w:t>
            </w:r>
            <w:r w:rsidR="0033282E">
              <w:rPr>
                <w:rFonts w:ascii="Arial" w:hAnsi="Arial" w:cs="Arial"/>
                <w:b/>
                <w:sz w:val="20"/>
                <w:szCs w:val="20"/>
              </w:rPr>
              <w:t>(ppm)</w:t>
            </w:r>
            <w:r w:rsidRPr="00224BC0">
              <w:rPr>
                <w:rFonts w:ascii="Arial" w:hAnsi="Arial" w:cs="Arial"/>
                <w:b/>
                <w:sz w:val="20"/>
                <w:szCs w:val="20"/>
              </w:rPr>
              <w:t xml:space="preserve"> Value Recorded During the </w:t>
            </w:r>
            <w:commentRangeStart w:id="7"/>
            <w:r w:rsidRPr="00224BC0">
              <w:rPr>
                <w:rFonts w:ascii="Arial" w:hAnsi="Arial" w:cs="Arial"/>
                <w:b/>
                <w:sz w:val="20"/>
                <w:szCs w:val="20"/>
              </w:rPr>
              <w:t>Experiment</w:t>
            </w:r>
            <w:commentRangeEnd w:id="7"/>
            <w:r w:rsidR="00AB048C">
              <w:rPr>
                <w:rStyle w:val="Refdecomentario"/>
                <w:lang w:bidi="gu-IN"/>
              </w:rPr>
              <w:commentReference w:id="7"/>
            </w:r>
          </w:p>
        </w:tc>
      </w:tr>
      <w:tr w:rsidR="008051EB" w:rsidRPr="00BD4D33" w14:paraId="6D4FEFFF" w14:textId="77777777" w:rsidTr="00647695">
        <w:trPr>
          <w:trHeight w:val="102"/>
        </w:trPr>
        <w:tc>
          <w:tcPr>
            <w:tcW w:w="1184" w:type="pct"/>
            <w:tcBorders>
              <w:top w:val="single" w:sz="4" w:space="0" w:color="auto"/>
              <w:bottom w:val="single" w:sz="4" w:space="0" w:color="auto"/>
              <w:right w:val="single" w:sz="4" w:space="0" w:color="auto"/>
            </w:tcBorders>
            <w:noWrap/>
            <w:hideMark/>
          </w:tcPr>
          <w:p w14:paraId="43A9F357" w14:textId="6A316B4B" w:rsidR="008051EB" w:rsidRPr="00BD4D33" w:rsidRDefault="008051EB" w:rsidP="008051EB">
            <w:pPr>
              <w:jc w:val="center"/>
              <w:rPr>
                <w:rFonts w:ascii="Arial" w:hAnsi="Arial" w:cs="Arial"/>
              </w:rPr>
            </w:pPr>
            <w:r w:rsidRPr="00BD4D33">
              <w:rPr>
                <w:rFonts w:ascii="Arial" w:hAnsi="Arial" w:cs="Arial"/>
              </w:rPr>
              <w:t>Treatment</w:t>
            </w:r>
          </w:p>
        </w:tc>
        <w:tc>
          <w:tcPr>
            <w:tcW w:w="1375" w:type="pct"/>
            <w:tcBorders>
              <w:top w:val="single" w:sz="4" w:space="0" w:color="auto"/>
              <w:left w:val="single" w:sz="4" w:space="0" w:color="auto"/>
              <w:bottom w:val="single" w:sz="4" w:space="0" w:color="auto"/>
            </w:tcBorders>
            <w:noWrap/>
            <w:hideMark/>
          </w:tcPr>
          <w:p w14:paraId="69E92546" w14:textId="77777777" w:rsidR="008051EB" w:rsidRPr="00BD4D33" w:rsidRDefault="008051EB" w:rsidP="008051EB">
            <w:pPr>
              <w:jc w:val="center"/>
              <w:rPr>
                <w:rFonts w:ascii="Arial" w:hAnsi="Arial" w:cs="Arial"/>
              </w:rPr>
            </w:pPr>
            <w:r w:rsidRPr="00BD4D33">
              <w:rPr>
                <w:rFonts w:ascii="Arial" w:hAnsi="Arial" w:cs="Arial"/>
              </w:rPr>
              <w:t>C</w:t>
            </w:r>
          </w:p>
        </w:tc>
        <w:tc>
          <w:tcPr>
            <w:tcW w:w="1231" w:type="pct"/>
            <w:tcBorders>
              <w:top w:val="single" w:sz="4" w:space="0" w:color="auto"/>
              <w:bottom w:val="single" w:sz="4" w:space="0" w:color="auto"/>
            </w:tcBorders>
            <w:noWrap/>
            <w:hideMark/>
          </w:tcPr>
          <w:p w14:paraId="4E507FED" w14:textId="39ABD101" w:rsidR="008051EB" w:rsidRPr="00BD4D33" w:rsidRDefault="00884617" w:rsidP="008051EB">
            <w:pPr>
              <w:jc w:val="center"/>
              <w:rPr>
                <w:rFonts w:ascii="Arial" w:hAnsi="Arial" w:cs="Arial"/>
              </w:rPr>
            </w:pPr>
            <w:r w:rsidRPr="00BD4D33">
              <w:rPr>
                <w:rFonts w:ascii="Arial" w:hAnsi="Arial" w:cs="Arial"/>
              </w:rPr>
              <w:t>T1</w:t>
            </w:r>
          </w:p>
        </w:tc>
        <w:tc>
          <w:tcPr>
            <w:tcW w:w="1210" w:type="pct"/>
            <w:tcBorders>
              <w:top w:val="single" w:sz="4" w:space="0" w:color="auto"/>
              <w:bottom w:val="single" w:sz="4" w:space="0" w:color="auto"/>
            </w:tcBorders>
            <w:noWrap/>
            <w:hideMark/>
          </w:tcPr>
          <w:p w14:paraId="014881D7" w14:textId="10270DC9" w:rsidR="008051EB" w:rsidRPr="00BD4D33" w:rsidRDefault="00884617" w:rsidP="008051EB">
            <w:pPr>
              <w:jc w:val="center"/>
              <w:rPr>
                <w:rFonts w:ascii="Arial" w:hAnsi="Arial" w:cs="Arial"/>
              </w:rPr>
            </w:pPr>
            <w:r w:rsidRPr="00BD4D33">
              <w:rPr>
                <w:rFonts w:ascii="Arial" w:hAnsi="Arial" w:cs="Arial"/>
              </w:rPr>
              <w:t>T2</w:t>
            </w:r>
          </w:p>
        </w:tc>
      </w:tr>
      <w:tr w:rsidR="00C13730" w:rsidRPr="00BD4D33" w14:paraId="0F7E7A1C" w14:textId="77777777" w:rsidTr="00647695">
        <w:trPr>
          <w:trHeight w:val="240"/>
        </w:trPr>
        <w:tc>
          <w:tcPr>
            <w:tcW w:w="1184" w:type="pct"/>
            <w:tcBorders>
              <w:top w:val="single" w:sz="4" w:space="0" w:color="auto"/>
              <w:right w:val="single" w:sz="4" w:space="0" w:color="auto"/>
            </w:tcBorders>
            <w:noWrap/>
            <w:vAlign w:val="bottom"/>
            <w:hideMark/>
          </w:tcPr>
          <w:p w14:paraId="2EB70E30" w14:textId="770839EF" w:rsidR="00C13730" w:rsidRPr="00BD4D33" w:rsidRDefault="00C13730" w:rsidP="00C13730">
            <w:pPr>
              <w:jc w:val="center"/>
              <w:rPr>
                <w:rFonts w:ascii="Arial" w:hAnsi="Arial" w:cs="Arial"/>
                <w:b/>
                <w:bCs/>
              </w:rPr>
            </w:pPr>
            <w:r w:rsidRPr="00BD4D33">
              <w:rPr>
                <w:rFonts w:ascii="Arial" w:eastAsia="Times New Roman" w:hAnsi="Arial" w:cs="Arial"/>
                <w:color w:val="000000"/>
                <w:kern w:val="0"/>
                <w:lang w:eastAsia="en-IN"/>
                <w14:ligatures w14:val="none"/>
              </w:rPr>
              <w:t>0</w:t>
            </w:r>
            <w:r w:rsidRPr="00BD4D33">
              <w:rPr>
                <w:rFonts w:ascii="Arial" w:eastAsia="Times New Roman" w:hAnsi="Arial" w:cs="Arial"/>
                <w:color w:val="000000"/>
                <w:kern w:val="0"/>
                <w:vertAlign w:val="superscript"/>
                <w:lang w:eastAsia="en-IN"/>
                <w14:ligatures w14:val="none"/>
              </w:rPr>
              <w:t>th</w:t>
            </w:r>
            <w:r w:rsidRPr="00BD4D33">
              <w:rPr>
                <w:rFonts w:ascii="Arial" w:eastAsia="Times New Roman" w:hAnsi="Arial" w:cs="Arial"/>
                <w:color w:val="000000"/>
                <w:kern w:val="0"/>
                <w:lang w:eastAsia="en-IN"/>
                <w14:ligatures w14:val="none"/>
              </w:rPr>
              <w:t xml:space="preserve"> day</w:t>
            </w:r>
          </w:p>
        </w:tc>
        <w:tc>
          <w:tcPr>
            <w:tcW w:w="1375" w:type="pct"/>
            <w:tcBorders>
              <w:top w:val="single" w:sz="4" w:space="0" w:color="auto"/>
              <w:left w:val="single" w:sz="4" w:space="0" w:color="auto"/>
            </w:tcBorders>
            <w:hideMark/>
          </w:tcPr>
          <w:p w14:paraId="3FA8075A" w14:textId="77777777" w:rsidR="00C13730" w:rsidRPr="00BD4D33" w:rsidRDefault="00C13730" w:rsidP="00C13730">
            <w:pPr>
              <w:jc w:val="center"/>
              <w:rPr>
                <w:rFonts w:ascii="Arial" w:hAnsi="Arial" w:cs="Arial"/>
                <w:vertAlign w:val="superscript"/>
              </w:rPr>
            </w:pPr>
            <w:r w:rsidRPr="00BD4D33">
              <w:rPr>
                <w:rFonts w:ascii="Arial" w:hAnsi="Arial" w:cs="Arial"/>
                <w:color w:val="000000" w:themeColor="text1"/>
              </w:rPr>
              <w:t>0.48±0.08</w:t>
            </w:r>
            <w:r w:rsidRPr="00BD4D33">
              <w:rPr>
                <w:rFonts w:ascii="Arial" w:hAnsi="Arial" w:cs="Arial"/>
                <w:color w:val="000000" w:themeColor="text1"/>
                <w:position w:val="11"/>
                <w:vertAlign w:val="superscript"/>
              </w:rPr>
              <w:t>a</w:t>
            </w:r>
          </w:p>
        </w:tc>
        <w:tc>
          <w:tcPr>
            <w:tcW w:w="1231" w:type="pct"/>
            <w:tcBorders>
              <w:top w:val="single" w:sz="4" w:space="0" w:color="auto"/>
            </w:tcBorders>
            <w:hideMark/>
          </w:tcPr>
          <w:p w14:paraId="1D35FA74" w14:textId="4068CAAD" w:rsidR="00C13730" w:rsidRPr="00BD4D33" w:rsidRDefault="00C13730" w:rsidP="00C13730">
            <w:pPr>
              <w:jc w:val="center"/>
              <w:rPr>
                <w:rFonts w:ascii="Arial" w:hAnsi="Arial" w:cs="Arial"/>
                <w:vertAlign w:val="superscript"/>
              </w:rPr>
            </w:pPr>
            <w:r w:rsidRPr="00BD4D33">
              <w:rPr>
                <w:rFonts w:ascii="Arial" w:hAnsi="Arial" w:cs="Arial"/>
                <w:color w:val="000000" w:themeColor="text1"/>
              </w:rPr>
              <w:t>0.4±0.11</w:t>
            </w:r>
            <w:r w:rsidRPr="00BD4D33">
              <w:rPr>
                <w:rFonts w:ascii="Arial" w:hAnsi="Arial" w:cs="Arial"/>
                <w:color w:val="000000" w:themeColor="text1"/>
                <w:position w:val="11"/>
                <w:vertAlign w:val="superscript"/>
              </w:rPr>
              <w:t>a</w:t>
            </w:r>
          </w:p>
        </w:tc>
        <w:tc>
          <w:tcPr>
            <w:tcW w:w="1210" w:type="pct"/>
            <w:tcBorders>
              <w:top w:val="single" w:sz="4" w:space="0" w:color="auto"/>
            </w:tcBorders>
            <w:hideMark/>
          </w:tcPr>
          <w:p w14:paraId="3AD5F3D5" w14:textId="370EE162" w:rsidR="00C13730" w:rsidRPr="00BD4D33" w:rsidRDefault="00C13730" w:rsidP="00C13730">
            <w:pPr>
              <w:jc w:val="center"/>
              <w:rPr>
                <w:rFonts w:ascii="Arial" w:hAnsi="Arial" w:cs="Arial"/>
                <w:vertAlign w:val="superscript"/>
              </w:rPr>
            </w:pPr>
            <w:r w:rsidRPr="00BD4D33">
              <w:rPr>
                <w:rFonts w:ascii="Arial" w:hAnsi="Arial" w:cs="Arial"/>
                <w:color w:val="000000" w:themeColor="text1"/>
              </w:rPr>
              <w:t>0.66±0.</w:t>
            </w:r>
            <w:r w:rsidR="00627F11" w:rsidRPr="00BD4D33">
              <w:rPr>
                <w:rFonts w:ascii="Arial" w:hAnsi="Arial" w:cs="Arial"/>
                <w:color w:val="000000" w:themeColor="text1"/>
              </w:rPr>
              <w:t>02</w:t>
            </w:r>
            <w:r w:rsidRPr="00BD4D33">
              <w:rPr>
                <w:rFonts w:ascii="Arial" w:hAnsi="Arial" w:cs="Arial"/>
                <w:color w:val="000000" w:themeColor="text1"/>
                <w:position w:val="11"/>
                <w:vertAlign w:val="superscript"/>
              </w:rPr>
              <w:t>a</w:t>
            </w:r>
          </w:p>
        </w:tc>
      </w:tr>
      <w:tr w:rsidR="00C13730" w:rsidRPr="00BD4D33" w14:paraId="49384FB6" w14:textId="77777777" w:rsidTr="00647695">
        <w:trPr>
          <w:trHeight w:val="240"/>
        </w:trPr>
        <w:tc>
          <w:tcPr>
            <w:tcW w:w="1184" w:type="pct"/>
            <w:tcBorders>
              <w:right w:val="single" w:sz="4" w:space="0" w:color="auto"/>
            </w:tcBorders>
            <w:noWrap/>
            <w:vAlign w:val="bottom"/>
            <w:hideMark/>
          </w:tcPr>
          <w:p w14:paraId="021F42BE" w14:textId="4A4B016D" w:rsidR="00C13730" w:rsidRPr="00BD4D33" w:rsidRDefault="00C13730" w:rsidP="00C13730">
            <w:pPr>
              <w:jc w:val="center"/>
              <w:rPr>
                <w:rFonts w:ascii="Arial" w:hAnsi="Arial" w:cs="Arial"/>
                <w:b/>
                <w:bCs/>
              </w:rPr>
            </w:pPr>
            <w:r w:rsidRPr="00BD4D33">
              <w:rPr>
                <w:rFonts w:ascii="Arial" w:eastAsia="Times New Roman" w:hAnsi="Arial" w:cs="Arial"/>
                <w:color w:val="000000"/>
                <w:kern w:val="0"/>
                <w:lang w:eastAsia="en-IN"/>
                <w14:ligatures w14:val="none"/>
              </w:rPr>
              <w:t>7</w:t>
            </w:r>
            <w:r w:rsidRPr="00BD4D33">
              <w:rPr>
                <w:rFonts w:ascii="Arial" w:eastAsia="Times New Roman" w:hAnsi="Arial" w:cs="Arial"/>
                <w:color w:val="000000"/>
                <w:kern w:val="0"/>
                <w:vertAlign w:val="superscript"/>
                <w:lang w:eastAsia="en-IN"/>
                <w14:ligatures w14:val="none"/>
              </w:rPr>
              <w:t>th</w:t>
            </w:r>
            <w:r w:rsidRPr="00BD4D33">
              <w:rPr>
                <w:rFonts w:ascii="Arial" w:eastAsia="Times New Roman" w:hAnsi="Arial" w:cs="Arial"/>
                <w:color w:val="000000"/>
                <w:kern w:val="0"/>
                <w:lang w:eastAsia="en-IN"/>
                <w14:ligatures w14:val="none"/>
              </w:rPr>
              <w:t xml:space="preserve"> day</w:t>
            </w:r>
          </w:p>
        </w:tc>
        <w:tc>
          <w:tcPr>
            <w:tcW w:w="1375" w:type="pct"/>
            <w:tcBorders>
              <w:left w:val="single" w:sz="4" w:space="0" w:color="auto"/>
            </w:tcBorders>
            <w:hideMark/>
          </w:tcPr>
          <w:p w14:paraId="045019D7" w14:textId="77777777" w:rsidR="00C13730" w:rsidRPr="00BD4D33" w:rsidRDefault="00C13730" w:rsidP="00C13730">
            <w:pPr>
              <w:jc w:val="center"/>
              <w:rPr>
                <w:rFonts w:ascii="Arial" w:hAnsi="Arial" w:cs="Arial"/>
                <w:vertAlign w:val="superscript"/>
              </w:rPr>
            </w:pPr>
            <w:r w:rsidRPr="00BD4D33">
              <w:rPr>
                <w:rFonts w:ascii="Arial" w:hAnsi="Arial" w:cs="Arial"/>
                <w:color w:val="000000" w:themeColor="text1"/>
              </w:rPr>
              <w:t>0.69±0.01</w:t>
            </w:r>
            <w:r w:rsidRPr="00BD4D33">
              <w:rPr>
                <w:rFonts w:ascii="Arial" w:hAnsi="Arial" w:cs="Arial"/>
                <w:color w:val="000000" w:themeColor="text1"/>
                <w:position w:val="11"/>
                <w:vertAlign w:val="superscript"/>
              </w:rPr>
              <w:t>AB</w:t>
            </w:r>
          </w:p>
        </w:tc>
        <w:tc>
          <w:tcPr>
            <w:tcW w:w="1231" w:type="pct"/>
            <w:hideMark/>
          </w:tcPr>
          <w:p w14:paraId="523376D8" w14:textId="494D4635" w:rsidR="00C13730" w:rsidRPr="00BD4D33" w:rsidRDefault="00C13730" w:rsidP="00C13730">
            <w:pPr>
              <w:jc w:val="center"/>
              <w:rPr>
                <w:rFonts w:ascii="Arial" w:hAnsi="Arial" w:cs="Arial"/>
                <w:vertAlign w:val="superscript"/>
              </w:rPr>
            </w:pPr>
            <w:r w:rsidRPr="00BD4D33">
              <w:rPr>
                <w:rFonts w:ascii="Arial" w:hAnsi="Arial" w:cs="Arial"/>
                <w:color w:val="000000" w:themeColor="text1"/>
              </w:rPr>
              <w:t>0.36±0.05</w:t>
            </w:r>
            <w:r w:rsidRPr="00BD4D33">
              <w:rPr>
                <w:rFonts w:ascii="Arial" w:hAnsi="Arial" w:cs="Arial"/>
                <w:color w:val="000000" w:themeColor="text1"/>
                <w:position w:val="11"/>
                <w:vertAlign w:val="superscript"/>
              </w:rPr>
              <w:t>C</w:t>
            </w:r>
          </w:p>
        </w:tc>
        <w:tc>
          <w:tcPr>
            <w:tcW w:w="1210" w:type="pct"/>
            <w:hideMark/>
          </w:tcPr>
          <w:p w14:paraId="1B632628" w14:textId="17451C8C" w:rsidR="00C13730" w:rsidRPr="00BD4D33" w:rsidRDefault="00C13730" w:rsidP="00C13730">
            <w:pPr>
              <w:jc w:val="center"/>
              <w:rPr>
                <w:rFonts w:ascii="Arial" w:hAnsi="Arial" w:cs="Arial"/>
                <w:vertAlign w:val="superscript"/>
              </w:rPr>
            </w:pPr>
            <w:r w:rsidRPr="00BD4D33">
              <w:rPr>
                <w:rFonts w:ascii="Arial" w:hAnsi="Arial" w:cs="Arial"/>
                <w:color w:val="000000" w:themeColor="text1"/>
              </w:rPr>
              <w:t>0.82±0.</w:t>
            </w:r>
            <w:r w:rsidR="00627F11" w:rsidRPr="00BD4D33">
              <w:rPr>
                <w:rFonts w:ascii="Arial" w:hAnsi="Arial" w:cs="Arial"/>
                <w:color w:val="000000" w:themeColor="text1"/>
              </w:rPr>
              <w:t>02</w:t>
            </w:r>
            <w:r w:rsidRPr="00BD4D33">
              <w:rPr>
                <w:rFonts w:ascii="Arial" w:hAnsi="Arial" w:cs="Arial"/>
                <w:color w:val="000000" w:themeColor="text1"/>
                <w:position w:val="11"/>
                <w:vertAlign w:val="superscript"/>
              </w:rPr>
              <w:t>A</w:t>
            </w:r>
          </w:p>
        </w:tc>
      </w:tr>
      <w:tr w:rsidR="00C13730" w:rsidRPr="00BD4D33" w14:paraId="16AA02C7" w14:textId="77777777" w:rsidTr="00647695">
        <w:trPr>
          <w:trHeight w:val="240"/>
        </w:trPr>
        <w:tc>
          <w:tcPr>
            <w:tcW w:w="1184" w:type="pct"/>
            <w:tcBorders>
              <w:right w:val="single" w:sz="4" w:space="0" w:color="auto"/>
            </w:tcBorders>
            <w:noWrap/>
            <w:vAlign w:val="bottom"/>
            <w:hideMark/>
          </w:tcPr>
          <w:p w14:paraId="1056DAFA" w14:textId="3E2A0CA9" w:rsidR="00C13730" w:rsidRPr="00BD4D33" w:rsidRDefault="00C13730" w:rsidP="00C13730">
            <w:pPr>
              <w:jc w:val="center"/>
              <w:rPr>
                <w:rFonts w:ascii="Arial" w:hAnsi="Arial" w:cs="Arial"/>
                <w:b/>
                <w:bCs/>
              </w:rPr>
            </w:pPr>
            <w:r w:rsidRPr="00BD4D33">
              <w:rPr>
                <w:rFonts w:ascii="Arial" w:eastAsia="Times New Roman" w:hAnsi="Arial" w:cs="Arial"/>
                <w:color w:val="000000"/>
                <w:kern w:val="0"/>
                <w:lang w:eastAsia="en-IN"/>
                <w14:ligatures w14:val="none"/>
              </w:rPr>
              <w:t>14</w:t>
            </w:r>
            <w:r w:rsidRPr="00BD4D33">
              <w:rPr>
                <w:rFonts w:ascii="Arial" w:eastAsia="Times New Roman" w:hAnsi="Arial" w:cs="Arial"/>
                <w:color w:val="000000"/>
                <w:kern w:val="0"/>
                <w:vertAlign w:val="superscript"/>
                <w:lang w:eastAsia="en-IN"/>
                <w14:ligatures w14:val="none"/>
              </w:rPr>
              <w:t>th</w:t>
            </w:r>
            <w:r w:rsidRPr="00BD4D33">
              <w:rPr>
                <w:rFonts w:ascii="Arial" w:eastAsia="Times New Roman" w:hAnsi="Arial" w:cs="Arial"/>
                <w:color w:val="000000"/>
                <w:kern w:val="0"/>
                <w:lang w:eastAsia="en-IN"/>
                <w14:ligatures w14:val="none"/>
              </w:rPr>
              <w:t xml:space="preserve"> day</w:t>
            </w:r>
          </w:p>
        </w:tc>
        <w:tc>
          <w:tcPr>
            <w:tcW w:w="1375" w:type="pct"/>
            <w:tcBorders>
              <w:left w:val="single" w:sz="4" w:space="0" w:color="auto"/>
            </w:tcBorders>
            <w:hideMark/>
          </w:tcPr>
          <w:p w14:paraId="6F1B64D6" w14:textId="77777777" w:rsidR="00C13730" w:rsidRPr="00BD4D33" w:rsidRDefault="00C13730" w:rsidP="00C13730">
            <w:pPr>
              <w:jc w:val="center"/>
              <w:rPr>
                <w:rFonts w:ascii="Arial" w:hAnsi="Arial" w:cs="Arial"/>
                <w:vertAlign w:val="superscript"/>
              </w:rPr>
            </w:pPr>
            <w:r w:rsidRPr="00BD4D33">
              <w:rPr>
                <w:rFonts w:ascii="Arial" w:hAnsi="Arial" w:cs="Arial"/>
                <w:color w:val="000000" w:themeColor="text1"/>
              </w:rPr>
              <w:t>0.63±0.02</w:t>
            </w:r>
            <w:r w:rsidRPr="00BD4D33">
              <w:rPr>
                <w:rFonts w:ascii="Arial" w:hAnsi="Arial" w:cs="Arial"/>
                <w:color w:val="000000" w:themeColor="text1"/>
                <w:position w:val="11"/>
                <w:vertAlign w:val="superscript"/>
              </w:rPr>
              <w:t>P</w:t>
            </w:r>
          </w:p>
        </w:tc>
        <w:tc>
          <w:tcPr>
            <w:tcW w:w="1231" w:type="pct"/>
            <w:hideMark/>
          </w:tcPr>
          <w:p w14:paraId="39834815" w14:textId="6677A2F4" w:rsidR="00C13730" w:rsidRPr="00BD4D33" w:rsidRDefault="00C13730" w:rsidP="00C13730">
            <w:pPr>
              <w:jc w:val="center"/>
              <w:rPr>
                <w:rFonts w:ascii="Arial" w:hAnsi="Arial" w:cs="Arial"/>
                <w:vertAlign w:val="superscript"/>
              </w:rPr>
            </w:pPr>
            <w:r w:rsidRPr="00BD4D33">
              <w:rPr>
                <w:rFonts w:ascii="Arial" w:hAnsi="Arial" w:cs="Arial"/>
                <w:color w:val="000000" w:themeColor="text1"/>
              </w:rPr>
              <w:t>0.49±0.13</w:t>
            </w:r>
            <w:r w:rsidRPr="00BD4D33">
              <w:rPr>
                <w:rFonts w:ascii="Arial" w:hAnsi="Arial" w:cs="Arial"/>
                <w:color w:val="000000" w:themeColor="text1"/>
                <w:position w:val="11"/>
                <w:vertAlign w:val="superscript"/>
              </w:rPr>
              <w:t>PQ</w:t>
            </w:r>
          </w:p>
        </w:tc>
        <w:tc>
          <w:tcPr>
            <w:tcW w:w="1210" w:type="pct"/>
            <w:hideMark/>
          </w:tcPr>
          <w:p w14:paraId="7C712032" w14:textId="77777777" w:rsidR="00C13730" w:rsidRPr="00BD4D33" w:rsidRDefault="00C13730" w:rsidP="00C13730">
            <w:pPr>
              <w:jc w:val="center"/>
              <w:rPr>
                <w:rFonts w:ascii="Arial" w:hAnsi="Arial" w:cs="Arial"/>
                <w:vertAlign w:val="superscript"/>
              </w:rPr>
            </w:pPr>
            <w:r w:rsidRPr="00BD4D33">
              <w:rPr>
                <w:rFonts w:ascii="Arial" w:hAnsi="Arial" w:cs="Arial"/>
                <w:color w:val="000000" w:themeColor="text1"/>
              </w:rPr>
              <w:t>0.43±0.03</w:t>
            </w:r>
            <w:r w:rsidRPr="00BD4D33">
              <w:rPr>
                <w:rFonts w:ascii="Arial" w:hAnsi="Arial" w:cs="Arial"/>
                <w:color w:val="000000" w:themeColor="text1"/>
                <w:position w:val="11"/>
                <w:vertAlign w:val="superscript"/>
              </w:rPr>
              <w:t>PQ</w:t>
            </w:r>
          </w:p>
        </w:tc>
      </w:tr>
      <w:tr w:rsidR="00C13730" w:rsidRPr="00BD4D33" w14:paraId="59BD0D14" w14:textId="77777777" w:rsidTr="00647695">
        <w:trPr>
          <w:trHeight w:val="240"/>
        </w:trPr>
        <w:tc>
          <w:tcPr>
            <w:tcW w:w="1184" w:type="pct"/>
            <w:tcBorders>
              <w:right w:val="single" w:sz="4" w:space="0" w:color="auto"/>
            </w:tcBorders>
            <w:noWrap/>
            <w:vAlign w:val="bottom"/>
            <w:hideMark/>
          </w:tcPr>
          <w:p w14:paraId="13393D26" w14:textId="701CF8FE" w:rsidR="00C13730" w:rsidRPr="00BD4D33" w:rsidRDefault="00C13730" w:rsidP="00C13730">
            <w:pPr>
              <w:jc w:val="center"/>
              <w:rPr>
                <w:rFonts w:ascii="Arial" w:hAnsi="Arial" w:cs="Arial"/>
                <w:b/>
                <w:bCs/>
              </w:rPr>
            </w:pPr>
            <w:r w:rsidRPr="00BD4D33">
              <w:rPr>
                <w:rFonts w:ascii="Arial" w:eastAsia="Times New Roman" w:hAnsi="Arial" w:cs="Arial"/>
                <w:color w:val="000000"/>
                <w:kern w:val="0"/>
                <w:lang w:eastAsia="en-IN"/>
                <w14:ligatures w14:val="none"/>
              </w:rPr>
              <w:t>21</w:t>
            </w:r>
            <w:r w:rsidRPr="00BD4D33">
              <w:rPr>
                <w:rFonts w:ascii="Arial" w:eastAsia="Times New Roman" w:hAnsi="Arial" w:cs="Arial"/>
                <w:color w:val="000000"/>
                <w:kern w:val="0"/>
                <w:vertAlign w:val="superscript"/>
                <w:lang w:eastAsia="en-IN"/>
                <w14:ligatures w14:val="none"/>
              </w:rPr>
              <w:t>st</w:t>
            </w:r>
            <w:r w:rsidRPr="00BD4D33">
              <w:rPr>
                <w:rFonts w:ascii="Arial" w:eastAsia="Times New Roman" w:hAnsi="Arial" w:cs="Arial"/>
                <w:color w:val="000000"/>
                <w:kern w:val="0"/>
                <w:lang w:eastAsia="en-IN"/>
                <w14:ligatures w14:val="none"/>
              </w:rPr>
              <w:t xml:space="preserve"> day</w:t>
            </w:r>
          </w:p>
        </w:tc>
        <w:tc>
          <w:tcPr>
            <w:tcW w:w="1375" w:type="pct"/>
            <w:tcBorders>
              <w:left w:val="single" w:sz="4" w:space="0" w:color="auto"/>
            </w:tcBorders>
            <w:hideMark/>
          </w:tcPr>
          <w:p w14:paraId="15EB9EC4" w14:textId="77777777" w:rsidR="00C13730" w:rsidRPr="00BD4D33" w:rsidRDefault="00C13730" w:rsidP="00C13730">
            <w:pPr>
              <w:jc w:val="center"/>
              <w:rPr>
                <w:rFonts w:ascii="Arial" w:hAnsi="Arial" w:cs="Arial"/>
                <w:vertAlign w:val="superscript"/>
              </w:rPr>
            </w:pPr>
            <w:r w:rsidRPr="00BD4D33">
              <w:rPr>
                <w:rFonts w:ascii="Arial" w:hAnsi="Arial" w:cs="Arial"/>
                <w:color w:val="000000" w:themeColor="text1"/>
              </w:rPr>
              <w:t>0.52±0.014</w:t>
            </w:r>
            <w:r w:rsidRPr="00BD4D33">
              <w:rPr>
                <w:rFonts w:ascii="Arial" w:hAnsi="Arial" w:cs="Arial"/>
                <w:color w:val="000000" w:themeColor="text1"/>
                <w:position w:val="11"/>
                <w:vertAlign w:val="superscript"/>
              </w:rPr>
              <w:t>m</w:t>
            </w:r>
          </w:p>
        </w:tc>
        <w:tc>
          <w:tcPr>
            <w:tcW w:w="1231" w:type="pct"/>
            <w:hideMark/>
          </w:tcPr>
          <w:p w14:paraId="480D6B5A" w14:textId="77777777" w:rsidR="00C13730" w:rsidRPr="00BD4D33" w:rsidRDefault="00C13730" w:rsidP="00C13730">
            <w:pPr>
              <w:jc w:val="center"/>
              <w:rPr>
                <w:rFonts w:ascii="Arial" w:hAnsi="Arial" w:cs="Arial"/>
                <w:vertAlign w:val="superscript"/>
              </w:rPr>
            </w:pPr>
            <w:r w:rsidRPr="00BD4D33">
              <w:rPr>
                <w:rFonts w:ascii="Arial" w:hAnsi="Arial" w:cs="Arial"/>
                <w:color w:val="000000" w:themeColor="text1"/>
              </w:rPr>
              <w:t>0.33±0.06</w:t>
            </w:r>
            <w:r w:rsidRPr="00BD4D33">
              <w:rPr>
                <w:rFonts w:ascii="Arial" w:hAnsi="Arial" w:cs="Arial"/>
                <w:color w:val="000000" w:themeColor="text1"/>
                <w:position w:val="11"/>
                <w:vertAlign w:val="superscript"/>
              </w:rPr>
              <w:t>n</w:t>
            </w:r>
          </w:p>
        </w:tc>
        <w:tc>
          <w:tcPr>
            <w:tcW w:w="1210" w:type="pct"/>
            <w:hideMark/>
          </w:tcPr>
          <w:p w14:paraId="45DC2F9D" w14:textId="77777777" w:rsidR="00C13730" w:rsidRPr="00BD4D33" w:rsidRDefault="00C13730" w:rsidP="00C13730">
            <w:pPr>
              <w:jc w:val="center"/>
              <w:rPr>
                <w:rFonts w:ascii="Arial" w:hAnsi="Arial" w:cs="Arial"/>
                <w:vertAlign w:val="superscript"/>
              </w:rPr>
            </w:pPr>
            <w:r w:rsidRPr="00BD4D33">
              <w:rPr>
                <w:rFonts w:ascii="Arial" w:hAnsi="Arial" w:cs="Arial"/>
                <w:color w:val="000000" w:themeColor="text1"/>
              </w:rPr>
              <w:t>0.27±0.014</w:t>
            </w:r>
            <w:r w:rsidRPr="00BD4D33">
              <w:rPr>
                <w:rFonts w:ascii="Arial" w:hAnsi="Arial" w:cs="Arial"/>
                <w:color w:val="000000" w:themeColor="text1"/>
                <w:position w:val="11"/>
                <w:vertAlign w:val="superscript"/>
              </w:rPr>
              <w:t>n</w:t>
            </w:r>
          </w:p>
        </w:tc>
      </w:tr>
      <w:tr w:rsidR="00C13730" w:rsidRPr="00BD4D33" w14:paraId="6E3CB703" w14:textId="77777777" w:rsidTr="00647695">
        <w:trPr>
          <w:trHeight w:val="240"/>
        </w:trPr>
        <w:tc>
          <w:tcPr>
            <w:tcW w:w="1184" w:type="pct"/>
            <w:tcBorders>
              <w:right w:val="single" w:sz="4" w:space="0" w:color="auto"/>
            </w:tcBorders>
            <w:noWrap/>
            <w:vAlign w:val="bottom"/>
            <w:hideMark/>
          </w:tcPr>
          <w:p w14:paraId="44AB8F42" w14:textId="0172B2A0" w:rsidR="00C13730" w:rsidRPr="00BD4D33" w:rsidRDefault="00C13730" w:rsidP="00C13730">
            <w:pPr>
              <w:jc w:val="center"/>
              <w:rPr>
                <w:rFonts w:ascii="Arial" w:hAnsi="Arial" w:cs="Arial"/>
                <w:b/>
                <w:bCs/>
              </w:rPr>
            </w:pPr>
            <w:r w:rsidRPr="00BD4D33">
              <w:rPr>
                <w:rFonts w:ascii="Arial" w:eastAsia="Times New Roman" w:hAnsi="Arial" w:cs="Arial"/>
                <w:color w:val="000000"/>
                <w:kern w:val="0"/>
                <w:lang w:eastAsia="en-IN"/>
                <w14:ligatures w14:val="none"/>
              </w:rPr>
              <w:t>28</w:t>
            </w:r>
            <w:r w:rsidRPr="00BD4D33">
              <w:rPr>
                <w:rFonts w:ascii="Arial" w:eastAsia="Times New Roman" w:hAnsi="Arial" w:cs="Arial"/>
                <w:color w:val="000000"/>
                <w:kern w:val="0"/>
                <w:vertAlign w:val="superscript"/>
                <w:lang w:eastAsia="en-IN"/>
                <w14:ligatures w14:val="none"/>
              </w:rPr>
              <w:t>th</w:t>
            </w:r>
            <w:r w:rsidRPr="00BD4D33">
              <w:rPr>
                <w:rFonts w:ascii="Arial" w:eastAsia="Times New Roman" w:hAnsi="Arial" w:cs="Arial"/>
                <w:color w:val="000000"/>
                <w:kern w:val="0"/>
                <w:lang w:eastAsia="en-IN"/>
                <w14:ligatures w14:val="none"/>
              </w:rPr>
              <w:t xml:space="preserve"> day</w:t>
            </w:r>
          </w:p>
        </w:tc>
        <w:tc>
          <w:tcPr>
            <w:tcW w:w="1375" w:type="pct"/>
            <w:tcBorders>
              <w:left w:val="single" w:sz="4" w:space="0" w:color="auto"/>
            </w:tcBorders>
            <w:hideMark/>
          </w:tcPr>
          <w:p w14:paraId="04A3AC66" w14:textId="77777777" w:rsidR="00C13730" w:rsidRPr="00BD4D33" w:rsidRDefault="00C13730" w:rsidP="00C13730">
            <w:pPr>
              <w:jc w:val="center"/>
              <w:rPr>
                <w:rFonts w:ascii="Arial" w:hAnsi="Arial" w:cs="Arial"/>
                <w:vertAlign w:val="superscript"/>
              </w:rPr>
            </w:pPr>
            <w:r w:rsidRPr="00BD4D33">
              <w:rPr>
                <w:rFonts w:ascii="Arial" w:hAnsi="Arial" w:cs="Arial"/>
                <w:color w:val="000000" w:themeColor="text1"/>
              </w:rPr>
              <w:t>0.24±0.08</w:t>
            </w:r>
            <w:r w:rsidRPr="00BD4D33">
              <w:rPr>
                <w:rFonts w:ascii="Arial" w:hAnsi="Arial" w:cs="Arial"/>
                <w:color w:val="000000" w:themeColor="text1"/>
                <w:position w:val="11"/>
                <w:vertAlign w:val="superscript"/>
              </w:rPr>
              <w:t>Y</w:t>
            </w:r>
          </w:p>
        </w:tc>
        <w:tc>
          <w:tcPr>
            <w:tcW w:w="1231" w:type="pct"/>
            <w:hideMark/>
          </w:tcPr>
          <w:p w14:paraId="6A99466C" w14:textId="492C727F" w:rsidR="00C13730" w:rsidRPr="00BD4D33" w:rsidRDefault="00C13730" w:rsidP="00C13730">
            <w:pPr>
              <w:jc w:val="center"/>
              <w:rPr>
                <w:rFonts w:ascii="Arial" w:hAnsi="Arial" w:cs="Arial"/>
                <w:vertAlign w:val="superscript"/>
              </w:rPr>
            </w:pPr>
            <w:r w:rsidRPr="00BD4D33">
              <w:rPr>
                <w:rFonts w:ascii="Arial" w:hAnsi="Arial" w:cs="Arial"/>
                <w:color w:val="000000" w:themeColor="text1"/>
              </w:rPr>
              <w:t>0.42±0.</w:t>
            </w:r>
            <w:r w:rsidR="00627F11" w:rsidRPr="00BD4D33">
              <w:rPr>
                <w:rFonts w:ascii="Arial" w:hAnsi="Arial" w:cs="Arial"/>
                <w:color w:val="000000" w:themeColor="text1"/>
              </w:rPr>
              <w:t>0</w:t>
            </w:r>
            <w:r w:rsidRPr="00BD4D33">
              <w:rPr>
                <w:rFonts w:ascii="Arial" w:hAnsi="Arial" w:cs="Arial"/>
                <w:color w:val="000000" w:themeColor="text1"/>
              </w:rPr>
              <w:t>7</w:t>
            </w:r>
            <w:r w:rsidRPr="00BD4D33">
              <w:rPr>
                <w:rFonts w:ascii="Arial" w:hAnsi="Arial" w:cs="Arial"/>
                <w:color w:val="000000" w:themeColor="text1"/>
                <w:position w:val="11"/>
                <w:vertAlign w:val="superscript"/>
              </w:rPr>
              <w:t>Y</w:t>
            </w:r>
          </w:p>
        </w:tc>
        <w:tc>
          <w:tcPr>
            <w:tcW w:w="1210" w:type="pct"/>
            <w:hideMark/>
          </w:tcPr>
          <w:p w14:paraId="152F7BB9" w14:textId="59438765" w:rsidR="00C13730" w:rsidRPr="00BD4D33" w:rsidRDefault="00C13730" w:rsidP="00C13730">
            <w:pPr>
              <w:jc w:val="center"/>
              <w:rPr>
                <w:rFonts w:ascii="Arial" w:hAnsi="Arial" w:cs="Arial"/>
                <w:vertAlign w:val="superscript"/>
              </w:rPr>
            </w:pPr>
            <w:r w:rsidRPr="00BD4D33">
              <w:rPr>
                <w:rFonts w:ascii="Arial" w:hAnsi="Arial" w:cs="Arial"/>
                <w:color w:val="000000" w:themeColor="text1"/>
              </w:rPr>
              <w:t>0.36±0.</w:t>
            </w:r>
            <w:r w:rsidR="00627F11" w:rsidRPr="00BD4D33">
              <w:rPr>
                <w:rFonts w:ascii="Arial" w:hAnsi="Arial" w:cs="Arial"/>
                <w:color w:val="000000" w:themeColor="text1"/>
              </w:rPr>
              <w:t>0</w:t>
            </w:r>
            <w:r w:rsidRPr="00BD4D33">
              <w:rPr>
                <w:rFonts w:ascii="Arial" w:hAnsi="Arial" w:cs="Arial"/>
                <w:color w:val="000000" w:themeColor="text1"/>
              </w:rPr>
              <w:t>8</w:t>
            </w:r>
            <w:r w:rsidRPr="00BD4D33">
              <w:rPr>
                <w:rFonts w:ascii="Arial" w:hAnsi="Arial" w:cs="Arial"/>
                <w:color w:val="000000" w:themeColor="text1"/>
                <w:position w:val="11"/>
                <w:vertAlign w:val="superscript"/>
              </w:rPr>
              <w:t>Y</w:t>
            </w:r>
          </w:p>
        </w:tc>
      </w:tr>
      <w:tr w:rsidR="00C13730" w:rsidRPr="00BD4D33" w14:paraId="1C17CC3E" w14:textId="77777777" w:rsidTr="00647695">
        <w:trPr>
          <w:trHeight w:val="240"/>
        </w:trPr>
        <w:tc>
          <w:tcPr>
            <w:tcW w:w="1184" w:type="pct"/>
            <w:tcBorders>
              <w:right w:val="single" w:sz="4" w:space="0" w:color="auto"/>
            </w:tcBorders>
            <w:noWrap/>
            <w:vAlign w:val="bottom"/>
            <w:hideMark/>
          </w:tcPr>
          <w:p w14:paraId="2A45D38B" w14:textId="0726A5ED" w:rsidR="00C13730" w:rsidRPr="00BD4D33" w:rsidRDefault="00C13730" w:rsidP="00C13730">
            <w:pPr>
              <w:jc w:val="center"/>
              <w:rPr>
                <w:rFonts w:ascii="Arial" w:hAnsi="Arial" w:cs="Arial"/>
                <w:b/>
                <w:bCs/>
              </w:rPr>
            </w:pPr>
            <w:r w:rsidRPr="00BD4D33">
              <w:rPr>
                <w:rFonts w:ascii="Arial" w:eastAsia="Times New Roman" w:hAnsi="Arial" w:cs="Arial"/>
                <w:color w:val="000000"/>
                <w:kern w:val="0"/>
                <w:lang w:eastAsia="en-IN"/>
                <w14:ligatures w14:val="none"/>
              </w:rPr>
              <w:t>35</w:t>
            </w:r>
            <w:r w:rsidRPr="00BD4D33">
              <w:rPr>
                <w:rFonts w:ascii="Arial" w:eastAsia="Times New Roman" w:hAnsi="Arial" w:cs="Arial"/>
                <w:color w:val="000000"/>
                <w:kern w:val="0"/>
                <w:vertAlign w:val="superscript"/>
                <w:lang w:eastAsia="en-IN"/>
                <w14:ligatures w14:val="none"/>
              </w:rPr>
              <w:t>th</w:t>
            </w:r>
            <w:r w:rsidRPr="00BD4D33">
              <w:rPr>
                <w:rFonts w:ascii="Arial" w:eastAsia="Times New Roman" w:hAnsi="Arial" w:cs="Arial"/>
                <w:color w:val="000000"/>
                <w:kern w:val="0"/>
                <w:lang w:eastAsia="en-IN"/>
                <w14:ligatures w14:val="none"/>
              </w:rPr>
              <w:t xml:space="preserve"> day</w:t>
            </w:r>
          </w:p>
        </w:tc>
        <w:tc>
          <w:tcPr>
            <w:tcW w:w="1375" w:type="pct"/>
            <w:tcBorders>
              <w:left w:val="single" w:sz="4" w:space="0" w:color="auto"/>
            </w:tcBorders>
            <w:hideMark/>
          </w:tcPr>
          <w:p w14:paraId="53D1533C" w14:textId="77777777" w:rsidR="00C13730" w:rsidRPr="00BD4D33" w:rsidRDefault="00C13730" w:rsidP="00C13730">
            <w:pPr>
              <w:jc w:val="center"/>
              <w:rPr>
                <w:rFonts w:ascii="Arial" w:hAnsi="Arial" w:cs="Arial"/>
                <w:vertAlign w:val="superscript"/>
              </w:rPr>
            </w:pPr>
            <w:r w:rsidRPr="00BD4D33">
              <w:rPr>
                <w:rFonts w:ascii="Arial" w:hAnsi="Arial" w:cs="Arial"/>
                <w:color w:val="000000" w:themeColor="text1"/>
              </w:rPr>
              <w:t>0.07±0.02</w:t>
            </w:r>
            <w:r w:rsidRPr="00BD4D33">
              <w:rPr>
                <w:rFonts w:ascii="Arial" w:hAnsi="Arial" w:cs="Arial"/>
                <w:color w:val="000000" w:themeColor="text1"/>
                <w:position w:val="11"/>
                <w:vertAlign w:val="superscript"/>
              </w:rPr>
              <w:t>r</w:t>
            </w:r>
          </w:p>
        </w:tc>
        <w:tc>
          <w:tcPr>
            <w:tcW w:w="1231" w:type="pct"/>
            <w:hideMark/>
          </w:tcPr>
          <w:p w14:paraId="7AA77675" w14:textId="77777777" w:rsidR="00C13730" w:rsidRPr="00BD4D33" w:rsidRDefault="00C13730" w:rsidP="00C13730">
            <w:pPr>
              <w:jc w:val="center"/>
              <w:rPr>
                <w:rFonts w:ascii="Arial" w:hAnsi="Arial" w:cs="Arial"/>
                <w:vertAlign w:val="superscript"/>
              </w:rPr>
            </w:pPr>
            <w:r w:rsidRPr="00BD4D33">
              <w:rPr>
                <w:rFonts w:ascii="Arial" w:hAnsi="Arial" w:cs="Arial"/>
                <w:color w:val="000000" w:themeColor="text1"/>
              </w:rPr>
              <w:t>0.49±0.12</w:t>
            </w:r>
            <w:r w:rsidRPr="00BD4D33">
              <w:rPr>
                <w:rFonts w:ascii="Arial" w:hAnsi="Arial" w:cs="Arial"/>
                <w:color w:val="000000" w:themeColor="text1"/>
                <w:position w:val="11"/>
                <w:vertAlign w:val="superscript"/>
              </w:rPr>
              <w:t>r</w:t>
            </w:r>
          </w:p>
        </w:tc>
        <w:tc>
          <w:tcPr>
            <w:tcW w:w="1210" w:type="pct"/>
            <w:hideMark/>
          </w:tcPr>
          <w:p w14:paraId="0578509B" w14:textId="77777777" w:rsidR="00C13730" w:rsidRPr="00BD4D33" w:rsidRDefault="00C13730" w:rsidP="00C13730">
            <w:pPr>
              <w:jc w:val="center"/>
              <w:rPr>
                <w:rFonts w:ascii="Arial" w:hAnsi="Arial" w:cs="Arial"/>
                <w:vertAlign w:val="superscript"/>
              </w:rPr>
            </w:pPr>
            <w:r w:rsidRPr="00BD4D33">
              <w:rPr>
                <w:rFonts w:ascii="Arial" w:hAnsi="Arial" w:cs="Arial"/>
                <w:color w:val="000000" w:themeColor="text1"/>
              </w:rPr>
              <w:t>0.45±0.10</w:t>
            </w:r>
            <w:r w:rsidRPr="00BD4D33">
              <w:rPr>
                <w:rFonts w:ascii="Arial" w:hAnsi="Arial" w:cs="Arial"/>
                <w:color w:val="000000" w:themeColor="text1"/>
                <w:position w:val="11"/>
                <w:vertAlign w:val="superscript"/>
              </w:rPr>
              <w:t>rs</w:t>
            </w:r>
          </w:p>
        </w:tc>
      </w:tr>
      <w:tr w:rsidR="00C13730" w:rsidRPr="00BD4D33" w14:paraId="394BD31E" w14:textId="77777777" w:rsidTr="00647695">
        <w:trPr>
          <w:trHeight w:val="240"/>
        </w:trPr>
        <w:tc>
          <w:tcPr>
            <w:tcW w:w="1184" w:type="pct"/>
            <w:tcBorders>
              <w:right w:val="single" w:sz="4" w:space="0" w:color="auto"/>
            </w:tcBorders>
            <w:noWrap/>
            <w:vAlign w:val="bottom"/>
            <w:hideMark/>
          </w:tcPr>
          <w:p w14:paraId="58033978" w14:textId="6234A571" w:rsidR="00C13730" w:rsidRPr="00BD4D33" w:rsidRDefault="00C13730" w:rsidP="00C13730">
            <w:pPr>
              <w:jc w:val="center"/>
              <w:rPr>
                <w:rFonts w:ascii="Arial" w:hAnsi="Arial" w:cs="Arial"/>
                <w:b/>
                <w:bCs/>
              </w:rPr>
            </w:pPr>
            <w:r w:rsidRPr="00BD4D33">
              <w:rPr>
                <w:rFonts w:ascii="Arial" w:eastAsia="Times New Roman" w:hAnsi="Arial" w:cs="Arial"/>
                <w:color w:val="000000"/>
                <w:kern w:val="0"/>
                <w:lang w:eastAsia="en-IN"/>
                <w14:ligatures w14:val="none"/>
              </w:rPr>
              <w:t>42</w:t>
            </w:r>
            <w:r w:rsidRPr="00BD4D33">
              <w:rPr>
                <w:rFonts w:ascii="Arial" w:eastAsia="Times New Roman" w:hAnsi="Arial" w:cs="Arial"/>
                <w:color w:val="000000"/>
                <w:kern w:val="0"/>
                <w:vertAlign w:val="superscript"/>
                <w:lang w:eastAsia="en-IN"/>
                <w14:ligatures w14:val="none"/>
              </w:rPr>
              <w:t>nd</w:t>
            </w:r>
            <w:r w:rsidRPr="00BD4D33">
              <w:rPr>
                <w:rFonts w:ascii="Arial" w:eastAsia="Times New Roman" w:hAnsi="Arial" w:cs="Arial"/>
                <w:color w:val="000000"/>
                <w:kern w:val="0"/>
                <w:lang w:eastAsia="en-IN"/>
                <w14:ligatures w14:val="none"/>
              </w:rPr>
              <w:t xml:space="preserve"> day</w:t>
            </w:r>
          </w:p>
        </w:tc>
        <w:tc>
          <w:tcPr>
            <w:tcW w:w="1375" w:type="pct"/>
            <w:tcBorders>
              <w:left w:val="single" w:sz="4" w:space="0" w:color="auto"/>
            </w:tcBorders>
            <w:hideMark/>
          </w:tcPr>
          <w:p w14:paraId="0EC08D5C" w14:textId="77777777" w:rsidR="00C13730" w:rsidRPr="00BD4D33" w:rsidRDefault="00C13730" w:rsidP="00C13730">
            <w:pPr>
              <w:jc w:val="center"/>
              <w:rPr>
                <w:rFonts w:ascii="Arial" w:hAnsi="Arial" w:cs="Arial"/>
                <w:vertAlign w:val="superscript"/>
              </w:rPr>
            </w:pPr>
            <w:r w:rsidRPr="00BD4D33">
              <w:rPr>
                <w:rFonts w:ascii="Arial" w:hAnsi="Arial" w:cs="Arial"/>
                <w:color w:val="000000" w:themeColor="text1"/>
              </w:rPr>
              <w:t>0.23±0.03</w:t>
            </w:r>
            <w:r w:rsidRPr="00BD4D33">
              <w:rPr>
                <w:rFonts w:ascii="Arial" w:hAnsi="Arial" w:cs="Arial"/>
                <w:color w:val="000000" w:themeColor="text1"/>
                <w:position w:val="11"/>
                <w:vertAlign w:val="superscript"/>
              </w:rPr>
              <w:t>MN</w:t>
            </w:r>
          </w:p>
        </w:tc>
        <w:tc>
          <w:tcPr>
            <w:tcW w:w="1231" w:type="pct"/>
            <w:hideMark/>
          </w:tcPr>
          <w:p w14:paraId="51C052C3" w14:textId="122006BD" w:rsidR="00C13730" w:rsidRPr="00BD4D33" w:rsidRDefault="00C13730" w:rsidP="00C13730">
            <w:pPr>
              <w:jc w:val="center"/>
              <w:rPr>
                <w:rFonts w:ascii="Arial" w:hAnsi="Arial" w:cs="Arial"/>
                <w:vertAlign w:val="superscript"/>
              </w:rPr>
            </w:pPr>
            <w:r w:rsidRPr="00BD4D33">
              <w:rPr>
                <w:rFonts w:ascii="Arial" w:hAnsi="Arial" w:cs="Arial"/>
                <w:color w:val="000000" w:themeColor="text1"/>
              </w:rPr>
              <w:t>0.61±0.036</w:t>
            </w:r>
            <w:r w:rsidRPr="00BD4D33">
              <w:rPr>
                <w:rFonts w:ascii="Arial" w:hAnsi="Arial" w:cs="Arial"/>
                <w:color w:val="000000" w:themeColor="text1"/>
                <w:position w:val="11"/>
                <w:vertAlign w:val="superscript"/>
              </w:rPr>
              <w:t>M</w:t>
            </w:r>
          </w:p>
        </w:tc>
        <w:tc>
          <w:tcPr>
            <w:tcW w:w="1210" w:type="pct"/>
            <w:hideMark/>
          </w:tcPr>
          <w:p w14:paraId="5A33DFAD" w14:textId="77777777" w:rsidR="00C13730" w:rsidRPr="00BD4D33" w:rsidRDefault="00C13730" w:rsidP="00C13730">
            <w:pPr>
              <w:jc w:val="center"/>
              <w:rPr>
                <w:rFonts w:ascii="Arial" w:hAnsi="Arial" w:cs="Arial"/>
                <w:vertAlign w:val="superscript"/>
              </w:rPr>
            </w:pPr>
            <w:r w:rsidRPr="00BD4D33">
              <w:rPr>
                <w:rFonts w:ascii="Arial" w:hAnsi="Arial" w:cs="Arial"/>
                <w:color w:val="000000" w:themeColor="text1"/>
              </w:rPr>
              <w:t>0.55±0.14</w:t>
            </w:r>
            <w:r w:rsidRPr="00BD4D33">
              <w:rPr>
                <w:rFonts w:ascii="Arial" w:hAnsi="Arial" w:cs="Arial"/>
                <w:color w:val="000000" w:themeColor="text1"/>
                <w:position w:val="11"/>
                <w:vertAlign w:val="superscript"/>
              </w:rPr>
              <w:t>MN</w:t>
            </w:r>
          </w:p>
        </w:tc>
      </w:tr>
      <w:tr w:rsidR="00C13730" w:rsidRPr="00BD4D33" w14:paraId="4910C28B" w14:textId="77777777" w:rsidTr="00647695">
        <w:trPr>
          <w:trHeight w:val="240"/>
        </w:trPr>
        <w:tc>
          <w:tcPr>
            <w:tcW w:w="1184" w:type="pct"/>
            <w:tcBorders>
              <w:right w:val="single" w:sz="4" w:space="0" w:color="auto"/>
            </w:tcBorders>
            <w:noWrap/>
            <w:vAlign w:val="bottom"/>
            <w:hideMark/>
          </w:tcPr>
          <w:p w14:paraId="2CEF031C" w14:textId="7732D657" w:rsidR="00C13730" w:rsidRPr="00BD4D33" w:rsidRDefault="00C13730" w:rsidP="00C13730">
            <w:pPr>
              <w:jc w:val="center"/>
              <w:rPr>
                <w:rFonts w:ascii="Arial" w:hAnsi="Arial" w:cs="Arial"/>
                <w:b/>
                <w:bCs/>
              </w:rPr>
            </w:pPr>
            <w:r w:rsidRPr="00BD4D33">
              <w:rPr>
                <w:rFonts w:ascii="Arial" w:eastAsia="Times New Roman" w:hAnsi="Arial" w:cs="Arial"/>
                <w:color w:val="000000"/>
                <w:kern w:val="0"/>
                <w:lang w:eastAsia="en-IN"/>
                <w14:ligatures w14:val="none"/>
              </w:rPr>
              <w:t>49</w:t>
            </w:r>
            <w:r w:rsidRPr="00BD4D33">
              <w:rPr>
                <w:rFonts w:ascii="Arial" w:eastAsia="Times New Roman" w:hAnsi="Arial" w:cs="Arial"/>
                <w:color w:val="000000"/>
                <w:kern w:val="0"/>
                <w:vertAlign w:val="superscript"/>
                <w:lang w:eastAsia="en-IN"/>
                <w14:ligatures w14:val="none"/>
              </w:rPr>
              <w:t>th</w:t>
            </w:r>
            <w:r w:rsidRPr="00BD4D33">
              <w:rPr>
                <w:rFonts w:ascii="Arial" w:eastAsia="Times New Roman" w:hAnsi="Arial" w:cs="Arial"/>
                <w:color w:val="000000"/>
                <w:kern w:val="0"/>
                <w:lang w:eastAsia="en-IN"/>
                <w14:ligatures w14:val="none"/>
              </w:rPr>
              <w:t xml:space="preserve"> day</w:t>
            </w:r>
          </w:p>
        </w:tc>
        <w:tc>
          <w:tcPr>
            <w:tcW w:w="1375" w:type="pct"/>
            <w:tcBorders>
              <w:left w:val="single" w:sz="4" w:space="0" w:color="auto"/>
            </w:tcBorders>
            <w:hideMark/>
          </w:tcPr>
          <w:p w14:paraId="68572183" w14:textId="77777777" w:rsidR="00C13730" w:rsidRPr="00BD4D33" w:rsidRDefault="00C13730" w:rsidP="00C13730">
            <w:pPr>
              <w:jc w:val="center"/>
              <w:rPr>
                <w:rFonts w:ascii="Arial" w:hAnsi="Arial" w:cs="Arial"/>
                <w:vertAlign w:val="superscript"/>
              </w:rPr>
            </w:pPr>
            <w:r w:rsidRPr="00BD4D33">
              <w:rPr>
                <w:rFonts w:ascii="Arial" w:hAnsi="Arial" w:cs="Arial"/>
                <w:color w:val="000000" w:themeColor="text1"/>
              </w:rPr>
              <w:t>0.30±0.02</w:t>
            </w:r>
            <w:r w:rsidRPr="00BD4D33">
              <w:rPr>
                <w:rFonts w:ascii="Arial" w:hAnsi="Arial" w:cs="Arial"/>
                <w:color w:val="000000" w:themeColor="text1"/>
                <w:position w:val="11"/>
                <w:vertAlign w:val="superscript"/>
              </w:rPr>
              <w:t>yz</w:t>
            </w:r>
          </w:p>
        </w:tc>
        <w:tc>
          <w:tcPr>
            <w:tcW w:w="1231" w:type="pct"/>
            <w:hideMark/>
          </w:tcPr>
          <w:p w14:paraId="27D4FB6B" w14:textId="78834833" w:rsidR="00C13730" w:rsidRPr="00BD4D33" w:rsidRDefault="00C13730" w:rsidP="00C13730">
            <w:pPr>
              <w:jc w:val="center"/>
              <w:rPr>
                <w:rFonts w:ascii="Arial" w:hAnsi="Arial" w:cs="Arial"/>
                <w:vertAlign w:val="superscript"/>
              </w:rPr>
            </w:pPr>
            <w:r w:rsidRPr="00BD4D33">
              <w:rPr>
                <w:rFonts w:ascii="Arial" w:hAnsi="Arial" w:cs="Arial"/>
                <w:color w:val="000000" w:themeColor="text1"/>
              </w:rPr>
              <w:t>0.54±0.09</w:t>
            </w:r>
            <w:r w:rsidRPr="00BD4D33">
              <w:rPr>
                <w:rFonts w:ascii="Arial" w:hAnsi="Arial" w:cs="Arial"/>
                <w:color w:val="000000" w:themeColor="text1"/>
                <w:position w:val="11"/>
                <w:vertAlign w:val="superscript"/>
              </w:rPr>
              <w:t>y</w:t>
            </w:r>
          </w:p>
        </w:tc>
        <w:tc>
          <w:tcPr>
            <w:tcW w:w="1210" w:type="pct"/>
            <w:hideMark/>
          </w:tcPr>
          <w:p w14:paraId="30BDFEAE" w14:textId="77777777" w:rsidR="00C13730" w:rsidRPr="00BD4D33" w:rsidRDefault="00C13730" w:rsidP="00C13730">
            <w:pPr>
              <w:jc w:val="center"/>
              <w:rPr>
                <w:rFonts w:ascii="Arial" w:hAnsi="Arial" w:cs="Arial"/>
                <w:vertAlign w:val="superscript"/>
              </w:rPr>
            </w:pPr>
            <w:r w:rsidRPr="00BD4D33">
              <w:rPr>
                <w:rFonts w:ascii="Arial" w:hAnsi="Arial" w:cs="Arial"/>
                <w:color w:val="000000" w:themeColor="text1"/>
              </w:rPr>
              <w:t>0.45±0.06</w:t>
            </w:r>
            <w:r w:rsidRPr="00BD4D33">
              <w:rPr>
                <w:rFonts w:ascii="Arial" w:hAnsi="Arial" w:cs="Arial"/>
                <w:color w:val="000000" w:themeColor="text1"/>
                <w:position w:val="11"/>
                <w:vertAlign w:val="superscript"/>
              </w:rPr>
              <w:t>yz</w:t>
            </w:r>
          </w:p>
        </w:tc>
      </w:tr>
      <w:tr w:rsidR="00C13730" w:rsidRPr="00BD4D33" w14:paraId="40F7738D" w14:textId="77777777" w:rsidTr="00647695">
        <w:trPr>
          <w:trHeight w:val="240"/>
        </w:trPr>
        <w:tc>
          <w:tcPr>
            <w:tcW w:w="1184" w:type="pct"/>
            <w:tcBorders>
              <w:right w:val="single" w:sz="4" w:space="0" w:color="auto"/>
            </w:tcBorders>
            <w:noWrap/>
            <w:vAlign w:val="bottom"/>
            <w:hideMark/>
          </w:tcPr>
          <w:p w14:paraId="230430A7" w14:textId="1697C7B6" w:rsidR="00C13730" w:rsidRPr="00BD4D33" w:rsidRDefault="00C13730" w:rsidP="00C13730">
            <w:pPr>
              <w:jc w:val="center"/>
              <w:rPr>
                <w:rFonts w:ascii="Arial" w:hAnsi="Arial" w:cs="Arial"/>
                <w:b/>
                <w:bCs/>
              </w:rPr>
            </w:pPr>
            <w:r w:rsidRPr="00BD4D33">
              <w:rPr>
                <w:rFonts w:ascii="Arial" w:eastAsia="Times New Roman" w:hAnsi="Arial" w:cs="Arial"/>
                <w:color w:val="000000"/>
                <w:kern w:val="0"/>
                <w:lang w:eastAsia="en-IN"/>
                <w14:ligatures w14:val="none"/>
              </w:rPr>
              <w:t>56</w:t>
            </w:r>
            <w:r w:rsidRPr="00BD4D33">
              <w:rPr>
                <w:rFonts w:ascii="Arial" w:eastAsia="Times New Roman" w:hAnsi="Arial" w:cs="Arial"/>
                <w:color w:val="000000"/>
                <w:kern w:val="0"/>
                <w:vertAlign w:val="superscript"/>
                <w:lang w:eastAsia="en-IN"/>
                <w14:ligatures w14:val="none"/>
              </w:rPr>
              <w:t>th</w:t>
            </w:r>
            <w:r w:rsidRPr="00BD4D33">
              <w:rPr>
                <w:rFonts w:ascii="Arial" w:eastAsia="Times New Roman" w:hAnsi="Arial" w:cs="Arial"/>
                <w:color w:val="000000"/>
                <w:kern w:val="0"/>
                <w:lang w:eastAsia="en-IN"/>
                <w14:ligatures w14:val="none"/>
              </w:rPr>
              <w:t xml:space="preserve"> day</w:t>
            </w:r>
          </w:p>
        </w:tc>
        <w:tc>
          <w:tcPr>
            <w:tcW w:w="1375" w:type="pct"/>
            <w:tcBorders>
              <w:left w:val="single" w:sz="4" w:space="0" w:color="auto"/>
            </w:tcBorders>
            <w:hideMark/>
          </w:tcPr>
          <w:p w14:paraId="72CB4E8E" w14:textId="77777777" w:rsidR="00C13730" w:rsidRPr="00BD4D33" w:rsidRDefault="00C13730" w:rsidP="00C13730">
            <w:pPr>
              <w:jc w:val="center"/>
              <w:rPr>
                <w:rFonts w:ascii="Arial" w:hAnsi="Arial" w:cs="Arial"/>
                <w:vertAlign w:val="superscript"/>
              </w:rPr>
            </w:pPr>
            <w:r w:rsidRPr="00BD4D33">
              <w:rPr>
                <w:rFonts w:ascii="Arial" w:hAnsi="Arial" w:cs="Arial"/>
                <w:color w:val="000000" w:themeColor="text1"/>
              </w:rPr>
              <w:t>0.34±0.10</w:t>
            </w:r>
            <w:r w:rsidRPr="00BD4D33">
              <w:rPr>
                <w:rFonts w:ascii="Arial" w:hAnsi="Arial" w:cs="Arial"/>
                <w:color w:val="000000" w:themeColor="text1"/>
                <w:position w:val="11"/>
                <w:vertAlign w:val="superscript"/>
              </w:rPr>
              <w:t>CD</w:t>
            </w:r>
          </w:p>
        </w:tc>
        <w:tc>
          <w:tcPr>
            <w:tcW w:w="1231" w:type="pct"/>
            <w:hideMark/>
          </w:tcPr>
          <w:p w14:paraId="79BDFBC9" w14:textId="77777777" w:rsidR="00C13730" w:rsidRPr="00BD4D33" w:rsidRDefault="00C13730" w:rsidP="00C13730">
            <w:pPr>
              <w:jc w:val="center"/>
              <w:rPr>
                <w:rFonts w:ascii="Arial" w:hAnsi="Arial" w:cs="Arial"/>
                <w:vertAlign w:val="superscript"/>
              </w:rPr>
            </w:pPr>
            <w:r w:rsidRPr="00BD4D33">
              <w:rPr>
                <w:rFonts w:ascii="Arial" w:hAnsi="Arial" w:cs="Arial"/>
                <w:color w:val="000000" w:themeColor="text1"/>
              </w:rPr>
              <w:t>0.50±0.05</w:t>
            </w:r>
            <w:r w:rsidRPr="00BD4D33">
              <w:rPr>
                <w:rFonts w:ascii="Arial" w:hAnsi="Arial" w:cs="Arial"/>
                <w:color w:val="000000" w:themeColor="text1"/>
                <w:position w:val="11"/>
                <w:vertAlign w:val="superscript"/>
              </w:rPr>
              <w:t>CD</w:t>
            </w:r>
          </w:p>
        </w:tc>
        <w:tc>
          <w:tcPr>
            <w:tcW w:w="1210" w:type="pct"/>
            <w:hideMark/>
          </w:tcPr>
          <w:p w14:paraId="087138F2" w14:textId="77777777" w:rsidR="00C13730" w:rsidRPr="00BD4D33" w:rsidRDefault="00C13730" w:rsidP="00C13730">
            <w:pPr>
              <w:jc w:val="center"/>
              <w:rPr>
                <w:rFonts w:ascii="Arial" w:hAnsi="Arial" w:cs="Arial"/>
                <w:vertAlign w:val="superscript"/>
              </w:rPr>
            </w:pPr>
            <w:r w:rsidRPr="00BD4D33">
              <w:rPr>
                <w:rFonts w:ascii="Arial" w:hAnsi="Arial" w:cs="Arial"/>
                <w:color w:val="000000" w:themeColor="text1"/>
              </w:rPr>
              <w:t>0.70±0.08</w:t>
            </w:r>
            <w:r w:rsidRPr="00BD4D33">
              <w:rPr>
                <w:rFonts w:ascii="Arial" w:hAnsi="Arial" w:cs="Arial"/>
                <w:color w:val="000000" w:themeColor="text1"/>
                <w:position w:val="11"/>
                <w:vertAlign w:val="superscript"/>
              </w:rPr>
              <w:t>C</w:t>
            </w:r>
          </w:p>
        </w:tc>
      </w:tr>
      <w:tr w:rsidR="00C13730" w:rsidRPr="00BD4D33" w14:paraId="2353EC8A" w14:textId="77777777" w:rsidTr="00647695">
        <w:trPr>
          <w:trHeight w:val="240"/>
        </w:trPr>
        <w:tc>
          <w:tcPr>
            <w:tcW w:w="1184" w:type="pct"/>
            <w:tcBorders>
              <w:bottom w:val="single" w:sz="4" w:space="0" w:color="auto"/>
              <w:right w:val="single" w:sz="4" w:space="0" w:color="auto"/>
            </w:tcBorders>
            <w:noWrap/>
            <w:vAlign w:val="bottom"/>
            <w:hideMark/>
          </w:tcPr>
          <w:p w14:paraId="7018BB2A" w14:textId="2ECEA933" w:rsidR="00C13730" w:rsidRPr="00BD4D33" w:rsidRDefault="00C13730" w:rsidP="00C13730">
            <w:pPr>
              <w:jc w:val="center"/>
              <w:rPr>
                <w:rFonts w:ascii="Arial" w:hAnsi="Arial" w:cs="Arial"/>
                <w:b/>
                <w:bCs/>
              </w:rPr>
            </w:pPr>
            <w:r w:rsidRPr="00BD4D33">
              <w:rPr>
                <w:rFonts w:ascii="Arial" w:eastAsia="Times New Roman" w:hAnsi="Arial" w:cs="Arial"/>
                <w:color w:val="000000"/>
                <w:kern w:val="0"/>
                <w:lang w:eastAsia="en-IN"/>
                <w14:ligatures w14:val="none"/>
              </w:rPr>
              <w:t>63</w:t>
            </w:r>
            <w:r w:rsidRPr="00BD4D33">
              <w:rPr>
                <w:rFonts w:ascii="Arial" w:eastAsia="Times New Roman" w:hAnsi="Arial" w:cs="Arial"/>
                <w:color w:val="000000"/>
                <w:kern w:val="0"/>
                <w:vertAlign w:val="superscript"/>
                <w:lang w:eastAsia="en-IN"/>
                <w14:ligatures w14:val="none"/>
              </w:rPr>
              <w:t>rd</w:t>
            </w:r>
            <w:r w:rsidRPr="00BD4D33">
              <w:rPr>
                <w:rFonts w:ascii="Arial" w:eastAsia="Times New Roman" w:hAnsi="Arial" w:cs="Arial"/>
                <w:color w:val="000000"/>
                <w:kern w:val="0"/>
                <w:lang w:eastAsia="en-IN"/>
                <w14:ligatures w14:val="none"/>
              </w:rPr>
              <w:t xml:space="preserve"> day</w:t>
            </w:r>
          </w:p>
        </w:tc>
        <w:tc>
          <w:tcPr>
            <w:tcW w:w="1375" w:type="pct"/>
            <w:tcBorders>
              <w:left w:val="single" w:sz="4" w:space="0" w:color="auto"/>
              <w:bottom w:val="single" w:sz="4" w:space="0" w:color="auto"/>
            </w:tcBorders>
            <w:hideMark/>
          </w:tcPr>
          <w:p w14:paraId="7FD13D61" w14:textId="77777777" w:rsidR="00C13730" w:rsidRPr="00BD4D33" w:rsidRDefault="00C13730" w:rsidP="00C13730">
            <w:pPr>
              <w:jc w:val="center"/>
              <w:rPr>
                <w:rFonts w:ascii="Arial" w:hAnsi="Arial" w:cs="Arial"/>
                <w:vertAlign w:val="superscript"/>
              </w:rPr>
            </w:pPr>
            <w:r w:rsidRPr="00BD4D33">
              <w:rPr>
                <w:rFonts w:ascii="Arial" w:hAnsi="Arial" w:cs="Arial"/>
                <w:color w:val="000000" w:themeColor="text1"/>
              </w:rPr>
              <w:t>0.42±0.11</w:t>
            </w:r>
            <w:r w:rsidRPr="00BD4D33">
              <w:rPr>
                <w:rFonts w:ascii="Arial" w:hAnsi="Arial" w:cs="Arial"/>
                <w:color w:val="000000" w:themeColor="text1"/>
                <w:position w:val="11"/>
                <w:vertAlign w:val="superscript"/>
              </w:rPr>
              <w:t>s</w:t>
            </w:r>
          </w:p>
        </w:tc>
        <w:tc>
          <w:tcPr>
            <w:tcW w:w="1231" w:type="pct"/>
            <w:tcBorders>
              <w:bottom w:val="single" w:sz="4" w:space="0" w:color="auto"/>
            </w:tcBorders>
            <w:hideMark/>
          </w:tcPr>
          <w:p w14:paraId="620E7313" w14:textId="77777777" w:rsidR="00C13730" w:rsidRPr="00BD4D33" w:rsidRDefault="00C13730" w:rsidP="00C13730">
            <w:pPr>
              <w:jc w:val="center"/>
              <w:rPr>
                <w:rFonts w:ascii="Arial" w:hAnsi="Arial" w:cs="Arial"/>
                <w:vertAlign w:val="superscript"/>
              </w:rPr>
            </w:pPr>
            <w:r w:rsidRPr="00BD4D33">
              <w:rPr>
                <w:rFonts w:ascii="Arial" w:hAnsi="Arial" w:cs="Arial"/>
                <w:color w:val="000000" w:themeColor="text1"/>
              </w:rPr>
              <w:t>0.47±0.16</w:t>
            </w:r>
            <w:r w:rsidRPr="00BD4D33">
              <w:rPr>
                <w:rFonts w:ascii="Arial" w:hAnsi="Arial" w:cs="Arial"/>
                <w:color w:val="000000" w:themeColor="text1"/>
                <w:position w:val="11"/>
                <w:vertAlign w:val="superscript"/>
              </w:rPr>
              <w:t>s</w:t>
            </w:r>
          </w:p>
        </w:tc>
        <w:tc>
          <w:tcPr>
            <w:tcW w:w="1210" w:type="pct"/>
            <w:tcBorders>
              <w:bottom w:val="single" w:sz="4" w:space="0" w:color="auto"/>
            </w:tcBorders>
            <w:hideMark/>
          </w:tcPr>
          <w:p w14:paraId="5F617B77" w14:textId="77777777" w:rsidR="00C13730" w:rsidRPr="00BD4D33" w:rsidRDefault="00C13730" w:rsidP="00C13730">
            <w:pPr>
              <w:jc w:val="center"/>
              <w:rPr>
                <w:rFonts w:ascii="Arial" w:hAnsi="Arial" w:cs="Arial"/>
                <w:vertAlign w:val="superscript"/>
              </w:rPr>
            </w:pPr>
            <w:r w:rsidRPr="00BD4D33">
              <w:rPr>
                <w:rFonts w:ascii="Arial" w:hAnsi="Arial" w:cs="Arial"/>
                <w:color w:val="000000" w:themeColor="text1"/>
              </w:rPr>
              <w:t>0.65±0.01</w:t>
            </w:r>
            <w:r w:rsidRPr="00BD4D33">
              <w:rPr>
                <w:rFonts w:ascii="Arial" w:hAnsi="Arial" w:cs="Arial"/>
                <w:color w:val="000000" w:themeColor="text1"/>
                <w:position w:val="11"/>
                <w:vertAlign w:val="superscript"/>
              </w:rPr>
              <w:t>s</w:t>
            </w:r>
          </w:p>
        </w:tc>
      </w:tr>
    </w:tbl>
    <w:p w14:paraId="26747447" w14:textId="6371A3C2" w:rsidR="00C01C55" w:rsidRDefault="00C01C55" w:rsidP="00915BCB">
      <w:pPr>
        <w:spacing w:after="4" w:line="249" w:lineRule="auto"/>
        <w:ind w:left="-5" w:right="-123" w:hanging="10"/>
        <w:jc w:val="center"/>
        <w:rPr>
          <w:rFonts w:ascii="Arial" w:hAnsi="Arial" w:cs="Arial"/>
          <w:bCs/>
          <w:sz w:val="20"/>
          <w:szCs w:val="20"/>
        </w:rPr>
      </w:pPr>
      <w:r w:rsidRPr="008A16D3">
        <w:rPr>
          <w:rFonts w:ascii="Arial" w:hAnsi="Arial" w:cs="Arial"/>
          <w:sz w:val="20"/>
          <w:szCs w:val="20"/>
        </w:rPr>
        <w:t>(</w:t>
      </w:r>
      <w:r w:rsidRPr="008A16D3">
        <w:rPr>
          <w:rFonts w:ascii="Arial" w:hAnsi="Arial" w:cs="Arial"/>
          <w:bCs/>
          <w:sz w:val="20"/>
          <w:szCs w:val="20"/>
        </w:rPr>
        <w:t xml:space="preserve">*Note </w:t>
      </w:r>
      <w:r w:rsidR="00DA6F8B">
        <w:rPr>
          <w:rFonts w:ascii="Arial" w:hAnsi="Arial" w:cs="Arial"/>
          <w:bCs/>
          <w:sz w:val="20"/>
          <w:szCs w:val="20"/>
        </w:rPr>
        <w:t xml:space="preserve">C= Control, </w:t>
      </w:r>
      <w:r w:rsidRPr="008A16D3">
        <w:rPr>
          <w:rFonts w:ascii="Arial" w:hAnsi="Arial" w:cs="Arial"/>
          <w:bCs/>
          <w:sz w:val="20"/>
          <w:szCs w:val="20"/>
        </w:rPr>
        <w:t xml:space="preserve">T1= Bio-floc (20:1), </w:t>
      </w:r>
      <w:r w:rsidR="00A96EE9">
        <w:rPr>
          <w:rFonts w:ascii="Arial" w:hAnsi="Arial" w:cs="Arial"/>
          <w:bCs/>
          <w:sz w:val="20"/>
          <w:szCs w:val="20"/>
        </w:rPr>
        <w:t>T2</w:t>
      </w:r>
      <w:r w:rsidRPr="008A16D3">
        <w:rPr>
          <w:rFonts w:ascii="Arial" w:hAnsi="Arial" w:cs="Arial"/>
          <w:bCs/>
          <w:sz w:val="20"/>
          <w:szCs w:val="20"/>
        </w:rPr>
        <w:t>=Biofloc (20:1) + 0.5% Jeevamruth; The mean values followed by the different superscript letters in each factor indicate significant difference at 0.05.)</w:t>
      </w:r>
    </w:p>
    <w:p w14:paraId="799CF514" w14:textId="4C8B0B86" w:rsidR="00EA74D9" w:rsidRPr="006079B2" w:rsidRDefault="00EA74D9" w:rsidP="00E61B4E">
      <w:pPr>
        <w:rPr>
          <w:rFonts w:ascii="Arial" w:hAnsi="Arial" w:cs="Arial"/>
          <w:b/>
          <w:bCs/>
        </w:rPr>
      </w:pPr>
    </w:p>
    <w:p w14:paraId="3FEB4F2B" w14:textId="7BA32033" w:rsidR="00D36CCF" w:rsidRDefault="005E1806" w:rsidP="00E61B4E">
      <w:pPr>
        <w:rPr>
          <w:rFonts w:ascii="Arial" w:hAnsi="Arial" w:cs="Arial"/>
          <w:b/>
          <w:bCs/>
        </w:rPr>
      </w:pPr>
      <w:r>
        <w:rPr>
          <w:rFonts w:ascii="Arial" w:hAnsi="Arial" w:cs="Arial"/>
          <w:noProof/>
        </w:rPr>
        <w:lastRenderedPageBreak/>
        <mc:AlternateContent>
          <mc:Choice Requires="wpg">
            <w:drawing>
              <wp:anchor distT="0" distB="0" distL="114300" distR="114300" simplePos="0" relativeHeight="251680768" behindDoc="0" locked="0" layoutInCell="1" allowOverlap="1" wp14:anchorId="474F14A2" wp14:editId="3F050020">
                <wp:simplePos x="0" y="0"/>
                <wp:positionH relativeFrom="margin">
                  <wp:align>center</wp:align>
                </wp:positionH>
                <wp:positionV relativeFrom="paragraph">
                  <wp:posOffset>2360270</wp:posOffset>
                </wp:positionV>
                <wp:extent cx="869950" cy="204470"/>
                <wp:effectExtent l="0" t="0" r="25400" b="24130"/>
                <wp:wrapNone/>
                <wp:docPr id="52959609" name="Group 9"/>
                <wp:cNvGraphicFramePr/>
                <a:graphic xmlns:a="http://schemas.openxmlformats.org/drawingml/2006/main">
                  <a:graphicData uri="http://schemas.microsoft.com/office/word/2010/wordprocessingGroup">
                    <wpg:wgp>
                      <wpg:cNvGrpSpPr/>
                      <wpg:grpSpPr>
                        <a:xfrm>
                          <a:off x="0" y="0"/>
                          <a:ext cx="869950" cy="204470"/>
                          <a:chOff x="0" y="0"/>
                          <a:chExt cx="869950" cy="204470"/>
                        </a:xfrm>
                      </wpg:grpSpPr>
                      <wps:wsp>
                        <wps:cNvPr id="1835446497" name="Text Box 4"/>
                        <wps:cNvSpPr txBox="1"/>
                        <wps:spPr>
                          <a:xfrm>
                            <a:off x="0" y="0"/>
                            <a:ext cx="869950" cy="204470"/>
                          </a:xfrm>
                          <a:prstGeom prst="rect">
                            <a:avLst/>
                          </a:prstGeom>
                          <a:solidFill>
                            <a:schemeClr val="lt1"/>
                          </a:solidFill>
                          <a:ln w="12700">
                            <a:solidFill>
                              <a:prstClr val="black"/>
                            </a:solidFill>
                          </a:ln>
                        </wps:spPr>
                        <wps:txbx>
                          <w:txbxContent>
                            <w:p w14:paraId="33FCEA99" w14:textId="77777777" w:rsidR="00B435F6" w:rsidRPr="00015425" w:rsidRDefault="00B435F6" w:rsidP="00015425">
                              <w:pPr>
                                <w:rPr>
                                  <w:color w:val="808080" w:themeColor="background1" w:themeShade="80"/>
                                  <w:sz w:val="16"/>
                                  <w:szCs w:val="16"/>
                                  <w:lang w:val="en-US"/>
                                </w:rPr>
                              </w:pPr>
                              <w:r w:rsidRPr="00015425">
                                <w:rPr>
                                  <w:color w:val="808080" w:themeColor="background1" w:themeShade="80"/>
                                  <w:sz w:val="16"/>
                                  <w:szCs w:val="16"/>
                                  <w:lang w:val="en-US"/>
                                </w:rPr>
                                <w:t xml:space="preserve">    C       T1</w:t>
                              </w:r>
                              <w:r w:rsidRPr="00015425">
                                <w:rPr>
                                  <w:color w:val="808080" w:themeColor="background1" w:themeShade="80"/>
                                  <w:sz w:val="16"/>
                                  <w:szCs w:val="16"/>
                                  <w:lang w:val="en-US"/>
                                </w:rPr>
                                <w:tab/>
                                <w:t xml:space="preserve">     T2</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298800674" name="Rectangle 5"/>
                        <wps:cNvSpPr/>
                        <wps:spPr>
                          <a:xfrm>
                            <a:off x="98854" y="89586"/>
                            <a:ext cx="60960" cy="60960"/>
                          </a:xfrm>
                          <a:prstGeom prst="rect">
                            <a:avLst/>
                          </a:prstGeom>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879062640" name="Rectangle 5"/>
                        <wps:cNvSpPr/>
                        <wps:spPr>
                          <a:xfrm>
                            <a:off x="315097" y="89586"/>
                            <a:ext cx="60960" cy="60960"/>
                          </a:xfrm>
                          <a:prstGeom prst="rect">
                            <a:avLst/>
                          </a:prstGeom>
                          <a:solidFill>
                            <a:schemeClr val="accent2"/>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537400461" name="Rectangle 5"/>
                        <wps:cNvSpPr/>
                        <wps:spPr>
                          <a:xfrm>
                            <a:off x="574589" y="86497"/>
                            <a:ext cx="60960" cy="60960"/>
                          </a:xfrm>
                          <a:prstGeom prst="rect">
                            <a:avLst/>
                          </a:prstGeom>
                          <a:solidFill>
                            <a:schemeClr val="bg1">
                              <a:lumMod val="65000"/>
                            </a:schemeClr>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474F14A2" id="_x0000_s1056" style="position:absolute;margin-left:0;margin-top:185.85pt;width:68.5pt;height:16.1pt;z-index:251680768;mso-position-horizontal:center;mso-position-horizontal-relative:margin;mso-width-relative:margin;mso-height-relative:margin" coordsize="8699,204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">
                <v:shape id="_x0000_s1057" type="#_x0000_t202" style="position:absolute;width:8699;height:20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" fillcolor="white [3201]" strokeweight="1pt">
                  <v:textbox>
                    <w:txbxContent>
                      <w:p w14:paraId="33FCEA99" w14:textId="77777777" w:rsidR="00B435F6" w:rsidRPr="00015425" w:rsidRDefault="00B435F6" w:rsidP="00015425">
                        <w:pPr>
                          <w:rPr>
                            <w:color w:val="808080" w:themeColor="background1" w:themeShade="80"/>
                            <w:sz w:val="16"/>
                            <w:szCs w:val="16"/>
                            <w:lang w:val="en-US"/>
                          </w:rPr>
                        </w:pPr>
                        <w:r w:rsidRPr="00015425">
                          <w:rPr>
                            <w:color w:val="808080" w:themeColor="background1" w:themeShade="80"/>
                            <w:sz w:val="16"/>
                            <w:szCs w:val="16"/>
                            <w:lang w:val="en-US"/>
                          </w:rPr>
                          <w:t xml:space="preserve">    C       T1</w:t>
                        </w:r>
                        <w:r w:rsidRPr="00015425">
                          <w:rPr>
                            <w:color w:val="808080" w:themeColor="background1" w:themeShade="80"/>
                            <w:sz w:val="16"/>
                            <w:szCs w:val="16"/>
                            <w:lang w:val="en-US"/>
                          </w:rPr>
                          <w:tab/>
                          <w:t xml:space="preserve">     T2</w:t>
                        </w:r>
                      </w:p>
                    </w:txbxContent>
                  </v:textbox>
                </v:shape>
                <v:rect id="Rectangle 5" o:spid="_x0000_s1058" style="position:absolute;left:988;top:895;width:610;height:61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" fillcolor="#4472c4 [3204]" stroked="f" strokeweight="1pt"/>
                <v:rect id="Rectangle 5" o:spid="_x0000_s1059" style="position:absolute;left:3150;top:895;width:610;height:61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" fillcolor="#ed7d31 [3205]" stroked="f" strokeweight="1pt"/>
                <v:rect id="Rectangle 5" o:spid="_x0000_s1060" style="position:absolute;left:5745;top:864;width:610;height:61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" fillcolor="#a5a5a5 [2092]" stroked="f" strokeweight="1pt"/>
                <w10:wrap anchorx="margin"/>
              </v:group>
            </w:pict>
          </mc:Fallback>
        </mc:AlternateContent>
      </w:r>
      <w:r w:rsidR="00D36CCF" w:rsidRPr="006079B2">
        <w:rPr>
          <w:rFonts w:ascii="Arial" w:hAnsi="Arial" w:cs="Arial"/>
          <w:b/>
          <w:bCs/>
          <w:noProof/>
        </w:rPr>
        <w:drawing>
          <wp:inline distT="0" distB="0" distL="0" distR="0" wp14:anchorId="2506CCB1" wp14:editId="7870B9E9">
            <wp:extent cx="5486400" cy="2346960"/>
            <wp:effectExtent l="0" t="0" r="0" b="0"/>
            <wp:docPr id="1633007105" name="Chart 7"/>
            <wp:cNvGraphicFramePr/>
            <a:graphic xmlns:a="http://schemas.openxmlformats.org/drawingml/2006/main">
              <a:graphicData uri="http://schemas.openxmlformats.org/drawingml/2006/chart">
                <c:chart xmlns:c="http://schemas.openxmlformats.org/drawingml/2006/chart" xmlns:r="http://schemas.openxmlformats.org/officeDocument/2006/relationships" r:id="rId23"/>
              </a:graphicData>
            </a:graphic>
          </wp:inline>
        </w:drawing>
      </w:r>
    </w:p>
    <w:p w14:paraId="6B815A22" w14:textId="77777777" w:rsidR="00726987" w:rsidRDefault="00726987" w:rsidP="00726987">
      <w:pPr>
        <w:spacing w:line="360" w:lineRule="auto"/>
        <w:jc w:val="center"/>
        <w:rPr>
          <w:rFonts w:ascii="Arial" w:hAnsi="Arial" w:cs="Arial"/>
          <w:b/>
          <w:sz w:val="20"/>
          <w:szCs w:val="20"/>
        </w:rPr>
      </w:pPr>
    </w:p>
    <w:p w14:paraId="7AF37C01" w14:textId="3532A92D" w:rsidR="006078DB" w:rsidRDefault="00726987" w:rsidP="00726987">
      <w:pPr>
        <w:spacing w:line="360" w:lineRule="auto"/>
        <w:jc w:val="center"/>
        <w:rPr>
          <w:rFonts w:ascii="Arial" w:hAnsi="Arial" w:cs="Arial"/>
          <w:b/>
          <w:sz w:val="20"/>
          <w:szCs w:val="20"/>
        </w:rPr>
      </w:pPr>
      <w:r w:rsidRPr="00A152F0">
        <w:rPr>
          <w:rFonts w:ascii="Arial" w:hAnsi="Arial" w:cs="Arial"/>
          <w:b/>
          <w:sz w:val="20"/>
          <w:szCs w:val="20"/>
        </w:rPr>
        <w:t xml:space="preserve">Figure </w:t>
      </w:r>
      <w:r w:rsidR="00774601">
        <w:rPr>
          <w:rFonts w:ascii="Arial" w:hAnsi="Arial" w:cs="Arial"/>
          <w:b/>
          <w:sz w:val="20"/>
          <w:szCs w:val="20"/>
        </w:rPr>
        <w:t>7</w:t>
      </w:r>
      <w:r w:rsidRPr="00A152F0">
        <w:rPr>
          <w:rFonts w:ascii="Arial" w:hAnsi="Arial" w:cs="Arial"/>
          <w:b/>
          <w:sz w:val="20"/>
          <w:szCs w:val="20"/>
        </w:rPr>
        <w:t>:</w:t>
      </w:r>
      <w:r>
        <w:rPr>
          <w:rFonts w:ascii="Arial" w:hAnsi="Arial" w:cs="Arial"/>
          <w:b/>
          <w:sz w:val="20"/>
          <w:szCs w:val="20"/>
        </w:rPr>
        <w:t xml:space="preserve"> </w:t>
      </w:r>
      <w:r w:rsidRPr="00224BC0">
        <w:rPr>
          <w:rFonts w:ascii="Arial" w:hAnsi="Arial" w:cs="Arial"/>
          <w:b/>
          <w:sz w:val="20"/>
          <w:szCs w:val="20"/>
        </w:rPr>
        <w:t xml:space="preserve">Average </w:t>
      </w:r>
      <w:r w:rsidR="00774601">
        <w:rPr>
          <w:rFonts w:ascii="Arial" w:hAnsi="Arial" w:cs="Arial"/>
          <w:b/>
          <w:sz w:val="20"/>
          <w:szCs w:val="20"/>
        </w:rPr>
        <w:t xml:space="preserve">Ammonia </w:t>
      </w:r>
      <w:r w:rsidRPr="00224BC0">
        <w:rPr>
          <w:rFonts w:ascii="Arial" w:hAnsi="Arial" w:cs="Arial"/>
          <w:b/>
          <w:sz w:val="20"/>
          <w:szCs w:val="20"/>
        </w:rPr>
        <w:t>Value Recorded During the Experiment</w:t>
      </w:r>
    </w:p>
    <w:p w14:paraId="7EEE1E02" w14:textId="73096EC7" w:rsidR="007E307C" w:rsidRDefault="007E307C" w:rsidP="007E307C">
      <w:pPr>
        <w:spacing w:line="276" w:lineRule="auto"/>
        <w:ind w:firstLine="720"/>
        <w:jc w:val="both"/>
        <w:rPr>
          <w:rFonts w:ascii="Arial" w:hAnsi="Arial" w:cs="Arial"/>
          <w:bCs/>
          <w:sz w:val="20"/>
          <w:szCs w:val="20"/>
        </w:rPr>
      </w:pPr>
      <w:r w:rsidRPr="007E307C">
        <w:rPr>
          <w:rFonts w:ascii="Arial" w:hAnsi="Arial" w:cs="Arial"/>
          <w:bCs/>
          <w:sz w:val="20"/>
          <w:szCs w:val="20"/>
        </w:rPr>
        <w:t>Biofloc treatments, particularly T2, showed lower ammonia accumulation compared to the control during most sampling intervals. Reduced ammonia levels in Jeevamruth-treated tanks indicate improved nitrogen assimilation by microbial communities. All ammonia values remained below sub-lethal limits for freshwater fish (APHA, 1998; Boyd, 2022).</w:t>
      </w:r>
    </w:p>
    <w:p w14:paraId="10BF78BC" w14:textId="77777777" w:rsidR="007E307C" w:rsidRPr="007E307C" w:rsidRDefault="007E307C" w:rsidP="007E307C">
      <w:pPr>
        <w:spacing w:line="276" w:lineRule="auto"/>
        <w:ind w:firstLine="720"/>
        <w:jc w:val="both"/>
        <w:rPr>
          <w:rFonts w:ascii="Arial" w:hAnsi="Arial" w:cs="Arial"/>
          <w:bCs/>
          <w:sz w:val="20"/>
          <w:szCs w:val="20"/>
        </w:rPr>
      </w:pPr>
    </w:p>
    <w:p w14:paraId="673F8CA5" w14:textId="61A01FC3" w:rsidR="005E1806" w:rsidRPr="006078DB" w:rsidRDefault="006078DB" w:rsidP="006078DB">
      <w:pPr>
        <w:spacing w:line="360" w:lineRule="auto"/>
        <w:rPr>
          <w:rFonts w:ascii="Arial" w:hAnsi="Arial" w:cs="Arial"/>
          <w:b/>
          <w:sz w:val="22"/>
          <w:szCs w:val="22"/>
        </w:rPr>
      </w:pPr>
      <w:r>
        <w:rPr>
          <w:rFonts w:ascii="Arial" w:hAnsi="Arial" w:cs="Arial"/>
          <w:b/>
          <w:sz w:val="20"/>
          <w:szCs w:val="20"/>
          <w:u w:val="single"/>
        </w:rPr>
        <w:t xml:space="preserve">3.1.8 </w:t>
      </w:r>
      <w:r w:rsidRPr="00E05B72">
        <w:rPr>
          <w:rFonts w:ascii="Arial" w:hAnsi="Arial" w:cs="Arial"/>
          <w:b/>
          <w:sz w:val="20"/>
          <w:szCs w:val="20"/>
          <w:u w:val="single"/>
        </w:rPr>
        <w:t xml:space="preserve">Average </w:t>
      </w:r>
      <w:r w:rsidR="0033282E">
        <w:rPr>
          <w:rFonts w:ascii="Arial" w:hAnsi="Arial" w:cs="Arial"/>
          <w:b/>
          <w:sz w:val="20"/>
          <w:szCs w:val="20"/>
          <w:u w:val="single"/>
        </w:rPr>
        <w:t>Nit</w:t>
      </w:r>
      <w:r w:rsidR="0052732A">
        <w:rPr>
          <w:rFonts w:ascii="Arial" w:hAnsi="Arial" w:cs="Arial"/>
          <w:b/>
          <w:sz w:val="20"/>
          <w:szCs w:val="20"/>
          <w:u w:val="single"/>
        </w:rPr>
        <w:t xml:space="preserve">rite(ppm) </w:t>
      </w:r>
      <w:r w:rsidRPr="00E05B72">
        <w:rPr>
          <w:rFonts w:ascii="Arial" w:hAnsi="Arial" w:cs="Arial"/>
          <w:b/>
          <w:sz w:val="20"/>
          <w:szCs w:val="20"/>
          <w:u w:val="single"/>
        </w:rPr>
        <w:t>Value Recorded During Experiment Period</w:t>
      </w:r>
      <w:r w:rsidRPr="005E763E">
        <w:rPr>
          <w:rFonts w:ascii="Arial" w:hAnsi="Arial" w:cs="Arial"/>
          <w:b/>
          <w:sz w:val="22"/>
          <w:szCs w:val="22"/>
        </w:rPr>
        <w:t>.</w:t>
      </w:r>
    </w:p>
    <w:tbl>
      <w:tblPr>
        <w:tblStyle w:val="Tablaconcuadrcula"/>
        <w:tblW w:w="875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98"/>
        <w:gridCol w:w="2326"/>
        <w:gridCol w:w="2162"/>
        <w:gridCol w:w="2266"/>
      </w:tblGrid>
      <w:tr w:rsidR="00452E4B" w:rsidRPr="00BD4D33" w14:paraId="690F7DEE" w14:textId="77777777" w:rsidTr="00E12DEF">
        <w:trPr>
          <w:trHeight w:val="50"/>
        </w:trPr>
        <w:tc>
          <w:tcPr>
            <w:tcW w:w="0" w:type="auto"/>
            <w:gridSpan w:val="4"/>
            <w:tcBorders>
              <w:bottom w:val="single" w:sz="4" w:space="0" w:color="auto"/>
            </w:tcBorders>
            <w:noWrap/>
            <w:hideMark/>
          </w:tcPr>
          <w:p w14:paraId="48C92EA6" w14:textId="7DC498EF" w:rsidR="00452E4B" w:rsidRPr="00BD4D33" w:rsidRDefault="00E12DEF" w:rsidP="00E12DEF">
            <w:pPr>
              <w:rPr>
                <w:rFonts w:ascii="Arial" w:hAnsi="Arial" w:cs="Arial"/>
              </w:rPr>
            </w:pPr>
            <w:r w:rsidRPr="00224BC0">
              <w:rPr>
                <w:rFonts w:ascii="Arial" w:hAnsi="Arial" w:cs="Arial"/>
                <w:b/>
                <w:sz w:val="20"/>
                <w:szCs w:val="20"/>
              </w:rPr>
              <w:t xml:space="preserve">Table </w:t>
            </w:r>
            <w:r w:rsidR="009066C8">
              <w:rPr>
                <w:rFonts w:ascii="Arial" w:hAnsi="Arial" w:cs="Arial"/>
                <w:b/>
                <w:sz w:val="20"/>
                <w:szCs w:val="20"/>
              </w:rPr>
              <w:t>8</w:t>
            </w:r>
            <w:r w:rsidRPr="00224BC0">
              <w:rPr>
                <w:rFonts w:ascii="Arial" w:hAnsi="Arial" w:cs="Arial"/>
                <w:b/>
                <w:sz w:val="20"/>
                <w:szCs w:val="20"/>
              </w:rPr>
              <w:t xml:space="preserve">: Average </w:t>
            </w:r>
            <w:r>
              <w:rPr>
                <w:rFonts w:ascii="Arial" w:hAnsi="Arial" w:cs="Arial"/>
                <w:b/>
                <w:sz w:val="20"/>
                <w:szCs w:val="20"/>
              </w:rPr>
              <w:t>Ni</w:t>
            </w:r>
            <w:r w:rsidR="009066C8">
              <w:rPr>
                <w:rFonts w:ascii="Arial" w:hAnsi="Arial" w:cs="Arial"/>
                <w:b/>
                <w:sz w:val="20"/>
                <w:szCs w:val="20"/>
              </w:rPr>
              <w:t>trite</w:t>
            </w:r>
            <w:r w:rsidR="0052732A">
              <w:rPr>
                <w:rFonts w:ascii="Arial" w:hAnsi="Arial" w:cs="Arial"/>
                <w:b/>
                <w:sz w:val="20"/>
                <w:szCs w:val="20"/>
              </w:rPr>
              <w:t>(ppm)</w:t>
            </w:r>
            <w:r w:rsidR="009066C8">
              <w:rPr>
                <w:rFonts w:ascii="Arial" w:hAnsi="Arial" w:cs="Arial"/>
                <w:b/>
                <w:sz w:val="20"/>
                <w:szCs w:val="20"/>
              </w:rPr>
              <w:t xml:space="preserve"> </w:t>
            </w:r>
            <w:r w:rsidRPr="00224BC0">
              <w:rPr>
                <w:rFonts w:ascii="Arial" w:hAnsi="Arial" w:cs="Arial"/>
                <w:b/>
                <w:sz w:val="20"/>
                <w:szCs w:val="20"/>
              </w:rPr>
              <w:t xml:space="preserve">Value Recorded During the </w:t>
            </w:r>
            <w:commentRangeStart w:id="8"/>
            <w:r w:rsidRPr="00224BC0">
              <w:rPr>
                <w:rFonts w:ascii="Arial" w:hAnsi="Arial" w:cs="Arial"/>
                <w:b/>
                <w:sz w:val="20"/>
                <w:szCs w:val="20"/>
              </w:rPr>
              <w:t>Experiment</w:t>
            </w:r>
            <w:commentRangeEnd w:id="8"/>
            <w:r w:rsidR="00AB048C">
              <w:rPr>
                <w:rStyle w:val="Refdecomentario"/>
                <w:lang w:bidi="gu-IN"/>
              </w:rPr>
              <w:commentReference w:id="8"/>
            </w:r>
          </w:p>
        </w:tc>
      </w:tr>
      <w:tr w:rsidR="00AE581F" w:rsidRPr="00BD4D33" w14:paraId="1CDD5F0E" w14:textId="77777777" w:rsidTr="00B70380">
        <w:trPr>
          <w:trHeight w:val="50"/>
        </w:trPr>
        <w:tc>
          <w:tcPr>
            <w:tcW w:w="0" w:type="auto"/>
            <w:tcBorders>
              <w:top w:val="single" w:sz="4" w:space="0" w:color="auto"/>
              <w:bottom w:val="single" w:sz="4" w:space="0" w:color="auto"/>
              <w:right w:val="single" w:sz="4" w:space="0" w:color="auto"/>
            </w:tcBorders>
            <w:noWrap/>
            <w:hideMark/>
          </w:tcPr>
          <w:p w14:paraId="125EF552" w14:textId="77777777" w:rsidR="00AE581F" w:rsidRPr="00BD4D33" w:rsidRDefault="00AE581F" w:rsidP="00A6251D">
            <w:pPr>
              <w:jc w:val="center"/>
              <w:rPr>
                <w:rFonts w:ascii="Arial" w:hAnsi="Arial" w:cs="Arial"/>
              </w:rPr>
            </w:pPr>
            <w:r w:rsidRPr="00BD4D33">
              <w:rPr>
                <w:rFonts w:ascii="Arial" w:hAnsi="Arial" w:cs="Arial"/>
              </w:rPr>
              <w:t>Treatment</w:t>
            </w:r>
          </w:p>
        </w:tc>
        <w:tc>
          <w:tcPr>
            <w:tcW w:w="0" w:type="auto"/>
            <w:tcBorders>
              <w:top w:val="single" w:sz="4" w:space="0" w:color="auto"/>
              <w:left w:val="single" w:sz="4" w:space="0" w:color="auto"/>
              <w:bottom w:val="single" w:sz="4" w:space="0" w:color="auto"/>
            </w:tcBorders>
            <w:noWrap/>
            <w:hideMark/>
          </w:tcPr>
          <w:p w14:paraId="5FF606CE" w14:textId="77777777" w:rsidR="00AE581F" w:rsidRPr="00BD4D33" w:rsidRDefault="00AE581F" w:rsidP="00A6251D">
            <w:pPr>
              <w:jc w:val="center"/>
              <w:rPr>
                <w:rFonts w:ascii="Arial" w:hAnsi="Arial" w:cs="Arial"/>
              </w:rPr>
            </w:pPr>
            <w:r w:rsidRPr="00BD4D33">
              <w:rPr>
                <w:rFonts w:ascii="Arial" w:hAnsi="Arial" w:cs="Arial"/>
              </w:rPr>
              <w:t>C</w:t>
            </w:r>
          </w:p>
        </w:tc>
        <w:tc>
          <w:tcPr>
            <w:tcW w:w="0" w:type="auto"/>
            <w:tcBorders>
              <w:top w:val="single" w:sz="4" w:space="0" w:color="auto"/>
              <w:bottom w:val="single" w:sz="4" w:space="0" w:color="auto"/>
            </w:tcBorders>
            <w:noWrap/>
            <w:hideMark/>
          </w:tcPr>
          <w:p w14:paraId="6EC88BCC" w14:textId="787E994E" w:rsidR="00AE581F" w:rsidRPr="00BD4D33" w:rsidRDefault="00884617" w:rsidP="00A6251D">
            <w:pPr>
              <w:jc w:val="center"/>
              <w:rPr>
                <w:rFonts w:ascii="Arial" w:hAnsi="Arial" w:cs="Arial"/>
              </w:rPr>
            </w:pPr>
            <w:r w:rsidRPr="00BD4D33">
              <w:rPr>
                <w:rFonts w:ascii="Arial" w:hAnsi="Arial" w:cs="Arial"/>
              </w:rPr>
              <w:t>T1</w:t>
            </w:r>
          </w:p>
        </w:tc>
        <w:tc>
          <w:tcPr>
            <w:tcW w:w="0" w:type="auto"/>
            <w:tcBorders>
              <w:top w:val="single" w:sz="4" w:space="0" w:color="auto"/>
              <w:bottom w:val="single" w:sz="4" w:space="0" w:color="auto"/>
            </w:tcBorders>
            <w:noWrap/>
            <w:hideMark/>
          </w:tcPr>
          <w:p w14:paraId="1EA80A1F" w14:textId="0ACEBC4E" w:rsidR="00AE581F" w:rsidRPr="00BD4D33" w:rsidRDefault="00884617" w:rsidP="00A6251D">
            <w:pPr>
              <w:jc w:val="center"/>
              <w:rPr>
                <w:rFonts w:ascii="Arial" w:hAnsi="Arial" w:cs="Arial"/>
              </w:rPr>
            </w:pPr>
            <w:r w:rsidRPr="00BD4D33">
              <w:rPr>
                <w:rFonts w:ascii="Arial" w:hAnsi="Arial" w:cs="Arial"/>
              </w:rPr>
              <w:t>T2</w:t>
            </w:r>
          </w:p>
        </w:tc>
      </w:tr>
      <w:tr w:rsidR="00C13730" w:rsidRPr="00BD4D33" w14:paraId="20D680E6" w14:textId="77777777" w:rsidTr="00B70380">
        <w:trPr>
          <w:trHeight w:val="50"/>
        </w:trPr>
        <w:tc>
          <w:tcPr>
            <w:tcW w:w="0" w:type="auto"/>
            <w:tcBorders>
              <w:top w:val="single" w:sz="4" w:space="0" w:color="auto"/>
              <w:right w:val="single" w:sz="4" w:space="0" w:color="auto"/>
            </w:tcBorders>
            <w:noWrap/>
            <w:vAlign w:val="bottom"/>
            <w:hideMark/>
          </w:tcPr>
          <w:p w14:paraId="73946896" w14:textId="25AA680A" w:rsidR="00C13730" w:rsidRPr="00BD4D33" w:rsidRDefault="00C13730" w:rsidP="00C13730">
            <w:pPr>
              <w:jc w:val="center"/>
              <w:rPr>
                <w:rFonts w:ascii="Arial" w:hAnsi="Arial" w:cs="Arial"/>
              </w:rPr>
            </w:pPr>
            <w:r w:rsidRPr="00BD4D33">
              <w:rPr>
                <w:rFonts w:ascii="Arial" w:eastAsia="Times New Roman" w:hAnsi="Arial" w:cs="Arial"/>
                <w:color w:val="000000"/>
                <w:kern w:val="0"/>
                <w:lang w:eastAsia="en-IN"/>
                <w14:ligatures w14:val="none"/>
              </w:rPr>
              <w:t>0</w:t>
            </w:r>
            <w:r w:rsidRPr="00BD4D33">
              <w:rPr>
                <w:rFonts w:ascii="Arial" w:eastAsia="Times New Roman" w:hAnsi="Arial" w:cs="Arial"/>
                <w:color w:val="000000"/>
                <w:kern w:val="0"/>
                <w:vertAlign w:val="superscript"/>
                <w:lang w:eastAsia="en-IN"/>
                <w14:ligatures w14:val="none"/>
              </w:rPr>
              <w:t>th</w:t>
            </w:r>
            <w:r w:rsidRPr="00BD4D33">
              <w:rPr>
                <w:rFonts w:ascii="Arial" w:eastAsia="Times New Roman" w:hAnsi="Arial" w:cs="Arial"/>
                <w:color w:val="000000"/>
                <w:kern w:val="0"/>
                <w:lang w:eastAsia="en-IN"/>
                <w14:ligatures w14:val="none"/>
              </w:rPr>
              <w:t xml:space="preserve"> day</w:t>
            </w:r>
          </w:p>
        </w:tc>
        <w:tc>
          <w:tcPr>
            <w:tcW w:w="0" w:type="auto"/>
            <w:tcBorders>
              <w:top w:val="single" w:sz="4" w:space="0" w:color="auto"/>
              <w:left w:val="single" w:sz="4" w:space="0" w:color="auto"/>
            </w:tcBorders>
            <w:hideMark/>
          </w:tcPr>
          <w:p w14:paraId="1F7D2DCB" w14:textId="77777777" w:rsidR="00C13730" w:rsidRPr="00BD4D33" w:rsidRDefault="00C13730" w:rsidP="00C13730">
            <w:pPr>
              <w:jc w:val="center"/>
              <w:rPr>
                <w:rFonts w:ascii="Arial" w:hAnsi="Arial" w:cs="Arial"/>
                <w:vertAlign w:val="superscript"/>
              </w:rPr>
            </w:pPr>
            <w:r w:rsidRPr="00BD4D33">
              <w:rPr>
                <w:rFonts w:ascii="Arial" w:eastAsia="Calibri" w:hAnsi="Arial" w:cs="Arial"/>
              </w:rPr>
              <w:t>0.53±0.005</w:t>
            </w:r>
            <w:r w:rsidRPr="00BD4D33">
              <w:rPr>
                <w:rFonts w:ascii="Arial" w:eastAsia="Calibri" w:hAnsi="Arial" w:cs="Arial"/>
                <w:position w:val="10"/>
                <w:vertAlign w:val="superscript"/>
              </w:rPr>
              <w:t>a</w:t>
            </w:r>
          </w:p>
        </w:tc>
        <w:tc>
          <w:tcPr>
            <w:tcW w:w="0" w:type="auto"/>
            <w:tcBorders>
              <w:top w:val="single" w:sz="4" w:space="0" w:color="auto"/>
            </w:tcBorders>
            <w:hideMark/>
          </w:tcPr>
          <w:p w14:paraId="177BED24" w14:textId="30F3ED8A" w:rsidR="00C13730" w:rsidRPr="00BD4D33" w:rsidRDefault="00C13730" w:rsidP="00C13730">
            <w:pPr>
              <w:jc w:val="center"/>
              <w:rPr>
                <w:rFonts w:ascii="Arial" w:hAnsi="Arial" w:cs="Arial"/>
                <w:vertAlign w:val="superscript"/>
              </w:rPr>
            </w:pPr>
            <w:r w:rsidRPr="00BD4D33">
              <w:rPr>
                <w:rFonts w:ascii="Arial" w:eastAsia="Calibri" w:hAnsi="Arial" w:cs="Arial"/>
              </w:rPr>
              <w:t>0.51±0.</w:t>
            </w:r>
            <w:r w:rsidR="00BD4F82" w:rsidRPr="00BD4D33">
              <w:rPr>
                <w:rFonts w:ascii="Arial" w:eastAsia="Calibri" w:hAnsi="Arial" w:cs="Arial"/>
              </w:rPr>
              <w:t>0</w:t>
            </w:r>
            <w:r w:rsidRPr="00BD4D33">
              <w:rPr>
                <w:rFonts w:ascii="Arial" w:eastAsia="Calibri" w:hAnsi="Arial" w:cs="Arial"/>
              </w:rPr>
              <w:t>5</w:t>
            </w:r>
            <w:r w:rsidRPr="00BD4D33">
              <w:rPr>
                <w:rFonts w:ascii="Arial" w:eastAsia="Calibri" w:hAnsi="Arial" w:cs="Arial"/>
                <w:position w:val="10"/>
                <w:vertAlign w:val="superscript"/>
              </w:rPr>
              <w:t>a</w:t>
            </w:r>
          </w:p>
        </w:tc>
        <w:tc>
          <w:tcPr>
            <w:tcW w:w="0" w:type="auto"/>
            <w:tcBorders>
              <w:top w:val="single" w:sz="4" w:space="0" w:color="auto"/>
            </w:tcBorders>
            <w:hideMark/>
          </w:tcPr>
          <w:p w14:paraId="08453082" w14:textId="77777777" w:rsidR="00C13730" w:rsidRPr="00BD4D33" w:rsidRDefault="00C13730" w:rsidP="00C13730">
            <w:pPr>
              <w:jc w:val="center"/>
              <w:rPr>
                <w:rFonts w:ascii="Arial" w:hAnsi="Arial" w:cs="Arial"/>
                <w:vertAlign w:val="superscript"/>
              </w:rPr>
            </w:pPr>
            <w:r w:rsidRPr="00BD4D33">
              <w:rPr>
                <w:rFonts w:ascii="Arial" w:eastAsia="Calibri" w:hAnsi="Arial" w:cs="Arial"/>
              </w:rPr>
              <w:t>0.37±0.01</w:t>
            </w:r>
            <w:r w:rsidRPr="00BD4D33">
              <w:rPr>
                <w:rFonts w:ascii="Arial" w:eastAsia="Calibri" w:hAnsi="Arial" w:cs="Arial"/>
                <w:position w:val="10"/>
                <w:vertAlign w:val="superscript"/>
              </w:rPr>
              <w:t>a</w:t>
            </w:r>
          </w:p>
        </w:tc>
      </w:tr>
      <w:tr w:rsidR="00C13730" w:rsidRPr="00BD4D33" w14:paraId="40E8A85B" w14:textId="77777777" w:rsidTr="00B70380">
        <w:trPr>
          <w:trHeight w:val="50"/>
        </w:trPr>
        <w:tc>
          <w:tcPr>
            <w:tcW w:w="0" w:type="auto"/>
            <w:tcBorders>
              <w:right w:val="single" w:sz="4" w:space="0" w:color="auto"/>
            </w:tcBorders>
            <w:noWrap/>
            <w:vAlign w:val="bottom"/>
            <w:hideMark/>
          </w:tcPr>
          <w:p w14:paraId="601BC089" w14:textId="538444C4" w:rsidR="00C13730" w:rsidRPr="00BD4D33" w:rsidRDefault="00C13730" w:rsidP="00C13730">
            <w:pPr>
              <w:jc w:val="center"/>
              <w:rPr>
                <w:rFonts w:ascii="Arial" w:hAnsi="Arial" w:cs="Arial"/>
              </w:rPr>
            </w:pPr>
            <w:r w:rsidRPr="00BD4D33">
              <w:rPr>
                <w:rFonts w:ascii="Arial" w:eastAsia="Times New Roman" w:hAnsi="Arial" w:cs="Arial"/>
                <w:color w:val="000000"/>
                <w:kern w:val="0"/>
                <w:lang w:eastAsia="en-IN"/>
                <w14:ligatures w14:val="none"/>
              </w:rPr>
              <w:t>7</w:t>
            </w:r>
            <w:r w:rsidRPr="00BD4D33">
              <w:rPr>
                <w:rFonts w:ascii="Arial" w:eastAsia="Times New Roman" w:hAnsi="Arial" w:cs="Arial"/>
                <w:color w:val="000000"/>
                <w:kern w:val="0"/>
                <w:vertAlign w:val="superscript"/>
                <w:lang w:eastAsia="en-IN"/>
                <w14:ligatures w14:val="none"/>
              </w:rPr>
              <w:t>th</w:t>
            </w:r>
            <w:r w:rsidRPr="00BD4D33">
              <w:rPr>
                <w:rFonts w:ascii="Arial" w:eastAsia="Times New Roman" w:hAnsi="Arial" w:cs="Arial"/>
                <w:color w:val="000000"/>
                <w:kern w:val="0"/>
                <w:lang w:eastAsia="en-IN"/>
                <w14:ligatures w14:val="none"/>
              </w:rPr>
              <w:t xml:space="preserve"> day</w:t>
            </w:r>
          </w:p>
        </w:tc>
        <w:tc>
          <w:tcPr>
            <w:tcW w:w="0" w:type="auto"/>
            <w:tcBorders>
              <w:left w:val="single" w:sz="4" w:space="0" w:color="auto"/>
            </w:tcBorders>
            <w:hideMark/>
          </w:tcPr>
          <w:p w14:paraId="23B61E77" w14:textId="77777777" w:rsidR="00C13730" w:rsidRPr="00BD4D33" w:rsidRDefault="00C13730" w:rsidP="00C13730">
            <w:pPr>
              <w:jc w:val="center"/>
              <w:rPr>
                <w:rFonts w:ascii="Arial" w:hAnsi="Arial" w:cs="Arial"/>
                <w:vertAlign w:val="superscript"/>
              </w:rPr>
            </w:pPr>
            <w:r w:rsidRPr="00BD4D33">
              <w:rPr>
                <w:rFonts w:ascii="Arial" w:eastAsia="Calibri" w:hAnsi="Arial" w:cs="Arial"/>
              </w:rPr>
              <w:t>0.46±0.080</w:t>
            </w:r>
            <w:r w:rsidRPr="00BD4D33">
              <w:rPr>
                <w:rFonts w:ascii="Arial" w:eastAsia="Calibri" w:hAnsi="Arial" w:cs="Arial"/>
                <w:position w:val="10"/>
                <w:vertAlign w:val="superscript"/>
              </w:rPr>
              <w:t>A</w:t>
            </w:r>
          </w:p>
        </w:tc>
        <w:tc>
          <w:tcPr>
            <w:tcW w:w="0" w:type="auto"/>
            <w:hideMark/>
          </w:tcPr>
          <w:p w14:paraId="5E7BBCF3" w14:textId="49AE9935" w:rsidR="00C13730" w:rsidRPr="00BD4D33" w:rsidRDefault="00C13730" w:rsidP="00C13730">
            <w:pPr>
              <w:jc w:val="center"/>
              <w:rPr>
                <w:rFonts w:ascii="Arial" w:hAnsi="Arial" w:cs="Arial"/>
                <w:vertAlign w:val="superscript"/>
              </w:rPr>
            </w:pPr>
            <w:r w:rsidRPr="00BD4D33">
              <w:rPr>
                <w:rFonts w:ascii="Arial" w:eastAsia="Calibri" w:hAnsi="Arial" w:cs="Arial"/>
              </w:rPr>
              <w:t>0.51±0.</w:t>
            </w:r>
            <w:r w:rsidR="00BD4F82" w:rsidRPr="00BD4D33">
              <w:rPr>
                <w:rFonts w:ascii="Arial" w:eastAsia="Calibri" w:hAnsi="Arial" w:cs="Arial"/>
              </w:rPr>
              <w:t>0</w:t>
            </w:r>
            <w:r w:rsidRPr="00BD4D33">
              <w:rPr>
                <w:rFonts w:ascii="Arial" w:eastAsia="Calibri" w:hAnsi="Arial" w:cs="Arial"/>
              </w:rPr>
              <w:t>3</w:t>
            </w:r>
            <w:r w:rsidRPr="00BD4D33">
              <w:rPr>
                <w:rFonts w:ascii="Arial" w:eastAsia="Calibri" w:hAnsi="Arial" w:cs="Arial"/>
                <w:position w:val="10"/>
                <w:vertAlign w:val="superscript"/>
              </w:rPr>
              <w:t>A</w:t>
            </w:r>
          </w:p>
        </w:tc>
        <w:tc>
          <w:tcPr>
            <w:tcW w:w="0" w:type="auto"/>
            <w:hideMark/>
          </w:tcPr>
          <w:p w14:paraId="4C0C9B21" w14:textId="52D17023" w:rsidR="00C13730" w:rsidRPr="00BD4D33" w:rsidRDefault="00C13730" w:rsidP="00C13730">
            <w:pPr>
              <w:jc w:val="center"/>
              <w:rPr>
                <w:rFonts w:ascii="Arial" w:hAnsi="Arial" w:cs="Arial"/>
                <w:vertAlign w:val="superscript"/>
              </w:rPr>
            </w:pPr>
            <w:r w:rsidRPr="00BD4D33">
              <w:rPr>
                <w:rFonts w:ascii="Arial" w:eastAsia="Calibri" w:hAnsi="Arial" w:cs="Arial"/>
              </w:rPr>
              <w:t>0.35±0.</w:t>
            </w:r>
            <w:r w:rsidR="00BD4F82" w:rsidRPr="00BD4D33">
              <w:rPr>
                <w:rFonts w:ascii="Arial" w:eastAsia="Calibri" w:hAnsi="Arial" w:cs="Arial"/>
              </w:rPr>
              <w:t>0</w:t>
            </w:r>
            <w:r w:rsidRPr="00BD4D33">
              <w:rPr>
                <w:rFonts w:ascii="Arial" w:eastAsia="Calibri" w:hAnsi="Arial" w:cs="Arial"/>
              </w:rPr>
              <w:t>2</w:t>
            </w:r>
            <w:r w:rsidRPr="00BD4D33">
              <w:rPr>
                <w:rFonts w:ascii="Arial" w:eastAsia="Calibri" w:hAnsi="Arial" w:cs="Arial"/>
                <w:position w:val="10"/>
                <w:vertAlign w:val="superscript"/>
              </w:rPr>
              <w:t>A</w:t>
            </w:r>
          </w:p>
        </w:tc>
      </w:tr>
      <w:tr w:rsidR="00C13730" w:rsidRPr="00BD4D33" w14:paraId="561F3D7C" w14:textId="77777777" w:rsidTr="00B70380">
        <w:trPr>
          <w:trHeight w:val="50"/>
        </w:trPr>
        <w:tc>
          <w:tcPr>
            <w:tcW w:w="0" w:type="auto"/>
            <w:tcBorders>
              <w:right w:val="single" w:sz="4" w:space="0" w:color="auto"/>
            </w:tcBorders>
            <w:noWrap/>
            <w:vAlign w:val="bottom"/>
            <w:hideMark/>
          </w:tcPr>
          <w:p w14:paraId="388F89FE" w14:textId="33FC8441" w:rsidR="00C13730" w:rsidRPr="00BD4D33" w:rsidRDefault="00C13730" w:rsidP="00C13730">
            <w:pPr>
              <w:jc w:val="center"/>
              <w:rPr>
                <w:rFonts w:ascii="Arial" w:hAnsi="Arial" w:cs="Arial"/>
              </w:rPr>
            </w:pPr>
            <w:r w:rsidRPr="00BD4D33">
              <w:rPr>
                <w:rFonts w:ascii="Arial" w:eastAsia="Times New Roman" w:hAnsi="Arial" w:cs="Arial"/>
                <w:color w:val="000000"/>
                <w:kern w:val="0"/>
                <w:lang w:eastAsia="en-IN"/>
                <w14:ligatures w14:val="none"/>
              </w:rPr>
              <w:t>14</w:t>
            </w:r>
            <w:r w:rsidRPr="00BD4D33">
              <w:rPr>
                <w:rFonts w:ascii="Arial" w:eastAsia="Times New Roman" w:hAnsi="Arial" w:cs="Arial"/>
                <w:color w:val="000000"/>
                <w:kern w:val="0"/>
                <w:vertAlign w:val="superscript"/>
                <w:lang w:eastAsia="en-IN"/>
                <w14:ligatures w14:val="none"/>
              </w:rPr>
              <w:t>th</w:t>
            </w:r>
            <w:r w:rsidRPr="00BD4D33">
              <w:rPr>
                <w:rFonts w:ascii="Arial" w:eastAsia="Times New Roman" w:hAnsi="Arial" w:cs="Arial"/>
                <w:color w:val="000000"/>
                <w:kern w:val="0"/>
                <w:lang w:eastAsia="en-IN"/>
                <w14:ligatures w14:val="none"/>
              </w:rPr>
              <w:t xml:space="preserve"> day</w:t>
            </w:r>
          </w:p>
        </w:tc>
        <w:tc>
          <w:tcPr>
            <w:tcW w:w="0" w:type="auto"/>
            <w:tcBorders>
              <w:left w:val="single" w:sz="4" w:space="0" w:color="auto"/>
            </w:tcBorders>
            <w:hideMark/>
          </w:tcPr>
          <w:p w14:paraId="75ADB46E" w14:textId="77777777" w:rsidR="00C13730" w:rsidRPr="00BD4D33" w:rsidRDefault="00C13730" w:rsidP="00C13730">
            <w:pPr>
              <w:jc w:val="center"/>
              <w:rPr>
                <w:rFonts w:ascii="Arial" w:hAnsi="Arial" w:cs="Arial"/>
                <w:vertAlign w:val="superscript"/>
              </w:rPr>
            </w:pPr>
            <w:r w:rsidRPr="00BD4D33">
              <w:rPr>
                <w:rFonts w:ascii="Arial" w:eastAsia="Calibri" w:hAnsi="Arial" w:cs="Arial"/>
              </w:rPr>
              <w:t>0.51±0.07</w:t>
            </w:r>
            <w:r w:rsidRPr="00BD4D33">
              <w:rPr>
                <w:rFonts w:ascii="Arial" w:eastAsia="Calibri" w:hAnsi="Arial" w:cs="Arial"/>
                <w:position w:val="10"/>
                <w:vertAlign w:val="superscript"/>
              </w:rPr>
              <w:t>P</w:t>
            </w:r>
          </w:p>
        </w:tc>
        <w:tc>
          <w:tcPr>
            <w:tcW w:w="0" w:type="auto"/>
            <w:hideMark/>
          </w:tcPr>
          <w:p w14:paraId="42A5D1F5" w14:textId="77777777" w:rsidR="00C13730" w:rsidRPr="00BD4D33" w:rsidRDefault="00C13730" w:rsidP="00C13730">
            <w:pPr>
              <w:jc w:val="center"/>
              <w:rPr>
                <w:rFonts w:ascii="Arial" w:hAnsi="Arial" w:cs="Arial"/>
                <w:vertAlign w:val="superscript"/>
              </w:rPr>
            </w:pPr>
            <w:r w:rsidRPr="00BD4D33">
              <w:rPr>
                <w:rFonts w:ascii="Arial" w:eastAsia="Calibri" w:hAnsi="Arial" w:cs="Arial"/>
              </w:rPr>
              <w:t>0.33±0.08</w:t>
            </w:r>
            <w:r w:rsidRPr="00BD4D33">
              <w:rPr>
                <w:rFonts w:ascii="Arial" w:eastAsia="Calibri" w:hAnsi="Arial" w:cs="Arial"/>
                <w:position w:val="10"/>
                <w:vertAlign w:val="superscript"/>
              </w:rPr>
              <w:t>P</w:t>
            </w:r>
          </w:p>
        </w:tc>
        <w:tc>
          <w:tcPr>
            <w:tcW w:w="0" w:type="auto"/>
            <w:hideMark/>
          </w:tcPr>
          <w:p w14:paraId="6E746D6E" w14:textId="77777777" w:rsidR="00C13730" w:rsidRPr="00BD4D33" w:rsidRDefault="00C13730" w:rsidP="00C13730">
            <w:pPr>
              <w:jc w:val="center"/>
              <w:rPr>
                <w:rFonts w:ascii="Arial" w:hAnsi="Arial" w:cs="Arial"/>
                <w:vertAlign w:val="superscript"/>
              </w:rPr>
            </w:pPr>
            <w:r w:rsidRPr="00BD4D33">
              <w:rPr>
                <w:rFonts w:ascii="Arial" w:eastAsia="Calibri" w:hAnsi="Arial" w:cs="Arial"/>
              </w:rPr>
              <w:t>0.25±0.08</w:t>
            </w:r>
            <w:r w:rsidRPr="00BD4D33">
              <w:rPr>
                <w:rFonts w:ascii="Arial" w:eastAsia="Calibri" w:hAnsi="Arial" w:cs="Arial"/>
                <w:position w:val="10"/>
                <w:vertAlign w:val="superscript"/>
              </w:rPr>
              <w:t>P</w:t>
            </w:r>
          </w:p>
        </w:tc>
      </w:tr>
      <w:tr w:rsidR="00C13730" w:rsidRPr="00BD4D33" w14:paraId="4807C807" w14:textId="77777777" w:rsidTr="00B70380">
        <w:trPr>
          <w:trHeight w:val="50"/>
        </w:trPr>
        <w:tc>
          <w:tcPr>
            <w:tcW w:w="0" w:type="auto"/>
            <w:tcBorders>
              <w:right w:val="single" w:sz="4" w:space="0" w:color="auto"/>
            </w:tcBorders>
            <w:noWrap/>
            <w:vAlign w:val="bottom"/>
            <w:hideMark/>
          </w:tcPr>
          <w:p w14:paraId="0786B44A" w14:textId="05978849" w:rsidR="00C13730" w:rsidRPr="00BD4D33" w:rsidRDefault="00C13730" w:rsidP="00C13730">
            <w:pPr>
              <w:jc w:val="center"/>
              <w:rPr>
                <w:rFonts w:ascii="Arial" w:hAnsi="Arial" w:cs="Arial"/>
              </w:rPr>
            </w:pPr>
            <w:r w:rsidRPr="00BD4D33">
              <w:rPr>
                <w:rFonts w:ascii="Arial" w:eastAsia="Times New Roman" w:hAnsi="Arial" w:cs="Arial"/>
                <w:color w:val="000000"/>
                <w:kern w:val="0"/>
                <w:lang w:eastAsia="en-IN"/>
                <w14:ligatures w14:val="none"/>
              </w:rPr>
              <w:t>21</w:t>
            </w:r>
            <w:r w:rsidRPr="00BD4D33">
              <w:rPr>
                <w:rFonts w:ascii="Arial" w:eastAsia="Times New Roman" w:hAnsi="Arial" w:cs="Arial"/>
                <w:color w:val="000000"/>
                <w:kern w:val="0"/>
                <w:vertAlign w:val="superscript"/>
                <w:lang w:eastAsia="en-IN"/>
                <w14:ligatures w14:val="none"/>
              </w:rPr>
              <w:t>st</w:t>
            </w:r>
            <w:r w:rsidRPr="00BD4D33">
              <w:rPr>
                <w:rFonts w:ascii="Arial" w:eastAsia="Times New Roman" w:hAnsi="Arial" w:cs="Arial"/>
                <w:color w:val="000000"/>
                <w:kern w:val="0"/>
                <w:lang w:eastAsia="en-IN"/>
                <w14:ligatures w14:val="none"/>
              </w:rPr>
              <w:t xml:space="preserve"> day</w:t>
            </w:r>
          </w:p>
        </w:tc>
        <w:tc>
          <w:tcPr>
            <w:tcW w:w="0" w:type="auto"/>
            <w:tcBorders>
              <w:left w:val="single" w:sz="4" w:space="0" w:color="auto"/>
            </w:tcBorders>
            <w:hideMark/>
          </w:tcPr>
          <w:p w14:paraId="55BF201F" w14:textId="050B3B57" w:rsidR="00C13730" w:rsidRPr="00BD4D33" w:rsidRDefault="00C13730" w:rsidP="00C13730">
            <w:pPr>
              <w:jc w:val="center"/>
              <w:rPr>
                <w:rFonts w:ascii="Arial" w:hAnsi="Arial" w:cs="Arial"/>
                <w:vertAlign w:val="superscript"/>
              </w:rPr>
            </w:pPr>
            <w:r w:rsidRPr="00BD4D33">
              <w:rPr>
                <w:rFonts w:ascii="Arial" w:eastAsia="Calibri" w:hAnsi="Arial" w:cs="Arial"/>
              </w:rPr>
              <w:t>0.55±0.</w:t>
            </w:r>
            <w:r w:rsidR="00BD4F82" w:rsidRPr="00BD4D33">
              <w:rPr>
                <w:rFonts w:ascii="Arial" w:eastAsia="Calibri" w:hAnsi="Arial" w:cs="Arial"/>
              </w:rPr>
              <w:t>0</w:t>
            </w:r>
            <w:r w:rsidRPr="00BD4D33">
              <w:rPr>
                <w:rFonts w:ascii="Arial" w:eastAsia="Calibri" w:hAnsi="Arial" w:cs="Arial"/>
              </w:rPr>
              <w:t>4</w:t>
            </w:r>
            <w:r w:rsidRPr="00BD4D33">
              <w:rPr>
                <w:rFonts w:ascii="Arial" w:eastAsia="Calibri" w:hAnsi="Arial" w:cs="Arial"/>
                <w:position w:val="10"/>
                <w:vertAlign w:val="superscript"/>
              </w:rPr>
              <w:t>m</w:t>
            </w:r>
          </w:p>
        </w:tc>
        <w:tc>
          <w:tcPr>
            <w:tcW w:w="0" w:type="auto"/>
            <w:hideMark/>
          </w:tcPr>
          <w:p w14:paraId="588B47E2" w14:textId="77777777" w:rsidR="00C13730" w:rsidRPr="00BD4D33" w:rsidRDefault="00C13730" w:rsidP="00C13730">
            <w:pPr>
              <w:jc w:val="center"/>
              <w:rPr>
                <w:rFonts w:ascii="Arial" w:hAnsi="Arial" w:cs="Arial"/>
                <w:vertAlign w:val="superscript"/>
              </w:rPr>
            </w:pPr>
            <w:r w:rsidRPr="00BD4D33">
              <w:rPr>
                <w:rFonts w:ascii="Arial" w:eastAsia="Calibri" w:hAnsi="Arial" w:cs="Arial"/>
              </w:rPr>
              <w:t>0.22±0.04</w:t>
            </w:r>
            <w:r w:rsidRPr="00BD4D33">
              <w:rPr>
                <w:rFonts w:ascii="Arial" w:eastAsia="Calibri" w:hAnsi="Arial" w:cs="Arial"/>
                <w:position w:val="10"/>
                <w:vertAlign w:val="superscript"/>
              </w:rPr>
              <w:t>m</w:t>
            </w:r>
          </w:p>
        </w:tc>
        <w:tc>
          <w:tcPr>
            <w:tcW w:w="0" w:type="auto"/>
            <w:hideMark/>
          </w:tcPr>
          <w:p w14:paraId="72517CDE" w14:textId="77777777" w:rsidR="00C13730" w:rsidRPr="00BD4D33" w:rsidRDefault="00C13730" w:rsidP="00C13730">
            <w:pPr>
              <w:jc w:val="center"/>
              <w:rPr>
                <w:rFonts w:ascii="Arial" w:hAnsi="Arial" w:cs="Arial"/>
                <w:vertAlign w:val="superscript"/>
              </w:rPr>
            </w:pPr>
            <w:r w:rsidRPr="00BD4D33">
              <w:rPr>
                <w:rFonts w:ascii="Arial" w:eastAsia="Calibri" w:hAnsi="Arial" w:cs="Arial"/>
              </w:rPr>
              <w:t>0.17±0.06</w:t>
            </w:r>
            <w:r w:rsidRPr="00BD4D33">
              <w:rPr>
                <w:rFonts w:ascii="Arial" w:eastAsia="Calibri" w:hAnsi="Arial" w:cs="Arial"/>
                <w:position w:val="10"/>
                <w:vertAlign w:val="superscript"/>
              </w:rPr>
              <w:t>m</w:t>
            </w:r>
          </w:p>
        </w:tc>
      </w:tr>
      <w:tr w:rsidR="00C13730" w:rsidRPr="00BD4D33" w14:paraId="5CEA2E22" w14:textId="77777777" w:rsidTr="00B70380">
        <w:trPr>
          <w:trHeight w:val="50"/>
        </w:trPr>
        <w:tc>
          <w:tcPr>
            <w:tcW w:w="0" w:type="auto"/>
            <w:tcBorders>
              <w:right w:val="single" w:sz="4" w:space="0" w:color="auto"/>
            </w:tcBorders>
            <w:noWrap/>
            <w:vAlign w:val="bottom"/>
            <w:hideMark/>
          </w:tcPr>
          <w:p w14:paraId="6D9191C0" w14:textId="2F549335" w:rsidR="00C13730" w:rsidRPr="00BD4D33" w:rsidRDefault="00C13730" w:rsidP="00C13730">
            <w:pPr>
              <w:jc w:val="center"/>
              <w:rPr>
                <w:rFonts w:ascii="Arial" w:hAnsi="Arial" w:cs="Arial"/>
              </w:rPr>
            </w:pPr>
            <w:r w:rsidRPr="00BD4D33">
              <w:rPr>
                <w:rFonts w:ascii="Arial" w:eastAsia="Times New Roman" w:hAnsi="Arial" w:cs="Arial"/>
                <w:color w:val="000000"/>
                <w:kern w:val="0"/>
                <w:lang w:eastAsia="en-IN"/>
                <w14:ligatures w14:val="none"/>
              </w:rPr>
              <w:t>28</w:t>
            </w:r>
            <w:r w:rsidRPr="00BD4D33">
              <w:rPr>
                <w:rFonts w:ascii="Arial" w:eastAsia="Times New Roman" w:hAnsi="Arial" w:cs="Arial"/>
                <w:color w:val="000000"/>
                <w:kern w:val="0"/>
                <w:vertAlign w:val="superscript"/>
                <w:lang w:eastAsia="en-IN"/>
                <w14:ligatures w14:val="none"/>
              </w:rPr>
              <w:t>th</w:t>
            </w:r>
            <w:r w:rsidRPr="00BD4D33">
              <w:rPr>
                <w:rFonts w:ascii="Arial" w:eastAsia="Times New Roman" w:hAnsi="Arial" w:cs="Arial"/>
                <w:color w:val="000000"/>
                <w:kern w:val="0"/>
                <w:lang w:eastAsia="en-IN"/>
                <w14:ligatures w14:val="none"/>
              </w:rPr>
              <w:t xml:space="preserve"> day</w:t>
            </w:r>
          </w:p>
        </w:tc>
        <w:tc>
          <w:tcPr>
            <w:tcW w:w="0" w:type="auto"/>
            <w:tcBorders>
              <w:left w:val="single" w:sz="4" w:space="0" w:color="auto"/>
            </w:tcBorders>
            <w:hideMark/>
          </w:tcPr>
          <w:p w14:paraId="04917175" w14:textId="4D512FCF" w:rsidR="00C13730" w:rsidRPr="00BD4D33" w:rsidRDefault="00C13730" w:rsidP="00C13730">
            <w:pPr>
              <w:jc w:val="center"/>
              <w:rPr>
                <w:rFonts w:ascii="Arial" w:hAnsi="Arial" w:cs="Arial"/>
              </w:rPr>
            </w:pPr>
            <w:r w:rsidRPr="00BD4D33">
              <w:rPr>
                <w:rFonts w:ascii="Arial" w:eastAsia="Calibri" w:hAnsi="Arial" w:cs="Arial"/>
              </w:rPr>
              <w:t>0.4±0.</w:t>
            </w:r>
            <w:r w:rsidR="00BD4F82" w:rsidRPr="00BD4D33">
              <w:rPr>
                <w:rFonts w:ascii="Arial" w:eastAsia="Calibri" w:hAnsi="Arial" w:cs="Arial"/>
              </w:rPr>
              <w:t>01</w:t>
            </w:r>
            <w:r w:rsidRPr="00BD4D33">
              <w:rPr>
                <w:rFonts w:ascii="Arial" w:eastAsia="Calibri" w:hAnsi="Arial" w:cs="Arial"/>
                <w:position w:val="10"/>
                <w:vertAlign w:val="superscript"/>
              </w:rPr>
              <w:t>YZ</w:t>
            </w:r>
          </w:p>
        </w:tc>
        <w:tc>
          <w:tcPr>
            <w:tcW w:w="0" w:type="auto"/>
            <w:hideMark/>
          </w:tcPr>
          <w:p w14:paraId="38748C83" w14:textId="77777777" w:rsidR="00C13730" w:rsidRPr="00BD4D33" w:rsidRDefault="00C13730" w:rsidP="00C13730">
            <w:pPr>
              <w:jc w:val="center"/>
              <w:rPr>
                <w:rFonts w:ascii="Arial" w:hAnsi="Arial" w:cs="Arial"/>
                <w:vertAlign w:val="superscript"/>
              </w:rPr>
            </w:pPr>
            <w:r w:rsidRPr="00BD4D33">
              <w:rPr>
                <w:rFonts w:ascii="Arial" w:eastAsia="Calibri" w:hAnsi="Arial" w:cs="Arial"/>
              </w:rPr>
              <w:t>0.15±0.02</w:t>
            </w:r>
            <w:r w:rsidRPr="00BD4D33">
              <w:rPr>
                <w:rFonts w:ascii="Arial" w:eastAsia="Calibri" w:hAnsi="Arial" w:cs="Arial"/>
                <w:position w:val="10"/>
                <w:vertAlign w:val="superscript"/>
              </w:rPr>
              <w:t>Z</w:t>
            </w:r>
          </w:p>
        </w:tc>
        <w:tc>
          <w:tcPr>
            <w:tcW w:w="0" w:type="auto"/>
            <w:hideMark/>
          </w:tcPr>
          <w:p w14:paraId="6A3F4033" w14:textId="77777777" w:rsidR="00C13730" w:rsidRPr="00BD4D33" w:rsidRDefault="00C13730" w:rsidP="00C13730">
            <w:pPr>
              <w:jc w:val="center"/>
              <w:rPr>
                <w:rFonts w:ascii="Arial" w:hAnsi="Arial" w:cs="Arial"/>
                <w:vertAlign w:val="superscript"/>
              </w:rPr>
            </w:pPr>
            <w:r w:rsidRPr="00BD4D33">
              <w:rPr>
                <w:rFonts w:ascii="Arial" w:eastAsia="Calibri" w:hAnsi="Arial" w:cs="Arial"/>
              </w:rPr>
              <w:t>0.26±0.03</w:t>
            </w:r>
            <w:r w:rsidRPr="00BD4D33">
              <w:rPr>
                <w:rFonts w:ascii="Arial" w:eastAsia="Calibri" w:hAnsi="Arial" w:cs="Arial"/>
                <w:position w:val="10"/>
                <w:vertAlign w:val="superscript"/>
              </w:rPr>
              <w:t>YZ</w:t>
            </w:r>
          </w:p>
        </w:tc>
      </w:tr>
      <w:tr w:rsidR="00C13730" w:rsidRPr="00BD4D33" w14:paraId="7F4C23E6" w14:textId="77777777" w:rsidTr="00B70380">
        <w:trPr>
          <w:trHeight w:val="50"/>
        </w:trPr>
        <w:tc>
          <w:tcPr>
            <w:tcW w:w="0" w:type="auto"/>
            <w:tcBorders>
              <w:right w:val="single" w:sz="4" w:space="0" w:color="auto"/>
            </w:tcBorders>
            <w:noWrap/>
            <w:vAlign w:val="bottom"/>
            <w:hideMark/>
          </w:tcPr>
          <w:p w14:paraId="1EF8C1E5" w14:textId="4DF0DCED" w:rsidR="00C13730" w:rsidRPr="00BD4D33" w:rsidRDefault="00C13730" w:rsidP="00C13730">
            <w:pPr>
              <w:jc w:val="center"/>
              <w:rPr>
                <w:rFonts w:ascii="Arial" w:hAnsi="Arial" w:cs="Arial"/>
              </w:rPr>
            </w:pPr>
            <w:r w:rsidRPr="00BD4D33">
              <w:rPr>
                <w:rFonts w:ascii="Arial" w:eastAsia="Times New Roman" w:hAnsi="Arial" w:cs="Arial"/>
                <w:color w:val="000000"/>
                <w:kern w:val="0"/>
                <w:lang w:eastAsia="en-IN"/>
                <w14:ligatures w14:val="none"/>
              </w:rPr>
              <w:t>35</w:t>
            </w:r>
            <w:r w:rsidRPr="00BD4D33">
              <w:rPr>
                <w:rFonts w:ascii="Arial" w:eastAsia="Times New Roman" w:hAnsi="Arial" w:cs="Arial"/>
                <w:color w:val="000000"/>
                <w:kern w:val="0"/>
                <w:vertAlign w:val="superscript"/>
                <w:lang w:eastAsia="en-IN"/>
                <w14:ligatures w14:val="none"/>
              </w:rPr>
              <w:t>th</w:t>
            </w:r>
            <w:r w:rsidRPr="00BD4D33">
              <w:rPr>
                <w:rFonts w:ascii="Arial" w:eastAsia="Times New Roman" w:hAnsi="Arial" w:cs="Arial"/>
                <w:color w:val="000000"/>
                <w:kern w:val="0"/>
                <w:lang w:eastAsia="en-IN"/>
                <w14:ligatures w14:val="none"/>
              </w:rPr>
              <w:t xml:space="preserve"> day</w:t>
            </w:r>
          </w:p>
        </w:tc>
        <w:tc>
          <w:tcPr>
            <w:tcW w:w="0" w:type="auto"/>
            <w:tcBorders>
              <w:left w:val="single" w:sz="4" w:space="0" w:color="auto"/>
            </w:tcBorders>
            <w:hideMark/>
          </w:tcPr>
          <w:p w14:paraId="4833251D" w14:textId="77777777" w:rsidR="00C13730" w:rsidRPr="00BD4D33" w:rsidRDefault="00C13730" w:rsidP="00C13730">
            <w:pPr>
              <w:jc w:val="center"/>
              <w:rPr>
                <w:rFonts w:ascii="Arial" w:hAnsi="Arial" w:cs="Arial"/>
                <w:vertAlign w:val="superscript"/>
              </w:rPr>
            </w:pPr>
            <w:r w:rsidRPr="00BD4D33">
              <w:rPr>
                <w:rFonts w:ascii="Arial" w:eastAsia="Calibri" w:hAnsi="Arial" w:cs="Arial"/>
              </w:rPr>
              <w:t>0.28±0.07</w:t>
            </w:r>
            <w:r w:rsidRPr="00BD4D33">
              <w:rPr>
                <w:rFonts w:ascii="Arial" w:eastAsia="Calibri" w:hAnsi="Arial" w:cs="Arial"/>
                <w:position w:val="10"/>
                <w:vertAlign w:val="superscript"/>
              </w:rPr>
              <w:t>r</w:t>
            </w:r>
          </w:p>
        </w:tc>
        <w:tc>
          <w:tcPr>
            <w:tcW w:w="0" w:type="auto"/>
            <w:hideMark/>
          </w:tcPr>
          <w:p w14:paraId="0C11421C" w14:textId="77777777" w:rsidR="00C13730" w:rsidRPr="00BD4D33" w:rsidRDefault="00C13730" w:rsidP="00C13730">
            <w:pPr>
              <w:jc w:val="center"/>
              <w:rPr>
                <w:rFonts w:ascii="Arial" w:hAnsi="Arial" w:cs="Arial"/>
                <w:vertAlign w:val="superscript"/>
              </w:rPr>
            </w:pPr>
            <w:r w:rsidRPr="00BD4D33">
              <w:rPr>
                <w:rFonts w:ascii="Arial" w:eastAsia="Calibri" w:hAnsi="Arial" w:cs="Arial"/>
              </w:rPr>
              <w:t>0.17±0.05</w:t>
            </w:r>
            <w:r w:rsidRPr="00BD4D33">
              <w:rPr>
                <w:rFonts w:ascii="Arial" w:eastAsia="Calibri" w:hAnsi="Arial" w:cs="Arial"/>
                <w:position w:val="10"/>
                <w:vertAlign w:val="superscript"/>
              </w:rPr>
              <w:t>r</w:t>
            </w:r>
          </w:p>
        </w:tc>
        <w:tc>
          <w:tcPr>
            <w:tcW w:w="0" w:type="auto"/>
            <w:hideMark/>
          </w:tcPr>
          <w:p w14:paraId="0D21E558" w14:textId="1D3A3344" w:rsidR="00C13730" w:rsidRPr="00BD4D33" w:rsidRDefault="00C13730" w:rsidP="00C13730">
            <w:pPr>
              <w:jc w:val="center"/>
              <w:rPr>
                <w:rFonts w:ascii="Arial" w:hAnsi="Arial" w:cs="Arial"/>
                <w:vertAlign w:val="superscript"/>
              </w:rPr>
            </w:pPr>
            <w:r w:rsidRPr="00BD4D33">
              <w:rPr>
                <w:rFonts w:ascii="Arial" w:eastAsia="Calibri" w:hAnsi="Arial" w:cs="Arial"/>
              </w:rPr>
              <w:t>0.38±0.</w:t>
            </w:r>
            <w:r w:rsidR="00BD4F82" w:rsidRPr="00BD4D33">
              <w:rPr>
                <w:rFonts w:ascii="Arial" w:eastAsia="Calibri" w:hAnsi="Arial" w:cs="Arial"/>
              </w:rPr>
              <w:t>0</w:t>
            </w:r>
            <w:r w:rsidRPr="00BD4D33">
              <w:rPr>
                <w:rFonts w:ascii="Arial" w:eastAsia="Calibri" w:hAnsi="Arial" w:cs="Arial"/>
              </w:rPr>
              <w:t>4</w:t>
            </w:r>
            <w:r w:rsidRPr="00BD4D33">
              <w:rPr>
                <w:rFonts w:ascii="Arial" w:eastAsia="Calibri" w:hAnsi="Arial" w:cs="Arial"/>
                <w:position w:val="10"/>
                <w:vertAlign w:val="superscript"/>
              </w:rPr>
              <w:t>r</w:t>
            </w:r>
          </w:p>
        </w:tc>
      </w:tr>
      <w:tr w:rsidR="00C13730" w:rsidRPr="00BD4D33" w14:paraId="2855CCDD" w14:textId="77777777" w:rsidTr="00B70380">
        <w:trPr>
          <w:trHeight w:val="50"/>
        </w:trPr>
        <w:tc>
          <w:tcPr>
            <w:tcW w:w="0" w:type="auto"/>
            <w:tcBorders>
              <w:right w:val="single" w:sz="4" w:space="0" w:color="auto"/>
            </w:tcBorders>
            <w:noWrap/>
            <w:vAlign w:val="bottom"/>
            <w:hideMark/>
          </w:tcPr>
          <w:p w14:paraId="270A1941" w14:textId="528C48AF" w:rsidR="00C13730" w:rsidRPr="00BD4D33" w:rsidRDefault="00C13730" w:rsidP="00C13730">
            <w:pPr>
              <w:jc w:val="center"/>
              <w:rPr>
                <w:rFonts w:ascii="Arial" w:hAnsi="Arial" w:cs="Arial"/>
              </w:rPr>
            </w:pPr>
            <w:r w:rsidRPr="00BD4D33">
              <w:rPr>
                <w:rFonts w:ascii="Arial" w:eastAsia="Times New Roman" w:hAnsi="Arial" w:cs="Arial"/>
                <w:color w:val="000000"/>
                <w:kern w:val="0"/>
                <w:lang w:eastAsia="en-IN"/>
                <w14:ligatures w14:val="none"/>
              </w:rPr>
              <w:t>42</w:t>
            </w:r>
            <w:r w:rsidRPr="00BD4D33">
              <w:rPr>
                <w:rFonts w:ascii="Arial" w:eastAsia="Times New Roman" w:hAnsi="Arial" w:cs="Arial"/>
                <w:color w:val="000000"/>
                <w:kern w:val="0"/>
                <w:vertAlign w:val="superscript"/>
                <w:lang w:eastAsia="en-IN"/>
                <w14:ligatures w14:val="none"/>
              </w:rPr>
              <w:t>nd</w:t>
            </w:r>
            <w:r w:rsidRPr="00BD4D33">
              <w:rPr>
                <w:rFonts w:ascii="Arial" w:eastAsia="Times New Roman" w:hAnsi="Arial" w:cs="Arial"/>
                <w:color w:val="000000"/>
                <w:kern w:val="0"/>
                <w:lang w:eastAsia="en-IN"/>
                <w14:ligatures w14:val="none"/>
              </w:rPr>
              <w:t xml:space="preserve"> day</w:t>
            </w:r>
          </w:p>
        </w:tc>
        <w:tc>
          <w:tcPr>
            <w:tcW w:w="0" w:type="auto"/>
            <w:tcBorders>
              <w:left w:val="single" w:sz="4" w:space="0" w:color="auto"/>
            </w:tcBorders>
            <w:hideMark/>
          </w:tcPr>
          <w:p w14:paraId="49779F44" w14:textId="77777777" w:rsidR="00C13730" w:rsidRPr="00BD4D33" w:rsidRDefault="00C13730" w:rsidP="00C13730">
            <w:pPr>
              <w:jc w:val="center"/>
              <w:rPr>
                <w:rFonts w:ascii="Arial" w:hAnsi="Arial" w:cs="Arial"/>
                <w:vertAlign w:val="superscript"/>
              </w:rPr>
            </w:pPr>
            <w:r w:rsidRPr="00BD4D33">
              <w:rPr>
                <w:rFonts w:ascii="Arial" w:eastAsia="Calibri" w:hAnsi="Arial" w:cs="Arial"/>
              </w:rPr>
              <w:t>0.22±0.05</w:t>
            </w:r>
            <w:r w:rsidRPr="00BD4D33">
              <w:rPr>
                <w:rFonts w:ascii="Arial" w:eastAsia="Calibri" w:hAnsi="Arial" w:cs="Arial"/>
                <w:position w:val="10"/>
                <w:vertAlign w:val="superscript"/>
              </w:rPr>
              <w:t>M</w:t>
            </w:r>
          </w:p>
        </w:tc>
        <w:tc>
          <w:tcPr>
            <w:tcW w:w="0" w:type="auto"/>
            <w:hideMark/>
          </w:tcPr>
          <w:p w14:paraId="7D3FCB31" w14:textId="6D5B8674" w:rsidR="00C13730" w:rsidRPr="00BD4D33" w:rsidRDefault="00C13730" w:rsidP="00C13730">
            <w:pPr>
              <w:jc w:val="center"/>
              <w:rPr>
                <w:rFonts w:ascii="Arial" w:hAnsi="Arial" w:cs="Arial"/>
                <w:vertAlign w:val="superscript"/>
              </w:rPr>
            </w:pPr>
            <w:r w:rsidRPr="00BD4D33">
              <w:rPr>
                <w:rFonts w:ascii="Arial" w:eastAsia="Calibri" w:hAnsi="Arial" w:cs="Arial"/>
              </w:rPr>
              <w:t>0.49±0.</w:t>
            </w:r>
            <w:r w:rsidR="00BD4F82" w:rsidRPr="00BD4D33">
              <w:rPr>
                <w:rFonts w:ascii="Arial" w:eastAsia="Calibri" w:hAnsi="Arial" w:cs="Arial"/>
              </w:rPr>
              <w:t>0</w:t>
            </w:r>
            <w:r w:rsidRPr="00BD4D33">
              <w:rPr>
                <w:rFonts w:ascii="Arial" w:eastAsia="Calibri" w:hAnsi="Arial" w:cs="Arial"/>
              </w:rPr>
              <w:t>3</w:t>
            </w:r>
            <w:r w:rsidRPr="00BD4D33">
              <w:rPr>
                <w:rFonts w:ascii="Arial" w:eastAsia="Calibri" w:hAnsi="Arial" w:cs="Arial"/>
                <w:position w:val="10"/>
                <w:vertAlign w:val="superscript"/>
              </w:rPr>
              <w:t>M</w:t>
            </w:r>
          </w:p>
        </w:tc>
        <w:tc>
          <w:tcPr>
            <w:tcW w:w="0" w:type="auto"/>
            <w:hideMark/>
          </w:tcPr>
          <w:p w14:paraId="1363162F" w14:textId="77777777" w:rsidR="00C13730" w:rsidRPr="00BD4D33" w:rsidRDefault="00C13730" w:rsidP="00C13730">
            <w:pPr>
              <w:jc w:val="center"/>
              <w:rPr>
                <w:rFonts w:ascii="Arial" w:hAnsi="Arial" w:cs="Arial"/>
                <w:vertAlign w:val="superscript"/>
              </w:rPr>
            </w:pPr>
            <w:r w:rsidRPr="00BD4D33">
              <w:rPr>
                <w:rFonts w:ascii="Arial" w:eastAsia="Calibri" w:hAnsi="Arial" w:cs="Arial"/>
              </w:rPr>
              <w:t>0.23±0.06</w:t>
            </w:r>
            <w:r w:rsidRPr="00BD4D33">
              <w:rPr>
                <w:rFonts w:ascii="Arial" w:eastAsia="Calibri" w:hAnsi="Arial" w:cs="Arial"/>
                <w:position w:val="10"/>
                <w:vertAlign w:val="superscript"/>
              </w:rPr>
              <w:t>M</w:t>
            </w:r>
          </w:p>
        </w:tc>
      </w:tr>
      <w:tr w:rsidR="00C13730" w:rsidRPr="00BD4D33" w14:paraId="25F35B72" w14:textId="77777777" w:rsidTr="00B70380">
        <w:trPr>
          <w:trHeight w:val="50"/>
        </w:trPr>
        <w:tc>
          <w:tcPr>
            <w:tcW w:w="0" w:type="auto"/>
            <w:tcBorders>
              <w:right w:val="single" w:sz="4" w:space="0" w:color="auto"/>
            </w:tcBorders>
            <w:noWrap/>
            <w:vAlign w:val="bottom"/>
            <w:hideMark/>
          </w:tcPr>
          <w:p w14:paraId="7EA10463" w14:textId="6266B566" w:rsidR="00C13730" w:rsidRPr="00BD4D33" w:rsidRDefault="00C13730" w:rsidP="00C13730">
            <w:pPr>
              <w:jc w:val="center"/>
              <w:rPr>
                <w:rFonts w:ascii="Arial" w:hAnsi="Arial" w:cs="Arial"/>
              </w:rPr>
            </w:pPr>
            <w:r w:rsidRPr="00BD4D33">
              <w:rPr>
                <w:rFonts w:ascii="Arial" w:eastAsia="Times New Roman" w:hAnsi="Arial" w:cs="Arial"/>
                <w:color w:val="000000"/>
                <w:kern w:val="0"/>
                <w:lang w:eastAsia="en-IN"/>
                <w14:ligatures w14:val="none"/>
              </w:rPr>
              <w:t>49</w:t>
            </w:r>
            <w:r w:rsidRPr="00BD4D33">
              <w:rPr>
                <w:rFonts w:ascii="Arial" w:eastAsia="Times New Roman" w:hAnsi="Arial" w:cs="Arial"/>
                <w:color w:val="000000"/>
                <w:kern w:val="0"/>
                <w:vertAlign w:val="superscript"/>
                <w:lang w:eastAsia="en-IN"/>
                <w14:ligatures w14:val="none"/>
              </w:rPr>
              <w:t>th</w:t>
            </w:r>
            <w:r w:rsidRPr="00BD4D33">
              <w:rPr>
                <w:rFonts w:ascii="Arial" w:eastAsia="Times New Roman" w:hAnsi="Arial" w:cs="Arial"/>
                <w:color w:val="000000"/>
                <w:kern w:val="0"/>
                <w:lang w:eastAsia="en-IN"/>
                <w14:ligatures w14:val="none"/>
              </w:rPr>
              <w:t xml:space="preserve"> day</w:t>
            </w:r>
          </w:p>
        </w:tc>
        <w:tc>
          <w:tcPr>
            <w:tcW w:w="0" w:type="auto"/>
            <w:tcBorders>
              <w:left w:val="single" w:sz="4" w:space="0" w:color="auto"/>
            </w:tcBorders>
            <w:hideMark/>
          </w:tcPr>
          <w:p w14:paraId="02323C76" w14:textId="77777777" w:rsidR="00C13730" w:rsidRPr="00BD4D33" w:rsidRDefault="00C13730" w:rsidP="00C13730">
            <w:pPr>
              <w:jc w:val="center"/>
              <w:rPr>
                <w:rFonts w:ascii="Arial" w:hAnsi="Arial" w:cs="Arial"/>
                <w:vertAlign w:val="superscript"/>
              </w:rPr>
            </w:pPr>
            <w:r w:rsidRPr="00BD4D33">
              <w:rPr>
                <w:rFonts w:ascii="Arial" w:eastAsia="Calibri" w:hAnsi="Arial" w:cs="Arial"/>
              </w:rPr>
              <w:t>0.23±0.02</w:t>
            </w:r>
            <w:r w:rsidRPr="00BD4D33">
              <w:rPr>
                <w:rFonts w:ascii="Arial" w:eastAsia="Calibri" w:hAnsi="Arial" w:cs="Arial"/>
                <w:position w:val="10"/>
                <w:vertAlign w:val="superscript"/>
              </w:rPr>
              <w:t>z</w:t>
            </w:r>
          </w:p>
        </w:tc>
        <w:tc>
          <w:tcPr>
            <w:tcW w:w="0" w:type="auto"/>
            <w:hideMark/>
          </w:tcPr>
          <w:p w14:paraId="08D1D5A6" w14:textId="77777777" w:rsidR="00C13730" w:rsidRPr="00BD4D33" w:rsidRDefault="00C13730" w:rsidP="00C13730">
            <w:pPr>
              <w:jc w:val="center"/>
              <w:rPr>
                <w:rFonts w:ascii="Arial" w:hAnsi="Arial" w:cs="Arial"/>
                <w:vertAlign w:val="superscript"/>
              </w:rPr>
            </w:pPr>
            <w:r w:rsidRPr="00BD4D33">
              <w:rPr>
                <w:rFonts w:ascii="Arial" w:eastAsia="Calibri" w:hAnsi="Arial" w:cs="Arial"/>
              </w:rPr>
              <w:t>0.26±0.02</w:t>
            </w:r>
            <w:r w:rsidRPr="00BD4D33">
              <w:rPr>
                <w:rFonts w:ascii="Arial" w:eastAsia="Calibri" w:hAnsi="Arial" w:cs="Arial"/>
                <w:position w:val="10"/>
                <w:vertAlign w:val="superscript"/>
              </w:rPr>
              <w:t>z</w:t>
            </w:r>
          </w:p>
        </w:tc>
        <w:tc>
          <w:tcPr>
            <w:tcW w:w="0" w:type="auto"/>
            <w:hideMark/>
          </w:tcPr>
          <w:p w14:paraId="74FE0855" w14:textId="77777777" w:rsidR="00C13730" w:rsidRPr="00BD4D33" w:rsidRDefault="00C13730" w:rsidP="00C13730">
            <w:pPr>
              <w:jc w:val="center"/>
              <w:rPr>
                <w:rFonts w:ascii="Arial" w:hAnsi="Arial" w:cs="Arial"/>
                <w:vertAlign w:val="superscript"/>
              </w:rPr>
            </w:pPr>
            <w:r w:rsidRPr="00BD4D33">
              <w:rPr>
                <w:rFonts w:ascii="Arial" w:eastAsia="Calibri" w:hAnsi="Arial" w:cs="Arial"/>
              </w:rPr>
              <w:t>0.27±0.02</w:t>
            </w:r>
            <w:r w:rsidRPr="00BD4D33">
              <w:rPr>
                <w:rFonts w:ascii="Arial" w:eastAsia="Calibri" w:hAnsi="Arial" w:cs="Arial"/>
                <w:position w:val="10"/>
                <w:vertAlign w:val="superscript"/>
              </w:rPr>
              <w:t>z</w:t>
            </w:r>
          </w:p>
        </w:tc>
      </w:tr>
      <w:tr w:rsidR="00C13730" w:rsidRPr="00BD4D33" w14:paraId="143A7F15" w14:textId="77777777" w:rsidTr="00B70380">
        <w:trPr>
          <w:trHeight w:val="50"/>
        </w:trPr>
        <w:tc>
          <w:tcPr>
            <w:tcW w:w="0" w:type="auto"/>
            <w:tcBorders>
              <w:right w:val="single" w:sz="4" w:space="0" w:color="auto"/>
            </w:tcBorders>
            <w:noWrap/>
            <w:vAlign w:val="bottom"/>
            <w:hideMark/>
          </w:tcPr>
          <w:p w14:paraId="0407E84E" w14:textId="427F1C73" w:rsidR="00C13730" w:rsidRPr="00BD4D33" w:rsidRDefault="00C13730" w:rsidP="00C13730">
            <w:pPr>
              <w:jc w:val="center"/>
              <w:rPr>
                <w:rFonts w:ascii="Arial" w:hAnsi="Arial" w:cs="Arial"/>
              </w:rPr>
            </w:pPr>
            <w:r w:rsidRPr="00BD4D33">
              <w:rPr>
                <w:rFonts w:ascii="Arial" w:eastAsia="Times New Roman" w:hAnsi="Arial" w:cs="Arial"/>
                <w:color w:val="000000"/>
                <w:kern w:val="0"/>
                <w:lang w:eastAsia="en-IN"/>
                <w14:ligatures w14:val="none"/>
              </w:rPr>
              <w:t>56</w:t>
            </w:r>
            <w:r w:rsidRPr="00BD4D33">
              <w:rPr>
                <w:rFonts w:ascii="Arial" w:eastAsia="Times New Roman" w:hAnsi="Arial" w:cs="Arial"/>
                <w:color w:val="000000"/>
                <w:kern w:val="0"/>
                <w:vertAlign w:val="superscript"/>
                <w:lang w:eastAsia="en-IN"/>
                <w14:ligatures w14:val="none"/>
              </w:rPr>
              <w:t>th</w:t>
            </w:r>
            <w:r w:rsidRPr="00BD4D33">
              <w:rPr>
                <w:rFonts w:ascii="Arial" w:eastAsia="Times New Roman" w:hAnsi="Arial" w:cs="Arial"/>
                <w:color w:val="000000"/>
                <w:kern w:val="0"/>
                <w:lang w:eastAsia="en-IN"/>
                <w14:ligatures w14:val="none"/>
              </w:rPr>
              <w:t xml:space="preserve"> day</w:t>
            </w:r>
          </w:p>
        </w:tc>
        <w:tc>
          <w:tcPr>
            <w:tcW w:w="0" w:type="auto"/>
            <w:tcBorders>
              <w:left w:val="single" w:sz="4" w:space="0" w:color="auto"/>
            </w:tcBorders>
            <w:hideMark/>
          </w:tcPr>
          <w:p w14:paraId="3E679B2E" w14:textId="77777777" w:rsidR="00C13730" w:rsidRPr="00BD4D33" w:rsidRDefault="00C13730" w:rsidP="00C13730">
            <w:pPr>
              <w:jc w:val="center"/>
              <w:rPr>
                <w:rFonts w:ascii="Arial" w:hAnsi="Arial" w:cs="Arial"/>
                <w:vertAlign w:val="superscript"/>
              </w:rPr>
            </w:pPr>
            <w:r w:rsidRPr="00BD4D33">
              <w:rPr>
                <w:rFonts w:ascii="Arial" w:eastAsia="Calibri" w:hAnsi="Arial" w:cs="Arial"/>
              </w:rPr>
              <w:t>0.26±0.05</w:t>
            </w:r>
            <w:r w:rsidRPr="00BD4D33">
              <w:rPr>
                <w:rFonts w:ascii="Arial" w:eastAsia="Calibri" w:hAnsi="Arial" w:cs="Arial"/>
                <w:position w:val="10"/>
                <w:vertAlign w:val="superscript"/>
              </w:rPr>
              <w:t>C</w:t>
            </w:r>
          </w:p>
        </w:tc>
        <w:tc>
          <w:tcPr>
            <w:tcW w:w="0" w:type="auto"/>
            <w:hideMark/>
          </w:tcPr>
          <w:p w14:paraId="7E332F75" w14:textId="5C71E011" w:rsidR="00C13730" w:rsidRPr="00BD4D33" w:rsidRDefault="00C13730" w:rsidP="00C13730">
            <w:pPr>
              <w:jc w:val="center"/>
              <w:rPr>
                <w:rFonts w:ascii="Arial" w:hAnsi="Arial" w:cs="Arial"/>
                <w:vertAlign w:val="superscript"/>
              </w:rPr>
            </w:pPr>
            <w:r w:rsidRPr="00BD4D33">
              <w:rPr>
                <w:rFonts w:ascii="Arial" w:eastAsia="Calibri" w:hAnsi="Arial" w:cs="Arial"/>
              </w:rPr>
              <w:t>0.44±0.</w:t>
            </w:r>
            <w:r w:rsidR="00BD4F82" w:rsidRPr="00BD4D33">
              <w:rPr>
                <w:rFonts w:ascii="Arial" w:eastAsia="Calibri" w:hAnsi="Arial" w:cs="Arial"/>
              </w:rPr>
              <w:t>0</w:t>
            </w:r>
            <w:r w:rsidRPr="00BD4D33">
              <w:rPr>
                <w:rFonts w:ascii="Arial" w:eastAsia="Calibri" w:hAnsi="Arial" w:cs="Arial"/>
              </w:rPr>
              <w:t>2</w:t>
            </w:r>
            <w:r w:rsidRPr="00BD4D33">
              <w:rPr>
                <w:rFonts w:ascii="Arial" w:eastAsia="Calibri" w:hAnsi="Arial" w:cs="Arial"/>
                <w:position w:val="10"/>
                <w:vertAlign w:val="superscript"/>
              </w:rPr>
              <w:t>C</w:t>
            </w:r>
          </w:p>
        </w:tc>
        <w:tc>
          <w:tcPr>
            <w:tcW w:w="0" w:type="auto"/>
            <w:hideMark/>
          </w:tcPr>
          <w:p w14:paraId="0CB089A7" w14:textId="77777777" w:rsidR="00C13730" w:rsidRPr="00BD4D33" w:rsidRDefault="00C13730" w:rsidP="00C13730">
            <w:pPr>
              <w:jc w:val="center"/>
              <w:rPr>
                <w:rFonts w:ascii="Arial" w:hAnsi="Arial" w:cs="Arial"/>
                <w:vertAlign w:val="superscript"/>
              </w:rPr>
            </w:pPr>
            <w:r w:rsidRPr="00BD4D33">
              <w:rPr>
                <w:rFonts w:ascii="Arial" w:eastAsia="Calibri" w:hAnsi="Arial" w:cs="Arial"/>
              </w:rPr>
              <w:t>0.22±0.06</w:t>
            </w:r>
            <w:r w:rsidRPr="00BD4D33">
              <w:rPr>
                <w:rFonts w:ascii="Arial" w:eastAsia="Calibri" w:hAnsi="Arial" w:cs="Arial"/>
                <w:position w:val="10"/>
                <w:vertAlign w:val="superscript"/>
              </w:rPr>
              <w:t>C</w:t>
            </w:r>
          </w:p>
        </w:tc>
      </w:tr>
      <w:tr w:rsidR="00C13730" w:rsidRPr="00BD4D33" w14:paraId="674CA162" w14:textId="77777777" w:rsidTr="00B70380">
        <w:trPr>
          <w:trHeight w:val="50"/>
        </w:trPr>
        <w:tc>
          <w:tcPr>
            <w:tcW w:w="0" w:type="auto"/>
            <w:tcBorders>
              <w:bottom w:val="single" w:sz="4" w:space="0" w:color="auto"/>
              <w:right w:val="single" w:sz="4" w:space="0" w:color="auto"/>
            </w:tcBorders>
            <w:noWrap/>
            <w:vAlign w:val="bottom"/>
            <w:hideMark/>
          </w:tcPr>
          <w:p w14:paraId="232A0134" w14:textId="5E725304" w:rsidR="00C13730" w:rsidRPr="00BD4D33" w:rsidRDefault="00C13730" w:rsidP="00C13730">
            <w:pPr>
              <w:jc w:val="center"/>
              <w:rPr>
                <w:rFonts w:ascii="Arial" w:hAnsi="Arial" w:cs="Arial"/>
              </w:rPr>
            </w:pPr>
            <w:r w:rsidRPr="00BD4D33">
              <w:rPr>
                <w:rFonts w:ascii="Arial" w:eastAsia="Times New Roman" w:hAnsi="Arial" w:cs="Arial"/>
                <w:color w:val="000000"/>
                <w:kern w:val="0"/>
                <w:lang w:eastAsia="en-IN"/>
                <w14:ligatures w14:val="none"/>
              </w:rPr>
              <w:t>63</w:t>
            </w:r>
            <w:r w:rsidRPr="00BD4D33">
              <w:rPr>
                <w:rFonts w:ascii="Arial" w:eastAsia="Times New Roman" w:hAnsi="Arial" w:cs="Arial"/>
                <w:color w:val="000000"/>
                <w:kern w:val="0"/>
                <w:vertAlign w:val="superscript"/>
                <w:lang w:eastAsia="en-IN"/>
                <w14:ligatures w14:val="none"/>
              </w:rPr>
              <w:t>rd</w:t>
            </w:r>
            <w:r w:rsidRPr="00BD4D33">
              <w:rPr>
                <w:rFonts w:ascii="Arial" w:eastAsia="Times New Roman" w:hAnsi="Arial" w:cs="Arial"/>
                <w:color w:val="000000"/>
                <w:kern w:val="0"/>
                <w:lang w:eastAsia="en-IN"/>
                <w14:ligatures w14:val="none"/>
              </w:rPr>
              <w:t xml:space="preserve"> day</w:t>
            </w:r>
          </w:p>
        </w:tc>
        <w:tc>
          <w:tcPr>
            <w:tcW w:w="0" w:type="auto"/>
            <w:tcBorders>
              <w:left w:val="single" w:sz="4" w:space="0" w:color="auto"/>
              <w:bottom w:val="single" w:sz="4" w:space="0" w:color="auto"/>
            </w:tcBorders>
            <w:hideMark/>
          </w:tcPr>
          <w:p w14:paraId="1D7CE0B0" w14:textId="77777777" w:rsidR="00C13730" w:rsidRPr="00BD4D33" w:rsidRDefault="00C13730" w:rsidP="00C13730">
            <w:pPr>
              <w:jc w:val="center"/>
              <w:rPr>
                <w:rFonts w:ascii="Arial" w:hAnsi="Arial" w:cs="Arial"/>
                <w:vertAlign w:val="superscript"/>
              </w:rPr>
            </w:pPr>
            <w:r w:rsidRPr="00BD4D33">
              <w:rPr>
                <w:rFonts w:ascii="Arial" w:eastAsia="Calibri" w:hAnsi="Arial" w:cs="Arial"/>
              </w:rPr>
              <w:t>0.22±0.03</w:t>
            </w:r>
            <w:r w:rsidRPr="00BD4D33">
              <w:rPr>
                <w:rFonts w:ascii="Arial" w:eastAsia="Calibri" w:hAnsi="Arial" w:cs="Arial"/>
                <w:position w:val="10"/>
                <w:vertAlign w:val="superscript"/>
              </w:rPr>
              <w:t>s</w:t>
            </w:r>
          </w:p>
        </w:tc>
        <w:tc>
          <w:tcPr>
            <w:tcW w:w="0" w:type="auto"/>
            <w:tcBorders>
              <w:bottom w:val="single" w:sz="4" w:space="0" w:color="auto"/>
            </w:tcBorders>
            <w:hideMark/>
          </w:tcPr>
          <w:p w14:paraId="417A8DEA" w14:textId="77777777" w:rsidR="00C13730" w:rsidRPr="00BD4D33" w:rsidRDefault="00C13730" w:rsidP="00C13730">
            <w:pPr>
              <w:jc w:val="center"/>
              <w:rPr>
                <w:rFonts w:ascii="Arial" w:hAnsi="Arial" w:cs="Arial"/>
                <w:vertAlign w:val="superscript"/>
              </w:rPr>
            </w:pPr>
            <w:r w:rsidRPr="00BD4D33">
              <w:rPr>
                <w:rFonts w:ascii="Arial" w:eastAsia="Calibri" w:hAnsi="Arial" w:cs="Arial"/>
              </w:rPr>
              <w:t>0.36±0.04</w:t>
            </w:r>
            <w:r w:rsidRPr="00BD4D33">
              <w:rPr>
                <w:rFonts w:ascii="Arial" w:eastAsia="Calibri" w:hAnsi="Arial" w:cs="Arial"/>
                <w:position w:val="10"/>
                <w:vertAlign w:val="superscript"/>
              </w:rPr>
              <w:t>s</w:t>
            </w:r>
          </w:p>
        </w:tc>
        <w:tc>
          <w:tcPr>
            <w:tcW w:w="0" w:type="auto"/>
            <w:tcBorders>
              <w:bottom w:val="single" w:sz="4" w:space="0" w:color="auto"/>
            </w:tcBorders>
            <w:hideMark/>
          </w:tcPr>
          <w:p w14:paraId="15A332D6" w14:textId="03C2B467" w:rsidR="00C13730" w:rsidRPr="00BD4D33" w:rsidRDefault="00C13730" w:rsidP="00C13730">
            <w:pPr>
              <w:jc w:val="center"/>
              <w:rPr>
                <w:rFonts w:ascii="Arial" w:hAnsi="Arial" w:cs="Arial"/>
                <w:vertAlign w:val="superscript"/>
              </w:rPr>
            </w:pPr>
            <w:r w:rsidRPr="00BD4D33">
              <w:rPr>
                <w:rFonts w:ascii="Arial" w:eastAsia="Calibri" w:hAnsi="Arial" w:cs="Arial"/>
              </w:rPr>
              <w:t>0.39±0.</w:t>
            </w:r>
            <w:r w:rsidR="00BD4F82" w:rsidRPr="00BD4D33">
              <w:rPr>
                <w:rFonts w:ascii="Arial" w:eastAsia="Calibri" w:hAnsi="Arial" w:cs="Arial"/>
              </w:rPr>
              <w:t>0</w:t>
            </w:r>
            <w:r w:rsidRPr="00BD4D33">
              <w:rPr>
                <w:rFonts w:ascii="Arial" w:eastAsia="Calibri" w:hAnsi="Arial" w:cs="Arial"/>
              </w:rPr>
              <w:t>2</w:t>
            </w:r>
            <w:r w:rsidRPr="00BD4D33">
              <w:rPr>
                <w:rFonts w:ascii="Arial" w:eastAsia="Calibri" w:hAnsi="Arial" w:cs="Arial"/>
                <w:position w:val="10"/>
                <w:vertAlign w:val="superscript"/>
              </w:rPr>
              <w:t>s</w:t>
            </w:r>
          </w:p>
        </w:tc>
      </w:tr>
    </w:tbl>
    <w:p w14:paraId="2562E021" w14:textId="19A429B0" w:rsidR="00C01C55" w:rsidRDefault="00C01C55" w:rsidP="00915BCB">
      <w:pPr>
        <w:spacing w:after="4" w:line="249" w:lineRule="auto"/>
        <w:ind w:left="-5" w:right="-123" w:hanging="10"/>
        <w:jc w:val="center"/>
        <w:rPr>
          <w:rFonts w:ascii="Arial" w:hAnsi="Arial" w:cs="Arial"/>
          <w:bCs/>
          <w:sz w:val="20"/>
          <w:szCs w:val="20"/>
        </w:rPr>
      </w:pPr>
      <w:r w:rsidRPr="008A16D3">
        <w:rPr>
          <w:rFonts w:ascii="Arial" w:hAnsi="Arial" w:cs="Arial"/>
          <w:sz w:val="20"/>
          <w:szCs w:val="20"/>
        </w:rPr>
        <w:t>(</w:t>
      </w:r>
      <w:r w:rsidRPr="008A16D3">
        <w:rPr>
          <w:rFonts w:ascii="Arial" w:hAnsi="Arial" w:cs="Arial"/>
          <w:bCs/>
          <w:sz w:val="20"/>
          <w:szCs w:val="20"/>
        </w:rPr>
        <w:t xml:space="preserve">*Note </w:t>
      </w:r>
      <w:r w:rsidR="00DA6F8B">
        <w:rPr>
          <w:rFonts w:ascii="Arial" w:hAnsi="Arial" w:cs="Arial"/>
          <w:bCs/>
          <w:sz w:val="20"/>
          <w:szCs w:val="20"/>
        </w:rPr>
        <w:t xml:space="preserve">C= Control, </w:t>
      </w:r>
      <w:r w:rsidRPr="008A16D3">
        <w:rPr>
          <w:rFonts w:ascii="Arial" w:hAnsi="Arial" w:cs="Arial"/>
          <w:bCs/>
          <w:sz w:val="20"/>
          <w:szCs w:val="20"/>
        </w:rPr>
        <w:t xml:space="preserve">T1= Bio-floc (20:1), </w:t>
      </w:r>
      <w:r w:rsidR="00A96EE9">
        <w:rPr>
          <w:rFonts w:ascii="Arial" w:hAnsi="Arial" w:cs="Arial"/>
          <w:bCs/>
          <w:sz w:val="20"/>
          <w:szCs w:val="20"/>
        </w:rPr>
        <w:t>T2</w:t>
      </w:r>
      <w:r w:rsidRPr="008A16D3">
        <w:rPr>
          <w:rFonts w:ascii="Arial" w:hAnsi="Arial" w:cs="Arial"/>
          <w:bCs/>
          <w:sz w:val="20"/>
          <w:szCs w:val="20"/>
        </w:rPr>
        <w:t>=Biofloc (20:1) + 0.5% Jeevamruth; The mean values followed by the different superscript letters in each factor indicate significant difference at 0.05.)</w:t>
      </w:r>
    </w:p>
    <w:p w14:paraId="7A0FBCC1" w14:textId="77777777" w:rsidR="00452E4B" w:rsidRPr="006079B2" w:rsidRDefault="00452E4B" w:rsidP="00E61B4E">
      <w:pPr>
        <w:rPr>
          <w:rFonts w:ascii="Arial" w:hAnsi="Arial" w:cs="Arial"/>
          <w:b/>
          <w:bCs/>
        </w:rPr>
      </w:pPr>
    </w:p>
    <w:p w14:paraId="70DB737D" w14:textId="2866A16E" w:rsidR="0063147C" w:rsidRPr="006079B2" w:rsidRDefault="005E1806" w:rsidP="00E61B4E">
      <w:pPr>
        <w:rPr>
          <w:rFonts w:ascii="Arial" w:hAnsi="Arial" w:cs="Arial"/>
          <w:b/>
          <w:bCs/>
        </w:rPr>
      </w:pPr>
      <w:r>
        <w:rPr>
          <w:rFonts w:ascii="Arial" w:hAnsi="Arial" w:cs="Arial"/>
          <w:noProof/>
        </w:rPr>
        <w:lastRenderedPageBreak/>
        <mc:AlternateContent>
          <mc:Choice Requires="wps">
            <w:drawing>
              <wp:anchor distT="0" distB="0" distL="114300" distR="114300" simplePos="0" relativeHeight="251669504" behindDoc="0" locked="0" layoutInCell="1" allowOverlap="1" wp14:anchorId="401BD443" wp14:editId="2BDF2D0B">
                <wp:simplePos x="0" y="0"/>
                <wp:positionH relativeFrom="column">
                  <wp:posOffset>2499360</wp:posOffset>
                </wp:positionH>
                <wp:positionV relativeFrom="paragraph">
                  <wp:posOffset>3058160</wp:posOffset>
                </wp:positionV>
                <wp:extent cx="869950" cy="204470"/>
                <wp:effectExtent l="0" t="0" r="25400" b="24130"/>
                <wp:wrapNone/>
                <wp:docPr id="303676575" name="Text Box 4"/>
                <wp:cNvGraphicFramePr/>
                <a:graphic xmlns:a="http://schemas.openxmlformats.org/drawingml/2006/main">
                  <a:graphicData uri="http://schemas.microsoft.com/office/word/2010/wordprocessingShape">
                    <wps:wsp>
                      <wps:cNvSpPr txBox="1"/>
                      <wps:spPr>
                        <a:xfrm>
                          <a:off x="0" y="0"/>
                          <a:ext cx="869950" cy="204470"/>
                        </a:xfrm>
                        <a:prstGeom prst="rect">
                          <a:avLst/>
                        </a:prstGeom>
                        <a:solidFill>
                          <a:schemeClr val="lt1"/>
                        </a:solidFill>
                        <a:ln w="12700">
                          <a:solidFill>
                            <a:prstClr val="black"/>
                          </a:solidFill>
                        </a:ln>
                      </wps:spPr>
                      <wps:txbx>
                        <w:txbxContent>
                          <w:p w14:paraId="329D51B8" w14:textId="2CA797CC" w:rsidR="00B435F6" w:rsidRPr="005E1806" w:rsidRDefault="00B435F6" w:rsidP="00802CA6">
                            <w:pPr>
                              <w:rPr>
                                <w:color w:val="808080" w:themeColor="background1" w:themeShade="80"/>
                                <w:sz w:val="16"/>
                                <w:szCs w:val="16"/>
                                <w:lang w:val="en-US"/>
                              </w:rPr>
                            </w:pPr>
                            <w:r w:rsidRPr="005E1806">
                              <w:rPr>
                                <w:color w:val="808080" w:themeColor="background1" w:themeShade="80"/>
                                <w:sz w:val="16"/>
                                <w:szCs w:val="16"/>
                                <w:lang w:val="en-US"/>
                              </w:rPr>
                              <w:t xml:space="preserve">    C       T1</w:t>
                            </w:r>
                            <w:r w:rsidRPr="005E1806">
                              <w:rPr>
                                <w:color w:val="808080" w:themeColor="background1" w:themeShade="80"/>
                                <w:sz w:val="16"/>
                                <w:szCs w:val="16"/>
                                <w:lang w:val="en-US"/>
                              </w:rPr>
                              <w:tab/>
                              <w:t xml:space="preserve">     T2</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01BD443" id="Text Box 4" o:spid="_x0000_s1061" type="#_x0000_t202" style="position:absolute;margin-left:196.8pt;margin-top:240.8pt;width:68.5pt;height:16.1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" fillcolor="white [3201]" strokeweight="1pt">
                <v:textbox>
                  <w:txbxContent>
                    <w:p w14:paraId="329D51B8" w14:textId="2CA797CC" w:rsidR="00B435F6" w:rsidRPr="005E1806" w:rsidRDefault="00B435F6" w:rsidP="00802CA6">
                      <w:pPr>
                        <w:rPr>
                          <w:color w:val="808080" w:themeColor="background1" w:themeShade="80"/>
                          <w:sz w:val="16"/>
                          <w:szCs w:val="16"/>
                          <w:lang w:val="en-US"/>
                        </w:rPr>
                      </w:pPr>
                      <w:r w:rsidRPr="005E1806">
                        <w:rPr>
                          <w:color w:val="808080" w:themeColor="background1" w:themeShade="80"/>
                          <w:sz w:val="16"/>
                          <w:szCs w:val="16"/>
                          <w:lang w:val="en-US"/>
                        </w:rPr>
                        <w:t xml:space="preserve">    C       T1</w:t>
                      </w:r>
                      <w:r w:rsidRPr="005E1806">
                        <w:rPr>
                          <w:color w:val="808080" w:themeColor="background1" w:themeShade="80"/>
                          <w:sz w:val="16"/>
                          <w:szCs w:val="16"/>
                          <w:lang w:val="en-US"/>
                        </w:rPr>
                        <w:tab/>
                        <w:t xml:space="preserve">     T2</w:t>
                      </w:r>
                    </w:p>
                  </w:txbxContent>
                </v:textbox>
              </v:shape>
            </w:pict>
          </mc:Fallback>
        </mc:AlternateContent>
      </w:r>
      <w:r>
        <w:rPr>
          <w:rFonts w:ascii="Arial" w:hAnsi="Arial" w:cs="Arial"/>
          <w:noProof/>
        </w:rPr>
        <mc:AlternateContent>
          <mc:Choice Requires="wps">
            <w:drawing>
              <wp:anchor distT="0" distB="0" distL="114300" distR="114300" simplePos="0" relativeHeight="251674624" behindDoc="0" locked="0" layoutInCell="1" allowOverlap="1" wp14:anchorId="03B30C1C" wp14:editId="0067DEE8">
                <wp:simplePos x="0" y="0"/>
                <wp:positionH relativeFrom="column">
                  <wp:posOffset>3072765</wp:posOffset>
                </wp:positionH>
                <wp:positionV relativeFrom="paragraph">
                  <wp:posOffset>3146425</wp:posOffset>
                </wp:positionV>
                <wp:extent cx="60960" cy="60960"/>
                <wp:effectExtent l="0" t="0" r="0" b="0"/>
                <wp:wrapNone/>
                <wp:docPr id="1115494922" name="Rectangle 5"/>
                <wp:cNvGraphicFramePr/>
                <a:graphic xmlns:a="http://schemas.openxmlformats.org/drawingml/2006/main">
                  <a:graphicData uri="http://schemas.microsoft.com/office/word/2010/wordprocessingShape">
                    <wps:wsp>
                      <wps:cNvSpPr/>
                      <wps:spPr>
                        <a:xfrm>
                          <a:off x="0" y="0"/>
                          <a:ext cx="60960" cy="60960"/>
                        </a:xfrm>
                        <a:prstGeom prst="rect">
                          <a:avLst/>
                        </a:prstGeom>
                        <a:solidFill>
                          <a:schemeClr val="bg1">
                            <a:lumMod val="65000"/>
                          </a:schemeClr>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w:pict>
              <v:rect w14:anchorId="1F49D319" id="Rectangle 5" o:spid="_x0000_s1026" style="position:absolute;margin-left:241.95pt;margin-top:247.75pt;width:4.8pt;height:4.8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" fillcolor="#a5a5a5 [2092]" stroked="f" strokeweight="1pt"/>
            </w:pict>
          </mc:Fallback>
        </mc:AlternateContent>
      </w:r>
      <w:r>
        <w:rPr>
          <w:rFonts w:ascii="Arial" w:hAnsi="Arial" w:cs="Arial"/>
          <w:noProof/>
        </w:rPr>
        <mc:AlternateContent>
          <mc:Choice Requires="wps">
            <w:drawing>
              <wp:anchor distT="0" distB="0" distL="114300" distR="114300" simplePos="0" relativeHeight="251672576" behindDoc="0" locked="0" layoutInCell="1" allowOverlap="1" wp14:anchorId="0895B8A1" wp14:editId="34D23C81">
                <wp:simplePos x="0" y="0"/>
                <wp:positionH relativeFrom="column">
                  <wp:posOffset>2813050</wp:posOffset>
                </wp:positionH>
                <wp:positionV relativeFrom="paragraph">
                  <wp:posOffset>3147060</wp:posOffset>
                </wp:positionV>
                <wp:extent cx="60960" cy="60960"/>
                <wp:effectExtent l="0" t="0" r="0" b="0"/>
                <wp:wrapNone/>
                <wp:docPr id="2078788121" name="Rectangle 5"/>
                <wp:cNvGraphicFramePr/>
                <a:graphic xmlns:a="http://schemas.openxmlformats.org/drawingml/2006/main">
                  <a:graphicData uri="http://schemas.microsoft.com/office/word/2010/wordprocessingShape">
                    <wps:wsp>
                      <wps:cNvSpPr/>
                      <wps:spPr>
                        <a:xfrm>
                          <a:off x="0" y="0"/>
                          <a:ext cx="60960" cy="60960"/>
                        </a:xfrm>
                        <a:prstGeom prst="rect">
                          <a:avLst/>
                        </a:prstGeom>
                        <a:solidFill>
                          <a:schemeClr val="accent2"/>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w:pict>
              <v:rect w14:anchorId="57E56707" id="Rectangle 5" o:spid="_x0000_s1026" style="position:absolute;margin-left:221.5pt;margin-top:247.8pt;width:4.8pt;height:4.8pt;z-index:25167257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" fillcolor="#ed7d31 [3205]" stroked="f" strokeweight="1pt"/>
            </w:pict>
          </mc:Fallback>
        </mc:AlternateContent>
      </w:r>
      <w:r>
        <w:rPr>
          <w:rFonts w:ascii="Arial" w:hAnsi="Arial" w:cs="Arial"/>
          <w:noProof/>
        </w:rPr>
        <mc:AlternateContent>
          <mc:Choice Requires="wps">
            <w:drawing>
              <wp:anchor distT="0" distB="0" distL="114300" distR="114300" simplePos="0" relativeHeight="251670528" behindDoc="0" locked="0" layoutInCell="1" allowOverlap="1" wp14:anchorId="654C61DF" wp14:editId="58401323">
                <wp:simplePos x="0" y="0"/>
                <wp:positionH relativeFrom="column">
                  <wp:posOffset>2599251</wp:posOffset>
                </wp:positionH>
                <wp:positionV relativeFrom="paragraph">
                  <wp:posOffset>3147548</wp:posOffset>
                </wp:positionV>
                <wp:extent cx="60960" cy="60960"/>
                <wp:effectExtent l="0" t="0" r="0" b="0"/>
                <wp:wrapNone/>
                <wp:docPr id="19031623" name="Rectangle 5"/>
                <wp:cNvGraphicFramePr/>
                <a:graphic xmlns:a="http://schemas.openxmlformats.org/drawingml/2006/main">
                  <a:graphicData uri="http://schemas.microsoft.com/office/word/2010/wordprocessingShape">
                    <wps:wsp>
                      <wps:cNvSpPr/>
                      <wps:spPr>
                        <a:xfrm>
                          <a:off x="0" y="0"/>
                          <a:ext cx="60960" cy="60960"/>
                        </a:xfrm>
                        <a:prstGeom prst="rect">
                          <a:avLst/>
                        </a:prstGeom>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w:pict>
              <v:rect w14:anchorId="05F1AA2A" id="Rectangle 5" o:spid="_x0000_s1026" style="position:absolute;margin-left:204.65pt;margin-top:247.85pt;width:4.8pt;height:4.8pt;z-index:25167052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" fillcolor="#4472c4 [3204]" stroked="f" strokeweight="1pt"/>
            </w:pict>
          </mc:Fallback>
        </mc:AlternateContent>
      </w:r>
      <w:r w:rsidR="0063147C" w:rsidRPr="006079B2">
        <w:rPr>
          <w:rFonts w:ascii="Arial" w:hAnsi="Arial" w:cs="Arial"/>
          <w:b/>
          <w:bCs/>
          <w:noProof/>
        </w:rPr>
        <w:drawing>
          <wp:inline distT="0" distB="0" distL="0" distR="0" wp14:anchorId="157F96CB" wp14:editId="4D9169BC">
            <wp:extent cx="5486400" cy="3200400"/>
            <wp:effectExtent l="0" t="0" r="0" b="0"/>
            <wp:docPr id="1636239286" name="Chart 8"/>
            <wp:cNvGraphicFramePr/>
            <a:graphic xmlns:a="http://schemas.openxmlformats.org/drawingml/2006/main">
              <a:graphicData uri="http://schemas.openxmlformats.org/drawingml/2006/chart">
                <c:chart xmlns:c="http://schemas.openxmlformats.org/drawingml/2006/chart" xmlns:r="http://schemas.openxmlformats.org/officeDocument/2006/relationships" r:id="rId24"/>
              </a:graphicData>
            </a:graphic>
          </wp:inline>
        </w:drawing>
      </w:r>
    </w:p>
    <w:p w14:paraId="0FC6D1CF" w14:textId="0673E13A" w:rsidR="00726987" w:rsidRDefault="00726987" w:rsidP="00726987">
      <w:pPr>
        <w:spacing w:line="360" w:lineRule="auto"/>
        <w:jc w:val="center"/>
        <w:rPr>
          <w:rFonts w:ascii="Arial" w:hAnsi="Arial" w:cs="Arial"/>
          <w:b/>
          <w:sz w:val="20"/>
          <w:szCs w:val="20"/>
        </w:rPr>
      </w:pPr>
      <w:r w:rsidRPr="00A152F0">
        <w:rPr>
          <w:rFonts w:ascii="Arial" w:hAnsi="Arial" w:cs="Arial"/>
          <w:b/>
          <w:sz w:val="20"/>
          <w:szCs w:val="20"/>
        </w:rPr>
        <w:t xml:space="preserve">Figure </w:t>
      </w:r>
      <w:r w:rsidR="00774601">
        <w:rPr>
          <w:rFonts w:ascii="Arial" w:hAnsi="Arial" w:cs="Arial"/>
          <w:b/>
          <w:sz w:val="20"/>
          <w:szCs w:val="20"/>
        </w:rPr>
        <w:t>8</w:t>
      </w:r>
      <w:r w:rsidRPr="00A152F0">
        <w:rPr>
          <w:rFonts w:ascii="Arial" w:hAnsi="Arial" w:cs="Arial"/>
          <w:b/>
          <w:sz w:val="20"/>
          <w:szCs w:val="20"/>
        </w:rPr>
        <w:t>:</w:t>
      </w:r>
      <w:r>
        <w:rPr>
          <w:rFonts w:ascii="Arial" w:hAnsi="Arial" w:cs="Arial"/>
          <w:b/>
          <w:sz w:val="20"/>
          <w:szCs w:val="20"/>
        </w:rPr>
        <w:t xml:space="preserve"> </w:t>
      </w:r>
      <w:r w:rsidRPr="00224BC0">
        <w:rPr>
          <w:rFonts w:ascii="Arial" w:hAnsi="Arial" w:cs="Arial"/>
          <w:b/>
          <w:sz w:val="20"/>
          <w:szCs w:val="20"/>
        </w:rPr>
        <w:t xml:space="preserve">Average </w:t>
      </w:r>
      <w:r w:rsidR="00774601">
        <w:rPr>
          <w:rFonts w:ascii="Arial" w:hAnsi="Arial" w:cs="Arial"/>
          <w:b/>
          <w:sz w:val="20"/>
          <w:szCs w:val="20"/>
        </w:rPr>
        <w:t>Ni</w:t>
      </w:r>
      <w:r w:rsidR="00456AF3">
        <w:rPr>
          <w:rFonts w:ascii="Arial" w:hAnsi="Arial" w:cs="Arial"/>
          <w:b/>
          <w:sz w:val="20"/>
          <w:szCs w:val="20"/>
        </w:rPr>
        <w:t>trite</w:t>
      </w:r>
      <w:r w:rsidRPr="00224BC0">
        <w:rPr>
          <w:rFonts w:ascii="Arial" w:hAnsi="Arial" w:cs="Arial"/>
          <w:b/>
          <w:sz w:val="20"/>
          <w:szCs w:val="20"/>
        </w:rPr>
        <w:t xml:space="preserve"> Value Recorded During the Experiment</w:t>
      </w:r>
    </w:p>
    <w:p w14:paraId="38175AE1" w14:textId="7435F3EE" w:rsidR="00BB3432" w:rsidRDefault="00BB3432" w:rsidP="00BB3432">
      <w:pPr>
        <w:spacing w:line="276" w:lineRule="auto"/>
        <w:ind w:firstLine="720"/>
        <w:jc w:val="both"/>
        <w:rPr>
          <w:rFonts w:ascii="Arial" w:hAnsi="Arial" w:cs="Arial"/>
          <w:bCs/>
          <w:sz w:val="20"/>
          <w:szCs w:val="20"/>
        </w:rPr>
      </w:pPr>
      <w:r w:rsidRPr="00BB3432">
        <w:rPr>
          <w:rFonts w:ascii="Arial" w:hAnsi="Arial" w:cs="Arial"/>
          <w:bCs/>
          <w:sz w:val="20"/>
          <w:szCs w:val="20"/>
        </w:rPr>
        <w:t>Nitrite levels were consistently lower in biofloc treatments compared to the control. The lowest nitrite values were frequently recorded in the Jeevamruth treatment, suggesting effective nitrification and nitrogen transformation. Nitrite concentrations across treatments remained within safe limits for carp culture (Boyd, 2020).</w:t>
      </w:r>
    </w:p>
    <w:p w14:paraId="47464681" w14:textId="77777777" w:rsidR="00BB3432" w:rsidRPr="00BB3432" w:rsidRDefault="00BB3432" w:rsidP="00BB3432">
      <w:pPr>
        <w:spacing w:line="276" w:lineRule="auto"/>
        <w:ind w:firstLine="720"/>
        <w:jc w:val="both"/>
        <w:rPr>
          <w:rFonts w:ascii="Arial" w:hAnsi="Arial" w:cs="Arial"/>
          <w:bCs/>
          <w:sz w:val="20"/>
          <w:szCs w:val="20"/>
        </w:rPr>
      </w:pPr>
    </w:p>
    <w:p w14:paraId="67516DB0" w14:textId="7A586BFA" w:rsidR="00446E39" w:rsidRPr="009C6357" w:rsidRDefault="00E05B72" w:rsidP="00446E39">
      <w:pPr>
        <w:rPr>
          <w:rFonts w:ascii="Arial" w:hAnsi="Arial" w:cs="Arial"/>
          <w:b/>
          <w:bCs/>
          <w:sz w:val="22"/>
          <w:szCs w:val="22"/>
        </w:rPr>
      </w:pPr>
      <w:r>
        <w:rPr>
          <w:rFonts w:ascii="Arial" w:hAnsi="Arial" w:cs="Arial"/>
          <w:b/>
          <w:bCs/>
          <w:sz w:val="22"/>
          <w:szCs w:val="22"/>
        </w:rPr>
        <w:t xml:space="preserve">3.2 </w:t>
      </w:r>
      <w:r w:rsidR="00446E39" w:rsidRPr="009C6357">
        <w:rPr>
          <w:rFonts w:ascii="Arial" w:hAnsi="Arial" w:cs="Arial"/>
          <w:b/>
          <w:bCs/>
          <w:sz w:val="22"/>
          <w:szCs w:val="22"/>
        </w:rPr>
        <w:t>Influence on Fish Growth and Health</w:t>
      </w:r>
    </w:p>
    <w:p w14:paraId="171B7C03" w14:textId="30049E96" w:rsidR="009066C8" w:rsidRDefault="00E05B72" w:rsidP="00E05B72">
      <w:pPr>
        <w:spacing w:line="360" w:lineRule="auto"/>
        <w:rPr>
          <w:rFonts w:ascii="Arial" w:hAnsi="Arial" w:cs="Arial"/>
          <w:b/>
          <w:bCs/>
          <w:sz w:val="20"/>
          <w:szCs w:val="20"/>
          <w:u w:val="single"/>
        </w:rPr>
      </w:pPr>
      <w:r>
        <w:rPr>
          <w:rFonts w:ascii="Arial" w:hAnsi="Arial" w:cs="Arial"/>
          <w:b/>
          <w:bCs/>
          <w:sz w:val="20"/>
          <w:szCs w:val="20"/>
          <w:u w:val="single"/>
        </w:rPr>
        <w:t xml:space="preserve">3.2.1 </w:t>
      </w:r>
      <w:r w:rsidR="00592D24" w:rsidRPr="00E05B72">
        <w:rPr>
          <w:rFonts w:ascii="Arial" w:hAnsi="Arial" w:cs="Arial"/>
          <w:b/>
          <w:bCs/>
          <w:sz w:val="20"/>
          <w:szCs w:val="20"/>
          <w:u w:val="single"/>
        </w:rPr>
        <w:t>Average Initial and Final Weight</w:t>
      </w:r>
      <w:r w:rsidR="00B120E7" w:rsidRPr="00B120E7">
        <w:rPr>
          <w:rFonts w:ascii="Arial" w:hAnsi="Arial" w:cs="Arial"/>
          <w:b/>
          <w:bCs/>
          <w:sz w:val="20"/>
          <w:szCs w:val="20"/>
          <w:u w:val="single"/>
        </w:rPr>
        <w:t>(grams)</w:t>
      </w:r>
      <w:r w:rsidR="001A1E19">
        <w:rPr>
          <w:rFonts w:ascii="Arial" w:hAnsi="Arial" w:cs="Arial"/>
          <w:b/>
          <w:bCs/>
          <w:sz w:val="20"/>
          <w:szCs w:val="20"/>
          <w:u w:val="single"/>
        </w:rPr>
        <w:t xml:space="preserve"> </w:t>
      </w:r>
      <w:r w:rsidR="00592D24" w:rsidRPr="00E05B72">
        <w:rPr>
          <w:rFonts w:ascii="Arial" w:hAnsi="Arial" w:cs="Arial"/>
          <w:b/>
          <w:bCs/>
          <w:sz w:val="20"/>
          <w:szCs w:val="20"/>
          <w:u w:val="single"/>
        </w:rPr>
        <w:t>Recorded During Experimental Period</w:t>
      </w:r>
    </w:p>
    <w:p w14:paraId="0D8880E5" w14:textId="13251E0D" w:rsidR="009066C8" w:rsidRPr="00E05B72" w:rsidRDefault="009066C8" w:rsidP="00E05B72">
      <w:pPr>
        <w:spacing w:line="360" w:lineRule="auto"/>
        <w:rPr>
          <w:rFonts w:ascii="Arial" w:hAnsi="Arial" w:cs="Arial"/>
          <w:b/>
          <w:bCs/>
          <w:sz w:val="20"/>
          <w:szCs w:val="20"/>
          <w:u w:val="single"/>
        </w:rPr>
      </w:pPr>
      <w:r w:rsidRPr="00224BC0">
        <w:rPr>
          <w:rFonts w:ascii="Arial" w:hAnsi="Arial" w:cs="Arial"/>
          <w:b/>
          <w:sz w:val="20"/>
          <w:szCs w:val="20"/>
        </w:rPr>
        <w:t xml:space="preserve">Table </w:t>
      </w:r>
      <w:r>
        <w:rPr>
          <w:rFonts w:ascii="Arial" w:hAnsi="Arial" w:cs="Arial"/>
          <w:b/>
          <w:sz w:val="20"/>
          <w:szCs w:val="20"/>
        </w:rPr>
        <w:t>9</w:t>
      </w:r>
      <w:r w:rsidRPr="00224BC0">
        <w:rPr>
          <w:rFonts w:ascii="Arial" w:hAnsi="Arial" w:cs="Arial"/>
          <w:b/>
          <w:sz w:val="20"/>
          <w:szCs w:val="20"/>
        </w:rPr>
        <w:t xml:space="preserve">: Average </w:t>
      </w:r>
      <w:r w:rsidRPr="009066C8">
        <w:rPr>
          <w:rFonts w:ascii="Arial" w:hAnsi="Arial" w:cs="Arial"/>
          <w:b/>
          <w:bCs/>
          <w:sz w:val="20"/>
          <w:szCs w:val="20"/>
        </w:rPr>
        <w:t>Initial and Final Weight</w:t>
      </w:r>
      <w:r w:rsidR="00B120E7">
        <w:rPr>
          <w:rFonts w:ascii="Arial" w:hAnsi="Arial" w:cs="Arial"/>
          <w:b/>
          <w:bCs/>
          <w:sz w:val="20"/>
          <w:szCs w:val="20"/>
        </w:rPr>
        <w:t>(grams)</w:t>
      </w:r>
      <w:r w:rsidR="008467B0">
        <w:rPr>
          <w:rFonts w:ascii="Arial" w:hAnsi="Arial" w:cs="Arial"/>
          <w:b/>
          <w:bCs/>
          <w:sz w:val="20"/>
          <w:szCs w:val="20"/>
        </w:rPr>
        <w:t xml:space="preserve"> </w:t>
      </w:r>
      <w:r w:rsidRPr="00224BC0">
        <w:rPr>
          <w:rFonts w:ascii="Arial" w:hAnsi="Arial" w:cs="Arial"/>
          <w:b/>
          <w:sz w:val="20"/>
          <w:szCs w:val="20"/>
        </w:rPr>
        <w:t xml:space="preserve">Recorded During the </w:t>
      </w:r>
      <w:commentRangeStart w:id="9"/>
      <w:r w:rsidRPr="00224BC0">
        <w:rPr>
          <w:rFonts w:ascii="Arial" w:hAnsi="Arial" w:cs="Arial"/>
          <w:b/>
          <w:sz w:val="20"/>
          <w:szCs w:val="20"/>
        </w:rPr>
        <w:t>Experiment</w:t>
      </w:r>
      <w:commentRangeEnd w:id="9"/>
      <w:r w:rsidR="00AB048C">
        <w:rPr>
          <w:rStyle w:val="Refdecomentario"/>
        </w:rPr>
        <w:commentReference w:id="9"/>
      </w:r>
    </w:p>
    <w:tbl>
      <w:tblPr>
        <w:tblStyle w:val="Tablaconcuadrcula"/>
        <w:tblW w:w="4986"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52"/>
        <w:gridCol w:w="2981"/>
        <w:gridCol w:w="3368"/>
      </w:tblGrid>
      <w:tr w:rsidR="00592D24" w:rsidRPr="00C0587E" w14:paraId="1E94EA93" w14:textId="77777777" w:rsidTr="00647695">
        <w:trPr>
          <w:trHeight w:val="170"/>
        </w:trPr>
        <w:tc>
          <w:tcPr>
            <w:tcW w:w="1473" w:type="pct"/>
            <w:tcBorders>
              <w:bottom w:val="single" w:sz="4" w:space="0" w:color="auto"/>
              <w:right w:val="single" w:sz="4" w:space="0" w:color="auto"/>
            </w:tcBorders>
            <w:noWrap/>
            <w:hideMark/>
          </w:tcPr>
          <w:p w14:paraId="395DD56E" w14:textId="08997BF6" w:rsidR="00592D24" w:rsidRPr="00C0587E" w:rsidRDefault="00592D24" w:rsidP="00B435F6">
            <w:pPr>
              <w:jc w:val="center"/>
              <w:rPr>
                <w:rFonts w:ascii="Arial" w:hAnsi="Arial" w:cs="Arial"/>
              </w:rPr>
            </w:pPr>
            <w:r w:rsidRPr="00C0587E">
              <w:rPr>
                <w:rFonts w:ascii="Arial" w:hAnsi="Arial" w:cs="Arial"/>
              </w:rPr>
              <w:t>Treatment</w:t>
            </w:r>
          </w:p>
        </w:tc>
        <w:tc>
          <w:tcPr>
            <w:tcW w:w="1656" w:type="pct"/>
            <w:tcBorders>
              <w:left w:val="single" w:sz="4" w:space="0" w:color="auto"/>
              <w:bottom w:val="single" w:sz="4" w:space="0" w:color="auto"/>
            </w:tcBorders>
            <w:noWrap/>
            <w:hideMark/>
          </w:tcPr>
          <w:p w14:paraId="5FD1A26B" w14:textId="77777777" w:rsidR="00592D24" w:rsidRPr="00C0587E" w:rsidRDefault="00592D24" w:rsidP="00B435F6">
            <w:pPr>
              <w:jc w:val="both"/>
              <w:rPr>
                <w:rFonts w:ascii="Arial" w:hAnsi="Arial" w:cs="Arial"/>
              </w:rPr>
            </w:pPr>
            <w:r w:rsidRPr="00C0587E">
              <w:rPr>
                <w:rFonts w:ascii="Arial" w:hAnsi="Arial" w:cs="Arial"/>
              </w:rPr>
              <w:t xml:space="preserve">Average initial weight </w:t>
            </w:r>
          </w:p>
        </w:tc>
        <w:tc>
          <w:tcPr>
            <w:tcW w:w="1871" w:type="pct"/>
            <w:tcBorders>
              <w:bottom w:val="single" w:sz="4" w:space="0" w:color="auto"/>
            </w:tcBorders>
            <w:noWrap/>
            <w:hideMark/>
          </w:tcPr>
          <w:p w14:paraId="0850CB53" w14:textId="27F8174A" w:rsidR="00592D24" w:rsidRPr="00C0587E" w:rsidRDefault="00592D24" w:rsidP="00B435F6">
            <w:pPr>
              <w:jc w:val="both"/>
              <w:rPr>
                <w:rFonts w:ascii="Arial" w:hAnsi="Arial" w:cs="Arial"/>
              </w:rPr>
            </w:pPr>
            <w:r w:rsidRPr="00C0587E">
              <w:rPr>
                <w:rFonts w:ascii="Arial" w:hAnsi="Arial" w:cs="Arial"/>
              </w:rPr>
              <w:t xml:space="preserve">Average final weight </w:t>
            </w:r>
          </w:p>
        </w:tc>
      </w:tr>
      <w:tr w:rsidR="00592D24" w:rsidRPr="00C0587E" w14:paraId="7A494840" w14:textId="77777777" w:rsidTr="00647695">
        <w:trPr>
          <w:trHeight w:val="170"/>
        </w:trPr>
        <w:tc>
          <w:tcPr>
            <w:tcW w:w="1473" w:type="pct"/>
            <w:tcBorders>
              <w:top w:val="single" w:sz="4" w:space="0" w:color="auto"/>
              <w:right w:val="single" w:sz="4" w:space="0" w:color="auto"/>
            </w:tcBorders>
            <w:noWrap/>
            <w:hideMark/>
          </w:tcPr>
          <w:p w14:paraId="51F7BE73" w14:textId="77777777" w:rsidR="00592D24" w:rsidRPr="00C0587E" w:rsidRDefault="00592D24" w:rsidP="00B435F6">
            <w:pPr>
              <w:jc w:val="center"/>
              <w:rPr>
                <w:rFonts w:ascii="Arial" w:hAnsi="Arial" w:cs="Arial"/>
              </w:rPr>
            </w:pPr>
            <w:r w:rsidRPr="00C0587E">
              <w:rPr>
                <w:rFonts w:ascii="Arial" w:hAnsi="Arial" w:cs="Arial"/>
              </w:rPr>
              <w:t>Control</w:t>
            </w:r>
          </w:p>
        </w:tc>
        <w:tc>
          <w:tcPr>
            <w:tcW w:w="1656" w:type="pct"/>
            <w:tcBorders>
              <w:top w:val="single" w:sz="4" w:space="0" w:color="auto"/>
              <w:left w:val="single" w:sz="4" w:space="0" w:color="auto"/>
            </w:tcBorders>
            <w:noWrap/>
            <w:hideMark/>
          </w:tcPr>
          <w:p w14:paraId="285232B2" w14:textId="77777777" w:rsidR="00592D24" w:rsidRPr="00C0587E" w:rsidRDefault="00592D24" w:rsidP="00B435F6">
            <w:pPr>
              <w:jc w:val="center"/>
              <w:rPr>
                <w:rFonts w:ascii="Arial" w:hAnsi="Arial" w:cs="Arial"/>
                <w:vertAlign w:val="superscript"/>
              </w:rPr>
            </w:pPr>
            <w:r w:rsidRPr="00C0587E">
              <w:rPr>
                <w:rFonts w:ascii="Arial" w:hAnsi="Arial" w:cs="Arial"/>
              </w:rPr>
              <w:t>8.73 ± 0.03</w:t>
            </w:r>
            <w:r w:rsidRPr="00C0587E">
              <w:rPr>
                <w:rFonts w:ascii="Arial" w:hAnsi="Arial" w:cs="Arial"/>
                <w:vertAlign w:val="superscript"/>
              </w:rPr>
              <w:t>a</w:t>
            </w:r>
          </w:p>
        </w:tc>
        <w:tc>
          <w:tcPr>
            <w:tcW w:w="1871" w:type="pct"/>
            <w:tcBorders>
              <w:top w:val="single" w:sz="4" w:space="0" w:color="auto"/>
            </w:tcBorders>
            <w:noWrap/>
            <w:hideMark/>
          </w:tcPr>
          <w:p w14:paraId="746FA63C" w14:textId="25F5ADC1" w:rsidR="00592D24" w:rsidRPr="00C0587E" w:rsidRDefault="00592D24" w:rsidP="00B435F6">
            <w:pPr>
              <w:jc w:val="center"/>
              <w:rPr>
                <w:rFonts w:ascii="Arial" w:hAnsi="Arial" w:cs="Arial"/>
                <w:vertAlign w:val="superscript"/>
              </w:rPr>
            </w:pPr>
            <w:r w:rsidRPr="00C0587E">
              <w:rPr>
                <w:rFonts w:ascii="Arial" w:hAnsi="Arial" w:cs="Arial"/>
              </w:rPr>
              <w:t>13.34 ± 0.20</w:t>
            </w:r>
            <w:r w:rsidRPr="00C0587E">
              <w:rPr>
                <w:rFonts w:ascii="Arial" w:hAnsi="Arial" w:cs="Arial"/>
                <w:vertAlign w:val="superscript"/>
              </w:rPr>
              <w:t>B</w:t>
            </w:r>
          </w:p>
        </w:tc>
      </w:tr>
      <w:tr w:rsidR="00592D24" w:rsidRPr="00C0587E" w14:paraId="1E45FB8F" w14:textId="77777777" w:rsidTr="00647695">
        <w:trPr>
          <w:trHeight w:val="170"/>
        </w:trPr>
        <w:tc>
          <w:tcPr>
            <w:tcW w:w="1473" w:type="pct"/>
            <w:tcBorders>
              <w:right w:val="single" w:sz="4" w:space="0" w:color="auto"/>
            </w:tcBorders>
            <w:noWrap/>
            <w:hideMark/>
          </w:tcPr>
          <w:p w14:paraId="74FB6740" w14:textId="57638791" w:rsidR="00592D24" w:rsidRPr="00C0587E" w:rsidRDefault="00884617" w:rsidP="00B435F6">
            <w:pPr>
              <w:jc w:val="center"/>
              <w:rPr>
                <w:rFonts w:ascii="Arial" w:hAnsi="Arial" w:cs="Arial"/>
              </w:rPr>
            </w:pPr>
            <w:r w:rsidRPr="00C0587E">
              <w:rPr>
                <w:rFonts w:ascii="Arial" w:hAnsi="Arial" w:cs="Arial"/>
              </w:rPr>
              <w:t>T1</w:t>
            </w:r>
          </w:p>
        </w:tc>
        <w:tc>
          <w:tcPr>
            <w:tcW w:w="1656" w:type="pct"/>
            <w:tcBorders>
              <w:left w:val="single" w:sz="4" w:space="0" w:color="auto"/>
            </w:tcBorders>
            <w:noWrap/>
            <w:hideMark/>
          </w:tcPr>
          <w:p w14:paraId="6BB506CC" w14:textId="77777777" w:rsidR="00592D24" w:rsidRPr="00C0587E" w:rsidRDefault="00592D24" w:rsidP="00B435F6">
            <w:pPr>
              <w:jc w:val="center"/>
              <w:rPr>
                <w:rFonts w:ascii="Arial" w:hAnsi="Arial" w:cs="Arial"/>
              </w:rPr>
            </w:pPr>
            <w:r w:rsidRPr="00C0587E">
              <w:rPr>
                <w:rFonts w:ascii="Arial" w:hAnsi="Arial" w:cs="Arial"/>
              </w:rPr>
              <w:t>8.86 ± 0.01</w:t>
            </w:r>
            <w:r w:rsidRPr="00C0587E">
              <w:rPr>
                <w:rFonts w:ascii="Arial" w:hAnsi="Arial" w:cs="Arial"/>
                <w:vertAlign w:val="superscript"/>
              </w:rPr>
              <w:t>a</w:t>
            </w:r>
          </w:p>
        </w:tc>
        <w:tc>
          <w:tcPr>
            <w:tcW w:w="1871" w:type="pct"/>
            <w:noWrap/>
            <w:hideMark/>
          </w:tcPr>
          <w:p w14:paraId="1AD2A664" w14:textId="59FC56C1" w:rsidR="00592D24" w:rsidRPr="00C0587E" w:rsidRDefault="00592D24" w:rsidP="00B435F6">
            <w:pPr>
              <w:jc w:val="center"/>
              <w:rPr>
                <w:rFonts w:ascii="Arial" w:hAnsi="Arial" w:cs="Arial"/>
                <w:vertAlign w:val="superscript"/>
              </w:rPr>
            </w:pPr>
            <w:r w:rsidRPr="00C0587E">
              <w:rPr>
                <w:rFonts w:ascii="Arial" w:hAnsi="Arial" w:cs="Arial"/>
              </w:rPr>
              <w:t>12.68 ± 0.25</w:t>
            </w:r>
            <w:r w:rsidRPr="00C0587E">
              <w:rPr>
                <w:rFonts w:ascii="Arial" w:hAnsi="Arial" w:cs="Arial"/>
                <w:vertAlign w:val="superscript"/>
              </w:rPr>
              <w:t>B</w:t>
            </w:r>
          </w:p>
        </w:tc>
      </w:tr>
      <w:tr w:rsidR="00592D24" w:rsidRPr="00C0587E" w14:paraId="2A8008AE" w14:textId="77777777" w:rsidTr="00647695">
        <w:trPr>
          <w:trHeight w:val="170"/>
        </w:trPr>
        <w:tc>
          <w:tcPr>
            <w:tcW w:w="1473" w:type="pct"/>
            <w:tcBorders>
              <w:bottom w:val="single" w:sz="4" w:space="0" w:color="auto"/>
              <w:right w:val="single" w:sz="4" w:space="0" w:color="auto"/>
            </w:tcBorders>
            <w:noWrap/>
            <w:hideMark/>
          </w:tcPr>
          <w:p w14:paraId="7DD05D62" w14:textId="7233B79A" w:rsidR="00592D24" w:rsidRPr="00C0587E" w:rsidRDefault="00884617" w:rsidP="00B435F6">
            <w:pPr>
              <w:jc w:val="center"/>
              <w:rPr>
                <w:rFonts w:ascii="Arial" w:hAnsi="Arial" w:cs="Arial"/>
              </w:rPr>
            </w:pPr>
            <w:r w:rsidRPr="00C0587E">
              <w:rPr>
                <w:rFonts w:ascii="Arial" w:hAnsi="Arial" w:cs="Arial"/>
              </w:rPr>
              <w:t>T2</w:t>
            </w:r>
          </w:p>
        </w:tc>
        <w:tc>
          <w:tcPr>
            <w:tcW w:w="1656" w:type="pct"/>
            <w:tcBorders>
              <w:left w:val="single" w:sz="4" w:space="0" w:color="auto"/>
              <w:bottom w:val="single" w:sz="4" w:space="0" w:color="auto"/>
            </w:tcBorders>
            <w:noWrap/>
            <w:hideMark/>
          </w:tcPr>
          <w:p w14:paraId="3D9B80E6" w14:textId="77777777" w:rsidR="00592D24" w:rsidRPr="00C0587E" w:rsidRDefault="00592D24" w:rsidP="00B435F6">
            <w:pPr>
              <w:jc w:val="center"/>
              <w:rPr>
                <w:rFonts w:ascii="Arial" w:hAnsi="Arial" w:cs="Arial"/>
              </w:rPr>
            </w:pPr>
            <w:r w:rsidRPr="00C0587E">
              <w:rPr>
                <w:rFonts w:ascii="Arial" w:hAnsi="Arial" w:cs="Arial"/>
              </w:rPr>
              <w:t>8.82 ± 0.02</w:t>
            </w:r>
            <w:r w:rsidRPr="00C0587E">
              <w:rPr>
                <w:rFonts w:ascii="Arial" w:hAnsi="Arial" w:cs="Arial"/>
                <w:vertAlign w:val="superscript"/>
              </w:rPr>
              <w:t>a</w:t>
            </w:r>
          </w:p>
        </w:tc>
        <w:tc>
          <w:tcPr>
            <w:tcW w:w="1871" w:type="pct"/>
            <w:tcBorders>
              <w:bottom w:val="single" w:sz="4" w:space="0" w:color="auto"/>
            </w:tcBorders>
            <w:noWrap/>
            <w:hideMark/>
          </w:tcPr>
          <w:p w14:paraId="11ACBA9E" w14:textId="1564DA0B" w:rsidR="00592D24" w:rsidRPr="00C0587E" w:rsidRDefault="00592D24" w:rsidP="00B435F6">
            <w:pPr>
              <w:jc w:val="center"/>
              <w:rPr>
                <w:rFonts w:ascii="Arial" w:hAnsi="Arial" w:cs="Arial"/>
                <w:vertAlign w:val="superscript"/>
              </w:rPr>
            </w:pPr>
            <w:r w:rsidRPr="00C0587E">
              <w:rPr>
                <w:rFonts w:ascii="Arial" w:hAnsi="Arial" w:cs="Arial"/>
              </w:rPr>
              <w:t>13.55 ± 0.49</w:t>
            </w:r>
            <w:r w:rsidRPr="00C0587E">
              <w:rPr>
                <w:rFonts w:ascii="Arial" w:hAnsi="Arial" w:cs="Arial"/>
                <w:vertAlign w:val="superscript"/>
              </w:rPr>
              <w:t>B</w:t>
            </w:r>
          </w:p>
        </w:tc>
      </w:tr>
    </w:tbl>
    <w:p w14:paraId="052D5210" w14:textId="49E0011B" w:rsidR="007E53EB" w:rsidRPr="00C01C55" w:rsidRDefault="00C01C55" w:rsidP="00915BCB">
      <w:pPr>
        <w:spacing w:after="4" w:line="249" w:lineRule="auto"/>
        <w:ind w:left="-5" w:right="-123" w:hanging="10"/>
        <w:jc w:val="center"/>
        <w:rPr>
          <w:rFonts w:ascii="Arial" w:hAnsi="Arial" w:cs="Arial"/>
          <w:bCs/>
          <w:sz w:val="20"/>
          <w:szCs w:val="20"/>
        </w:rPr>
      </w:pPr>
      <w:r w:rsidRPr="008A16D3">
        <w:rPr>
          <w:rFonts w:ascii="Arial" w:hAnsi="Arial" w:cs="Arial"/>
          <w:sz w:val="20"/>
          <w:szCs w:val="20"/>
        </w:rPr>
        <w:t>(</w:t>
      </w:r>
      <w:r w:rsidRPr="008A16D3">
        <w:rPr>
          <w:rFonts w:ascii="Arial" w:hAnsi="Arial" w:cs="Arial"/>
          <w:bCs/>
          <w:sz w:val="20"/>
          <w:szCs w:val="20"/>
        </w:rPr>
        <w:t xml:space="preserve">*Note </w:t>
      </w:r>
      <w:r w:rsidR="00DA6F8B">
        <w:rPr>
          <w:rFonts w:ascii="Arial" w:hAnsi="Arial" w:cs="Arial"/>
          <w:bCs/>
          <w:sz w:val="20"/>
          <w:szCs w:val="20"/>
        </w:rPr>
        <w:t xml:space="preserve">C= Control, </w:t>
      </w:r>
      <w:r w:rsidRPr="008A16D3">
        <w:rPr>
          <w:rFonts w:ascii="Arial" w:hAnsi="Arial" w:cs="Arial"/>
          <w:bCs/>
          <w:sz w:val="20"/>
          <w:szCs w:val="20"/>
        </w:rPr>
        <w:t xml:space="preserve">T1= Bio-floc (20:1), </w:t>
      </w:r>
      <w:r w:rsidR="00A96EE9">
        <w:rPr>
          <w:rFonts w:ascii="Arial" w:hAnsi="Arial" w:cs="Arial"/>
          <w:bCs/>
          <w:sz w:val="20"/>
          <w:szCs w:val="20"/>
        </w:rPr>
        <w:t>T2</w:t>
      </w:r>
      <w:r w:rsidRPr="008A16D3">
        <w:rPr>
          <w:rFonts w:ascii="Arial" w:hAnsi="Arial" w:cs="Arial"/>
          <w:bCs/>
          <w:sz w:val="20"/>
          <w:szCs w:val="20"/>
        </w:rPr>
        <w:t>=Biofloc (20:1) + 0.5% Jeevamruth; The mean values followed by the different superscript letters in each factor indicate significant difference at 0.05.)</w:t>
      </w:r>
    </w:p>
    <w:p w14:paraId="1457C146" w14:textId="59FE1C4B" w:rsidR="00965911" w:rsidRPr="006079B2" w:rsidRDefault="00965911" w:rsidP="007E53EB">
      <w:pPr>
        <w:spacing w:line="360" w:lineRule="auto"/>
        <w:rPr>
          <w:rFonts w:ascii="Arial" w:hAnsi="Arial" w:cs="Arial"/>
        </w:rPr>
      </w:pPr>
      <w:r w:rsidRPr="006079B2">
        <w:rPr>
          <w:rFonts w:ascii="Arial" w:hAnsi="Arial" w:cs="Arial"/>
          <w:noProof/>
        </w:rPr>
        <w:lastRenderedPageBreak/>
        <w:drawing>
          <wp:inline distT="0" distB="0" distL="0" distR="0" wp14:anchorId="28CE6489" wp14:editId="5AC4A3C9">
            <wp:extent cx="5486400" cy="2804160"/>
            <wp:effectExtent l="0" t="0" r="0" b="0"/>
            <wp:docPr id="342988650"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25"/>
              </a:graphicData>
            </a:graphic>
          </wp:inline>
        </w:drawing>
      </w:r>
    </w:p>
    <w:p w14:paraId="6DA51E65" w14:textId="3F7DDED2" w:rsidR="00726987" w:rsidRDefault="00726987" w:rsidP="00726987">
      <w:pPr>
        <w:spacing w:line="360" w:lineRule="auto"/>
        <w:jc w:val="center"/>
        <w:rPr>
          <w:rFonts w:ascii="Arial" w:hAnsi="Arial" w:cs="Arial"/>
          <w:b/>
          <w:sz w:val="20"/>
          <w:szCs w:val="20"/>
        </w:rPr>
      </w:pPr>
      <w:r w:rsidRPr="00A152F0">
        <w:rPr>
          <w:rFonts w:ascii="Arial" w:hAnsi="Arial" w:cs="Arial"/>
          <w:b/>
          <w:sz w:val="20"/>
          <w:szCs w:val="20"/>
        </w:rPr>
        <w:t xml:space="preserve">Figure </w:t>
      </w:r>
      <w:r w:rsidR="00FB120A">
        <w:rPr>
          <w:rFonts w:ascii="Arial" w:hAnsi="Arial" w:cs="Arial"/>
          <w:b/>
          <w:sz w:val="20"/>
          <w:szCs w:val="20"/>
        </w:rPr>
        <w:t>9</w:t>
      </w:r>
      <w:r w:rsidRPr="00A152F0">
        <w:rPr>
          <w:rFonts w:ascii="Arial" w:hAnsi="Arial" w:cs="Arial"/>
          <w:b/>
          <w:sz w:val="20"/>
          <w:szCs w:val="20"/>
        </w:rPr>
        <w:t>:</w:t>
      </w:r>
      <w:r>
        <w:rPr>
          <w:rFonts w:ascii="Arial" w:hAnsi="Arial" w:cs="Arial"/>
          <w:b/>
          <w:sz w:val="20"/>
          <w:szCs w:val="20"/>
        </w:rPr>
        <w:t xml:space="preserve"> </w:t>
      </w:r>
      <w:r w:rsidRPr="00224BC0">
        <w:rPr>
          <w:rFonts w:ascii="Arial" w:hAnsi="Arial" w:cs="Arial"/>
          <w:b/>
          <w:sz w:val="20"/>
          <w:szCs w:val="20"/>
        </w:rPr>
        <w:t xml:space="preserve">Average </w:t>
      </w:r>
      <w:r w:rsidR="00456AF3" w:rsidRPr="009066C8">
        <w:rPr>
          <w:rFonts w:ascii="Arial" w:hAnsi="Arial" w:cs="Arial"/>
          <w:b/>
          <w:bCs/>
          <w:sz w:val="20"/>
          <w:szCs w:val="20"/>
        </w:rPr>
        <w:t>Initial and Final</w:t>
      </w:r>
      <w:r w:rsidRPr="00224BC0">
        <w:rPr>
          <w:rFonts w:ascii="Arial" w:hAnsi="Arial" w:cs="Arial"/>
          <w:b/>
          <w:sz w:val="20"/>
          <w:szCs w:val="20"/>
        </w:rPr>
        <w:t xml:space="preserve"> Value Recorded During the Experiment</w:t>
      </w:r>
    </w:p>
    <w:p w14:paraId="6330A4BB" w14:textId="7A413F73" w:rsidR="00931CFE" w:rsidRDefault="00931CFE" w:rsidP="00931CFE">
      <w:pPr>
        <w:spacing w:line="276" w:lineRule="auto"/>
        <w:ind w:firstLine="720"/>
        <w:jc w:val="both"/>
        <w:rPr>
          <w:rFonts w:ascii="Arial" w:hAnsi="Arial" w:cs="Arial"/>
          <w:bCs/>
          <w:sz w:val="20"/>
          <w:szCs w:val="20"/>
        </w:rPr>
      </w:pPr>
      <w:r w:rsidRPr="00931CFE">
        <w:rPr>
          <w:rFonts w:ascii="Arial" w:hAnsi="Arial" w:cs="Arial"/>
          <w:bCs/>
          <w:sz w:val="20"/>
          <w:szCs w:val="20"/>
        </w:rPr>
        <w:t>Initial body weights did not differ significantly (p &gt; 0.05) among treatments, confirming uniform stocking conditions across the experimental tanks. At the end of the 60-day culture period, fish reared in the Jeevamruth-supplemented biofloc treatment (T2) attained the highest final weight (13.55 ± 0.49 g), followed by the control and biofloc-only treatment (T1). Although statistical differences were not significant, the numerical increase in final weight in T2 indicates improved growth performance under Jeevamruth supplementation.</w:t>
      </w:r>
    </w:p>
    <w:p w14:paraId="4BBEEEB7" w14:textId="77777777" w:rsidR="00931CFE" w:rsidRPr="00931CFE" w:rsidRDefault="00931CFE" w:rsidP="00931CFE">
      <w:pPr>
        <w:spacing w:line="276" w:lineRule="auto"/>
        <w:ind w:firstLine="720"/>
        <w:jc w:val="both"/>
        <w:rPr>
          <w:rFonts w:ascii="Arial" w:hAnsi="Arial" w:cs="Arial"/>
          <w:bCs/>
          <w:sz w:val="20"/>
          <w:szCs w:val="20"/>
        </w:rPr>
      </w:pPr>
    </w:p>
    <w:p w14:paraId="17E8091D" w14:textId="09FB0648" w:rsidR="00402C91" w:rsidRDefault="00E05B72" w:rsidP="00E05B72">
      <w:pPr>
        <w:spacing w:line="360" w:lineRule="auto"/>
        <w:rPr>
          <w:rFonts w:ascii="Arial" w:hAnsi="Arial" w:cs="Arial"/>
          <w:noProof/>
        </w:rPr>
      </w:pPr>
      <w:r>
        <w:rPr>
          <w:rFonts w:ascii="Arial" w:hAnsi="Arial" w:cs="Arial"/>
          <w:b/>
          <w:bCs/>
          <w:sz w:val="20"/>
          <w:szCs w:val="20"/>
          <w:u w:val="single"/>
        </w:rPr>
        <w:t xml:space="preserve">3.2.2 </w:t>
      </w:r>
      <w:r w:rsidR="00402C91" w:rsidRPr="00E05B72">
        <w:rPr>
          <w:rFonts w:ascii="Arial" w:hAnsi="Arial" w:cs="Arial"/>
          <w:b/>
          <w:bCs/>
          <w:sz w:val="20"/>
          <w:szCs w:val="20"/>
          <w:u w:val="single"/>
        </w:rPr>
        <w:t>Average Weight Gain</w:t>
      </w:r>
      <w:r w:rsidR="0052732A">
        <w:rPr>
          <w:rFonts w:ascii="Arial" w:hAnsi="Arial" w:cs="Arial"/>
          <w:b/>
          <w:bCs/>
          <w:sz w:val="20"/>
          <w:szCs w:val="20"/>
          <w:u w:val="single"/>
        </w:rPr>
        <w:t>(g/day)</w:t>
      </w:r>
      <w:r w:rsidR="00402C91" w:rsidRPr="00E05B72">
        <w:rPr>
          <w:rFonts w:ascii="Arial" w:hAnsi="Arial" w:cs="Arial"/>
          <w:b/>
          <w:bCs/>
          <w:sz w:val="20"/>
          <w:szCs w:val="20"/>
          <w:u w:val="single"/>
        </w:rPr>
        <w:t xml:space="preserve"> Recorded During Experimental Period.</w:t>
      </w:r>
      <w:r w:rsidR="00015425" w:rsidRPr="00015425">
        <w:rPr>
          <w:rFonts w:ascii="Arial" w:hAnsi="Arial" w:cs="Arial"/>
          <w:noProof/>
        </w:rPr>
        <w:t xml:space="preserve"> </w:t>
      </w:r>
    </w:p>
    <w:p w14:paraId="0EFABC3F" w14:textId="35DD015B" w:rsidR="009066C8" w:rsidRPr="00E05B72" w:rsidRDefault="009066C8" w:rsidP="00E05B72">
      <w:pPr>
        <w:spacing w:line="360" w:lineRule="auto"/>
        <w:rPr>
          <w:rFonts w:ascii="Arial" w:hAnsi="Arial" w:cs="Arial"/>
          <w:b/>
          <w:bCs/>
          <w:sz w:val="20"/>
          <w:szCs w:val="20"/>
          <w:u w:val="single"/>
        </w:rPr>
      </w:pPr>
      <w:r w:rsidRPr="00224BC0">
        <w:rPr>
          <w:rFonts w:ascii="Arial" w:hAnsi="Arial" w:cs="Arial"/>
          <w:b/>
          <w:sz w:val="20"/>
          <w:szCs w:val="20"/>
        </w:rPr>
        <w:t xml:space="preserve">Table </w:t>
      </w:r>
      <w:r w:rsidR="00E35B89">
        <w:rPr>
          <w:rFonts w:ascii="Arial" w:hAnsi="Arial" w:cs="Arial"/>
          <w:b/>
          <w:sz w:val="20"/>
          <w:szCs w:val="20"/>
        </w:rPr>
        <w:t>10</w:t>
      </w:r>
      <w:r w:rsidRPr="00224BC0">
        <w:rPr>
          <w:rFonts w:ascii="Arial" w:hAnsi="Arial" w:cs="Arial"/>
          <w:b/>
          <w:sz w:val="20"/>
          <w:szCs w:val="20"/>
        </w:rPr>
        <w:t xml:space="preserve">: Average </w:t>
      </w:r>
      <w:r w:rsidRPr="009066C8">
        <w:rPr>
          <w:rFonts w:ascii="Arial" w:hAnsi="Arial" w:cs="Arial"/>
          <w:b/>
          <w:bCs/>
          <w:sz w:val="20"/>
          <w:szCs w:val="20"/>
        </w:rPr>
        <w:t>Weight Gain</w:t>
      </w:r>
      <w:r w:rsidR="0052732A">
        <w:rPr>
          <w:rFonts w:ascii="Arial" w:hAnsi="Arial" w:cs="Arial"/>
          <w:b/>
          <w:bCs/>
          <w:sz w:val="20"/>
          <w:szCs w:val="20"/>
        </w:rPr>
        <w:t>(g/day)</w:t>
      </w:r>
      <w:r w:rsidRPr="009066C8">
        <w:rPr>
          <w:rFonts w:ascii="Arial" w:hAnsi="Arial" w:cs="Arial"/>
          <w:b/>
          <w:bCs/>
          <w:sz w:val="20"/>
          <w:szCs w:val="20"/>
        </w:rPr>
        <w:t xml:space="preserve"> </w:t>
      </w:r>
      <w:r w:rsidRPr="00224BC0">
        <w:rPr>
          <w:rFonts w:ascii="Arial" w:hAnsi="Arial" w:cs="Arial"/>
          <w:b/>
          <w:sz w:val="20"/>
          <w:szCs w:val="20"/>
        </w:rPr>
        <w:t xml:space="preserve">Recorded During the </w:t>
      </w:r>
      <w:commentRangeStart w:id="10"/>
      <w:r w:rsidRPr="00224BC0">
        <w:rPr>
          <w:rFonts w:ascii="Arial" w:hAnsi="Arial" w:cs="Arial"/>
          <w:b/>
          <w:sz w:val="20"/>
          <w:szCs w:val="20"/>
        </w:rPr>
        <w:t>Experiment</w:t>
      </w:r>
      <w:commentRangeEnd w:id="10"/>
      <w:r w:rsidR="00AB048C">
        <w:rPr>
          <w:rStyle w:val="Refdecomentario"/>
        </w:rPr>
        <w:commentReference w:id="10"/>
      </w:r>
    </w:p>
    <w:tbl>
      <w:tblPr>
        <w:tblW w:w="4978" w:type="pct"/>
        <w:tblCellMar>
          <w:top w:w="11" w:type="dxa"/>
          <w:left w:w="173" w:type="dxa"/>
          <w:right w:w="113" w:type="dxa"/>
        </w:tblCellMar>
        <w:tblLook w:val="04A0" w:firstRow="1" w:lastRow="0" w:firstColumn="1" w:lastColumn="0" w:noHBand="0" w:noVBand="1"/>
      </w:tblPr>
      <w:tblGrid>
        <w:gridCol w:w="1591"/>
        <w:gridCol w:w="1795"/>
        <w:gridCol w:w="1995"/>
        <w:gridCol w:w="1896"/>
        <w:gridCol w:w="1709"/>
      </w:tblGrid>
      <w:tr w:rsidR="00402C91" w:rsidRPr="00C0587E" w14:paraId="1CBEBFEB" w14:textId="77777777" w:rsidTr="00560687">
        <w:trPr>
          <w:trHeight w:val="170"/>
        </w:trPr>
        <w:tc>
          <w:tcPr>
            <w:tcW w:w="885" w:type="pct"/>
            <w:tcBorders>
              <w:top w:val="single" w:sz="4" w:space="0" w:color="auto"/>
              <w:bottom w:val="single" w:sz="4" w:space="0" w:color="auto"/>
              <w:right w:val="single" w:sz="4" w:space="0" w:color="auto"/>
            </w:tcBorders>
          </w:tcPr>
          <w:p w14:paraId="3BB254E8" w14:textId="77777777" w:rsidR="00402C91" w:rsidRPr="00C0587E" w:rsidRDefault="00402C91" w:rsidP="00B435F6">
            <w:pPr>
              <w:spacing w:after="0" w:line="360" w:lineRule="auto"/>
              <w:jc w:val="both"/>
              <w:rPr>
                <w:rFonts w:ascii="Arial" w:hAnsi="Arial" w:cs="Arial"/>
                <w:bCs/>
                <w:sz w:val="22"/>
                <w:szCs w:val="22"/>
              </w:rPr>
            </w:pPr>
            <w:r w:rsidRPr="00C0587E">
              <w:rPr>
                <w:rFonts w:ascii="Arial" w:hAnsi="Arial" w:cs="Arial"/>
                <w:bCs/>
                <w:sz w:val="22"/>
                <w:szCs w:val="22"/>
              </w:rPr>
              <w:t xml:space="preserve">Parameter </w:t>
            </w:r>
          </w:p>
        </w:tc>
        <w:tc>
          <w:tcPr>
            <w:tcW w:w="999" w:type="pct"/>
            <w:tcBorders>
              <w:top w:val="single" w:sz="4" w:space="0" w:color="auto"/>
              <w:left w:val="single" w:sz="4" w:space="0" w:color="auto"/>
              <w:bottom w:val="single" w:sz="4" w:space="0" w:color="auto"/>
              <w:right w:val="single" w:sz="4" w:space="0" w:color="auto"/>
            </w:tcBorders>
          </w:tcPr>
          <w:p w14:paraId="43702B09" w14:textId="77777777" w:rsidR="00402C91" w:rsidRPr="00C0587E" w:rsidRDefault="00402C91" w:rsidP="00B435F6">
            <w:pPr>
              <w:spacing w:after="0" w:line="360" w:lineRule="auto"/>
              <w:jc w:val="center"/>
              <w:rPr>
                <w:rFonts w:ascii="Arial" w:hAnsi="Arial" w:cs="Arial"/>
                <w:bCs/>
                <w:sz w:val="22"/>
                <w:szCs w:val="22"/>
              </w:rPr>
            </w:pPr>
            <w:r w:rsidRPr="00C0587E">
              <w:rPr>
                <w:rFonts w:ascii="Arial" w:hAnsi="Arial" w:cs="Arial"/>
                <w:bCs/>
                <w:sz w:val="22"/>
                <w:szCs w:val="22"/>
              </w:rPr>
              <w:t>Treatment</w:t>
            </w:r>
          </w:p>
        </w:tc>
        <w:tc>
          <w:tcPr>
            <w:tcW w:w="1110" w:type="pct"/>
            <w:tcBorders>
              <w:top w:val="single" w:sz="4" w:space="0" w:color="auto"/>
              <w:left w:val="single" w:sz="4" w:space="0" w:color="auto"/>
              <w:bottom w:val="single" w:sz="4" w:space="0" w:color="auto"/>
            </w:tcBorders>
          </w:tcPr>
          <w:p w14:paraId="412FE18B" w14:textId="77777777" w:rsidR="00402C91" w:rsidRPr="00C0587E" w:rsidRDefault="00402C91" w:rsidP="00B435F6">
            <w:pPr>
              <w:spacing w:after="0" w:line="360" w:lineRule="auto"/>
              <w:jc w:val="center"/>
              <w:rPr>
                <w:rFonts w:ascii="Arial" w:hAnsi="Arial" w:cs="Arial"/>
                <w:bCs/>
                <w:sz w:val="22"/>
                <w:szCs w:val="22"/>
              </w:rPr>
            </w:pPr>
            <w:r w:rsidRPr="00C0587E">
              <w:rPr>
                <w:rFonts w:ascii="Arial" w:hAnsi="Arial" w:cs="Arial"/>
                <w:bCs/>
                <w:sz w:val="22"/>
                <w:szCs w:val="22"/>
              </w:rPr>
              <w:t>20</w:t>
            </w:r>
            <w:r w:rsidRPr="00C0587E">
              <w:rPr>
                <w:rFonts w:ascii="Arial" w:hAnsi="Arial" w:cs="Arial"/>
                <w:bCs/>
                <w:sz w:val="22"/>
                <w:szCs w:val="22"/>
                <w:vertAlign w:val="superscript"/>
              </w:rPr>
              <w:t>th</w:t>
            </w:r>
            <w:r w:rsidRPr="00C0587E">
              <w:rPr>
                <w:rFonts w:ascii="Arial" w:hAnsi="Arial" w:cs="Arial"/>
                <w:bCs/>
                <w:sz w:val="22"/>
                <w:szCs w:val="22"/>
              </w:rPr>
              <w:t xml:space="preserve"> DAY</w:t>
            </w:r>
          </w:p>
        </w:tc>
        <w:tc>
          <w:tcPr>
            <w:tcW w:w="1055" w:type="pct"/>
            <w:tcBorders>
              <w:top w:val="single" w:sz="4" w:space="0" w:color="auto"/>
              <w:bottom w:val="single" w:sz="4" w:space="0" w:color="auto"/>
            </w:tcBorders>
          </w:tcPr>
          <w:p w14:paraId="64EC7333" w14:textId="77777777" w:rsidR="00402C91" w:rsidRPr="00C0587E" w:rsidRDefault="00402C91" w:rsidP="00B435F6">
            <w:pPr>
              <w:spacing w:after="0" w:line="360" w:lineRule="auto"/>
              <w:jc w:val="center"/>
              <w:rPr>
                <w:rFonts w:ascii="Arial" w:hAnsi="Arial" w:cs="Arial"/>
                <w:bCs/>
                <w:sz w:val="22"/>
                <w:szCs w:val="22"/>
              </w:rPr>
            </w:pPr>
            <w:r w:rsidRPr="00C0587E">
              <w:rPr>
                <w:rFonts w:ascii="Arial" w:hAnsi="Arial" w:cs="Arial"/>
                <w:bCs/>
                <w:sz w:val="22"/>
                <w:szCs w:val="22"/>
              </w:rPr>
              <w:t>40</w:t>
            </w:r>
            <w:r w:rsidRPr="00C0587E">
              <w:rPr>
                <w:rFonts w:ascii="Arial" w:hAnsi="Arial" w:cs="Arial"/>
                <w:bCs/>
                <w:sz w:val="22"/>
                <w:szCs w:val="22"/>
                <w:vertAlign w:val="superscript"/>
              </w:rPr>
              <w:t>th</w:t>
            </w:r>
            <w:r w:rsidRPr="00C0587E">
              <w:rPr>
                <w:rFonts w:ascii="Arial" w:hAnsi="Arial" w:cs="Arial"/>
                <w:bCs/>
                <w:sz w:val="22"/>
                <w:szCs w:val="22"/>
              </w:rPr>
              <w:t>DAY</w:t>
            </w:r>
          </w:p>
        </w:tc>
        <w:tc>
          <w:tcPr>
            <w:tcW w:w="951" w:type="pct"/>
            <w:tcBorders>
              <w:top w:val="single" w:sz="4" w:space="0" w:color="auto"/>
              <w:bottom w:val="single" w:sz="4" w:space="0" w:color="auto"/>
            </w:tcBorders>
          </w:tcPr>
          <w:p w14:paraId="5E0C6655" w14:textId="77777777" w:rsidR="00402C91" w:rsidRPr="00C0587E" w:rsidRDefault="00402C91" w:rsidP="00B435F6">
            <w:pPr>
              <w:spacing w:after="0" w:line="360" w:lineRule="auto"/>
              <w:jc w:val="center"/>
              <w:rPr>
                <w:rFonts w:ascii="Arial" w:hAnsi="Arial" w:cs="Arial"/>
                <w:bCs/>
                <w:sz w:val="22"/>
                <w:szCs w:val="22"/>
              </w:rPr>
            </w:pPr>
            <w:r w:rsidRPr="00C0587E">
              <w:rPr>
                <w:rFonts w:ascii="Arial" w:hAnsi="Arial" w:cs="Arial"/>
                <w:bCs/>
                <w:sz w:val="22"/>
                <w:szCs w:val="22"/>
              </w:rPr>
              <w:t>60</w:t>
            </w:r>
            <w:r w:rsidRPr="00C0587E">
              <w:rPr>
                <w:rFonts w:ascii="Arial" w:hAnsi="Arial" w:cs="Arial"/>
                <w:bCs/>
                <w:sz w:val="22"/>
                <w:szCs w:val="22"/>
                <w:vertAlign w:val="superscript"/>
              </w:rPr>
              <w:t>th</w:t>
            </w:r>
            <w:r w:rsidRPr="00C0587E">
              <w:rPr>
                <w:rFonts w:ascii="Arial" w:hAnsi="Arial" w:cs="Arial"/>
                <w:bCs/>
                <w:sz w:val="22"/>
                <w:szCs w:val="22"/>
              </w:rPr>
              <w:t xml:space="preserve"> DAY</w:t>
            </w:r>
          </w:p>
        </w:tc>
      </w:tr>
      <w:tr w:rsidR="00402C91" w:rsidRPr="00C0587E" w14:paraId="1DBD8E95" w14:textId="77777777" w:rsidTr="00560687">
        <w:trPr>
          <w:trHeight w:val="170"/>
        </w:trPr>
        <w:tc>
          <w:tcPr>
            <w:tcW w:w="885" w:type="pct"/>
            <w:vMerge w:val="restart"/>
            <w:tcBorders>
              <w:top w:val="single" w:sz="4" w:space="0" w:color="auto"/>
              <w:right w:val="single" w:sz="4" w:space="0" w:color="auto"/>
            </w:tcBorders>
            <w:vAlign w:val="center"/>
          </w:tcPr>
          <w:p w14:paraId="5CD56992" w14:textId="77777777" w:rsidR="00402C91" w:rsidRPr="00C0587E" w:rsidRDefault="00402C91" w:rsidP="00B435F6">
            <w:pPr>
              <w:spacing w:after="0" w:line="240" w:lineRule="auto"/>
              <w:jc w:val="both"/>
              <w:rPr>
                <w:rFonts w:ascii="Arial" w:hAnsi="Arial" w:cs="Arial"/>
                <w:bCs/>
                <w:sz w:val="22"/>
                <w:szCs w:val="22"/>
              </w:rPr>
            </w:pPr>
            <w:r w:rsidRPr="00C0587E">
              <w:rPr>
                <w:rFonts w:ascii="Arial" w:hAnsi="Arial" w:cs="Arial"/>
                <w:bCs/>
                <w:sz w:val="22"/>
                <w:szCs w:val="22"/>
              </w:rPr>
              <w:t xml:space="preserve">AVG-WG </w:t>
            </w:r>
          </w:p>
        </w:tc>
        <w:tc>
          <w:tcPr>
            <w:tcW w:w="999" w:type="pct"/>
            <w:tcBorders>
              <w:top w:val="single" w:sz="4" w:space="0" w:color="auto"/>
              <w:left w:val="single" w:sz="4" w:space="0" w:color="auto"/>
              <w:right w:val="single" w:sz="4" w:space="0" w:color="auto"/>
            </w:tcBorders>
          </w:tcPr>
          <w:p w14:paraId="023FDFA8" w14:textId="77777777" w:rsidR="00402C91" w:rsidRPr="00C0587E" w:rsidRDefault="00402C91" w:rsidP="00B435F6">
            <w:pPr>
              <w:spacing w:after="0" w:line="240" w:lineRule="auto"/>
              <w:jc w:val="center"/>
              <w:rPr>
                <w:rFonts w:ascii="Arial" w:hAnsi="Arial" w:cs="Arial"/>
                <w:sz w:val="22"/>
                <w:szCs w:val="22"/>
              </w:rPr>
            </w:pPr>
            <w:r w:rsidRPr="00C0587E">
              <w:rPr>
                <w:rFonts w:ascii="Arial" w:hAnsi="Arial" w:cs="Arial"/>
                <w:sz w:val="22"/>
                <w:szCs w:val="22"/>
              </w:rPr>
              <w:t>C</w:t>
            </w:r>
          </w:p>
        </w:tc>
        <w:tc>
          <w:tcPr>
            <w:tcW w:w="1110" w:type="pct"/>
            <w:tcBorders>
              <w:top w:val="single" w:sz="4" w:space="0" w:color="auto"/>
              <w:left w:val="single" w:sz="4" w:space="0" w:color="auto"/>
            </w:tcBorders>
          </w:tcPr>
          <w:p w14:paraId="6773ECCC" w14:textId="77777777" w:rsidR="00402C91" w:rsidRPr="00C0587E" w:rsidRDefault="00402C91" w:rsidP="003242BD">
            <w:pPr>
              <w:spacing w:after="0" w:line="240" w:lineRule="auto"/>
              <w:jc w:val="center"/>
              <w:rPr>
                <w:rFonts w:ascii="Arial" w:hAnsi="Arial" w:cs="Arial"/>
                <w:sz w:val="22"/>
                <w:szCs w:val="22"/>
                <w:vertAlign w:val="superscript"/>
              </w:rPr>
            </w:pPr>
            <w:r w:rsidRPr="00C0587E">
              <w:rPr>
                <w:rFonts w:ascii="Arial" w:hAnsi="Arial" w:cs="Arial"/>
                <w:sz w:val="22"/>
                <w:szCs w:val="22"/>
              </w:rPr>
              <w:t>0.94±0.19</w:t>
            </w:r>
            <w:r w:rsidRPr="00C0587E">
              <w:rPr>
                <w:rFonts w:ascii="Arial" w:hAnsi="Arial" w:cs="Arial"/>
                <w:position w:val="10"/>
                <w:sz w:val="22"/>
                <w:szCs w:val="22"/>
                <w:vertAlign w:val="superscript"/>
              </w:rPr>
              <w:t>ab</w:t>
            </w:r>
          </w:p>
        </w:tc>
        <w:tc>
          <w:tcPr>
            <w:tcW w:w="1055" w:type="pct"/>
            <w:tcBorders>
              <w:top w:val="single" w:sz="4" w:space="0" w:color="auto"/>
            </w:tcBorders>
          </w:tcPr>
          <w:p w14:paraId="655033DD" w14:textId="77777777" w:rsidR="00402C91" w:rsidRPr="00C0587E" w:rsidRDefault="00402C91" w:rsidP="003242BD">
            <w:pPr>
              <w:spacing w:after="0" w:line="240" w:lineRule="auto"/>
              <w:jc w:val="center"/>
              <w:rPr>
                <w:rFonts w:ascii="Arial" w:hAnsi="Arial" w:cs="Arial"/>
                <w:sz w:val="22"/>
                <w:szCs w:val="22"/>
                <w:vertAlign w:val="superscript"/>
              </w:rPr>
            </w:pPr>
            <w:r w:rsidRPr="00C0587E">
              <w:rPr>
                <w:rFonts w:ascii="Arial" w:hAnsi="Arial" w:cs="Arial"/>
                <w:sz w:val="22"/>
                <w:szCs w:val="22"/>
              </w:rPr>
              <w:t>2.41±0.57</w:t>
            </w:r>
            <w:r w:rsidRPr="00C0587E">
              <w:rPr>
                <w:rFonts w:ascii="Arial" w:hAnsi="Arial" w:cs="Arial"/>
                <w:position w:val="10"/>
                <w:sz w:val="22"/>
                <w:szCs w:val="22"/>
                <w:vertAlign w:val="superscript"/>
              </w:rPr>
              <w:t>A</w:t>
            </w:r>
          </w:p>
        </w:tc>
        <w:tc>
          <w:tcPr>
            <w:tcW w:w="951" w:type="pct"/>
            <w:tcBorders>
              <w:top w:val="single" w:sz="4" w:space="0" w:color="auto"/>
            </w:tcBorders>
          </w:tcPr>
          <w:p w14:paraId="50E28963" w14:textId="77777777" w:rsidR="00402C91" w:rsidRPr="00C0587E" w:rsidRDefault="00402C91" w:rsidP="003242BD">
            <w:pPr>
              <w:spacing w:after="0" w:line="240" w:lineRule="auto"/>
              <w:jc w:val="center"/>
              <w:rPr>
                <w:rFonts w:ascii="Arial" w:hAnsi="Arial" w:cs="Arial"/>
                <w:sz w:val="22"/>
                <w:szCs w:val="22"/>
                <w:vertAlign w:val="superscript"/>
              </w:rPr>
            </w:pPr>
            <w:r w:rsidRPr="00C0587E">
              <w:rPr>
                <w:rFonts w:ascii="Arial" w:hAnsi="Arial" w:cs="Arial"/>
                <w:sz w:val="22"/>
                <w:szCs w:val="22"/>
              </w:rPr>
              <w:t>4.60±0.21</w:t>
            </w:r>
            <w:r w:rsidRPr="00C0587E">
              <w:rPr>
                <w:rFonts w:ascii="Arial" w:hAnsi="Arial" w:cs="Arial"/>
                <w:position w:val="10"/>
                <w:sz w:val="22"/>
                <w:szCs w:val="22"/>
                <w:vertAlign w:val="superscript"/>
              </w:rPr>
              <w:t>q</w:t>
            </w:r>
          </w:p>
        </w:tc>
      </w:tr>
      <w:tr w:rsidR="00402C91" w:rsidRPr="00C0587E" w14:paraId="301F9936" w14:textId="77777777" w:rsidTr="00560687">
        <w:trPr>
          <w:trHeight w:val="170"/>
        </w:trPr>
        <w:tc>
          <w:tcPr>
            <w:tcW w:w="885" w:type="pct"/>
            <w:vMerge/>
            <w:tcBorders>
              <w:right w:val="single" w:sz="4" w:space="0" w:color="auto"/>
            </w:tcBorders>
          </w:tcPr>
          <w:p w14:paraId="0396B1DC" w14:textId="77777777" w:rsidR="00402C91" w:rsidRPr="00C0587E" w:rsidRDefault="00402C91" w:rsidP="00B435F6">
            <w:pPr>
              <w:spacing w:after="0" w:line="240" w:lineRule="auto"/>
              <w:jc w:val="both"/>
              <w:rPr>
                <w:rFonts w:ascii="Arial" w:hAnsi="Arial" w:cs="Arial"/>
                <w:bCs/>
                <w:sz w:val="22"/>
                <w:szCs w:val="22"/>
              </w:rPr>
            </w:pPr>
          </w:p>
        </w:tc>
        <w:tc>
          <w:tcPr>
            <w:tcW w:w="999" w:type="pct"/>
            <w:tcBorders>
              <w:left w:val="single" w:sz="4" w:space="0" w:color="auto"/>
              <w:right w:val="single" w:sz="4" w:space="0" w:color="auto"/>
            </w:tcBorders>
          </w:tcPr>
          <w:p w14:paraId="4731EB6F" w14:textId="6BF95FC8" w:rsidR="00402C91" w:rsidRPr="00C0587E" w:rsidRDefault="00884617" w:rsidP="00B435F6">
            <w:pPr>
              <w:spacing w:after="0" w:line="240" w:lineRule="auto"/>
              <w:jc w:val="center"/>
              <w:rPr>
                <w:rFonts w:ascii="Arial" w:hAnsi="Arial" w:cs="Arial"/>
                <w:sz w:val="22"/>
                <w:szCs w:val="22"/>
              </w:rPr>
            </w:pPr>
            <w:r w:rsidRPr="00C0587E">
              <w:rPr>
                <w:rFonts w:ascii="Arial" w:hAnsi="Arial" w:cs="Arial"/>
                <w:sz w:val="22"/>
                <w:szCs w:val="22"/>
              </w:rPr>
              <w:t>T1</w:t>
            </w:r>
          </w:p>
        </w:tc>
        <w:tc>
          <w:tcPr>
            <w:tcW w:w="1110" w:type="pct"/>
            <w:tcBorders>
              <w:left w:val="single" w:sz="4" w:space="0" w:color="auto"/>
            </w:tcBorders>
          </w:tcPr>
          <w:p w14:paraId="6121E919" w14:textId="77777777" w:rsidR="00402C91" w:rsidRPr="00C0587E" w:rsidRDefault="00402C91" w:rsidP="003242BD">
            <w:pPr>
              <w:spacing w:after="0" w:line="240" w:lineRule="auto"/>
              <w:jc w:val="center"/>
              <w:rPr>
                <w:rFonts w:ascii="Arial" w:hAnsi="Arial" w:cs="Arial"/>
                <w:sz w:val="22"/>
                <w:szCs w:val="22"/>
                <w:vertAlign w:val="superscript"/>
              </w:rPr>
            </w:pPr>
            <w:r w:rsidRPr="00C0587E">
              <w:rPr>
                <w:rFonts w:ascii="Arial" w:hAnsi="Arial" w:cs="Arial"/>
                <w:sz w:val="22"/>
                <w:szCs w:val="22"/>
              </w:rPr>
              <w:t>0.67±0.17</w:t>
            </w:r>
            <w:r w:rsidRPr="00C0587E">
              <w:rPr>
                <w:rFonts w:ascii="Arial" w:hAnsi="Arial" w:cs="Arial"/>
                <w:position w:val="10"/>
                <w:sz w:val="22"/>
                <w:szCs w:val="22"/>
                <w:vertAlign w:val="superscript"/>
              </w:rPr>
              <w:t>a</w:t>
            </w:r>
          </w:p>
        </w:tc>
        <w:tc>
          <w:tcPr>
            <w:tcW w:w="1055" w:type="pct"/>
          </w:tcPr>
          <w:p w14:paraId="6CF853DF" w14:textId="77777777" w:rsidR="00402C91" w:rsidRPr="00C0587E" w:rsidRDefault="00402C91" w:rsidP="003242BD">
            <w:pPr>
              <w:spacing w:after="0" w:line="240" w:lineRule="auto"/>
              <w:jc w:val="center"/>
              <w:rPr>
                <w:rFonts w:ascii="Arial" w:hAnsi="Arial" w:cs="Arial"/>
                <w:sz w:val="22"/>
                <w:szCs w:val="22"/>
              </w:rPr>
            </w:pPr>
            <w:r w:rsidRPr="00C0587E">
              <w:rPr>
                <w:rFonts w:ascii="Arial" w:hAnsi="Arial" w:cs="Arial"/>
                <w:sz w:val="22"/>
                <w:szCs w:val="22"/>
              </w:rPr>
              <w:t>2.53±0.25</w:t>
            </w:r>
            <w:r w:rsidRPr="00C0587E">
              <w:rPr>
                <w:rFonts w:ascii="Arial" w:hAnsi="Arial" w:cs="Arial"/>
                <w:position w:val="10"/>
                <w:sz w:val="22"/>
                <w:szCs w:val="22"/>
                <w:vertAlign w:val="superscript"/>
              </w:rPr>
              <w:t>A</w:t>
            </w:r>
          </w:p>
        </w:tc>
        <w:tc>
          <w:tcPr>
            <w:tcW w:w="951" w:type="pct"/>
          </w:tcPr>
          <w:p w14:paraId="0DB69284" w14:textId="77777777" w:rsidR="00402C91" w:rsidRPr="00C0587E" w:rsidRDefault="00402C91" w:rsidP="003242BD">
            <w:pPr>
              <w:spacing w:after="0" w:line="240" w:lineRule="auto"/>
              <w:jc w:val="center"/>
              <w:rPr>
                <w:rFonts w:ascii="Arial" w:hAnsi="Arial" w:cs="Arial"/>
                <w:sz w:val="22"/>
                <w:szCs w:val="22"/>
                <w:vertAlign w:val="superscript"/>
              </w:rPr>
            </w:pPr>
            <w:r w:rsidRPr="00C0587E">
              <w:rPr>
                <w:rFonts w:ascii="Arial" w:hAnsi="Arial" w:cs="Arial"/>
                <w:sz w:val="22"/>
                <w:szCs w:val="22"/>
              </w:rPr>
              <w:t>3.81±0.23</w:t>
            </w:r>
            <w:r w:rsidRPr="00C0587E">
              <w:rPr>
                <w:rFonts w:ascii="Arial" w:hAnsi="Arial" w:cs="Arial"/>
                <w:position w:val="10"/>
                <w:sz w:val="22"/>
                <w:szCs w:val="22"/>
                <w:vertAlign w:val="superscript"/>
              </w:rPr>
              <w:t>pq</w:t>
            </w:r>
          </w:p>
        </w:tc>
      </w:tr>
      <w:tr w:rsidR="00402C91" w:rsidRPr="00C0587E" w14:paraId="62DF78A2" w14:textId="77777777" w:rsidTr="00560687">
        <w:trPr>
          <w:trHeight w:val="170"/>
        </w:trPr>
        <w:tc>
          <w:tcPr>
            <w:tcW w:w="885" w:type="pct"/>
            <w:vMerge/>
            <w:tcBorders>
              <w:bottom w:val="single" w:sz="4" w:space="0" w:color="auto"/>
              <w:right w:val="single" w:sz="4" w:space="0" w:color="auto"/>
            </w:tcBorders>
          </w:tcPr>
          <w:p w14:paraId="47457C7E" w14:textId="77777777" w:rsidR="00402C91" w:rsidRPr="00C0587E" w:rsidRDefault="00402C91" w:rsidP="00B435F6">
            <w:pPr>
              <w:spacing w:after="0" w:line="240" w:lineRule="auto"/>
              <w:jc w:val="both"/>
              <w:rPr>
                <w:rFonts w:ascii="Arial" w:hAnsi="Arial" w:cs="Arial"/>
                <w:bCs/>
                <w:sz w:val="22"/>
                <w:szCs w:val="22"/>
              </w:rPr>
            </w:pPr>
          </w:p>
        </w:tc>
        <w:tc>
          <w:tcPr>
            <w:tcW w:w="999" w:type="pct"/>
            <w:tcBorders>
              <w:left w:val="single" w:sz="4" w:space="0" w:color="auto"/>
              <w:bottom w:val="single" w:sz="4" w:space="0" w:color="auto"/>
              <w:right w:val="single" w:sz="4" w:space="0" w:color="auto"/>
            </w:tcBorders>
          </w:tcPr>
          <w:p w14:paraId="4FC5B960" w14:textId="347F4F1B" w:rsidR="00402C91" w:rsidRPr="00C0587E" w:rsidRDefault="00884617" w:rsidP="00B435F6">
            <w:pPr>
              <w:spacing w:after="0" w:line="240" w:lineRule="auto"/>
              <w:jc w:val="center"/>
              <w:rPr>
                <w:rFonts w:ascii="Arial" w:hAnsi="Arial" w:cs="Arial"/>
                <w:sz w:val="22"/>
                <w:szCs w:val="22"/>
              </w:rPr>
            </w:pPr>
            <w:r w:rsidRPr="00C0587E">
              <w:rPr>
                <w:rFonts w:ascii="Arial" w:hAnsi="Arial" w:cs="Arial"/>
                <w:sz w:val="22"/>
                <w:szCs w:val="22"/>
              </w:rPr>
              <w:t>T2</w:t>
            </w:r>
          </w:p>
        </w:tc>
        <w:tc>
          <w:tcPr>
            <w:tcW w:w="1110" w:type="pct"/>
            <w:tcBorders>
              <w:left w:val="single" w:sz="4" w:space="0" w:color="auto"/>
              <w:bottom w:val="single" w:sz="4" w:space="0" w:color="auto"/>
            </w:tcBorders>
          </w:tcPr>
          <w:p w14:paraId="6F657C47" w14:textId="77777777" w:rsidR="00402C91" w:rsidRPr="00C0587E" w:rsidRDefault="00402C91" w:rsidP="003242BD">
            <w:pPr>
              <w:spacing w:after="0" w:line="240" w:lineRule="auto"/>
              <w:jc w:val="center"/>
              <w:rPr>
                <w:rFonts w:ascii="Arial" w:hAnsi="Arial" w:cs="Arial"/>
                <w:sz w:val="22"/>
                <w:szCs w:val="22"/>
                <w:vertAlign w:val="superscript"/>
              </w:rPr>
            </w:pPr>
            <w:r w:rsidRPr="00C0587E">
              <w:rPr>
                <w:rFonts w:ascii="Arial" w:hAnsi="Arial" w:cs="Arial"/>
                <w:sz w:val="22"/>
                <w:szCs w:val="22"/>
              </w:rPr>
              <w:t>1.38±0.14</w:t>
            </w:r>
            <w:r w:rsidRPr="00C0587E">
              <w:rPr>
                <w:rFonts w:ascii="Arial" w:hAnsi="Arial" w:cs="Arial"/>
                <w:position w:val="10"/>
                <w:sz w:val="22"/>
                <w:szCs w:val="22"/>
                <w:vertAlign w:val="superscript"/>
              </w:rPr>
              <w:t>ab</w:t>
            </w:r>
          </w:p>
        </w:tc>
        <w:tc>
          <w:tcPr>
            <w:tcW w:w="1055" w:type="pct"/>
            <w:tcBorders>
              <w:bottom w:val="single" w:sz="4" w:space="0" w:color="auto"/>
            </w:tcBorders>
          </w:tcPr>
          <w:p w14:paraId="235D98EB" w14:textId="77777777" w:rsidR="00402C91" w:rsidRPr="00C0587E" w:rsidRDefault="00402C91" w:rsidP="003242BD">
            <w:pPr>
              <w:spacing w:after="0" w:line="240" w:lineRule="auto"/>
              <w:jc w:val="center"/>
              <w:rPr>
                <w:rFonts w:ascii="Arial" w:hAnsi="Arial" w:cs="Arial"/>
                <w:sz w:val="22"/>
                <w:szCs w:val="22"/>
              </w:rPr>
            </w:pPr>
            <w:r w:rsidRPr="00C0587E">
              <w:rPr>
                <w:rFonts w:ascii="Arial" w:hAnsi="Arial" w:cs="Arial"/>
                <w:sz w:val="22"/>
                <w:szCs w:val="22"/>
              </w:rPr>
              <w:t>3.46±0.50</w:t>
            </w:r>
            <w:r w:rsidRPr="00C0587E">
              <w:rPr>
                <w:rFonts w:ascii="Arial" w:hAnsi="Arial" w:cs="Arial"/>
                <w:position w:val="10"/>
                <w:sz w:val="22"/>
                <w:szCs w:val="22"/>
                <w:vertAlign w:val="superscript"/>
              </w:rPr>
              <w:t>A</w:t>
            </w:r>
          </w:p>
        </w:tc>
        <w:tc>
          <w:tcPr>
            <w:tcW w:w="951" w:type="pct"/>
            <w:tcBorders>
              <w:bottom w:val="single" w:sz="4" w:space="0" w:color="auto"/>
            </w:tcBorders>
          </w:tcPr>
          <w:p w14:paraId="58C04337" w14:textId="77777777" w:rsidR="00402C91" w:rsidRPr="00C0587E" w:rsidRDefault="00402C91" w:rsidP="003242BD">
            <w:pPr>
              <w:spacing w:after="0" w:line="240" w:lineRule="auto"/>
              <w:jc w:val="center"/>
              <w:rPr>
                <w:rFonts w:ascii="Arial" w:hAnsi="Arial" w:cs="Arial"/>
                <w:sz w:val="22"/>
                <w:szCs w:val="22"/>
                <w:vertAlign w:val="superscript"/>
              </w:rPr>
            </w:pPr>
            <w:r w:rsidRPr="00C0587E">
              <w:rPr>
                <w:rFonts w:ascii="Arial" w:hAnsi="Arial" w:cs="Arial"/>
                <w:sz w:val="22"/>
                <w:szCs w:val="22"/>
              </w:rPr>
              <w:t>4.73±0.52</w:t>
            </w:r>
            <w:r w:rsidRPr="00C0587E">
              <w:rPr>
                <w:rFonts w:ascii="Arial" w:hAnsi="Arial" w:cs="Arial"/>
                <w:position w:val="10"/>
                <w:sz w:val="22"/>
                <w:szCs w:val="22"/>
                <w:vertAlign w:val="superscript"/>
              </w:rPr>
              <w:t>pq</w:t>
            </w:r>
          </w:p>
        </w:tc>
      </w:tr>
    </w:tbl>
    <w:p w14:paraId="470562A7" w14:textId="31973D2E" w:rsidR="00187DB6" w:rsidRPr="00C01C55" w:rsidRDefault="00C01C55" w:rsidP="00915BCB">
      <w:pPr>
        <w:spacing w:after="4" w:line="249" w:lineRule="auto"/>
        <w:ind w:left="-5" w:right="-123" w:hanging="10"/>
        <w:jc w:val="center"/>
        <w:rPr>
          <w:rFonts w:ascii="Arial" w:hAnsi="Arial" w:cs="Arial"/>
          <w:bCs/>
          <w:sz w:val="20"/>
          <w:szCs w:val="20"/>
        </w:rPr>
      </w:pPr>
      <w:r w:rsidRPr="008A16D3">
        <w:rPr>
          <w:rFonts w:ascii="Arial" w:hAnsi="Arial" w:cs="Arial"/>
          <w:sz w:val="20"/>
          <w:szCs w:val="20"/>
        </w:rPr>
        <w:t>(</w:t>
      </w:r>
      <w:r w:rsidRPr="008A16D3">
        <w:rPr>
          <w:rFonts w:ascii="Arial" w:hAnsi="Arial" w:cs="Arial"/>
          <w:bCs/>
          <w:sz w:val="20"/>
          <w:szCs w:val="20"/>
        </w:rPr>
        <w:t xml:space="preserve">*Note </w:t>
      </w:r>
      <w:r w:rsidR="00DA6F8B">
        <w:rPr>
          <w:rFonts w:ascii="Arial" w:hAnsi="Arial" w:cs="Arial"/>
          <w:bCs/>
          <w:sz w:val="20"/>
          <w:szCs w:val="20"/>
        </w:rPr>
        <w:t xml:space="preserve">C= Control, </w:t>
      </w:r>
      <w:r w:rsidRPr="008A16D3">
        <w:rPr>
          <w:rFonts w:ascii="Arial" w:hAnsi="Arial" w:cs="Arial"/>
          <w:bCs/>
          <w:sz w:val="20"/>
          <w:szCs w:val="20"/>
        </w:rPr>
        <w:t xml:space="preserve">T1= Bio-floc (20:1), </w:t>
      </w:r>
      <w:r w:rsidR="00A96EE9">
        <w:rPr>
          <w:rFonts w:ascii="Arial" w:hAnsi="Arial" w:cs="Arial"/>
          <w:bCs/>
          <w:sz w:val="20"/>
          <w:szCs w:val="20"/>
        </w:rPr>
        <w:t>T2</w:t>
      </w:r>
      <w:r w:rsidRPr="008A16D3">
        <w:rPr>
          <w:rFonts w:ascii="Arial" w:hAnsi="Arial" w:cs="Arial"/>
          <w:bCs/>
          <w:sz w:val="20"/>
          <w:szCs w:val="20"/>
        </w:rPr>
        <w:t>=Biofloc (20:1) + 0.5% Jeevamruth; The mean values followed by the different superscript letters in each factor indicate significant difference at 0.05.)</w:t>
      </w:r>
    </w:p>
    <w:p w14:paraId="7DD2E76B" w14:textId="1F04F44D" w:rsidR="00116611" w:rsidRPr="006079B2" w:rsidRDefault="00116611" w:rsidP="00446E39">
      <w:pPr>
        <w:rPr>
          <w:rFonts w:ascii="Arial" w:hAnsi="Arial" w:cs="Arial"/>
          <w:b/>
          <w:bCs/>
        </w:rPr>
      </w:pPr>
      <w:r w:rsidRPr="006079B2">
        <w:rPr>
          <w:rFonts w:ascii="Arial" w:hAnsi="Arial" w:cs="Arial"/>
          <w:noProof/>
        </w:rPr>
        <w:lastRenderedPageBreak/>
        <w:drawing>
          <wp:inline distT="0" distB="0" distL="0" distR="0" wp14:anchorId="1C1CEE57" wp14:editId="30319F84">
            <wp:extent cx="5486400" cy="3299460"/>
            <wp:effectExtent l="0" t="0" r="0" b="0"/>
            <wp:docPr id="608713820"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26"/>
              </a:graphicData>
            </a:graphic>
          </wp:inline>
        </w:drawing>
      </w:r>
    </w:p>
    <w:p w14:paraId="6FF4FD7B" w14:textId="201465D2" w:rsidR="00970A05" w:rsidRDefault="00726987" w:rsidP="00726987">
      <w:pPr>
        <w:spacing w:line="360" w:lineRule="auto"/>
        <w:jc w:val="center"/>
        <w:rPr>
          <w:rFonts w:ascii="Arial" w:hAnsi="Arial" w:cs="Arial"/>
          <w:b/>
          <w:sz w:val="20"/>
          <w:szCs w:val="20"/>
        </w:rPr>
      </w:pPr>
      <w:r w:rsidRPr="00A152F0">
        <w:rPr>
          <w:rFonts w:ascii="Arial" w:hAnsi="Arial" w:cs="Arial"/>
          <w:b/>
          <w:sz w:val="20"/>
          <w:szCs w:val="20"/>
        </w:rPr>
        <w:t xml:space="preserve">Figure </w:t>
      </w:r>
      <w:r w:rsidR="00FB120A">
        <w:rPr>
          <w:rFonts w:ascii="Arial" w:hAnsi="Arial" w:cs="Arial"/>
          <w:b/>
          <w:sz w:val="20"/>
          <w:szCs w:val="20"/>
        </w:rPr>
        <w:t>10</w:t>
      </w:r>
      <w:r w:rsidRPr="00A152F0">
        <w:rPr>
          <w:rFonts w:ascii="Arial" w:hAnsi="Arial" w:cs="Arial"/>
          <w:b/>
          <w:sz w:val="20"/>
          <w:szCs w:val="20"/>
        </w:rPr>
        <w:t>:</w:t>
      </w:r>
      <w:r>
        <w:rPr>
          <w:rFonts w:ascii="Arial" w:hAnsi="Arial" w:cs="Arial"/>
          <w:b/>
          <w:sz w:val="20"/>
          <w:szCs w:val="20"/>
        </w:rPr>
        <w:t xml:space="preserve"> </w:t>
      </w:r>
      <w:r w:rsidRPr="00224BC0">
        <w:rPr>
          <w:rFonts w:ascii="Arial" w:hAnsi="Arial" w:cs="Arial"/>
          <w:b/>
          <w:sz w:val="20"/>
          <w:szCs w:val="20"/>
        </w:rPr>
        <w:t xml:space="preserve">Average </w:t>
      </w:r>
      <w:r w:rsidR="00FB120A" w:rsidRPr="009066C8">
        <w:rPr>
          <w:rFonts w:ascii="Arial" w:hAnsi="Arial" w:cs="Arial"/>
          <w:b/>
          <w:bCs/>
          <w:sz w:val="20"/>
          <w:szCs w:val="20"/>
        </w:rPr>
        <w:t>Weight Gain</w:t>
      </w:r>
      <w:r w:rsidRPr="00224BC0">
        <w:rPr>
          <w:rFonts w:ascii="Arial" w:hAnsi="Arial" w:cs="Arial"/>
          <w:b/>
          <w:sz w:val="20"/>
          <w:szCs w:val="20"/>
        </w:rPr>
        <w:t xml:space="preserve"> Value Recorded During the Experiment</w:t>
      </w:r>
    </w:p>
    <w:p w14:paraId="22CA0A86" w14:textId="5A65125F" w:rsidR="00E16554" w:rsidRDefault="00E16554" w:rsidP="00E16554">
      <w:pPr>
        <w:spacing w:line="276" w:lineRule="auto"/>
        <w:ind w:firstLine="720"/>
        <w:jc w:val="both"/>
        <w:rPr>
          <w:rFonts w:ascii="Arial" w:hAnsi="Arial" w:cs="Arial"/>
          <w:bCs/>
          <w:sz w:val="20"/>
          <w:szCs w:val="20"/>
        </w:rPr>
      </w:pPr>
      <w:r w:rsidRPr="00E16554">
        <w:rPr>
          <w:rFonts w:ascii="Arial" w:hAnsi="Arial" w:cs="Arial"/>
          <w:bCs/>
          <w:sz w:val="20"/>
          <w:szCs w:val="20"/>
        </w:rPr>
        <w:t>Fish in T2 consistently exhibited higher weight gain across all sampling intervals compared to the control and T1. The highest cumulative weight gain at the end of the experiment was observed in T2 (4.73 ± 0.52 g), whereas the lowest was recorded in T1. This trend indicates enhanced biomass accumulation in the Jeevamruth-treated system.</w:t>
      </w:r>
    </w:p>
    <w:p w14:paraId="603C1F85" w14:textId="77777777" w:rsidR="00E16554" w:rsidRPr="00E16554" w:rsidRDefault="00E16554" w:rsidP="00E16554">
      <w:pPr>
        <w:spacing w:line="276" w:lineRule="auto"/>
        <w:ind w:firstLine="720"/>
        <w:jc w:val="both"/>
        <w:rPr>
          <w:rFonts w:ascii="Arial" w:hAnsi="Arial" w:cs="Arial"/>
          <w:bCs/>
          <w:sz w:val="20"/>
          <w:szCs w:val="20"/>
        </w:rPr>
      </w:pPr>
    </w:p>
    <w:p w14:paraId="56DE57F1" w14:textId="44659298" w:rsidR="009C2C5B" w:rsidRDefault="00E05B72" w:rsidP="00E05B72">
      <w:pPr>
        <w:spacing w:line="360" w:lineRule="auto"/>
        <w:rPr>
          <w:rFonts w:ascii="Arial" w:hAnsi="Arial" w:cs="Arial"/>
          <w:b/>
          <w:bCs/>
          <w:sz w:val="20"/>
          <w:szCs w:val="20"/>
          <w:u w:val="single"/>
        </w:rPr>
      </w:pPr>
      <w:r>
        <w:rPr>
          <w:rFonts w:ascii="Arial" w:hAnsi="Arial" w:cs="Arial"/>
          <w:b/>
          <w:bCs/>
          <w:sz w:val="20"/>
          <w:szCs w:val="20"/>
          <w:u w:val="single"/>
        </w:rPr>
        <w:t xml:space="preserve">3.2.3 </w:t>
      </w:r>
      <w:r w:rsidR="009C2C5B" w:rsidRPr="00E05B72">
        <w:rPr>
          <w:rFonts w:ascii="Arial" w:hAnsi="Arial" w:cs="Arial"/>
          <w:b/>
          <w:bCs/>
          <w:sz w:val="20"/>
          <w:szCs w:val="20"/>
          <w:u w:val="single"/>
        </w:rPr>
        <w:t>Body Weight Gain</w:t>
      </w:r>
      <w:r w:rsidR="0093582F">
        <w:rPr>
          <w:rFonts w:ascii="Arial" w:hAnsi="Arial" w:cs="Arial"/>
          <w:b/>
          <w:bCs/>
          <w:sz w:val="20"/>
          <w:szCs w:val="20"/>
          <w:u w:val="single"/>
        </w:rPr>
        <w:t xml:space="preserve"> </w:t>
      </w:r>
      <w:r w:rsidR="0052732A">
        <w:rPr>
          <w:rFonts w:ascii="Arial" w:hAnsi="Arial" w:cs="Arial"/>
          <w:b/>
          <w:bCs/>
          <w:sz w:val="20"/>
          <w:szCs w:val="20"/>
          <w:u w:val="single"/>
        </w:rPr>
        <w:t>(%)</w:t>
      </w:r>
      <w:r w:rsidR="009C2C5B" w:rsidRPr="00E05B72">
        <w:rPr>
          <w:rFonts w:ascii="Arial" w:hAnsi="Arial" w:cs="Arial"/>
          <w:b/>
          <w:bCs/>
          <w:sz w:val="20"/>
          <w:szCs w:val="20"/>
          <w:u w:val="single"/>
        </w:rPr>
        <w:t xml:space="preserve"> Recorded During Experimental Period.</w:t>
      </w:r>
    </w:p>
    <w:p w14:paraId="1C4A68D3" w14:textId="56598C3B" w:rsidR="009066C8" w:rsidRPr="00E05B72" w:rsidRDefault="00F62901" w:rsidP="00E05B72">
      <w:pPr>
        <w:spacing w:line="360" w:lineRule="auto"/>
        <w:rPr>
          <w:rFonts w:ascii="Arial" w:hAnsi="Arial" w:cs="Arial"/>
          <w:b/>
          <w:bCs/>
          <w:sz w:val="20"/>
          <w:szCs w:val="20"/>
          <w:u w:val="single"/>
        </w:rPr>
      </w:pPr>
      <w:r w:rsidRPr="00224BC0">
        <w:rPr>
          <w:rFonts w:ascii="Arial" w:hAnsi="Arial" w:cs="Arial"/>
          <w:b/>
          <w:sz w:val="20"/>
          <w:szCs w:val="20"/>
        </w:rPr>
        <w:t xml:space="preserve">Table </w:t>
      </w:r>
      <w:r w:rsidR="00E35B89">
        <w:rPr>
          <w:rFonts w:ascii="Arial" w:hAnsi="Arial" w:cs="Arial"/>
          <w:b/>
          <w:sz w:val="20"/>
          <w:szCs w:val="20"/>
        </w:rPr>
        <w:t>11</w:t>
      </w:r>
      <w:r w:rsidRPr="00224BC0">
        <w:rPr>
          <w:rFonts w:ascii="Arial" w:hAnsi="Arial" w:cs="Arial"/>
          <w:b/>
          <w:sz w:val="20"/>
          <w:szCs w:val="20"/>
        </w:rPr>
        <w:t xml:space="preserve">: Average </w:t>
      </w:r>
      <w:r w:rsidRPr="00F62901">
        <w:rPr>
          <w:rFonts w:ascii="Arial" w:hAnsi="Arial" w:cs="Arial"/>
          <w:b/>
          <w:bCs/>
          <w:sz w:val="20"/>
          <w:szCs w:val="20"/>
        </w:rPr>
        <w:t>Body Weight Gain</w:t>
      </w:r>
      <w:r w:rsidR="0093582F">
        <w:rPr>
          <w:rFonts w:ascii="Arial" w:hAnsi="Arial" w:cs="Arial"/>
          <w:b/>
          <w:bCs/>
          <w:sz w:val="20"/>
          <w:szCs w:val="20"/>
        </w:rPr>
        <w:t xml:space="preserve"> (%)</w:t>
      </w:r>
      <w:r>
        <w:rPr>
          <w:rFonts w:ascii="Arial" w:hAnsi="Arial" w:cs="Arial"/>
          <w:b/>
          <w:bCs/>
          <w:sz w:val="20"/>
          <w:szCs w:val="20"/>
        </w:rPr>
        <w:t xml:space="preserve"> </w:t>
      </w:r>
      <w:r w:rsidRPr="00224BC0">
        <w:rPr>
          <w:rFonts w:ascii="Arial" w:hAnsi="Arial" w:cs="Arial"/>
          <w:b/>
          <w:sz w:val="20"/>
          <w:szCs w:val="20"/>
        </w:rPr>
        <w:t xml:space="preserve">Recorded During the </w:t>
      </w:r>
      <w:commentRangeStart w:id="11"/>
      <w:r w:rsidRPr="00224BC0">
        <w:rPr>
          <w:rFonts w:ascii="Arial" w:hAnsi="Arial" w:cs="Arial"/>
          <w:b/>
          <w:sz w:val="20"/>
          <w:szCs w:val="20"/>
        </w:rPr>
        <w:t>Experiment</w:t>
      </w:r>
      <w:commentRangeEnd w:id="11"/>
      <w:r w:rsidR="00AB048C">
        <w:rPr>
          <w:rStyle w:val="Refdecomentario"/>
        </w:rPr>
        <w:commentReference w:id="11"/>
      </w:r>
    </w:p>
    <w:tbl>
      <w:tblPr>
        <w:tblW w:w="5000" w:type="pct"/>
        <w:tblLook w:val="04A0" w:firstRow="1" w:lastRow="0" w:firstColumn="1" w:lastColumn="0" w:noHBand="0" w:noVBand="1"/>
      </w:tblPr>
      <w:tblGrid>
        <w:gridCol w:w="1503"/>
        <w:gridCol w:w="1412"/>
        <w:gridCol w:w="2257"/>
        <w:gridCol w:w="1700"/>
        <w:gridCol w:w="2154"/>
      </w:tblGrid>
      <w:tr w:rsidR="009C2C5B" w:rsidRPr="00C0587E" w14:paraId="1C8E793E" w14:textId="77777777" w:rsidTr="00C01C55">
        <w:trPr>
          <w:trHeight w:val="170"/>
        </w:trPr>
        <w:tc>
          <w:tcPr>
            <w:tcW w:w="833" w:type="pct"/>
            <w:tcBorders>
              <w:top w:val="single" w:sz="4" w:space="0" w:color="auto"/>
              <w:bottom w:val="single" w:sz="4" w:space="0" w:color="auto"/>
              <w:right w:val="single" w:sz="4" w:space="0" w:color="auto"/>
            </w:tcBorders>
            <w:vAlign w:val="center"/>
            <w:hideMark/>
          </w:tcPr>
          <w:p w14:paraId="2AE0AB7E" w14:textId="77777777" w:rsidR="009C2C5B" w:rsidRPr="00C0587E" w:rsidRDefault="009C2C5B" w:rsidP="003242BD">
            <w:pPr>
              <w:spacing w:after="0" w:line="240" w:lineRule="auto"/>
              <w:jc w:val="center"/>
              <w:rPr>
                <w:rFonts w:ascii="Arial" w:eastAsia="Times New Roman" w:hAnsi="Arial" w:cs="Arial"/>
                <w:color w:val="000000"/>
                <w:kern w:val="0"/>
                <w:sz w:val="22"/>
                <w:szCs w:val="22"/>
                <w:lang w:eastAsia="en-IN"/>
                <w14:ligatures w14:val="none"/>
              </w:rPr>
            </w:pPr>
            <w:r w:rsidRPr="00C0587E">
              <w:rPr>
                <w:rFonts w:ascii="Arial" w:eastAsia="Times New Roman" w:hAnsi="Arial" w:cs="Arial"/>
                <w:color w:val="000000"/>
                <w:kern w:val="0"/>
                <w:sz w:val="22"/>
                <w:szCs w:val="22"/>
                <w:lang w:eastAsia="en-IN"/>
                <w14:ligatures w14:val="none"/>
              </w:rPr>
              <w:t>Parameter</w:t>
            </w:r>
          </w:p>
        </w:tc>
        <w:tc>
          <w:tcPr>
            <w:tcW w:w="782" w:type="pct"/>
            <w:tcBorders>
              <w:top w:val="single" w:sz="4" w:space="0" w:color="auto"/>
              <w:left w:val="single" w:sz="4" w:space="0" w:color="auto"/>
              <w:bottom w:val="single" w:sz="4" w:space="0" w:color="auto"/>
              <w:right w:val="single" w:sz="4" w:space="0" w:color="auto"/>
            </w:tcBorders>
            <w:vAlign w:val="center"/>
            <w:hideMark/>
          </w:tcPr>
          <w:p w14:paraId="081FCCAE" w14:textId="77777777" w:rsidR="009C2C5B" w:rsidRPr="00C0587E" w:rsidRDefault="009C2C5B" w:rsidP="003242BD">
            <w:pPr>
              <w:spacing w:after="0" w:line="240" w:lineRule="auto"/>
              <w:jc w:val="center"/>
              <w:rPr>
                <w:rFonts w:ascii="Arial" w:eastAsia="Times New Roman" w:hAnsi="Arial" w:cs="Arial"/>
                <w:color w:val="000000"/>
                <w:kern w:val="0"/>
                <w:sz w:val="22"/>
                <w:szCs w:val="22"/>
                <w:lang w:eastAsia="en-IN"/>
                <w14:ligatures w14:val="none"/>
              </w:rPr>
            </w:pPr>
            <w:r w:rsidRPr="00C0587E">
              <w:rPr>
                <w:rFonts w:ascii="Arial" w:eastAsia="Times New Roman" w:hAnsi="Arial" w:cs="Arial"/>
                <w:color w:val="000000"/>
                <w:kern w:val="0"/>
                <w:sz w:val="22"/>
                <w:szCs w:val="22"/>
                <w:lang w:eastAsia="en-IN"/>
                <w14:ligatures w14:val="none"/>
              </w:rPr>
              <w:t>Treatment</w:t>
            </w:r>
          </w:p>
        </w:tc>
        <w:tc>
          <w:tcPr>
            <w:tcW w:w="1250" w:type="pct"/>
            <w:tcBorders>
              <w:top w:val="single" w:sz="4" w:space="0" w:color="auto"/>
              <w:left w:val="single" w:sz="4" w:space="0" w:color="auto"/>
              <w:bottom w:val="single" w:sz="4" w:space="0" w:color="auto"/>
            </w:tcBorders>
            <w:vAlign w:val="center"/>
            <w:hideMark/>
          </w:tcPr>
          <w:p w14:paraId="46FBE2C3" w14:textId="77777777" w:rsidR="009C2C5B" w:rsidRPr="00C0587E" w:rsidRDefault="009C2C5B" w:rsidP="003242BD">
            <w:pPr>
              <w:spacing w:after="0" w:line="240" w:lineRule="auto"/>
              <w:jc w:val="center"/>
              <w:rPr>
                <w:rFonts w:ascii="Arial" w:eastAsia="Times New Roman" w:hAnsi="Arial" w:cs="Arial"/>
                <w:color w:val="000000"/>
                <w:kern w:val="0"/>
                <w:sz w:val="22"/>
                <w:szCs w:val="22"/>
                <w:lang w:eastAsia="en-IN"/>
                <w14:ligatures w14:val="none"/>
              </w:rPr>
            </w:pPr>
            <w:r w:rsidRPr="00C0587E">
              <w:rPr>
                <w:rFonts w:ascii="Arial" w:eastAsia="Times New Roman" w:hAnsi="Arial" w:cs="Arial"/>
                <w:color w:val="000000"/>
                <w:kern w:val="0"/>
                <w:sz w:val="22"/>
                <w:szCs w:val="22"/>
                <w:lang w:eastAsia="en-IN"/>
                <w14:ligatures w14:val="none"/>
              </w:rPr>
              <w:t>20</w:t>
            </w:r>
            <w:r w:rsidRPr="00C0587E">
              <w:rPr>
                <w:rFonts w:ascii="Arial" w:eastAsia="Times New Roman" w:hAnsi="Arial" w:cs="Arial"/>
                <w:color w:val="000000"/>
                <w:kern w:val="0"/>
                <w:sz w:val="22"/>
                <w:szCs w:val="22"/>
                <w:vertAlign w:val="superscript"/>
                <w:lang w:eastAsia="en-IN"/>
                <w14:ligatures w14:val="none"/>
              </w:rPr>
              <w:t>th</w:t>
            </w:r>
            <w:r w:rsidRPr="00C0587E">
              <w:rPr>
                <w:rFonts w:ascii="Arial" w:eastAsia="Times New Roman" w:hAnsi="Arial" w:cs="Arial"/>
                <w:color w:val="000000"/>
                <w:kern w:val="0"/>
                <w:sz w:val="22"/>
                <w:szCs w:val="22"/>
                <w:lang w:eastAsia="en-IN"/>
                <w14:ligatures w14:val="none"/>
              </w:rPr>
              <w:t xml:space="preserve"> DAY</w:t>
            </w:r>
          </w:p>
        </w:tc>
        <w:tc>
          <w:tcPr>
            <w:tcW w:w="942" w:type="pct"/>
            <w:tcBorders>
              <w:top w:val="single" w:sz="4" w:space="0" w:color="auto"/>
              <w:bottom w:val="single" w:sz="4" w:space="0" w:color="auto"/>
            </w:tcBorders>
            <w:vAlign w:val="center"/>
            <w:hideMark/>
          </w:tcPr>
          <w:p w14:paraId="48372B7B" w14:textId="77777777" w:rsidR="009C2C5B" w:rsidRPr="00C0587E" w:rsidRDefault="009C2C5B" w:rsidP="003242BD">
            <w:pPr>
              <w:spacing w:after="0" w:line="240" w:lineRule="auto"/>
              <w:jc w:val="center"/>
              <w:rPr>
                <w:rFonts w:ascii="Arial" w:eastAsia="Times New Roman" w:hAnsi="Arial" w:cs="Arial"/>
                <w:color w:val="000000"/>
                <w:kern w:val="0"/>
                <w:sz w:val="22"/>
                <w:szCs w:val="22"/>
                <w:lang w:eastAsia="en-IN"/>
                <w14:ligatures w14:val="none"/>
              </w:rPr>
            </w:pPr>
            <w:r w:rsidRPr="00C0587E">
              <w:rPr>
                <w:rFonts w:ascii="Arial" w:eastAsia="Times New Roman" w:hAnsi="Arial" w:cs="Arial"/>
                <w:color w:val="000000"/>
                <w:kern w:val="0"/>
                <w:sz w:val="22"/>
                <w:szCs w:val="22"/>
                <w:lang w:eastAsia="en-IN"/>
                <w14:ligatures w14:val="none"/>
              </w:rPr>
              <w:t>40</w:t>
            </w:r>
            <w:r w:rsidRPr="00C0587E">
              <w:rPr>
                <w:rFonts w:ascii="Arial" w:eastAsia="Times New Roman" w:hAnsi="Arial" w:cs="Arial"/>
                <w:color w:val="000000"/>
                <w:kern w:val="0"/>
                <w:sz w:val="22"/>
                <w:szCs w:val="22"/>
                <w:vertAlign w:val="superscript"/>
                <w:lang w:eastAsia="en-IN"/>
                <w14:ligatures w14:val="none"/>
              </w:rPr>
              <w:t>th</w:t>
            </w:r>
            <w:r w:rsidRPr="00C0587E">
              <w:rPr>
                <w:rFonts w:ascii="Arial" w:eastAsia="Times New Roman" w:hAnsi="Arial" w:cs="Arial"/>
                <w:color w:val="000000"/>
                <w:kern w:val="0"/>
                <w:sz w:val="22"/>
                <w:szCs w:val="22"/>
                <w:lang w:eastAsia="en-IN"/>
                <w14:ligatures w14:val="none"/>
              </w:rPr>
              <w:t>DAY</w:t>
            </w:r>
          </w:p>
        </w:tc>
        <w:tc>
          <w:tcPr>
            <w:tcW w:w="1193" w:type="pct"/>
            <w:tcBorders>
              <w:top w:val="single" w:sz="4" w:space="0" w:color="auto"/>
              <w:bottom w:val="single" w:sz="4" w:space="0" w:color="auto"/>
            </w:tcBorders>
            <w:vAlign w:val="center"/>
            <w:hideMark/>
          </w:tcPr>
          <w:p w14:paraId="078BE2F5" w14:textId="77777777" w:rsidR="009C2C5B" w:rsidRPr="00C0587E" w:rsidRDefault="009C2C5B" w:rsidP="003242BD">
            <w:pPr>
              <w:spacing w:after="0" w:line="240" w:lineRule="auto"/>
              <w:jc w:val="center"/>
              <w:rPr>
                <w:rFonts w:ascii="Arial" w:eastAsia="Times New Roman" w:hAnsi="Arial" w:cs="Arial"/>
                <w:color w:val="000000"/>
                <w:kern w:val="0"/>
                <w:sz w:val="22"/>
                <w:szCs w:val="22"/>
                <w:lang w:eastAsia="en-IN"/>
                <w14:ligatures w14:val="none"/>
              </w:rPr>
            </w:pPr>
            <w:r w:rsidRPr="00C0587E">
              <w:rPr>
                <w:rFonts w:ascii="Arial" w:eastAsia="Times New Roman" w:hAnsi="Arial" w:cs="Arial"/>
                <w:color w:val="000000"/>
                <w:kern w:val="0"/>
                <w:sz w:val="22"/>
                <w:szCs w:val="22"/>
                <w:lang w:eastAsia="en-IN"/>
                <w14:ligatures w14:val="none"/>
              </w:rPr>
              <w:t>60</w:t>
            </w:r>
            <w:r w:rsidRPr="00C0587E">
              <w:rPr>
                <w:rFonts w:ascii="Arial" w:eastAsia="Times New Roman" w:hAnsi="Arial" w:cs="Arial"/>
                <w:color w:val="000000"/>
                <w:kern w:val="0"/>
                <w:sz w:val="22"/>
                <w:szCs w:val="22"/>
                <w:vertAlign w:val="superscript"/>
                <w:lang w:eastAsia="en-IN"/>
                <w14:ligatures w14:val="none"/>
              </w:rPr>
              <w:t>th</w:t>
            </w:r>
            <w:r w:rsidRPr="00C0587E">
              <w:rPr>
                <w:rFonts w:ascii="Arial" w:eastAsia="Times New Roman" w:hAnsi="Arial" w:cs="Arial"/>
                <w:color w:val="000000"/>
                <w:kern w:val="0"/>
                <w:sz w:val="22"/>
                <w:szCs w:val="22"/>
                <w:lang w:eastAsia="en-IN"/>
                <w14:ligatures w14:val="none"/>
              </w:rPr>
              <w:t xml:space="preserve"> DAY</w:t>
            </w:r>
          </w:p>
        </w:tc>
      </w:tr>
      <w:tr w:rsidR="009C2C5B" w:rsidRPr="00C0587E" w14:paraId="7B205116" w14:textId="77777777" w:rsidTr="00C01C55">
        <w:trPr>
          <w:trHeight w:val="170"/>
        </w:trPr>
        <w:tc>
          <w:tcPr>
            <w:tcW w:w="833" w:type="pct"/>
            <w:vMerge w:val="restart"/>
            <w:tcBorders>
              <w:top w:val="single" w:sz="4" w:space="0" w:color="auto"/>
              <w:right w:val="single" w:sz="4" w:space="0" w:color="auto"/>
            </w:tcBorders>
            <w:vAlign w:val="center"/>
            <w:hideMark/>
          </w:tcPr>
          <w:p w14:paraId="20CE07C2" w14:textId="77777777" w:rsidR="009C2C5B" w:rsidRPr="00C0587E" w:rsidRDefault="009C2C5B" w:rsidP="003242BD">
            <w:pPr>
              <w:spacing w:after="0" w:line="240" w:lineRule="auto"/>
              <w:jc w:val="center"/>
              <w:rPr>
                <w:rFonts w:ascii="Arial" w:eastAsia="Times New Roman" w:hAnsi="Arial" w:cs="Arial"/>
                <w:color w:val="000000"/>
                <w:kern w:val="0"/>
                <w:sz w:val="22"/>
                <w:szCs w:val="22"/>
                <w:lang w:eastAsia="en-IN"/>
                <w14:ligatures w14:val="none"/>
              </w:rPr>
            </w:pPr>
            <w:r w:rsidRPr="00C0587E">
              <w:rPr>
                <w:rFonts w:ascii="Arial" w:eastAsia="Times New Roman" w:hAnsi="Arial" w:cs="Arial"/>
                <w:bCs/>
                <w:color w:val="000000"/>
                <w:kern w:val="0"/>
                <w:sz w:val="22"/>
                <w:szCs w:val="22"/>
                <w:lang w:eastAsia="en-IN"/>
                <w14:ligatures w14:val="none"/>
              </w:rPr>
              <w:t>BWG (%)</w:t>
            </w:r>
          </w:p>
        </w:tc>
        <w:tc>
          <w:tcPr>
            <w:tcW w:w="782" w:type="pct"/>
            <w:tcBorders>
              <w:top w:val="single" w:sz="4" w:space="0" w:color="auto"/>
              <w:left w:val="single" w:sz="4" w:space="0" w:color="auto"/>
              <w:right w:val="single" w:sz="4" w:space="0" w:color="auto"/>
            </w:tcBorders>
            <w:vAlign w:val="center"/>
            <w:hideMark/>
          </w:tcPr>
          <w:p w14:paraId="1B0C54DA" w14:textId="77777777" w:rsidR="009C2C5B" w:rsidRPr="00C0587E" w:rsidRDefault="009C2C5B" w:rsidP="003242BD">
            <w:pPr>
              <w:spacing w:after="0" w:line="240" w:lineRule="auto"/>
              <w:jc w:val="center"/>
              <w:rPr>
                <w:rFonts w:ascii="Arial" w:eastAsia="Times New Roman" w:hAnsi="Arial" w:cs="Arial"/>
                <w:color w:val="000000"/>
                <w:kern w:val="0"/>
                <w:sz w:val="22"/>
                <w:szCs w:val="22"/>
                <w:lang w:eastAsia="en-IN"/>
                <w14:ligatures w14:val="none"/>
              </w:rPr>
            </w:pPr>
            <w:r w:rsidRPr="00C0587E">
              <w:rPr>
                <w:rFonts w:ascii="Arial" w:eastAsia="Times New Roman" w:hAnsi="Arial" w:cs="Arial"/>
                <w:color w:val="000000"/>
                <w:kern w:val="0"/>
                <w:sz w:val="22"/>
                <w:szCs w:val="22"/>
                <w:lang w:eastAsia="en-IN"/>
                <w14:ligatures w14:val="none"/>
              </w:rPr>
              <w:t>C</w:t>
            </w:r>
          </w:p>
        </w:tc>
        <w:tc>
          <w:tcPr>
            <w:tcW w:w="1250" w:type="pct"/>
            <w:tcBorders>
              <w:top w:val="single" w:sz="4" w:space="0" w:color="auto"/>
              <w:left w:val="single" w:sz="4" w:space="0" w:color="auto"/>
            </w:tcBorders>
            <w:vAlign w:val="center"/>
            <w:hideMark/>
          </w:tcPr>
          <w:p w14:paraId="431FEB96" w14:textId="77777777" w:rsidR="009C2C5B" w:rsidRPr="00C0587E" w:rsidRDefault="009C2C5B" w:rsidP="003242BD">
            <w:pPr>
              <w:spacing w:after="0" w:line="240" w:lineRule="auto"/>
              <w:jc w:val="center"/>
              <w:rPr>
                <w:rFonts w:ascii="Arial" w:eastAsia="Times New Roman" w:hAnsi="Arial" w:cs="Arial"/>
                <w:kern w:val="0"/>
                <w:sz w:val="22"/>
                <w:szCs w:val="22"/>
                <w:lang w:eastAsia="en-IN"/>
                <w14:ligatures w14:val="none"/>
              </w:rPr>
            </w:pPr>
            <w:r w:rsidRPr="00C0587E">
              <w:rPr>
                <w:rFonts w:ascii="Arial" w:hAnsi="Arial" w:cs="Arial"/>
                <w:sz w:val="22"/>
                <w:szCs w:val="22"/>
              </w:rPr>
              <w:t>10.79±0.19</w:t>
            </w:r>
            <w:r w:rsidRPr="00C0587E">
              <w:rPr>
                <w:rFonts w:ascii="Arial" w:hAnsi="Arial" w:cs="Arial"/>
                <w:position w:val="10"/>
                <w:sz w:val="22"/>
                <w:szCs w:val="22"/>
                <w:vertAlign w:val="superscript"/>
              </w:rPr>
              <w:t>ab</w:t>
            </w:r>
          </w:p>
        </w:tc>
        <w:tc>
          <w:tcPr>
            <w:tcW w:w="942" w:type="pct"/>
            <w:tcBorders>
              <w:top w:val="single" w:sz="4" w:space="0" w:color="auto"/>
            </w:tcBorders>
            <w:vAlign w:val="center"/>
            <w:hideMark/>
          </w:tcPr>
          <w:p w14:paraId="3A9DC2C4" w14:textId="77777777" w:rsidR="009C2C5B" w:rsidRPr="00C0587E" w:rsidRDefault="009C2C5B" w:rsidP="003242BD">
            <w:pPr>
              <w:spacing w:after="0" w:line="240" w:lineRule="auto"/>
              <w:jc w:val="center"/>
              <w:rPr>
                <w:rFonts w:ascii="Arial" w:eastAsia="Times New Roman" w:hAnsi="Arial" w:cs="Arial"/>
                <w:kern w:val="0"/>
                <w:sz w:val="22"/>
                <w:szCs w:val="22"/>
                <w:lang w:eastAsia="en-IN"/>
                <w14:ligatures w14:val="none"/>
              </w:rPr>
            </w:pPr>
            <w:r w:rsidRPr="00C0587E">
              <w:rPr>
                <w:rFonts w:ascii="Arial" w:hAnsi="Arial" w:cs="Arial"/>
                <w:sz w:val="22"/>
                <w:szCs w:val="22"/>
              </w:rPr>
              <w:t>27.63±0.62</w:t>
            </w:r>
            <w:r w:rsidRPr="00C0587E">
              <w:rPr>
                <w:rFonts w:ascii="Arial" w:hAnsi="Arial" w:cs="Arial"/>
                <w:position w:val="10"/>
                <w:sz w:val="22"/>
                <w:szCs w:val="22"/>
                <w:vertAlign w:val="superscript"/>
              </w:rPr>
              <w:t>A</w:t>
            </w:r>
          </w:p>
        </w:tc>
        <w:tc>
          <w:tcPr>
            <w:tcW w:w="1193" w:type="pct"/>
            <w:tcBorders>
              <w:top w:val="single" w:sz="4" w:space="0" w:color="auto"/>
            </w:tcBorders>
            <w:vAlign w:val="center"/>
            <w:hideMark/>
          </w:tcPr>
          <w:p w14:paraId="5145BAE9" w14:textId="77777777" w:rsidR="009C2C5B" w:rsidRPr="00C0587E" w:rsidRDefault="009C2C5B" w:rsidP="003242BD">
            <w:pPr>
              <w:spacing w:after="0" w:line="240" w:lineRule="auto"/>
              <w:jc w:val="center"/>
              <w:rPr>
                <w:rFonts w:ascii="Arial" w:eastAsia="Times New Roman" w:hAnsi="Arial" w:cs="Arial"/>
                <w:kern w:val="0"/>
                <w:sz w:val="22"/>
                <w:szCs w:val="22"/>
                <w:lang w:eastAsia="en-IN"/>
                <w14:ligatures w14:val="none"/>
              </w:rPr>
            </w:pPr>
            <w:r w:rsidRPr="00C0587E">
              <w:rPr>
                <w:rFonts w:ascii="Arial" w:eastAsia="Arial" w:hAnsi="Arial" w:cs="Arial"/>
                <w:sz w:val="22"/>
                <w:szCs w:val="22"/>
              </w:rPr>
              <w:t>52.69±0.57</w:t>
            </w:r>
            <w:r w:rsidRPr="00C0587E">
              <w:rPr>
                <w:rFonts w:ascii="Arial" w:eastAsia="Arial" w:hAnsi="Arial" w:cs="Arial"/>
                <w:position w:val="10"/>
                <w:sz w:val="22"/>
                <w:szCs w:val="22"/>
                <w:vertAlign w:val="superscript"/>
              </w:rPr>
              <w:t>pq</w:t>
            </w:r>
          </w:p>
        </w:tc>
      </w:tr>
      <w:tr w:rsidR="009C2C5B" w:rsidRPr="00C0587E" w14:paraId="53C19B85" w14:textId="77777777" w:rsidTr="00C01C55">
        <w:trPr>
          <w:trHeight w:val="170"/>
        </w:trPr>
        <w:tc>
          <w:tcPr>
            <w:tcW w:w="833" w:type="pct"/>
            <w:vMerge/>
            <w:tcBorders>
              <w:right w:val="single" w:sz="4" w:space="0" w:color="auto"/>
            </w:tcBorders>
            <w:vAlign w:val="center"/>
            <w:hideMark/>
          </w:tcPr>
          <w:p w14:paraId="7CAB6CEC" w14:textId="77777777" w:rsidR="009C2C5B" w:rsidRPr="00C0587E" w:rsidRDefault="009C2C5B" w:rsidP="003242BD">
            <w:pPr>
              <w:spacing w:after="0" w:line="240" w:lineRule="auto"/>
              <w:jc w:val="center"/>
              <w:rPr>
                <w:rFonts w:ascii="Arial" w:eastAsia="Times New Roman" w:hAnsi="Arial" w:cs="Arial"/>
                <w:color w:val="000000"/>
                <w:kern w:val="0"/>
                <w:sz w:val="22"/>
                <w:szCs w:val="22"/>
                <w:lang w:eastAsia="en-IN"/>
                <w14:ligatures w14:val="none"/>
              </w:rPr>
            </w:pPr>
          </w:p>
        </w:tc>
        <w:tc>
          <w:tcPr>
            <w:tcW w:w="782" w:type="pct"/>
            <w:tcBorders>
              <w:left w:val="single" w:sz="4" w:space="0" w:color="auto"/>
              <w:right w:val="single" w:sz="4" w:space="0" w:color="auto"/>
            </w:tcBorders>
            <w:vAlign w:val="center"/>
            <w:hideMark/>
          </w:tcPr>
          <w:p w14:paraId="577EA746" w14:textId="1DB95666" w:rsidR="009C2C5B" w:rsidRPr="00C0587E" w:rsidRDefault="00884617" w:rsidP="003242BD">
            <w:pPr>
              <w:spacing w:after="0" w:line="240" w:lineRule="auto"/>
              <w:jc w:val="center"/>
              <w:rPr>
                <w:rFonts w:ascii="Arial" w:eastAsia="Times New Roman" w:hAnsi="Arial" w:cs="Arial"/>
                <w:color w:val="000000"/>
                <w:kern w:val="0"/>
                <w:sz w:val="22"/>
                <w:szCs w:val="22"/>
                <w:lang w:eastAsia="en-IN"/>
                <w14:ligatures w14:val="none"/>
              </w:rPr>
            </w:pPr>
            <w:r w:rsidRPr="00C0587E">
              <w:rPr>
                <w:rFonts w:ascii="Arial" w:eastAsia="Times New Roman" w:hAnsi="Arial" w:cs="Arial"/>
                <w:color w:val="000000"/>
                <w:kern w:val="0"/>
                <w:sz w:val="22"/>
                <w:szCs w:val="22"/>
                <w:lang w:eastAsia="en-IN"/>
                <w14:ligatures w14:val="none"/>
              </w:rPr>
              <w:t>T1</w:t>
            </w:r>
          </w:p>
        </w:tc>
        <w:tc>
          <w:tcPr>
            <w:tcW w:w="1250" w:type="pct"/>
            <w:tcBorders>
              <w:left w:val="single" w:sz="4" w:space="0" w:color="auto"/>
            </w:tcBorders>
            <w:vAlign w:val="center"/>
            <w:hideMark/>
          </w:tcPr>
          <w:p w14:paraId="30E406EA" w14:textId="77777777" w:rsidR="009C2C5B" w:rsidRPr="00C0587E" w:rsidRDefault="009C2C5B" w:rsidP="003242BD">
            <w:pPr>
              <w:spacing w:after="0" w:line="240" w:lineRule="auto"/>
              <w:jc w:val="center"/>
              <w:rPr>
                <w:rFonts w:ascii="Arial" w:eastAsia="Times New Roman" w:hAnsi="Arial" w:cs="Arial"/>
                <w:kern w:val="0"/>
                <w:sz w:val="22"/>
                <w:szCs w:val="22"/>
                <w:lang w:eastAsia="en-IN"/>
                <w14:ligatures w14:val="none"/>
              </w:rPr>
            </w:pPr>
            <w:r w:rsidRPr="00C0587E">
              <w:rPr>
                <w:rFonts w:ascii="Arial" w:hAnsi="Arial" w:cs="Arial"/>
                <w:sz w:val="22"/>
                <w:szCs w:val="22"/>
              </w:rPr>
              <w:t>7.56±0.17</w:t>
            </w:r>
            <w:r w:rsidRPr="00C0587E">
              <w:rPr>
                <w:rFonts w:ascii="Arial" w:hAnsi="Arial" w:cs="Arial"/>
                <w:position w:val="10"/>
                <w:sz w:val="22"/>
                <w:szCs w:val="22"/>
                <w:vertAlign w:val="superscript"/>
              </w:rPr>
              <w:t>a</w:t>
            </w:r>
          </w:p>
        </w:tc>
        <w:tc>
          <w:tcPr>
            <w:tcW w:w="942" w:type="pct"/>
            <w:vAlign w:val="center"/>
            <w:hideMark/>
          </w:tcPr>
          <w:p w14:paraId="36EA1AB9" w14:textId="77777777" w:rsidR="009C2C5B" w:rsidRPr="00C0587E" w:rsidRDefault="009C2C5B" w:rsidP="003242BD">
            <w:pPr>
              <w:spacing w:after="0" w:line="240" w:lineRule="auto"/>
              <w:jc w:val="center"/>
              <w:rPr>
                <w:rFonts w:ascii="Arial" w:eastAsia="Times New Roman" w:hAnsi="Arial" w:cs="Arial"/>
                <w:kern w:val="0"/>
                <w:sz w:val="22"/>
                <w:szCs w:val="22"/>
                <w:lang w:eastAsia="en-IN"/>
                <w14:ligatures w14:val="none"/>
              </w:rPr>
            </w:pPr>
            <w:r w:rsidRPr="00C0587E">
              <w:rPr>
                <w:rFonts w:ascii="Arial" w:hAnsi="Arial" w:cs="Arial"/>
                <w:sz w:val="22"/>
                <w:szCs w:val="22"/>
              </w:rPr>
              <w:t>28.63±0.90</w:t>
            </w:r>
            <w:r w:rsidRPr="00C0587E">
              <w:rPr>
                <w:rFonts w:ascii="Arial" w:hAnsi="Arial" w:cs="Arial"/>
                <w:position w:val="10"/>
                <w:sz w:val="22"/>
                <w:szCs w:val="22"/>
                <w:vertAlign w:val="superscript"/>
              </w:rPr>
              <w:t>A</w:t>
            </w:r>
          </w:p>
        </w:tc>
        <w:tc>
          <w:tcPr>
            <w:tcW w:w="1193" w:type="pct"/>
            <w:vAlign w:val="center"/>
            <w:hideMark/>
          </w:tcPr>
          <w:p w14:paraId="4E0FEB45" w14:textId="77777777" w:rsidR="009C2C5B" w:rsidRPr="00C0587E" w:rsidRDefault="009C2C5B" w:rsidP="003242BD">
            <w:pPr>
              <w:spacing w:after="0" w:line="240" w:lineRule="auto"/>
              <w:jc w:val="center"/>
              <w:rPr>
                <w:rFonts w:ascii="Arial" w:eastAsia="Times New Roman" w:hAnsi="Arial" w:cs="Arial"/>
                <w:kern w:val="0"/>
                <w:sz w:val="22"/>
                <w:szCs w:val="22"/>
                <w:lang w:eastAsia="en-IN"/>
                <w14:ligatures w14:val="none"/>
              </w:rPr>
            </w:pPr>
            <w:r w:rsidRPr="00C0587E">
              <w:rPr>
                <w:rFonts w:ascii="Arial" w:eastAsia="Arial" w:hAnsi="Arial" w:cs="Arial"/>
                <w:sz w:val="22"/>
                <w:szCs w:val="22"/>
              </w:rPr>
              <w:t>43.120±0.62</w:t>
            </w:r>
            <w:r w:rsidRPr="00C0587E">
              <w:rPr>
                <w:rFonts w:ascii="Arial" w:eastAsia="Arial" w:hAnsi="Arial" w:cs="Arial"/>
                <w:position w:val="10"/>
                <w:sz w:val="22"/>
                <w:szCs w:val="22"/>
                <w:vertAlign w:val="superscript"/>
              </w:rPr>
              <w:t>q</w:t>
            </w:r>
          </w:p>
        </w:tc>
      </w:tr>
      <w:tr w:rsidR="009C2C5B" w:rsidRPr="00C0587E" w14:paraId="47BEEDD8" w14:textId="77777777" w:rsidTr="00C01C55">
        <w:trPr>
          <w:trHeight w:val="170"/>
        </w:trPr>
        <w:tc>
          <w:tcPr>
            <w:tcW w:w="833" w:type="pct"/>
            <w:vMerge/>
            <w:tcBorders>
              <w:bottom w:val="single" w:sz="4" w:space="0" w:color="auto"/>
              <w:right w:val="single" w:sz="4" w:space="0" w:color="auto"/>
            </w:tcBorders>
            <w:vAlign w:val="center"/>
            <w:hideMark/>
          </w:tcPr>
          <w:p w14:paraId="457814E8" w14:textId="77777777" w:rsidR="009C2C5B" w:rsidRPr="00C0587E" w:rsidRDefault="009C2C5B" w:rsidP="003242BD">
            <w:pPr>
              <w:spacing w:after="0" w:line="240" w:lineRule="auto"/>
              <w:jc w:val="center"/>
              <w:rPr>
                <w:rFonts w:ascii="Arial" w:eastAsia="Times New Roman" w:hAnsi="Arial" w:cs="Arial"/>
                <w:color w:val="000000"/>
                <w:kern w:val="0"/>
                <w:sz w:val="22"/>
                <w:szCs w:val="22"/>
                <w:lang w:eastAsia="en-IN"/>
                <w14:ligatures w14:val="none"/>
              </w:rPr>
            </w:pPr>
          </w:p>
        </w:tc>
        <w:tc>
          <w:tcPr>
            <w:tcW w:w="782" w:type="pct"/>
            <w:tcBorders>
              <w:left w:val="single" w:sz="4" w:space="0" w:color="auto"/>
              <w:bottom w:val="single" w:sz="4" w:space="0" w:color="auto"/>
              <w:right w:val="single" w:sz="4" w:space="0" w:color="auto"/>
            </w:tcBorders>
            <w:vAlign w:val="center"/>
            <w:hideMark/>
          </w:tcPr>
          <w:p w14:paraId="2AC6EF16" w14:textId="17C892E7" w:rsidR="009C2C5B" w:rsidRPr="00C0587E" w:rsidRDefault="00884617" w:rsidP="003242BD">
            <w:pPr>
              <w:spacing w:after="0" w:line="240" w:lineRule="auto"/>
              <w:jc w:val="center"/>
              <w:rPr>
                <w:rFonts w:ascii="Arial" w:eastAsia="Times New Roman" w:hAnsi="Arial" w:cs="Arial"/>
                <w:color w:val="000000"/>
                <w:kern w:val="0"/>
                <w:sz w:val="22"/>
                <w:szCs w:val="22"/>
                <w:lang w:eastAsia="en-IN"/>
                <w14:ligatures w14:val="none"/>
              </w:rPr>
            </w:pPr>
            <w:r w:rsidRPr="00C0587E">
              <w:rPr>
                <w:rFonts w:ascii="Arial" w:eastAsia="Times New Roman" w:hAnsi="Arial" w:cs="Arial"/>
                <w:color w:val="000000"/>
                <w:kern w:val="0"/>
                <w:sz w:val="22"/>
                <w:szCs w:val="22"/>
                <w:lang w:eastAsia="en-IN"/>
                <w14:ligatures w14:val="none"/>
              </w:rPr>
              <w:t>T2</w:t>
            </w:r>
          </w:p>
        </w:tc>
        <w:tc>
          <w:tcPr>
            <w:tcW w:w="1250" w:type="pct"/>
            <w:tcBorders>
              <w:left w:val="single" w:sz="4" w:space="0" w:color="auto"/>
              <w:bottom w:val="single" w:sz="4" w:space="0" w:color="auto"/>
            </w:tcBorders>
            <w:vAlign w:val="center"/>
            <w:hideMark/>
          </w:tcPr>
          <w:p w14:paraId="2CCEDA90" w14:textId="77777777" w:rsidR="009C2C5B" w:rsidRPr="00C0587E" w:rsidRDefault="009C2C5B" w:rsidP="003242BD">
            <w:pPr>
              <w:spacing w:after="0" w:line="240" w:lineRule="auto"/>
              <w:jc w:val="center"/>
              <w:rPr>
                <w:rFonts w:ascii="Arial" w:eastAsia="Times New Roman" w:hAnsi="Arial" w:cs="Arial"/>
                <w:kern w:val="0"/>
                <w:sz w:val="22"/>
                <w:szCs w:val="22"/>
                <w:lang w:eastAsia="en-IN"/>
                <w14:ligatures w14:val="none"/>
              </w:rPr>
            </w:pPr>
            <w:r w:rsidRPr="00C0587E">
              <w:rPr>
                <w:rFonts w:ascii="Arial" w:hAnsi="Arial" w:cs="Arial"/>
                <w:sz w:val="22"/>
                <w:szCs w:val="22"/>
              </w:rPr>
              <w:t>15.69±0.14</w:t>
            </w:r>
            <w:r w:rsidRPr="00C0587E">
              <w:rPr>
                <w:rFonts w:ascii="Arial" w:hAnsi="Arial" w:cs="Arial"/>
                <w:position w:val="10"/>
                <w:sz w:val="22"/>
                <w:szCs w:val="22"/>
                <w:vertAlign w:val="superscript"/>
              </w:rPr>
              <w:t>ab</w:t>
            </w:r>
          </w:p>
        </w:tc>
        <w:tc>
          <w:tcPr>
            <w:tcW w:w="942" w:type="pct"/>
            <w:tcBorders>
              <w:bottom w:val="single" w:sz="4" w:space="0" w:color="auto"/>
            </w:tcBorders>
            <w:vAlign w:val="center"/>
            <w:hideMark/>
          </w:tcPr>
          <w:p w14:paraId="16A3894D" w14:textId="77777777" w:rsidR="009C2C5B" w:rsidRPr="00C0587E" w:rsidRDefault="009C2C5B" w:rsidP="003242BD">
            <w:pPr>
              <w:spacing w:after="0" w:line="240" w:lineRule="auto"/>
              <w:jc w:val="center"/>
              <w:rPr>
                <w:rFonts w:ascii="Arial" w:eastAsia="Times New Roman" w:hAnsi="Arial" w:cs="Arial"/>
                <w:kern w:val="0"/>
                <w:sz w:val="22"/>
                <w:szCs w:val="22"/>
                <w:lang w:eastAsia="en-IN"/>
                <w14:ligatures w14:val="none"/>
              </w:rPr>
            </w:pPr>
            <w:r w:rsidRPr="00C0587E">
              <w:rPr>
                <w:rFonts w:ascii="Arial" w:hAnsi="Arial" w:cs="Arial"/>
                <w:sz w:val="22"/>
                <w:szCs w:val="22"/>
              </w:rPr>
              <w:t>39.31±0.87</w:t>
            </w:r>
            <w:r w:rsidRPr="00C0587E">
              <w:rPr>
                <w:rFonts w:ascii="Arial" w:hAnsi="Arial" w:cs="Arial"/>
                <w:position w:val="10"/>
                <w:sz w:val="22"/>
                <w:szCs w:val="22"/>
                <w:vertAlign w:val="superscript"/>
              </w:rPr>
              <w:t>A</w:t>
            </w:r>
          </w:p>
        </w:tc>
        <w:tc>
          <w:tcPr>
            <w:tcW w:w="1193" w:type="pct"/>
            <w:tcBorders>
              <w:bottom w:val="single" w:sz="4" w:space="0" w:color="auto"/>
            </w:tcBorders>
            <w:vAlign w:val="center"/>
            <w:hideMark/>
          </w:tcPr>
          <w:p w14:paraId="1AD71149" w14:textId="77777777" w:rsidR="009C2C5B" w:rsidRPr="00C0587E" w:rsidRDefault="009C2C5B" w:rsidP="003242BD">
            <w:pPr>
              <w:spacing w:after="0" w:line="240" w:lineRule="auto"/>
              <w:jc w:val="center"/>
              <w:rPr>
                <w:rFonts w:ascii="Arial" w:eastAsia="Times New Roman" w:hAnsi="Arial" w:cs="Arial"/>
                <w:kern w:val="0"/>
                <w:sz w:val="22"/>
                <w:szCs w:val="22"/>
                <w:lang w:eastAsia="en-IN"/>
                <w14:ligatures w14:val="none"/>
              </w:rPr>
            </w:pPr>
            <w:r w:rsidRPr="00C0587E">
              <w:rPr>
                <w:rFonts w:ascii="Arial" w:eastAsia="Arial" w:hAnsi="Arial" w:cs="Arial"/>
                <w:sz w:val="22"/>
                <w:szCs w:val="22"/>
              </w:rPr>
              <w:t>53.68±0.13</w:t>
            </w:r>
            <w:r w:rsidRPr="00C0587E">
              <w:rPr>
                <w:rFonts w:ascii="Arial" w:eastAsia="Arial" w:hAnsi="Arial" w:cs="Arial"/>
                <w:position w:val="10"/>
                <w:sz w:val="22"/>
                <w:szCs w:val="22"/>
                <w:vertAlign w:val="superscript"/>
              </w:rPr>
              <w:t>pq</w:t>
            </w:r>
          </w:p>
        </w:tc>
      </w:tr>
    </w:tbl>
    <w:p w14:paraId="790721E1" w14:textId="1212D56C" w:rsidR="00C01C55" w:rsidRDefault="00C01C55" w:rsidP="00915BCB">
      <w:pPr>
        <w:spacing w:after="4" w:line="249" w:lineRule="auto"/>
        <w:ind w:left="-5" w:right="-123" w:hanging="10"/>
        <w:jc w:val="center"/>
        <w:rPr>
          <w:rFonts w:ascii="Arial" w:hAnsi="Arial" w:cs="Arial"/>
          <w:bCs/>
          <w:sz w:val="20"/>
          <w:szCs w:val="20"/>
        </w:rPr>
      </w:pPr>
      <w:r w:rsidRPr="008A16D3">
        <w:rPr>
          <w:rFonts w:ascii="Arial" w:hAnsi="Arial" w:cs="Arial"/>
          <w:sz w:val="20"/>
          <w:szCs w:val="20"/>
        </w:rPr>
        <w:t>(</w:t>
      </w:r>
      <w:r w:rsidRPr="008A16D3">
        <w:rPr>
          <w:rFonts w:ascii="Arial" w:hAnsi="Arial" w:cs="Arial"/>
          <w:bCs/>
          <w:sz w:val="20"/>
          <w:szCs w:val="20"/>
        </w:rPr>
        <w:t xml:space="preserve">*Note </w:t>
      </w:r>
      <w:r w:rsidR="00DA6F8B">
        <w:rPr>
          <w:rFonts w:ascii="Arial" w:hAnsi="Arial" w:cs="Arial"/>
          <w:bCs/>
          <w:sz w:val="20"/>
          <w:szCs w:val="20"/>
        </w:rPr>
        <w:t xml:space="preserve">C= Control, </w:t>
      </w:r>
      <w:r w:rsidRPr="008A16D3">
        <w:rPr>
          <w:rFonts w:ascii="Arial" w:hAnsi="Arial" w:cs="Arial"/>
          <w:bCs/>
          <w:sz w:val="20"/>
          <w:szCs w:val="20"/>
        </w:rPr>
        <w:t xml:space="preserve">T1= Bio-floc (20:1), </w:t>
      </w:r>
      <w:r w:rsidR="00A96EE9">
        <w:rPr>
          <w:rFonts w:ascii="Arial" w:hAnsi="Arial" w:cs="Arial"/>
          <w:bCs/>
          <w:sz w:val="20"/>
          <w:szCs w:val="20"/>
        </w:rPr>
        <w:t>T2</w:t>
      </w:r>
      <w:r w:rsidRPr="008A16D3">
        <w:rPr>
          <w:rFonts w:ascii="Arial" w:hAnsi="Arial" w:cs="Arial"/>
          <w:bCs/>
          <w:sz w:val="20"/>
          <w:szCs w:val="20"/>
        </w:rPr>
        <w:t>=Biofloc (20:1) + 0.5% Jeevamruth; The mean values followed by the different superscript letters in each factor indicate significant difference at 0.05.)</w:t>
      </w:r>
    </w:p>
    <w:p w14:paraId="58F1FF5C" w14:textId="77777777" w:rsidR="009C2C5B" w:rsidRPr="006079B2" w:rsidRDefault="009C2C5B" w:rsidP="00446E39">
      <w:pPr>
        <w:rPr>
          <w:rFonts w:ascii="Arial" w:hAnsi="Arial" w:cs="Arial"/>
          <w:b/>
          <w:bCs/>
        </w:rPr>
      </w:pPr>
    </w:p>
    <w:p w14:paraId="703CDBC7" w14:textId="69C846AB" w:rsidR="00606D1B" w:rsidRPr="006079B2" w:rsidRDefault="00606D1B" w:rsidP="00446E39">
      <w:pPr>
        <w:rPr>
          <w:rFonts w:ascii="Arial" w:hAnsi="Arial" w:cs="Arial"/>
          <w:b/>
          <w:bCs/>
        </w:rPr>
      </w:pPr>
      <w:r w:rsidRPr="006079B2">
        <w:rPr>
          <w:rFonts w:ascii="Arial" w:hAnsi="Arial" w:cs="Arial"/>
          <w:noProof/>
        </w:rPr>
        <w:lastRenderedPageBreak/>
        <w:drawing>
          <wp:inline distT="0" distB="0" distL="0" distR="0" wp14:anchorId="434C052F" wp14:editId="43D56321">
            <wp:extent cx="5486400" cy="2606040"/>
            <wp:effectExtent l="0" t="0" r="0" b="3810"/>
            <wp:docPr id="888679357"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27"/>
              </a:graphicData>
            </a:graphic>
          </wp:inline>
        </w:drawing>
      </w:r>
    </w:p>
    <w:p w14:paraId="748B4938" w14:textId="09CD36D9" w:rsidR="00726987" w:rsidRDefault="00726987" w:rsidP="00726987">
      <w:pPr>
        <w:spacing w:line="360" w:lineRule="auto"/>
        <w:jc w:val="center"/>
        <w:rPr>
          <w:rFonts w:ascii="Arial" w:hAnsi="Arial" w:cs="Arial"/>
          <w:b/>
          <w:sz w:val="20"/>
          <w:szCs w:val="20"/>
        </w:rPr>
      </w:pPr>
      <w:r w:rsidRPr="00A152F0">
        <w:rPr>
          <w:rFonts w:ascii="Arial" w:hAnsi="Arial" w:cs="Arial"/>
          <w:b/>
          <w:sz w:val="20"/>
          <w:szCs w:val="20"/>
        </w:rPr>
        <w:t>Figure 1</w:t>
      </w:r>
      <w:r w:rsidR="00FB120A">
        <w:rPr>
          <w:rFonts w:ascii="Arial" w:hAnsi="Arial" w:cs="Arial"/>
          <w:b/>
          <w:sz w:val="20"/>
          <w:szCs w:val="20"/>
        </w:rPr>
        <w:t>1</w:t>
      </w:r>
      <w:r w:rsidRPr="00A152F0">
        <w:rPr>
          <w:rFonts w:ascii="Arial" w:hAnsi="Arial" w:cs="Arial"/>
          <w:b/>
          <w:sz w:val="20"/>
          <w:szCs w:val="20"/>
        </w:rPr>
        <w:t>:</w:t>
      </w:r>
      <w:r>
        <w:rPr>
          <w:rFonts w:ascii="Arial" w:hAnsi="Arial" w:cs="Arial"/>
          <w:b/>
          <w:sz w:val="20"/>
          <w:szCs w:val="20"/>
        </w:rPr>
        <w:t xml:space="preserve"> </w:t>
      </w:r>
      <w:r w:rsidRPr="00224BC0">
        <w:rPr>
          <w:rFonts w:ascii="Arial" w:hAnsi="Arial" w:cs="Arial"/>
          <w:b/>
          <w:sz w:val="20"/>
          <w:szCs w:val="20"/>
        </w:rPr>
        <w:t xml:space="preserve">Average </w:t>
      </w:r>
      <w:r w:rsidR="00FB120A" w:rsidRPr="00F62901">
        <w:rPr>
          <w:rFonts w:ascii="Arial" w:hAnsi="Arial" w:cs="Arial"/>
          <w:b/>
          <w:bCs/>
          <w:sz w:val="20"/>
          <w:szCs w:val="20"/>
        </w:rPr>
        <w:t>Body Weight Gain</w:t>
      </w:r>
      <w:r w:rsidRPr="00224BC0">
        <w:rPr>
          <w:rFonts w:ascii="Arial" w:hAnsi="Arial" w:cs="Arial"/>
          <w:b/>
          <w:sz w:val="20"/>
          <w:szCs w:val="20"/>
        </w:rPr>
        <w:t xml:space="preserve"> Value Recorded During the Experiment</w:t>
      </w:r>
    </w:p>
    <w:p w14:paraId="189F0BDA" w14:textId="03A8F57E" w:rsidR="0053797F" w:rsidRDefault="007D5D2A" w:rsidP="007D5D2A">
      <w:pPr>
        <w:spacing w:line="276" w:lineRule="auto"/>
        <w:ind w:firstLine="720"/>
        <w:jc w:val="both"/>
        <w:rPr>
          <w:rFonts w:ascii="Arial" w:hAnsi="Arial" w:cs="Arial"/>
          <w:bCs/>
          <w:sz w:val="20"/>
          <w:szCs w:val="20"/>
        </w:rPr>
      </w:pPr>
      <w:r w:rsidRPr="007D5D2A">
        <w:rPr>
          <w:rFonts w:ascii="Arial" w:hAnsi="Arial" w:cs="Arial"/>
          <w:bCs/>
          <w:sz w:val="20"/>
          <w:szCs w:val="20"/>
        </w:rPr>
        <w:t>At 60 days, the highest body weight gain was recorded in T2 (53.68 ± 0.13%), followed closely by the control (52.69 ± 0.57%), while T1 recorded comparatively lower values. The increased body weight gain in T2 reflects improved growth efficiency under Jeevamruth supplementation.</w:t>
      </w:r>
    </w:p>
    <w:p w14:paraId="6E707DBC" w14:textId="77777777" w:rsidR="007D5D2A" w:rsidRPr="007D5D2A" w:rsidRDefault="007D5D2A" w:rsidP="007D5D2A">
      <w:pPr>
        <w:spacing w:line="276" w:lineRule="auto"/>
        <w:rPr>
          <w:rFonts w:ascii="Arial" w:hAnsi="Arial" w:cs="Arial"/>
          <w:bCs/>
          <w:sz w:val="20"/>
          <w:szCs w:val="20"/>
        </w:rPr>
      </w:pPr>
    </w:p>
    <w:p w14:paraId="06EEE893" w14:textId="07B59EEC" w:rsidR="0044175C" w:rsidRDefault="00E05B72" w:rsidP="00E05B72">
      <w:pPr>
        <w:spacing w:line="360" w:lineRule="auto"/>
        <w:rPr>
          <w:rFonts w:ascii="Arial" w:hAnsi="Arial" w:cs="Arial"/>
          <w:b/>
          <w:bCs/>
          <w:sz w:val="20"/>
          <w:szCs w:val="20"/>
          <w:u w:val="single"/>
        </w:rPr>
      </w:pPr>
      <w:r>
        <w:rPr>
          <w:rFonts w:ascii="Arial" w:hAnsi="Arial" w:cs="Arial"/>
          <w:b/>
          <w:bCs/>
          <w:sz w:val="20"/>
          <w:szCs w:val="20"/>
          <w:u w:val="single"/>
        </w:rPr>
        <w:t xml:space="preserve">3.2.4 </w:t>
      </w:r>
      <w:r w:rsidR="0044175C" w:rsidRPr="00E05B72">
        <w:rPr>
          <w:rFonts w:ascii="Arial" w:hAnsi="Arial" w:cs="Arial"/>
          <w:b/>
          <w:bCs/>
          <w:sz w:val="20"/>
          <w:szCs w:val="20"/>
          <w:u w:val="single"/>
        </w:rPr>
        <w:t>Specific growth rate</w:t>
      </w:r>
      <w:r w:rsidR="0093582F">
        <w:rPr>
          <w:rFonts w:ascii="Arial" w:hAnsi="Arial" w:cs="Arial"/>
          <w:b/>
          <w:bCs/>
          <w:sz w:val="20"/>
          <w:szCs w:val="20"/>
          <w:u w:val="single"/>
        </w:rPr>
        <w:t xml:space="preserve"> </w:t>
      </w:r>
      <w:r w:rsidR="0052732A">
        <w:rPr>
          <w:rFonts w:ascii="Arial" w:hAnsi="Arial" w:cs="Arial"/>
          <w:b/>
          <w:bCs/>
          <w:sz w:val="20"/>
          <w:szCs w:val="20"/>
          <w:u w:val="single"/>
        </w:rPr>
        <w:t>(%)</w:t>
      </w:r>
      <w:r w:rsidR="0044175C" w:rsidRPr="00E05B72">
        <w:rPr>
          <w:rFonts w:ascii="Arial" w:hAnsi="Arial" w:cs="Arial"/>
          <w:b/>
          <w:bCs/>
          <w:sz w:val="20"/>
          <w:szCs w:val="20"/>
          <w:u w:val="single"/>
        </w:rPr>
        <w:t xml:space="preserve"> recorded during experimental period.</w:t>
      </w:r>
    </w:p>
    <w:p w14:paraId="1D1C6B2F" w14:textId="5D9E8512" w:rsidR="00F62901" w:rsidRPr="00E05B72" w:rsidRDefault="00F62901" w:rsidP="00E05B72">
      <w:pPr>
        <w:spacing w:line="360" w:lineRule="auto"/>
        <w:rPr>
          <w:rFonts w:ascii="Arial" w:hAnsi="Arial" w:cs="Arial"/>
          <w:b/>
          <w:bCs/>
          <w:sz w:val="20"/>
          <w:szCs w:val="20"/>
          <w:u w:val="single"/>
        </w:rPr>
      </w:pPr>
      <w:r w:rsidRPr="00224BC0">
        <w:rPr>
          <w:rFonts w:ascii="Arial" w:hAnsi="Arial" w:cs="Arial"/>
          <w:b/>
          <w:sz w:val="20"/>
          <w:szCs w:val="20"/>
        </w:rPr>
        <w:t xml:space="preserve">Table </w:t>
      </w:r>
      <w:r w:rsidR="00E35B89">
        <w:rPr>
          <w:rFonts w:ascii="Arial" w:hAnsi="Arial" w:cs="Arial"/>
          <w:b/>
          <w:sz w:val="20"/>
          <w:szCs w:val="20"/>
        </w:rPr>
        <w:t>12</w:t>
      </w:r>
      <w:r w:rsidRPr="00224BC0">
        <w:rPr>
          <w:rFonts w:ascii="Arial" w:hAnsi="Arial" w:cs="Arial"/>
          <w:b/>
          <w:sz w:val="20"/>
          <w:szCs w:val="20"/>
        </w:rPr>
        <w:t xml:space="preserve">: Average </w:t>
      </w:r>
      <w:r>
        <w:rPr>
          <w:rFonts w:ascii="Arial" w:hAnsi="Arial" w:cs="Arial"/>
          <w:b/>
          <w:bCs/>
          <w:sz w:val="20"/>
          <w:szCs w:val="20"/>
        </w:rPr>
        <w:t xml:space="preserve">Specific Growth </w:t>
      </w:r>
      <w:r w:rsidR="00204113">
        <w:rPr>
          <w:rFonts w:ascii="Arial" w:hAnsi="Arial" w:cs="Arial"/>
          <w:b/>
          <w:bCs/>
          <w:sz w:val="20"/>
          <w:szCs w:val="20"/>
        </w:rPr>
        <w:t>Rate</w:t>
      </w:r>
      <w:r w:rsidR="0093582F">
        <w:rPr>
          <w:rFonts w:ascii="Arial" w:hAnsi="Arial" w:cs="Arial"/>
          <w:b/>
          <w:bCs/>
          <w:sz w:val="20"/>
          <w:szCs w:val="20"/>
        </w:rPr>
        <w:t xml:space="preserve"> </w:t>
      </w:r>
      <w:r w:rsidR="0052732A">
        <w:rPr>
          <w:rFonts w:ascii="Arial" w:hAnsi="Arial" w:cs="Arial"/>
          <w:b/>
          <w:bCs/>
          <w:sz w:val="20"/>
          <w:szCs w:val="20"/>
        </w:rPr>
        <w:t>(%)</w:t>
      </w:r>
      <w:r>
        <w:rPr>
          <w:rFonts w:ascii="Arial" w:hAnsi="Arial" w:cs="Arial"/>
          <w:b/>
          <w:bCs/>
          <w:sz w:val="20"/>
          <w:szCs w:val="20"/>
        </w:rPr>
        <w:t xml:space="preserve"> </w:t>
      </w:r>
      <w:r w:rsidRPr="00224BC0">
        <w:rPr>
          <w:rFonts w:ascii="Arial" w:hAnsi="Arial" w:cs="Arial"/>
          <w:b/>
          <w:sz w:val="20"/>
          <w:szCs w:val="20"/>
        </w:rPr>
        <w:t xml:space="preserve">Recorded During the </w:t>
      </w:r>
      <w:commentRangeStart w:id="12"/>
      <w:r w:rsidRPr="00224BC0">
        <w:rPr>
          <w:rFonts w:ascii="Arial" w:hAnsi="Arial" w:cs="Arial"/>
          <w:b/>
          <w:sz w:val="20"/>
          <w:szCs w:val="20"/>
        </w:rPr>
        <w:t>Experiment</w:t>
      </w:r>
      <w:commentRangeEnd w:id="12"/>
      <w:r w:rsidR="00AB048C">
        <w:rPr>
          <w:rStyle w:val="Refdecomentario"/>
        </w:rPr>
        <w:commentReference w:id="12"/>
      </w:r>
    </w:p>
    <w:tbl>
      <w:tblPr>
        <w:tblStyle w:val="Tablaconcuadrcula"/>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39"/>
        <w:gridCol w:w="1738"/>
        <w:gridCol w:w="1830"/>
        <w:gridCol w:w="1890"/>
        <w:gridCol w:w="1829"/>
      </w:tblGrid>
      <w:tr w:rsidR="0044175C" w:rsidRPr="00C0587E" w14:paraId="42350958" w14:textId="77777777" w:rsidTr="00560687">
        <w:trPr>
          <w:trHeight w:val="170"/>
        </w:trPr>
        <w:tc>
          <w:tcPr>
            <w:tcW w:w="963" w:type="pct"/>
            <w:tcBorders>
              <w:top w:val="single" w:sz="4" w:space="0" w:color="auto"/>
              <w:bottom w:val="single" w:sz="4" w:space="0" w:color="auto"/>
              <w:right w:val="single" w:sz="4" w:space="0" w:color="auto"/>
            </w:tcBorders>
            <w:hideMark/>
          </w:tcPr>
          <w:p w14:paraId="165D1144" w14:textId="77777777" w:rsidR="0044175C" w:rsidRPr="00C0587E" w:rsidRDefault="0044175C" w:rsidP="003242BD">
            <w:pPr>
              <w:jc w:val="center"/>
              <w:rPr>
                <w:rFonts w:ascii="Arial" w:eastAsia="Times New Roman" w:hAnsi="Arial" w:cs="Arial"/>
                <w:color w:val="000000"/>
                <w:kern w:val="0"/>
                <w:lang w:eastAsia="en-IN"/>
                <w14:ligatures w14:val="none"/>
              </w:rPr>
            </w:pPr>
            <w:r w:rsidRPr="00C0587E">
              <w:rPr>
                <w:rFonts w:ascii="Arial" w:eastAsia="Times New Roman" w:hAnsi="Arial" w:cs="Arial"/>
                <w:color w:val="000000"/>
                <w:kern w:val="0"/>
                <w:lang w:eastAsia="en-IN"/>
                <w14:ligatures w14:val="none"/>
              </w:rPr>
              <w:t>Parameter</w:t>
            </w:r>
          </w:p>
        </w:tc>
        <w:tc>
          <w:tcPr>
            <w:tcW w:w="963" w:type="pct"/>
            <w:tcBorders>
              <w:top w:val="single" w:sz="4" w:space="0" w:color="auto"/>
              <w:left w:val="single" w:sz="4" w:space="0" w:color="auto"/>
              <w:bottom w:val="single" w:sz="4" w:space="0" w:color="auto"/>
              <w:right w:val="single" w:sz="4" w:space="0" w:color="auto"/>
            </w:tcBorders>
            <w:hideMark/>
          </w:tcPr>
          <w:p w14:paraId="0B6C2A95" w14:textId="77777777" w:rsidR="0044175C" w:rsidRPr="00C0587E" w:rsidRDefault="0044175C" w:rsidP="003242BD">
            <w:pPr>
              <w:jc w:val="center"/>
              <w:rPr>
                <w:rFonts w:ascii="Arial" w:eastAsia="Times New Roman" w:hAnsi="Arial" w:cs="Arial"/>
                <w:color w:val="000000"/>
                <w:kern w:val="0"/>
                <w:lang w:eastAsia="en-IN"/>
                <w14:ligatures w14:val="none"/>
              </w:rPr>
            </w:pPr>
            <w:r w:rsidRPr="00C0587E">
              <w:rPr>
                <w:rFonts w:ascii="Arial" w:eastAsia="Times New Roman" w:hAnsi="Arial" w:cs="Arial"/>
                <w:color w:val="000000"/>
                <w:kern w:val="0"/>
                <w:lang w:eastAsia="en-IN"/>
                <w14:ligatures w14:val="none"/>
              </w:rPr>
              <w:t>Treatment</w:t>
            </w:r>
          </w:p>
        </w:tc>
        <w:tc>
          <w:tcPr>
            <w:tcW w:w="1014" w:type="pct"/>
            <w:tcBorders>
              <w:top w:val="single" w:sz="4" w:space="0" w:color="auto"/>
              <w:left w:val="single" w:sz="4" w:space="0" w:color="auto"/>
              <w:bottom w:val="single" w:sz="4" w:space="0" w:color="auto"/>
            </w:tcBorders>
            <w:hideMark/>
          </w:tcPr>
          <w:p w14:paraId="4FAA578A" w14:textId="77777777" w:rsidR="0044175C" w:rsidRPr="00C0587E" w:rsidRDefault="0044175C" w:rsidP="003242BD">
            <w:pPr>
              <w:jc w:val="center"/>
              <w:rPr>
                <w:rFonts w:ascii="Arial" w:eastAsia="Times New Roman" w:hAnsi="Arial" w:cs="Arial"/>
                <w:color w:val="000000"/>
                <w:kern w:val="0"/>
                <w:lang w:eastAsia="en-IN"/>
                <w14:ligatures w14:val="none"/>
              </w:rPr>
            </w:pPr>
            <w:r w:rsidRPr="00C0587E">
              <w:rPr>
                <w:rFonts w:ascii="Arial" w:eastAsia="Times New Roman" w:hAnsi="Arial" w:cs="Arial"/>
                <w:color w:val="000000"/>
                <w:kern w:val="0"/>
                <w:lang w:eastAsia="en-IN"/>
                <w14:ligatures w14:val="none"/>
              </w:rPr>
              <w:t>20</w:t>
            </w:r>
            <w:r w:rsidRPr="00C0587E">
              <w:rPr>
                <w:rFonts w:ascii="Arial" w:eastAsia="Times New Roman" w:hAnsi="Arial" w:cs="Arial"/>
                <w:color w:val="000000"/>
                <w:kern w:val="0"/>
                <w:vertAlign w:val="superscript"/>
                <w:lang w:eastAsia="en-IN"/>
                <w14:ligatures w14:val="none"/>
              </w:rPr>
              <w:t>th</w:t>
            </w:r>
            <w:r w:rsidRPr="00C0587E">
              <w:rPr>
                <w:rFonts w:ascii="Arial" w:eastAsia="Times New Roman" w:hAnsi="Arial" w:cs="Arial"/>
                <w:color w:val="000000"/>
                <w:kern w:val="0"/>
                <w:lang w:eastAsia="en-IN"/>
                <w14:ligatures w14:val="none"/>
              </w:rPr>
              <w:t xml:space="preserve"> DAY</w:t>
            </w:r>
          </w:p>
        </w:tc>
        <w:tc>
          <w:tcPr>
            <w:tcW w:w="1047" w:type="pct"/>
            <w:tcBorders>
              <w:top w:val="single" w:sz="4" w:space="0" w:color="auto"/>
              <w:bottom w:val="single" w:sz="4" w:space="0" w:color="auto"/>
            </w:tcBorders>
            <w:hideMark/>
          </w:tcPr>
          <w:p w14:paraId="54ED38ED" w14:textId="77777777" w:rsidR="0044175C" w:rsidRPr="00C0587E" w:rsidRDefault="0044175C" w:rsidP="003242BD">
            <w:pPr>
              <w:jc w:val="center"/>
              <w:rPr>
                <w:rFonts w:ascii="Arial" w:eastAsia="Times New Roman" w:hAnsi="Arial" w:cs="Arial"/>
                <w:color w:val="000000"/>
                <w:kern w:val="0"/>
                <w:lang w:eastAsia="en-IN"/>
                <w14:ligatures w14:val="none"/>
              </w:rPr>
            </w:pPr>
            <w:r w:rsidRPr="00C0587E">
              <w:rPr>
                <w:rFonts w:ascii="Arial" w:eastAsia="Times New Roman" w:hAnsi="Arial" w:cs="Arial"/>
                <w:color w:val="000000"/>
                <w:kern w:val="0"/>
                <w:lang w:eastAsia="en-IN"/>
                <w14:ligatures w14:val="none"/>
              </w:rPr>
              <w:t>40</w:t>
            </w:r>
            <w:r w:rsidRPr="00C0587E">
              <w:rPr>
                <w:rFonts w:ascii="Arial" w:eastAsia="Times New Roman" w:hAnsi="Arial" w:cs="Arial"/>
                <w:color w:val="000000"/>
                <w:kern w:val="0"/>
                <w:vertAlign w:val="superscript"/>
                <w:lang w:eastAsia="en-IN"/>
                <w14:ligatures w14:val="none"/>
              </w:rPr>
              <w:t>th</w:t>
            </w:r>
            <w:r w:rsidRPr="00C0587E">
              <w:rPr>
                <w:rFonts w:ascii="Arial" w:eastAsia="Times New Roman" w:hAnsi="Arial" w:cs="Arial"/>
                <w:color w:val="000000"/>
                <w:kern w:val="0"/>
                <w:lang w:eastAsia="en-IN"/>
                <w14:ligatures w14:val="none"/>
              </w:rPr>
              <w:t>DAY</w:t>
            </w:r>
          </w:p>
        </w:tc>
        <w:tc>
          <w:tcPr>
            <w:tcW w:w="1013" w:type="pct"/>
            <w:tcBorders>
              <w:top w:val="single" w:sz="4" w:space="0" w:color="auto"/>
              <w:bottom w:val="single" w:sz="4" w:space="0" w:color="auto"/>
            </w:tcBorders>
            <w:hideMark/>
          </w:tcPr>
          <w:p w14:paraId="2BADB63D" w14:textId="77777777" w:rsidR="0044175C" w:rsidRPr="00C0587E" w:rsidRDefault="0044175C" w:rsidP="003242BD">
            <w:pPr>
              <w:jc w:val="center"/>
              <w:rPr>
                <w:rFonts w:ascii="Arial" w:eastAsia="Times New Roman" w:hAnsi="Arial" w:cs="Arial"/>
                <w:color w:val="000000"/>
                <w:kern w:val="0"/>
                <w:lang w:eastAsia="en-IN"/>
                <w14:ligatures w14:val="none"/>
              </w:rPr>
            </w:pPr>
            <w:r w:rsidRPr="00C0587E">
              <w:rPr>
                <w:rFonts w:ascii="Arial" w:eastAsia="Times New Roman" w:hAnsi="Arial" w:cs="Arial"/>
                <w:color w:val="000000"/>
                <w:kern w:val="0"/>
                <w:lang w:eastAsia="en-IN"/>
                <w14:ligatures w14:val="none"/>
              </w:rPr>
              <w:t>60</w:t>
            </w:r>
            <w:r w:rsidRPr="00C0587E">
              <w:rPr>
                <w:rFonts w:ascii="Arial" w:eastAsia="Times New Roman" w:hAnsi="Arial" w:cs="Arial"/>
                <w:color w:val="000000"/>
                <w:kern w:val="0"/>
                <w:vertAlign w:val="superscript"/>
                <w:lang w:eastAsia="en-IN"/>
                <w14:ligatures w14:val="none"/>
              </w:rPr>
              <w:t>th</w:t>
            </w:r>
            <w:r w:rsidRPr="00C0587E">
              <w:rPr>
                <w:rFonts w:ascii="Arial" w:eastAsia="Times New Roman" w:hAnsi="Arial" w:cs="Arial"/>
                <w:color w:val="000000"/>
                <w:kern w:val="0"/>
                <w:lang w:eastAsia="en-IN"/>
                <w14:ligatures w14:val="none"/>
              </w:rPr>
              <w:t xml:space="preserve"> DAY</w:t>
            </w:r>
          </w:p>
        </w:tc>
      </w:tr>
      <w:tr w:rsidR="0044175C" w:rsidRPr="00C0587E" w14:paraId="063D1B57" w14:textId="77777777" w:rsidTr="00560687">
        <w:trPr>
          <w:trHeight w:val="170"/>
        </w:trPr>
        <w:tc>
          <w:tcPr>
            <w:tcW w:w="963" w:type="pct"/>
            <w:vMerge w:val="restart"/>
            <w:tcBorders>
              <w:top w:val="single" w:sz="4" w:space="0" w:color="auto"/>
              <w:right w:val="single" w:sz="4" w:space="0" w:color="auto"/>
            </w:tcBorders>
            <w:hideMark/>
          </w:tcPr>
          <w:p w14:paraId="07B43DE1" w14:textId="77777777" w:rsidR="0044175C" w:rsidRPr="00C0587E" w:rsidRDefault="0044175C" w:rsidP="003242BD">
            <w:pPr>
              <w:jc w:val="center"/>
              <w:rPr>
                <w:rFonts w:ascii="Arial" w:eastAsia="Times New Roman" w:hAnsi="Arial" w:cs="Arial"/>
                <w:bCs/>
                <w:color w:val="000000"/>
                <w:kern w:val="0"/>
                <w:lang w:eastAsia="en-IN"/>
                <w14:ligatures w14:val="none"/>
              </w:rPr>
            </w:pPr>
          </w:p>
          <w:p w14:paraId="28B68A1A" w14:textId="77777777" w:rsidR="0044175C" w:rsidRPr="00C0587E" w:rsidRDefault="0044175C" w:rsidP="003242BD">
            <w:pPr>
              <w:jc w:val="center"/>
              <w:rPr>
                <w:rFonts w:ascii="Arial" w:eastAsia="Times New Roman" w:hAnsi="Arial" w:cs="Arial"/>
                <w:color w:val="000000"/>
                <w:kern w:val="0"/>
                <w:lang w:eastAsia="en-IN"/>
                <w14:ligatures w14:val="none"/>
              </w:rPr>
            </w:pPr>
            <w:r w:rsidRPr="00C0587E">
              <w:rPr>
                <w:rFonts w:ascii="Arial" w:eastAsia="Times New Roman" w:hAnsi="Arial" w:cs="Arial"/>
                <w:bCs/>
                <w:color w:val="000000"/>
                <w:kern w:val="0"/>
                <w:lang w:eastAsia="en-IN"/>
                <w14:ligatures w14:val="none"/>
              </w:rPr>
              <w:t>SGR (%)</w:t>
            </w:r>
          </w:p>
        </w:tc>
        <w:tc>
          <w:tcPr>
            <w:tcW w:w="963" w:type="pct"/>
            <w:tcBorders>
              <w:top w:val="single" w:sz="4" w:space="0" w:color="auto"/>
              <w:left w:val="single" w:sz="4" w:space="0" w:color="auto"/>
              <w:right w:val="single" w:sz="4" w:space="0" w:color="auto"/>
            </w:tcBorders>
            <w:hideMark/>
          </w:tcPr>
          <w:p w14:paraId="7DDCC51C" w14:textId="77777777" w:rsidR="0044175C" w:rsidRPr="00C0587E" w:rsidRDefault="0044175C" w:rsidP="003242BD">
            <w:pPr>
              <w:jc w:val="center"/>
              <w:rPr>
                <w:rFonts w:ascii="Arial" w:eastAsia="Times New Roman" w:hAnsi="Arial" w:cs="Arial"/>
                <w:color w:val="000000"/>
                <w:kern w:val="0"/>
                <w:lang w:eastAsia="en-IN"/>
                <w14:ligatures w14:val="none"/>
              </w:rPr>
            </w:pPr>
            <w:r w:rsidRPr="00C0587E">
              <w:rPr>
                <w:rFonts w:ascii="Arial" w:eastAsia="Times New Roman" w:hAnsi="Arial" w:cs="Arial"/>
                <w:color w:val="000000"/>
                <w:kern w:val="0"/>
                <w:lang w:eastAsia="en-IN"/>
                <w14:ligatures w14:val="none"/>
              </w:rPr>
              <w:t>C</w:t>
            </w:r>
          </w:p>
        </w:tc>
        <w:tc>
          <w:tcPr>
            <w:tcW w:w="1014" w:type="pct"/>
            <w:tcBorders>
              <w:top w:val="single" w:sz="4" w:space="0" w:color="auto"/>
              <w:left w:val="single" w:sz="4" w:space="0" w:color="auto"/>
            </w:tcBorders>
            <w:hideMark/>
          </w:tcPr>
          <w:p w14:paraId="1982AFD2" w14:textId="77777777" w:rsidR="0044175C" w:rsidRPr="00C0587E" w:rsidRDefault="0044175C" w:rsidP="003242BD">
            <w:pPr>
              <w:jc w:val="center"/>
              <w:rPr>
                <w:rFonts w:ascii="Arial" w:eastAsia="Times New Roman" w:hAnsi="Arial" w:cs="Arial"/>
                <w:kern w:val="0"/>
                <w:lang w:eastAsia="en-IN"/>
                <w14:ligatures w14:val="none"/>
              </w:rPr>
            </w:pPr>
            <w:r w:rsidRPr="00C0587E">
              <w:rPr>
                <w:rFonts w:ascii="Arial" w:hAnsi="Arial" w:cs="Arial"/>
              </w:rPr>
              <w:t>4.71±0.98</w:t>
            </w:r>
            <w:r w:rsidRPr="00C0587E">
              <w:rPr>
                <w:rFonts w:ascii="Arial" w:hAnsi="Arial" w:cs="Arial"/>
                <w:position w:val="10"/>
                <w:vertAlign w:val="superscript"/>
              </w:rPr>
              <w:t>ab</w:t>
            </w:r>
          </w:p>
        </w:tc>
        <w:tc>
          <w:tcPr>
            <w:tcW w:w="1047" w:type="pct"/>
            <w:tcBorders>
              <w:top w:val="single" w:sz="4" w:space="0" w:color="auto"/>
            </w:tcBorders>
            <w:hideMark/>
          </w:tcPr>
          <w:p w14:paraId="459FCD73" w14:textId="77777777" w:rsidR="0044175C" w:rsidRPr="00C0587E" w:rsidRDefault="0044175C" w:rsidP="003242BD">
            <w:pPr>
              <w:jc w:val="center"/>
              <w:rPr>
                <w:rFonts w:ascii="Arial" w:eastAsia="Times New Roman" w:hAnsi="Arial" w:cs="Arial"/>
                <w:kern w:val="0"/>
                <w:lang w:eastAsia="en-IN"/>
                <w14:ligatures w14:val="none"/>
              </w:rPr>
            </w:pPr>
            <w:r w:rsidRPr="00C0587E">
              <w:rPr>
                <w:rFonts w:ascii="Arial" w:hAnsi="Arial" w:cs="Arial"/>
              </w:rPr>
              <w:t>6.03±1.43</w:t>
            </w:r>
            <w:r w:rsidRPr="00C0587E">
              <w:rPr>
                <w:rFonts w:ascii="Arial" w:hAnsi="Arial" w:cs="Arial"/>
                <w:position w:val="10"/>
                <w:vertAlign w:val="superscript"/>
              </w:rPr>
              <w:t>A</w:t>
            </w:r>
          </w:p>
        </w:tc>
        <w:tc>
          <w:tcPr>
            <w:tcW w:w="1013" w:type="pct"/>
            <w:tcBorders>
              <w:top w:val="single" w:sz="4" w:space="0" w:color="auto"/>
            </w:tcBorders>
            <w:hideMark/>
          </w:tcPr>
          <w:p w14:paraId="1E999D88" w14:textId="77777777" w:rsidR="0044175C" w:rsidRPr="00C0587E" w:rsidRDefault="0044175C" w:rsidP="003242BD">
            <w:pPr>
              <w:jc w:val="center"/>
              <w:rPr>
                <w:rFonts w:ascii="Arial" w:eastAsia="Times New Roman" w:hAnsi="Arial" w:cs="Arial"/>
                <w:kern w:val="0"/>
                <w:lang w:eastAsia="en-IN"/>
                <w14:ligatures w14:val="none"/>
              </w:rPr>
            </w:pPr>
            <w:r w:rsidRPr="00C0587E">
              <w:rPr>
                <w:rFonts w:ascii="Arial" w:eastAsia="Arial" w:hAnsi="Arial" w:cs="Arial"/>
              </w:rPr>
              <w:t>7.67±0.35</w:t>
            </w:r>
            <w:r w:rsidRPr="00C0587E">
              <w:rPr>
                <w:rFonts w:ascii="Arial" w:eastAsia="Arial" w:hAnsi="Arial" w:cs="Arial"/>
                <w:position w:val="10"/>
                <w:vertAlign w:val="superscript"/>
              </w:rPr>
              <w:t>pq</w:t>
            </w:r>
          </w:p>
        </w:tc>
      </w:tr>
      <w:tr w:rsidR="0044175C" w:rsidRPr="00C0587E" w14:paraId="671FBA72" w14:textId="77777777" w:rsidTr="00560687">
        <w:trPr>
          <w:trHeight w:val="170"/>
        </w:trPr>
        <w:tc>
          <w:tcPr>
            <w:tcW w:w="963" w:type="pct"/>
            <w:vMerge/>
            <w:tcBorders>
              <w:right w:val="single" w:sz="4" w:space="0" w:color="auto"/>
            </w:tcBorders>
            <w:hideMark/>
          </w:tcPr>
          <w:p w14:paraId="5C4AF905" w14:textId="77777777" w:rsidR="0044175C" w:rsidRPr="00C0587E" w:rsidRDefault="0044175C" w:rsidP="003242BD">
            <w:pPr>
              <w:jc w:val="center"/>
              <w:rPr>
                <w:rFonts w:ascii="Arial" w:eastAsia="Times New Roman" w:hAnsi="Arial" w:cs="Arial"/>
                <w:color w:val="000000"/>
                <w:kern w:val="0"/>
                <w:lang w:eastAsia="en-IN"/>
                <w14:ligatures w14:val="none"/>
              </w:rPr>
            </w:pPr>
          </w:p>
        </w:tc>
        <w:tc>
          <w:tcPr>
            <w:tcW w:w="963" w:type="pct"/>
            <w:tcBorders>
              <w:left w:val="single" w:sz="4" w:space="0" w:color="auto"/>
              <w:right w:val="single" w:sz="4" w:space="0" w:color="auto"/>
            </w:tcBorders>
            <w:hideMark/>
          </w:tcPr>
          <w:p w14:paraId="434024E9" w14:textId="71A4DA57" w:rsidR="0044175C" w:rsidRPr="00C0587E" w:rsidRDefault="00884617" w:rsidP="003242BD">
            <w:pPr>
              <w:jc w:val="center"/>
              <w:rPr>
                <w:rFonts w:ascii="Arial" w:eastAsia="Times New Roman" w:hAnsi="Arial" w:cs="Arial"/>
                <w:color w:val="000000"/>
                <w:kern w:val="0"/>
                <w:lang w:eastAsia="en-IN"/>
                <w14:ligatures w14:val="none"/>
              </w:rPr>
            </w:pPr>
            <w:r w:rsidRPr="00C0587E">
              <w:rPr>
                <w:rFonts w:ascii="Arial" w:eastAsia="Times New Roman" w:hAnsi="Arial" w:cs="Arial"/>
                <w:color w:val="000000"/>
                <w:kern w:val="0"/>
                <w:lang w:eastAsia="en-IN"/>
                <w14:ligatures w14:val="none"/>
              </w:rPr>
              <w:t>T1</w:t>
            </w:r>
          </w:p>
        </w:tc>
        <w:tc>
          <w:tcPr>
            <w:tcW w:w="1014" w:type="pct"/>
            <w:tcBorders>
              <w:left w:val="single" w:sz="4" w:space="0" w:color="auto"/>
            </w:tcBorders>
            <w:hideMark/>
          </w:tcPr>
          <w:p w14:paraId="0ED4CE4C" w14:textId="77777777" w:rsidR="0044175C" w:rsidRPr="00C0587E" w:rsidRDefault="0044175C" w:rsidP="003242BD">
            <w:pPr>
              <w:jc w:val="center"/>
              <w:rPr>
                <w:rFonts w:ascii="Arial" w:eastAsia="Times New Roman" w:hAnsi="Arial" w:cs="Arial"/>
                <w:kern w:val="0"/>
                <w:lang w:eastAsia="en-IN"/>
                <w14:ligatures w14:val="none"/>
              </w:rPr>
            </w:pPr>
            <w:r w:rsidRPr="00C0587E">
              <w:rPr>
                <w:rFonts w:ascii="Arial" w:hAnsi="Arial" w:cs="Arial"/>
              </w:rPr>
              <w:t>3.35±0.88</w:t>
            </w:r>
            <w:r w:rsidRPr="00C0587E">
              <w:rPr>
                <w:rFonts w:ascii="Arial" w:hAnsi="Arial" w:cs="Arial"/>
                <w:position w:val="10"/>
                <w:vertAlign w:val="superscript"/>
              </w:rPr>
              <w:t>a</w:t>
            </w:r>
          </w:p>
        </w:tc>
        <w:tc>
          <w:tcPr>
            <w:tcW w:w="1047" w:type="pct"/>
            <w:hideMark/>
          </w:tcPr>
          <w:p w14:paraId="14FAF04F" w14:textId="77777777" w:rsidR="0044175C" w:rsidRPr="00C0587E" w:rsidRDefault="0044175C" w:rsidP="003242BD">
            <w:pPr>
              <w:jc w:val="center"/>
              <w:rPr>
                <w:rFonts w:ascii="Arial" w:eastAsia="Times New Roman" w:hAnsi="Arial" w:cs="Arial"/>
                <w:kern w:val="0"/>
                <w:lang w:eastAsia="en-IN"/>
                <w14:ligatures w14:val="none"/>
              </w:rPr>
            </w:pPr>
            <w:r w:rsidRPr="00C0587E">
              <w:rPr>
                <w:rFonts w:ascii="Arial" w:hAnsi="Arial" w:cs="Arial"/>
              </w:rPr>
              <w:t>6.34±0.64</w:t>
            </w:r>
            <w:r w:rsidRPr="00C0587E">
              <w:rPr>
                <w:rFonts w:ascii="Arial" w:hAnsi="Arial" w:cs="Arial"/>
                <w:position w:val="10"/>
                <w:vertAlign w:val="superscript"/>
              </w:rPr>
              <w:t>A</w:t>
            </w:r>
          </w:p>
        </w:tc>
        <w:tc>
          <w:tcPr>
            <w:tcW w:w="1013" w:type="pct"/>
            <w:hideMark/>
          </w:tcPr>
          <w:p w14:paraId="79E1D11A" w14:textId="77777777" w:rsidR="0044175C" w:rsidRPr="00C0587E" w:rsidRDefault="0044175C" w:rsidP="003242BD">
            <w:pPr>
              <w:jc w:val="center"/>
              <w:rPr>
                <w:rFonts w:ascii="Arial" w:eastAsia="Times New Roman" w:hAnsi="Arial" w:cs="Arial"/>
                <w:kern w:val="0"/>
                <w:lang w:eastAsia="en-IN"/>
                <w14:ligatures w14:val="none"/>
              </w:rPr>
            </w:pPr>
            <w:r w:rsidRPr="00C0587E">
              <w:rPr>
                <w:rFonts w:ascii="Arial" w:eastAsia="Arial" w:hAnsi="Arial" w:cs="Arial"/>
              </w:rPr>
              <w:t>6.36±0.38</w:t>
            </w:r>
            <w:r w:rsidRPr="00C0587E">
              <w:rPr>
                <w:rFonts w:ascii="Arial" w:eastAsia="Arial" w:hAnsi="Arial" w:cs="Arial"/>
                <w:position w:val="10"/>
                <w:vertAlign w:val="superscript"/>
              </w:rPr>
              <w:t>q</w:t>
            </w:r>
          </w:p>
        </w:tc>
      </w:tr>
      <w:tr w:rsidR="0044175C" w:rsidRPr="00C0587E" w14:paraId="062508A5" w14:textId="77777777" w:rsidTr="00560687">
        <w:trPr>
          <w:trHeight w:val="170"/>
        </w:trPr>
        <w:tc>
          <w:tcPr>
            <w:tcW w:w="963" w:type="pct"/>
            <w:vMerge/>
            <w:tcBorders>
              <w:bottom w:val="single" w:sz="4" w:space="0" w:color="auto"/>
              <w:right w:val="single" w:sz="4" w:space="0" w:color="auto"/>
            </w:tcBorders>
            <w:hideMark/>
          </w:tcPr>
          <w:p w14:paraId="474085C0" w14:textId="77777777" w:rsidR="0044175C" w:rsidRPr="00C0587E" w:rsidRDefault="0044175C" w:rsidP="003242BD">
            <w:pPr>
              <w:jc w:val="center"/>
              <w:rPr>
                <w:rFonts w:ascii="Arial" w:eastAsia="Times New Roman" w:hAnsi="Arial" w:cs="Arial"/>
                <w:color w:val="000000"/>
                <w:kern w:val="0"/>
                <w:lang w:eastAsia="en-IN"/>
                <w14:ligatures w14:val="none"/>
              </w:rPr>
            </w:pPr>
          </w:p>
        </w:tc>
        <w:tc>
          <w:tcPr>
            <w:tcW w:w="963" w:type="pct"/>
            <w:tcBorders>
              <w:left w:val="single" w:sz="4" w:space="0" w:color="auto"/>
              <w:bottom w:val="single" w:sz="4" w:space="0" w:color="auto"/>
              <w:right w:val="single" w:sz="4" w:space="0" w:color="auto"/>
            </w:tcBorders>
            <w:hideMark/>
          </w:tcPr>
          <w:p w14:paraId="1157E487" w14:textId="31E448DA" w:rsidR="0044175C" w:rsidRPr="00C0587E" w:rsidRDefault="00884617" w:rsidP="003242BD">
            <w:pPr>
              <w:jc w:val="center"/>
              <w:rPr>
                <w:rFonts w:ascii="Arial" w:eastAsia="Times New Roman" w:hAnsi="Arial" w:cs="Arial"/>
                <w:color w:val="000000"/>
                <w:kern w:val="0"/>
                <w:lang w:eastAsia="en-IN"/>
                <w14:ligatures w14:val="none"/>
              </w:rPr>
            </w:pPr>
            <w:r w:rsidRPr="00C0587E">
              <w:rPr>
                <w:rFonts w:ascii="Arial" w:eastAsia="Times New Roman" w:hAnsi="Arial" w:cs="Arial"/>
                <w:color w:val="000000"/>
                <w:kern w:val="0"/>
                <w:lang w:eastAsia="en-IN"/>
                <w14:ligatures w14:val="none"/>
              </w:rPr>
              <w:t>T2</w:t>
            </w:r>
          </w:p>
        </w:tc>
        <w:tc>
          <w:tcPr>
            <w:tcW w:w="1014" w:type="pct"/>
            <w:tcBorders>
              <w:left w:val="single" w:sz="4" w:space="0" w:color="auto"/>
              <w:bottom w:val="single" w:sz="4" w:space="0" w:color="auto"/>
            </w:tcBorders>
            <w:hideMark/>
          </w:tcPr>
          <w:p w14:paraId="73E6D759" w14:textId="77777777" w:rsidR="0044175C" w:rsidRPr="00C0587E" w:rsidRDefault="0044175C" w:rsidP="003242BD">
            <w:pPr>
              <w:jc w:val="center"/>
              <w:rPr>
                <w:rFonts w:ascii="Arial" w:eastAsia="Times New Roman" w:hAnsi="Arial" w:cs="Arial"/>
                <w:kern w:val="0"/>
                <w:lang w:eastAsia="en-IN"/>
                <w14:ligatures w14:val="none"/>
              </w:rPr>
            </w:pPr>
            <w:r w:rsidRPr="00C0587E">
              <w:rPr>
                <w:rFonts w:ascii="Arial" w:hAnsi="Arial" w:cs="Arial"/>
              </w:rPr>
              <w:t>6.92±0.72</w:t>
            </w:r>
            <w:r w:rsidRPr="00C0587E">
              <w:rPr>
                <w:rFonts w:ascii="Arial" w:hAnsi="Arial" w:cs="Arial"/>
                <w:position w:val="10"/>
                <w:vertAlign w:val="superscript"/>
              </w:rPr>
              <w:t>ab</w:t>
            </w:r>
          </w:p>
        </w:tc>
        <w:tc>
          <w:tcPr>
            <w:tcW w:w="1047" w:type="pct"/>
            <w:tcBorders>
              <w:bottom w:val="single" w:sz="4" w:space="0" w:color="auto"/>
            </w:tcBorders>
            <w:hideMark/>
          </w:tcPr>
          <w:p w14:paraId="79E05608" w14:textId="77777777" w:rsidR="0044175C" w:rsidRPr="00C0587E" w:rsidRDefault="0044175C" w:rsidP="003242BD">
            <w:pPr>
              <w:jc w:val="center"/>
              <w:rPr>
                <w:rFonts w:ascii="Arial" w:eastAsia="Times New Roman" w:hAnsi="Arial" w:cs="Arial"/>
                <w:kern w:val="0"/>
                <w:lang w:eastAsia="en-IN"/>
                <w14:ligatures w14:val="none"/>
              </w:rPr>
            </w:pPr>
            <w:r w:rsidRPr="00C0587E">
              <w:rPr>
                <w:rFonts w:ascii="Arial" w:hAnsi="Arial" w:cs="Arial"/>
              </w:rPr>
              <w:t>8.66±1.27</w:t>
            </w:r>
            <w:r w:rsidRPr="00C0587E">
              <w:rPr>
                <w:rFonts w:ascii="Arial" w:hAnsi="Arial" w:cs="Arial"/>
                <w:position w:val="10"/>
                <w:vertAlign w:val="superscript"/>
              </w:rPr>
              <w:t>A</w:t>
            </w:r>
          </w:p>
        </w:tc>
        <w:tc>
          <w:tcPr>
            <w:tcW w:w="1013" w:type="pct"/>
            <w:tcBorders>
              <w:bottom w:val="single" w:sz="4" w:space="0" w:color="auto"/>
            </w:tcBorders>
            <w:hideMark/>
          </w:tcPr>
          <w:p w14:paraId="2E5175E8" w14:textId="77777777" w:rsidR="0044175C" w:rsidRPr="00C0587E" w:rsidRDefault="0044175C" w:rsidP="003242BD">
            <w:pPr>
              <w:jc w:val="center"/>
              <w:rPr>
                <w:rFonts w:ascii="Arial" w:eastAsia="Times New Roman" w:hAnsi="Arial" w:cs="Arial"/>
                <w:kern w:val="0"/>
                <w:lang w:eastAsia="en-IN"/>
                <w14:ligatures w14:val="none"/>
              </w:rPr>
            </w:pPr>
            <w:r w:rsidRPr="00C0587E">
              <w:rPr>
                <w:rFonts w:ascii="Arial" w:eastAsia="Arial" w:hAnsi="Arial" w:cs="Arial"/>
              </w:rPr>
              <w:t>7.88±0.88</w:t>
            </w:r>
            <w:r w:rsidRPr="00C0587E">
              <w:rPr>
                <w:rFonts w:ascii="Arial" w:eastAsia="Arial" w:hAnsi="Arial" w:cs="Arial"/>
                <w:position w:val="10"/>
                <w:vertAlign w:val="superscript"/>
              </w:rPr>
              <w:t>pq</w:t>
            </w:r>
          </w:p>
        </w:tc>
      </w:tr>
    </w:tbl>
    <w:p w14:paraId="53DBECC7" w14:textId="77923D30" w:rsidR="00C01C55" w:rsidRDefault="00C01C55" w:rsidP="00915BCB">
      <w:pPr>
        <w:spacing w:after="4" w:line="249" w:lineRule="auto"/>
        <w:ind w:left="-5" w:right="-123" w:hanging="10"/>
        <w:jc w:val="center"/>
        <w:rPr>
          <w:rFonts w:ascii="Arial" w:hAnsi="Arial" w:cs="Arial"/>
          <w:bCs/>
          <w:sz w:val="20"/>
          <w:szCs w:val="20"/>
        </w:rPr>
      </w:pPr>
      <w:r w:rsidRPr="008A16D3">
        <w:rPr>
          <w:rFonts w:ascii="Arial" w:hAnsi="Arial" w:cs="Arial"/>
          <w:sz w:val="20"/>
          <w:szCs w:val="20"/>
        </w:rPr>
        <w:t>(</w:t>
      </w:r>
      <w:r w:rsidRPr="008A16D3">
        <w:rPr>
          <w:rFonts w:ascii="Arial" w:hAnsi="Arial" w:cs="Arial"/>
          <w:bCs/>
          <w:sz w:val="20"/>
          <w:szCs w:val="20"/>
        </w:rPr>
        <w:t xml:space="preserve">*Note </w:t>
      </w:r>
      <w:r w:rsidR="00DA6F8B">
        <w:rPr>
          <w:rFonts w:ascii="Arial" w:hAnsi="Arial" w:cs="Arial"/>
          <w:bCs/>
          <w:sz w:val="20"/>
          <w:szCs w:val="20"/>
        </w:rPr>
        <w:t xml:space="preserve">C= Control, </w:t>
      </w:r>
      <w:r w:rsidRPr="008A16D3">
        <w:rPr>
          <w:rFonts w:ascii="Arial" w:hAnsi="Arial" w:cs="Arial"/>
          <w:bCs/>
          <w:sz w:val="20"/>
          <w:szCs w:val="20"/>
        </w:rPr>
        <w:t xml:space="preserve">T1= Bio-floc (20:1), </w:t>
      </w:r>
      <w:r w:rsidR="00A96EE9">
        <w:rPr>
          <w:rFonts w:ascii="Arial" w:hAnsi="Arial" w:cs="Arial"/>
          <w:bCs/>
          <w:sz w:val="20"/>
          <w:szCs w:val="20"/>
        </w:rPr>
        <w:t>T2</w:t>
      </w:r>
      <w:r w:rsidRPr="008A16D3">
        <w:rPr>
          <w:rFonts w:ascii="Arial" w:hAnsi="Arial" w:cs="Arial"/>
          <w:bCs/>
          <w:sz w:val="20"/>
          <w:szCs w:val="20"/>
        </w:rPr>
        <w:t>=Biofloc (20:1) + 0.5% Jeevamruth; The mean values followed by the different superscript letters in each factor indicate significant difference at 0.05.)</w:t>
      </w:r>
    </w:p>
    <w:p w14:paraId="4C91799D" w14:textId="77777777" w:rsidR="005C3C0A" w:rsidRPr="006079B2" w:rsidRDefault="005C3C0A" w:rsidP="00446E39">
      <w:pPr>
        <w:rPr>
          <w:rFonts w:ascii="Arial" w:hAnsi="Arial" w:cs="Arial"/>
          <w:b/>
          <w:bCs/>
        </w:rPr>
      </w:pPr>
    </w:p>
    <w:p w14:paraId="573128D0" w14:textId="3A2F886C" w:rsidR="006A28CC" w:rsidRPr="006079B2" w:rsidRDefault="006A28CC" w:rsidP="00446E39">
      <w:pPr>
        <w:rPr>
          <w:rFonts w:ascii="Arial" w:hAnsi="Arial" w:cs="Arial"/>
          <w:b/>
          <w:bCs/>
        </w:rPr>
      </w:pPr>
      <w:r w:rsidRPr="006079B2">
        <w:rPr>
          <w:rFonts w:ascii="Arial" w:hAnsi="Arial" w:cs="Arial"/>
          <w:noProof/>
        </w:rPr>
        <w:lastRenderedPageBreak/>
        <w:drawing>
          <wp:inline distT="0" distB="0" distL="0" distR="0" wp14:anchorId="1CB6060C" wp14:editId="713CA794">
            <wp:extent cx="5486400" cy="2876550"/>
            <wp:effectExtent l="0" t="0" r="0" b="0"/>
            <wp:docPr id="1557503032"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28"/>
              </a:graphicData>
            </a:graphic>
          </wp:inline>
        </w:drawing>
      </w:r>
    </w:p>
    <w:p w14:paraId="0ACD84BC" w14:textId="71169CC5" w:rsidR="00726987" w:rsidRDefault="00726987" w:rsidP="00726987">
      <w:pPr>
        <w:spacing w:line="360" w:lineRule="auto"/>
        <w:jc w:val="center"/>
        <w:rPr>
          <w:rFonts w:ascii="Arial" w:hAnsi="Arial" w:cs="Arial"/>
          <w:b/>
          <w:sz w:val="20"/>
          <w:szCs w:val="20"/>
        </w:rPr>
      </w:pPr>
      <w:r w:rsidRPr="00A152F0">
        <w:rPr>
          <w:rFonts w:ascii="Arial" w:hAnsi="Arial" w:cs="Arial"/>
          <w:b/>
          <w:sz w:val="20"/>
          <w:szCs w:val="20"/>
        </w:rPr>
        <w:t>Figure 1</w:t>
      </w:r>
      <w:r w:rsidR="00FB120A">
        <w:rPr>
          <w:rFonts w:ascii="Arial" w:hAnsi="Arial" w:cs="Arial"/>
          <w:b/>
          <w:sz w:val="20"/>
          <w:szCs w:val="20"/>
        </w:rPr>
        <w:t>2</w:t>
      </w:r>
      <w:r w:rsidRPr="00A152F0">
        <w:rPr>
          <w:rFonts w:ascii="Arial" w:hAnsi="Arial" w:cs="Arial"/>
          <w:b/>
          <w:sz w:val="20"/>
          <w:szCs w:val="20"/>
        </w:rPr>
        <w:t>:</w:t>
      </w:r>
      <w:r>
        <w:rPr>
          <w:rFonts w:ascii="Arial" w:hAnsi="Arial" w:cs="Arial"/>
          <w:b/>
          <w:sz w:val="20"/>
          <w:szCs w:val="20"/>
        </w:rPr>
        <w:t xml:space="preserve"> </w:t>
      </w:r>
      <w:r w:rsidRPr="00224BC0">
        <w:rPr>
          <w:rFonts w:ascii="Arial" w:hAnsi="Arial" w:cs="Arial"/>
          <w:b/>
          <w:sz w:val="20"/>
          <w:szCs w:val="20"/>
        </w:rPr>
        <w:t xml:space="preserve">Average </w:t>
      </w:r>
      <w:r w:rsidR="00FB120A">
        <w:rPr>
          <w:rFonts w:ascii="Arial" w:hAnsi="Arial" w:cs="Arial"/>
          <w:b/>
          <w:bCs/>
          <w:sz w:val="20"/>
          <w:szCs w:val="20"/>
        </w:rPr>
        <w:t>Specific Growth Rate</w:t>
      </w:r>
      <w:r w:rsidRPr="00224BC0">
        <w:rPr>
          <w:rFonts w:ascii="Arial" w:hAnsi="Arial" w:cs="Arial"/>
          <w:b/>
          <w:sz w:val="20"/>
          <w:szCs w:val="20"/>
        </w:rPr>
        <w:t xml:space="preserve"> Value Recorded During the Experiment</w:t>
      </w:r>
    </w:p>
    <w:p w14:paraId="2A66C81C" w14:textId="1CDC6626" w:rsidR="00161FED" w:rsidRDefault="00161FED" w:rsidP="00161FED">
      <w:pPr>
        <w:spacing w:line="276" w:lineRule="auto"/>
        <w:ind w:firstLine="720"/>
        <w:jc w:val="both"/>
        <w:rPr>
          <w:rFonts w:ascii="Arial" w:hAnsi="Arial" w:cs="Arial"/>
          <w:bCs/>
          <w:sz w:val="20"/>
          <w:szCs w:val="20"/>
        </w:rPr>
      </w:pPr>
      <w:r w:rsidRPr="00161FED">
        <w:rPr>
          <w:rFonts w:ascii="Arial" w:hAnsi="Arial" w:cs="Arial"/>
          <w:bCs/>
          <w:sz w:val="20"/>
          <w:szCs w:val="20"/>
        </w:rPr>
        <w:t>Fish in the Jeevamruth-supplemented treatment (T2) exhibited the highest SGR values, particularly during the mid-culture phase (40th day). The lowest SGR values were observed in T1 during the early culture period. Overall, SGR trends indicate superior growth kinetics in the Jeevamruth-enriched biofloc system.</w:t>
      </w:r>
    </w:p>
    <w:p w14:paraId="49F04B9B" w14:textId="77777777" w:rsidR="00161FED" w:rsidRPr="00161FED" w:rsidRDefault="00161FED" w:rsidP="00161FED">
      <w:pPr>
        <w:spacing w:line="276" w:lineRule="auto"/>
        <w:ind w:firstLine="720"/>
        <w:jc w:val="both"/>
        <w:rPr>
          <w:rFonts w:ascii="Arial" w:hAnsi="Arial" w:cs="Arial"/>
          <w:bCs/>
          <w:sz w:val="20"/>
          <w:szCs w:val="20"/>
        </w:rPr>
      </w:pPr>
    </w:p>
    <w:p w14:paraId="36E67B26" w14:textId="216A6C68" w:rsidR="003C4AE4" w:rsidRDefault="00E05B72" w:rsidP="00E05B72">
      <w:pPr>
        <w:spacing w:line="360" w:lineRule="auto"/>
        <w:rPr>
          <w:rFonts w:ascii="Arial" w:hAnsi="Arial" w:cs="Arial"/>
          <w:b/>
          <w:bCs/>
          <w:sz w:val="20"/>
          <w:szCs w:val="20"/>
          <w:u w:val="single"/>
        </w:rPr>
      </w:pPr>
      <w:r>
        <w:rPr>
          <w:rFonts w:ascii="Arial" w:hAnsi="Arial" w:cs="Arial"/>
          <w:b/>
          <w:bCs/>
          <w:sz w:val="20"/>
          <w:szCs w:val="20"/>
          <w:u w:val="single"/>
        </w:rPr>
        <w:t xml:space="preserve">3.2.5 </w:t>
      </w:r>
      <w:r w:rsidR="003C4AE4" w:rsidRPr="00E05B72">
        <w:rPr>
          <w:rFonts w:ascii="Arial" w:hAnsi="Arial" w:cs="Arial"/>
          <w:b/>
          <w:bCs/>
          <w:sz w:val="20"/>
          <w:szCs w:val="20"/>
          <w:u w:val="single"/>
        </w:rPr>
        <w:t>Feed conversion Efficiency recorded during experimental period.</w:t>
      </w:r>
    </w:p>
    <w:p w14:paraId="1961B0BE" w14:textId="0C2F7AA1" w:rsidR="001516EE" w:rsidRPr="00E05B72" w:rsidRDefault="001516EE" w:rsidP="00E05B72">
      <w:pPr>
        <w:spacing w:line="360" w:lineRule="auto"/>
        <w:rPr>
          <w:rFonts w:ascii="Arial" w:hAnsi="Arial" w:cs="Arial"/>
          <w:b/>
          <w:bCs/>
          <w:sz w:val="20"/>
          <w:szCs w:val="20"/>
          <w:u w:val="single"/>
        </w:rPr>
      </w:pPr>
      <w:r w:rsidRPr="00224BC0">
        <w:rPr>
          <w:rFonts w:ascii="Arial" w:hAnsi="Arial" w:cs="Arial"/>
          <w:b/>
          <w:sz w:val="20"/>
          <w:szCs w:val="20"/>
        </w:rPr>
        <w:t xml:space="preserve">Table </w:t>
      </w:r>
      <w:r w:rsidR="00E35B89">
        <w:rPr>
          <w:rFonts w:ascii="Arial" w:hAnsi="Arial" w:cs="Arial"/>
          <w:b/>
          <w:sz w:val="20"/>
          <w:szCs w:val="20"/>
        </w:rPr>
        <w:t>13</w:t>
      </w:r>
      <w:r w:rsidRPr="00224BC0">
        <w:rPr>
          <w:rFonts w:ascii="Arial" w:hAnsi="Arial" w:cs="Arial"/>
          <w:b/>
          <w:sz w:val="20"/>
          <w:szCs w:val="20"/>
        </w:rPr>
        <w:t xml:space="preserve">: Average </w:t>
      </w:r>
      <w:r>
        <w:rPr>
          <w:rFonts w:ascii="Arial" w:hAnsi="Arial" w:cs="Arial"/>
          <w:b/>
          <w:bCs/>
          <w:sz w:val="20"/>
          <w:szCs w:val="20"/>
        </w:rPr>
        <w:t>Feed Conver</w:t>
      </w:r>
      <w:r w:rsidR="008467B0">
        <w:rPr>
          <w:rFonts w:ascii="Arial" w:hAnsi="Arial" w:cs="Arial"/>
          <w:b/>
          <w:bCs/>
          <w:sz w:val="20"/>
          <w:szCs w:val="20"/>
        </w:rPr>
        <w:t xml:space="preserve">sion Efficiency </w:t>
      </w:r>
      <w:r w:rsidRPr="00224BC0">
        <w:rPr>
          <w:rFonts w:ascii="Arial" w:hAnsi="Arial" w:cs="Arial"/>
          <w:b/>
          <w:sz w:val="20"/>
          <w:szCs w:val="20"/>
        </w:rPr>
        <w:t>Recorded During the Experiment</w:t>
      </w:r>
    </w:p>
    <w:tbl>
      <w:tblPr>
        <w:tblW w:w="5000" w:type="pct"/>
        <w:tblLook w:val="04A0" w:firstRow="1" w:lastRow="0" w:firstColumn="1" w:lastColumn="0" w:noHBand="0" w:noVBand="1"/>
      </w:tblPr>
      <w:tblGrid>
        <w:gridCol w:w="1506"/>
        <w:gridCol w:w="1413"/>
        <w:gridCol w:w="2258"/>
        <w:gridCol w:w="1699"/>
        <w:gridCol w:w="2150"/>
      </w:tblGrid>
      <w:tr w:rsidR="003C4AE4" w:rsidRPr="00C0587E" w14:paraId="5BD6FCDD" w14:textId="77777777" w:rsidTr="00560687">
        <w:trPr>
          <w:trHeight w:val="170"/>
        </w:trPr>
        <w:tc>
          <w:tcPr>
            <w:tcW w:w="834" w:type="pct"/>
            <w:tcBorders>
              <w:top w:val="single" w:sz="4" w:space="0" w:color="auto"/>
              <w:bottom w:val="single" w:sz="4" w:space="0" w:color="auto"/>
              <w:right w:val="single" w:sz="4" w:space="0" w:color="auto"/>
            </w:tcBorders>
            <w:vAlign w:val="center"/>
            <w:hideMark/>
          </w:tcPr>
          <w:p w14:paraId="430F40DD" w14:textId="77777777" w:rsidR="003C4AE4" w:rsidRPr="00C0587E" w:rsidRDefault="003C4AE4" w:rsidP="00B435F6">
            <w:pPr>
              <w:spacing w:after="0" w:line="360" w:lineRule="auto"/>
              <w:jc w:val="center"/>
              <w:rPr>
                <w:rFonts w:ascii="Arial" w:eastAsia="Times New Roman" w:hAnsi="Arial" w:cs="Arial"/>
                <w:color w:val="000000"/>
                <w:kern w:val="0"/>
                <w:sz w:val="22"/>
                <w:szCs w:val="22"/>
                <w:lang w:eastAsia="en-IN"/>
                <w14:ligatures w14:val="none"/>
              </w:rPr>
            </w:pPr>
            <w:r w:rsidRPr="00C0587E">
              <w:rPr>
                <w:rFonts w:ascii="Arial" w:eastAsia="Times New Roman" w:hAnsi="Arial" w:cs="Arial"/>
                <w:color w:val="000000"/>
                <w:kern w:val="0"/>
                <w:sz w:val="22"/>
                <w:szCs w:val="22"/>
                <w:lang w:eastAsia="en-IN"/>
                <w14:ligatures w14:val="none"/>
              </w:rPr>
              <w:t>Parameter</w:t>
            </w:r>
          </w:p>
        </w:tc>
        <w:tc>
          <w:tcPr>
            <w:tcW w:w="783" w:type="pct"/>
            <w:tcBorders>
              <w:top w:val="single" w:sz="4" w:space="0" w:color="auto"/>
              <w:left w:val="single" w:sz="4" w:space="0" w:color="auto"/>
              <w:bottom w:val="single" w:sz="4" w:space="0" w:color="auto"/>
              <w:right w:val="single" w:sz="4" w:space="0" w:color="auto"/>
            </w:tcBorders>
            <w:vAlign w:val="center"/>
            <w:hideMark/>
          </w:tcPr>
          <w:p w14:paraId="3B3832E1" w14:textId="77777777" w:rsidR="003C4AE4" w:rsidRPr="00C0587E" w:rsidRDefault="003C4AE4" w:rsidP="00B435F6">
            <w:pPr>
              <w:spacing w:after="0" w:line="360" w:lineRule="auto"/>
              <w:jc w:val="center"/>
              <w:rPr>
                <w:rFonts w:ascii="Arial" w:eastAsia="Times New Roman" w:hAnsi="Arial" w:cs="Arial"/>
                <w:color w:val="000000"/>
                <w:kern w:val="0"/>
                <w:sz w:val="22"/>
                <w:szCs w:val="22"/>
                <w:lang w:eastAsia="en-IN"/>
                <w14:ligatures w14:val="none"/>
              </w:rPr>
            </w:pPr>
            <w:r w:rsidRPr="00C0587E">
              <w:rPr>
                <w:rFonts w:ascii="Arial" w:eastAsia="Times New Roman" w:hAnsi="Arial" w:cs="Arial"/>
                <w:color w:val="000000"/>
                <w:kern w:val="0"/>
                <w:sz w:val="22"/>
                <w:szCs w:val="22"/>
                <w:lang w:eastAsia="en-IN"/>
                <w14:ligatures w14:val="none"/>
              </w:rPr>
              <w:t>Treatment</w:t>
            </w:r>
          </w:p>
        </w:tc>
        <w:tc>
          <w:tcPr>
            <w:tcW w:w="1251" w:type="pct"/>
            <w:tcBorders>
              <w:top w:val="single" w:sz="4" w:space="0" w:color="auto"/>
              <w:left w:val="single" w:sz="4" w:space="0" w:color="auto"/>
              <w:bottom w:val="single" w:sz="4" w:space="0" w:color="auto"/>
            </w:tcBorders>
            <w:vAlign w:val="center"/>
            <w:hideMark/>
          </w:tcPr>
          <w:p w14:paraId="7604BE59" w14:textId="77777777" w:rsidR="003C4AE4" w:rsidRPr="00C0587E" w:rsidRDefault="003C4AE4" w:rsidP="00B435F6">
            <w:pPr>
              <w:spacing w:after="0" w:line="360" w:lineRule="auto"/>
              <w:jc w:val="center"/>
              <w:rPr>
                <w:rFonts w:ascii="Arial" w:eastAsia="Times New Roman" w:hAnsi="Arial" w:cs="Arial"/>
                <w:color w:val="000000"/>
                <w:kern w:val="0"/>
                <w:sz w:val="22"/>
                <w:szCs w:val="22"/>
                <w:lang w:eastAsia="en-IN"/>
                <w14:ligatures w14:val="none"/>
              </w:rPr>
            </w:pPr>
            <w:r w:rsidRPr="00C0587E">
              <w:rPr>
                <w:rFonts w:ascii="Arial" w:eastAsia="Times New Roman" w:hAnsi="Arial" w:cs="Arial"/>
                <w:color w:val="000000"/>
                <w:kern w:val="0"/>
                <w:sz w:val="22"/>
                <w:szCs w:val="22"/>
                <w:lang w:eastAsia="en-IN"/>
                <w14:ligatures w14:val="none"/>
              </w:rPr>
              <w:t>20</w:t>
            </w:r>
            <w:r w:rsidRPr="00C0587E">
              <w:rPr>
                <w:rFonts w:ascii="Arial" w:eastAsia="Times New Roman" w:hAnsi="Arial" w:cs="Arial"/>
                <w:color w:val="000000"/>
                <w:kern w:val="0"/>
                <w:sz w:val="22"/>
                <w:szCs w:val="22"/>
                <w:vertAlign w:val="superscript"/>
                <w:lang w:eastAsia="en-IN"/>
                <w14:ligatures w14:val="none"/>
              </w:rPr>
              <w:t>th</w:t>
            </w:r>
            <w:r w:rsidRPr="00C0587E">
              <w:rPr>
                <w:rFonts w:ascii="Arial" w:eastAsia="Times New Roman" w:hAnsi="Arial" w:cs="Arial"/>
                <w:color w:val="000000"/>
                <w:kern w:val="0"/>
                <w:sz w:val="22"/>
                <w:szCs w:val="22"/>
                <w:lang w:eastAsia="en-IN"/>
                <w14:ligatures w14:val="none"/>
              </w:rPr>
              <w:t xml:space="preserve"> DAY</w:t>
            </w:r>
          </w:p>
        </w:tc>
        <w:tc>
          <w:tcPr>
            <w:tcW w:w="941" w:type="pct"/>
            <w:tcBorders>
              <w:top w:val="single" w:sz="4" w:space="0" w:color="auto"/>
              <w:bottom w:val="single" w:sz="4" w:space="0" w:color="auto"/>
            </w:tcBorders>
            <w:vAlign w:val="center"/>
            <w:hideMark/>
          </w:tcPr>
          <w:p w14:paraId="2F0749A7" w14:textId="77777777" w:rsidR="003C4AE4" w:rsidRPr="00C0587E" w:rsidRDefault="003C4AE4" w:rsidP="00B435F6">
            <w:pPr>
              <w:spacing w:after="0" w:line="360" w:lineRule="auto"/>
              <w:jc w:val="center"/>
              <w:rPr>
                <w:rFonts w:ascii="Arial" w:eastAsia="Times New Roman" w:hAnsi="Arial" w:cs="Arial"/>
                <w:color w:val="000000"/>
                <w:kern w:val="0"/>
                <w:sz w:val="22"/>
                <w:szCs w:val="22"/>
                <w:lang w:eastAsia="en-IN"/>
                <w14:ligatures w14:val="none"/>
              </w:rPr>
            </w:pPr>
            <w:r w:rsidRPr="00C0587E">
              <w:rPr>
                <w:rFonts w:ascii="Arial" w:eastAsia="Times New Roman" w:hAnsi="Arial" w:cs="Arial"/>
                <w:color w:val="000000"/>
                <w:kern w:val="0"/>
                <w:sz w:val="22"/>
                <w:szCs w:val="22"/>
                <w:lang w:eastAsia="en-IN"/>
                <w14:ligatures w14:val="none"/>
              </w:rPr>
              <w:t>40</w:t>
            </w:r>
            <w:r w:rsidRPr="00C0587E">
              <w:rPr>
                <w:rFonts w:ascii="Arial" w:eastAsia="Times New Roman" w:hAnsi="Arial" w:cs="Arial"/>
                <w:color w:val="000000"/>
                <w:kern w:val="0"/>
                <w:sz w:val="22"/>
                <w:szCs w:val="22"/>
                <w:vertAlign w:val="superscript"/>
                <w:lang w:eastAsia="en-IN"/>
                <w14:ligatures w14:val="none"/>
              </w:rPr>
              <w:t>th</w:t>
            </w:r>
            <w:r w:rsidRPr="00C0587E">
              <w:rPr>
                <w:rFonts w:ascii="Arial" w:eastAsia="Times New Roman" w:hAnsi="Arial" w:cs="Arial"/>
                <w:color w:val="000000"/>
                <w:kern w:val="0"/>
                <w:sz w:val="22"/>
                <w:szCs w:val="22"/>
                <w:lang w:eastAsia="en-IN"/>
                <w14:ligatures w14:val="none"/>
              </w:rPr>
              <w:t>DAY</w:t>
            </w:r>
          </w:p>
        </w:tc>
        <w:tc>
          <w:tcPr>
            <w:tcW w:w="1191" w:type="pct"/>
            <w:tcBorders>
              <w:top w:val="single" w:sz="4" w:space="0" w:color="auto"/>
              <w:bottom w:val="single" w:sz="4" w:space="0" w:color="auto"/>
            </w:tcBorders>
            <w:vAlign w:val="center"/>
            <w:hideMark/>
          </w:tcPr>
          <w:p w14:paraId="45A1661B" w14:textId="77777777" w:rsidR="003C4AE4" w:rsidRPr="00C0587E" w:rsidRDefault="003C4AE4" w:rsidP="00B435F6">
            <w:pPr>
              <w:spacing w:after="0" w:line="360" w:lineRule="auto"/>
              <w:jc w:val="center"/>
              <w:rPr>
                <w:rFonts w:ascii="Arial" w:eastAsia="Times New Roman" w:hAnsi="Arial" w:cs="Arial"/>
                <w:color w:val="000000"/>
                <w:kern w:val="0"/>
                <w:sz w:val="22"/>
                <w:szCs w:val="22"/>
                <w:lang w:eastAsia="en-IN"/>
                <w14:ligatures w14:val="none"/>
              </w:rPr>
            </w:pPr>
            <w:r w:rsidRPr="00C0587E">
              <w:rPr>
                <w:rFonts w:ascii="Arial" w:eastAsia="Times New Roman" w:hAnsi="Arial" w:cs="Arial"/>
                <w:color w:val="000000"/>
                <w:kern w:val="0"/>
                <w:sz w:val="22"/>
                <w:szCs w:val="22"/>
                <w:lang w:eastAsia="en-IN"/>
                <w14:ligatures w14:val="none"/>
              </w:rPr>
              <w:t>60</w:t>
            </w:r>
            <w:r w:rsidRPr="00C0587E">
              <w:rPr>
                <w:rFonts w:ascii="Arial" w:eastAsia="Times New Roman" w:hAnsi="Arial" w:cs="Arial"/>
                <w:color w:val="000000"/>
                <w:kern w:val="0"/>
                <w:sz w:val="22"/>
                <w:szCs w:val="22"/>
                <w:vertAlign w:val="superscript"/>
                <w:lang w:eastAsia="en-IN"/>
                <w14:ligatures w14:val="none"/>
              </w:rPr>
              <w:t>th</w:t>
            </w:r>
            <w:r w:rsidRPr="00C0587E">
              <w:rPr>
                <w:rFonts w:ascii="Arial" w:eastAsia="Times New Roman" w:hAnsi="Arial" w:cs="Arial"/>
                <w:color w:val="000000"/>
                <w:kern w:val="0"/>
                <w:sz w:val="22"/>
                <w:szCs w:val="22"/>
                <w:lang w:eastAsia="en-IN"/>
                <w14:ligatures w14:val="none"/>
              </w:rPr>
              <w:t xml:space="preserve"> DAY</w:t>
            </w:r>
          </w:p>
        </w:tc>
      </w:tr>
      <w:tr w:rsidR="00394330" w:rsidRPr="00C0587E" w14:paraId="49FE0674" w14:textId="77777777" w:rsidTr="00560687">
        <w:trPr>
          <w:trHeight w:val="170"/>
        </w:trPr>
        <w:tc>
          <w:tcPr>
            <w:tcW w:w="834" w:type="pct"/>
            <w:vMerge w:val="restart"/>
            <w:tcBorders>
              <w:top w:val="single" w:sz="4" w:space="0" w:color="auto"/>
              <w:right w:val="single" w:sz="4" w:space="0" w:color="auto"/>
            </w:tcBorders>
            <w:vAlign w:val="center"/>
            <w:hideMark/>
          </w:tcPr>
          <w:p w14:paraId="61AF8911" w14:textId="77777777" w:rsidR="00394330" w:rsidRPr="00C0587E" w:rsidRDefault="00394330" w:rsidP="00B435F6">
            <w:pPr>
              <w:spacing w:after="0" w:line="240" w:lineRule="auto"/>
              <w:jc w:val="center"/>
              <w:rPr>
                <w:rFonts w:ascii="Arial" w:eastAsia="Times New Roman" w:hAnsi="Arial" w:cs="Arial"/>
                <w:color w:val="000000"/>
                <w:kern w:val="0"/>
                <w:sz w:val="22"/>
                <w:szCs w:val="22"/>
                <w:lang w:eastAsia="en-IN"/>
                <w14:ligatures w14:val="none"/>
              </w:rPr>
            </w:pPr>
            <w:r w:rsidRPr="00C0587E">
              <w:rPr>
                <w:rFonts w:ascii="Arial" w:eastAsia="Times New Roman" w:hAnsi="Arial" w:cs="Arial"/>
                <w:bCs/>
                <w:color w:val="000000"/>
                <w:kern w:val="0"/>
                <w:sz w:val="22"/>
                <w:szCs w:val="22"/>
                <w:lang w:eastAsia="en-IN"/>
                <w14:ligatures w14:val="none"/>
              </w:rPr>
              <w:t>FCE</w:t>
            </w:r>
          </w:p>
        </w:tc>
        <w:tc>
          <w:tcPr>
            <w:tcW w:w="783" w:type="pct"/>
            <w:tcBorders>
              <w:top w:val="single" w:sz="4" w:space="0" w:color="auto"/>
              <w:left w:val="single" w:sz="4" w:space="0" w:color="auto"/>
              <w:right w:val="single" w:sz="4" w:space="0" w:color="auto"/>
            </w:tcBorders>
            <w:vAlign w:val="center"/>
            <w:hideMark/>
          </w:tcPr>
          <w:p w14:paraId="262A48C3" w14:textId="77777777" w:rsidR="00394330" w:rsidRPr="00C0587E" w:rsidRDefault="00394330" w:rsidP="00B435F6">
            <w:pPr>
              <w:spacing w:after="0" w:line="240" w:lineRule="auto"/>
              <w:jc w:val="center"/>
              <w:rPr>
                <w:rFonts w:ascii="Arial" w:eastAsia="Times New Roman" w:hAnsi="Arial" w:cs="Arial"/>
                <w:color w:val="000000"/>
                <w:kern w:val="0"/>
                <w:sz w:val="22"/>
                <w:szCs w:val="22"/>
                <w:lang w:eastAsia="en-IN"/>
                <w14:ligatures w14:val="none"/>
              </w:rPr>
            </w:pPr>
            <w:r w:rsidRPr="00C0587E">
              <w:rPr>
                <w:rFonts w:ascii="Arial" w:eastAsia="Times New Roman" w:hAnsi="Arial" w:cs="Arial"/>
                <w:color w:val="000000"/>
                <w:kern w:val="0"/>
                <w:sz w:val="22"/>
                <w:szCs w:val="22"/>
                <w:lang w:eastAsia="en-IN"/>
                <w14:ligatures w14:val="none"/>
              </w:rPr>
              <w:t>C</w:t>
            </w:r>
          </w:p>
        </w:tc>
        <w:tc>
          <w:tcPr>
            <w:tcW w:w="1251" w:type="pct"/>
            <w:tcBorders>
              <w:top w:val="single" w:sz="4" w:space="0" w:color="auto"/>
              <w:left w:val="single" w:sz="4" w:space="0" w:color="auto"/>
            </w:tcBorders>
            <w:vAlign w:val="center"/>
            <w:hideMark/>
          </w:tcPr>
          <w:p w14:paraId="3F3636C8" w14:textId="77777777" w:rsidR="00394330" w:rsidRPr="00C0587E" w:rsidRDefault="00394330" w:rsidP="00B435F6">
            <w:pPr>
              <w:spacing w:after="0" w:line="240" w:lineRule="auto"/>
              <w:jc w:val="center"/>
              <w:rPr>
                <w:rFonts w:ascii="Arial" w:eastAsia="Times New Roman" w:hAnsi="Arial" w:cs="Arial"/>
                <w:kern w:val="0"/>
                <w:sz w:val="22"/>
                <w:szCs w:val="22"/>
                <w:lang w:eastAsia="en-IN"/>
                <w14:ligatures w14:val="none"/>
              </w:rPr>
            </w:pPr>
            <w:r w:rsidRPr="00C0587E">
              <w:rPr>
                <w:rFonts w:ascii="Arial" w:eastAsia="Arial" w:hAnsi="Arial" w:cs="Arial"/>
                <w:sz w:val="22"/>
                <w:szCs w:val="22"/>
              </w:rPr>
              <w:t>0.03±0.008</w:t>
            </w:r>
            <w:r w:rsidRPr="00C0587E">
              <w:rPr>
                <w:rFonts w:ascii="Arial" w:eastAsia="Arial" w:hAnsi="Arial" w:cs="Arial"/>
                <w:position w:val="10"/>
                <w:sz w:val="22"/>
                <w:szCs w:val="22"/>
                <w:vertAlign w:val="superscript"/>
              </w:rPr>
              <w:t>b</w:t>
            </w:r>
          </w:p>
        </w:tc>
        <w:tc>
          <w:tcPr>
            <w:tcW w:w="941" w:type="pct"/>
            <w:tcBorders>
              <w:top w:val="single" w:sz="4" w:space="0" w:color="auto"/>
            </w:tcBorders>
            <w:vAlign w:val="center"/>
            <w:hideMark/>
          </w:tcPr>
          <w:p w14:paraId="1DE07D9C" w14:textId="3D55B0D4" w:rsidR="00394330" w:rsidRPr="00C0587E" w:rsidRDefault="00394330" w:rsidP="00B435F6">
            <w:pPr>
              <w:spacing w:after="0" w:line="240" w:lineRule="auto"/>
              <w:jc w:val="center"/>
              <w:rPr>
                <w:rFonts w:ascii="Arial" w:eastAsia="Times New Roman" w:hAnsi="Arial" w:cs="Arial"/>
                <w:kern w:val="0"/>
                <w:sz w:val="22"/>
                <w:szCs w:val="22"/>
                <w:lang w:eastAsia="en-IN"/>
                <w14:ligatures w14:val="none"/>
              </w:rPr>
            </w:pPr>
            <w:r w:rsidRPr="00C0587E">
              <w:rPr>
                <w:rFonts w:ascii="Arial" w:hAnsi="Arial" w:cs="Arial"/>
                <w:sz w:val="22"/>
                <w:szCs w:val="22"/>
              </w:rPr>
              <w:t>0.</w:t>
            </w:r>
            <w:r w:rsidR="005626F6" w:rsidRPr="00C0587E">
              <w:rPr>
                <w:rFonts w:ascii="Arial" w:hAnsi="Arial" w:cs="Arial"/>
                <w:sz w:val="22"/>
                <w:szCs w:val="22"/>
              </w:rPr>
              <w:t>1</w:t>
            </w:r>
            <w:r w:rsidRPr="00C0587E">
              <w:rPr>
                <w:rFonts w:ascii="Arial" w:hAnsi="Arial" w:cs="Arial"/>
                <w:sz w:val="22"/>
                <w:szCs w:val="22"/>
              </w:rPr>
              <w:t>3±0.023</w:t>
            </w:r>
            <w:r w:rsidRPr="00C0587E">
              <w:rPr>
                <w:rFonts w:ascii="Arial" w:hAnsi="Arial" w:cs="Arial"/>
                <w:position w:val="10"/>
                <w:sz w:val="22"/>
                <w:szCs w:val="22"/>
                <w:vertAlign w:val="superscript"/>
              </w:rPr>
              <w:t>B</w:t>
            </w:r>
          </w:p>
        </w:tc>
        <w:tc>
          <w:tcPr>
            <w:tcW w:w="1191" w:type="pct"/>
            <w:tcBorders>
              <w:top w:val="single" w:sz="4" w:space="0" w:color="auto"/>
            </w:tcBorders>
            <w:vAlign w:val="center"/>
            <w:hideMark/>
          </w:tcPr>
          <w:p w14:paraId="483F932D" w14:textId="77777777" w:rsidR="00394330" w:rsidRPr="00C0587E" w:rsidRDefault="00394330" w:rsidP="00B435F6">
            <w:pPr>
              <w:spacing w:after="0" w:line="240" w:lineRule="auto"/>
              <w:jc w:val="center"/>
              <w:rPr>
                <w:rFonts w:ascii="Arial" w:eastAsia="Times New Roman" w:hAnsi="Arial" w:cs="Arial"/>
                <w:kern w:val="0"/>
                <w:sz w:val="22"/>
                <w:szCs w:val="22"/>
                <w:lang w:eastAsia="en-IN"/>
                <w14:ligatures w14:val="none"/>
              </w:rPr>
            </w:pPr>
            <w:r w:rsidRPr="00C0587E">
              <w:rPr>
                <w:rFonts w:ascii="Arial" w:eastAsia="Arial" w:hAnsi="Arial" w:cs="Arial"/>
                <w:sz w:val="22"/>
                <w:szCs w:val="22"/>
              </w:rPr>
              <w:t>0.18±0.008</w:t>
            </w:r>
            <w:r w:rsidRPr="00C0587E">
              <w:rPr>
                <w:rFonts w:ascii="Arial" w:eastAsia="Arial" w:hAnsi="Arial" w:cs="Arial"/>
                <w:position w:val="10"/>
                <w:sz w:val="22"/>
                <w:szCs w:val="22"/>
                <w:vertAlign w:val="superscript"/>
              </w:rPr>
              <w:t>r</w:t>
            </w:r>
          </w:p>
        </w:tc>
      </w:tr>
      <w:tr w:rsidR="00394330" w:rsidRPr="00C0587E" w14:paraId="35D2AD6F" w14:textId="77777777" w:rsidTr="00560687">
        <w:trPr>
          <w:trHeight w:val="170"/>
        </w:trPr>
        <w:tc>
          <w:tcPr>
            <w:tcW w:w="834" w:type="pct"/>
            <w:vMerge/>
            <w:tcBorders>
              <w:right w:val="single" w:sz="4" w:space="0" w:color="auto"/>
            </w:tcBorders>
            <w:vAlign w:val="center"/>
            <w:hideMark/>
          </w:tcPr>
          <w:p w14:paraId="0676720A" w14:textId="77777777" w:rsidR="00394330" w:rsidRPr="00C0587E" w:rsidRDefault="00394330" w:rsidP="00B435F6">
            <w:pPr>
              <w:spacing w:after="0" w:line="240" w:lineRule="auto"/>
              <w:jc w:val="center"/>
              <w:rPr>
                <w:rFonts w:ascii="Arial" w:eastAsia="Times New Roman" w:hAnsi="Arial" w:cs="Arial"/>
                <w:color w:val="000000"/>
                <w:kern w:val="0"/>
                <w:sz w:val="22"/>
                <w:szCs w:val="22"/>
                <w:lang w:eastAsia="en-IN"/>
                <w14:ligatures w14:val="none"/>
              </w:rPr>
            </w:pPr>
          </w:p>
        </w:tc>
        <w:tc>
          <w:tcPr>
            <w:tcW w:w="783" w:type="pct"/>
            <w:tcBorders>
              <w:left w:val="single" w:sz="4" w:space="0" w:color="auto"/>
              <w:right w:val="single" w:sz="4" w:space="0" w:color="auto"/>
            </w:tcBorders>
            <w:vAlign w:val="center"/>
            <w:hideMark/>
          </w:tcPr>
          <w:p w14:paraId="090193BF" w14:textId="66C2A115" w:rsidR="00394330" w:rsidRPr="00C0587E" w:rsidRDefault="00884617" w:rsidP="00B435F6">
            <w:pPr>
              <w:spacing w:after="0" w:line="240" w:lineRule="auto"/>
              <w:jc w:val="center"/>
              <w:rPr>
                <w:rFonts w:ascii="Arial" w:eastAsia="Times New Roman" w:hAnsi="Arial" w:cs="Arial"/>
                <w:color w:val="000000"/>
                <w:kern w:val="0"/>
                <w:sz w:val="22"/>
                <w:szCs w:val="22"/>
                <w:lang w:eastAsia="en-IN"/>
                <w14:ligatures w14:val="none"/>
              </w:rPr>
            </w:pPr>
            <w:r w:rsidRPr="00C0587E">
              <w:rPr>
                <w:rFonts w:ascii="Arial" w:eastAsia="Times New Roman" w:hAnsi="Arial" w:cs="Arial"/>
                <w:color w:val="000000"/>
                <w:kern w:val="0"/>
                <w:sz w:val="22"/>
                <w:szCs w:val="22"/>
                <w:lang w:eastAsia="en-IN"/>
                <w14:ligatures w14:val="none"/>
              </w:rPr>
              <w:t>T1</w:t>
            </w:r>
          </w:p>
        </w:tc>
        <w:tc>
          <w:tcPr>
            <w:tcW w:w="1251" w:type="pct"/>
            <w:tcBorders>
              <w:left w:val="single" w:sz="4" w:space="0" w:color="auto"/>
            </w:tcBorders>
            <w:vAlign w:val="center"/>
            <w:hideMark/>
          </w:tcPr>
          <w:p w14:paraId="1C8DBD03" w14:textId="77777777" w:rsidR="00394330" w:rsidRPr="00C0587E" w:rsidRDefault="00394330" w:rsidP="00B435F6">
            <w:pPr>
              <w:spacing w:after="0" w:line="240" w:lineRule="auto"/>
              <w:jc w:val="center"/>
              <w:rPr>
                <w:rFonts w:ascii="Arial" w:eastAsia="Times New Roman" w:hAnsi="Arial" w:cs="Arial"/>
                <w:kern w:val="0"/>
                <w:sz w:val="22"/>
                <w:szCs w:val="22"/>
                <w:lang w:eastAsia="en-IN"/>
                <w14:ligatures w14:val="none"/>
              </w:rPr>
            </w:pPr>
            <w:r w:rsidRPr="00C0587E">
              <w:rPr>
                <w:rFonts w:ascii="Arial" w:eastAsia="Arial" w:hAnsi="Arial" w:cs="Arial"/>
                <w:sz w:val="22"/>
                <w:szCs w:val="22"/>
              </w:rPr>
              <w:t>0.02±0.008</w:t>
            </w:r>
            <w:r w:rsidRPr="00C0587E">
              <w:rPr>
                <w:rFonts w:ascii="Arial" w:eastAsia="Arial" w:hAnsi="Arial" w:cs="Arial"/>
                <w:position w:val="10"/>
                <w:sz w:val="22"/>
                <w:szCs w:val="22"/>
                <w:vertAlign w:val="superscript"/>
              </w:rPr>
              <w:t>b</w:t>
            </w:r>
          </w:p>
        </w:tc>
        <w:tc>
          <w:tcPr>
            <w:tcW w:w="941" w:type="pct"/>
            <w:vAlign w:val="center"/>
            <w:hideMark/>
          </w:tcPr>
          <w:p w14:paraId="0498DF87" w14:textId="77777777" w:rsidR="00394330" w:rsidRPr="00C0587E" w:rsidRDefault="00394330" w:rsidP="00B435F6">
            <w:pPr>
              <w:spacing w:after="0" w:line="240" w:lineRule="auto"/>
              <w:jc w:val="center"/>
              <w:rPr>
                <w:rFonts w:ascii="Arial" w:eastAsia="Times New Roman" w:hAnsi="Arial" w:cs="Arial"/>
                <w:kern w:val="0"/>
                <w:sz w:val="22"/>
                <w:szCs w:val="22"/>
                <w:lang w:eastAsia="en-IN"/>
                <w14:ligatures w14:val="none"/>
              </w:rPr>
            </w:pPr>
            <w:r w:rsidRPr="00C0587E">
              <w:rPr>
                <w:rFonts w:ascii="Arial" w:hAnsi="Arial" w:cs="Arial"/>
                <w:sz w:val="22"/>
                <w:szCs w:val="22"/>
              </w:rPr>
              <w:t>0.10±0.011</w:t>
            </w:r>
            <w:r w:rsidRPr="00C0587E">
              <w:rPr>
                <w:rFonts w:ascii="Arial" w:hAnsi="Arial" w:cs="Arial"/>
                <w:position w:val="10"/>
                <w:sz w:val="22"/>
                <w:szCs w:val="22"/>
                <w:vertAlign w:val="superscript"/>
              </w:rPr>
              <w:t>B</w:t>
            </w:r>
          </w:p>
        </w:tc>
        <w:tc>
          <w:tcPr>
            <w:tcW w:w="1191" w:type="pct"/>
            <w:vAlign w:val="center"/>
            <w:hideMark/>
          </w:tcPr>
          <w:p w14:paraId="77C403CC" w14:textId="77777777" w:rsidR="00394330" w:rsidRPr="00C0587E" w:rsidRDefault="00394330" w:rsidP="00B435F6">
            <w:pPr>
              <w:spacing w:after="0" w:line="240" w:lineRule="auto"/>
              <w:jc w:val="center"/>
              <w:rPr>
                <w:rFonts w:ascii="Arial" w:eastAsia="Times New Roman" w:hAnsi="Arial" w:cs="Arial"/>
                <w:kern w:val="0"/>
                <w:sz w:val="22"/>
                <w:szCs w:val="22"/>
                <w:lang w:eastAsia="en-IN"/>
                <w14:ligatures w14:val="none"/>
              </w:rPr>
            </w:pPr>
            <w:r w:rsidRPr="00C0587E">
              <w:rPr>
                <w:rFonts w:ascii="Arial" w:eastAsia="Arial" w:hAnsi="Arial" w:cs="Arial"/>
                <w:sz w:val="22"/>
                <w:szCs w:val="22"/>
              </w:rPr>
              <w:t>0.15±0.008</w:t>
            </w:r>
            <w:r w:rsidRPr="00C0587E">
              <w:rPr>
                <w:rFonts w:ascii="Arial" w:eastAsia="Arial" w:hAnsi="Arial" w:cs="Arial"/>
                <w:position w:val="10"/>
                <w:sz w:val="22"/>
                <w:szCs w:val="22"/>
                <w:vertAlign w:val="superscript"/>
              </w:rPr>
              <w:t>r</w:t>
            </w:r>
          </w:p>
        </w:tc>
      </w:tr>
      <w:tr w:rsidR="00394330" w:rsidRPr="00C0587E" w14:paraId="5660FFC5" w14:textId="77777777" w:rsidTr="00560687">
        <w:trPr>
          <w:trHeight w:val="170"/>
        </w:trPr>
        <w:tc>
          <w:tcPr>
            <w:tcW w:w="834" w:type="pct"/>
            <w:vMerge/>
            <w:tcBorders>
              <w:bottom w:val="single" w:sz="4" w:space="0" w:color="auto"/>
              <w:right w:val="single" w:sz="4" w:space="0" w:color="auto"/>
            </w:tcBorders>
            <w:vAlign w:val="center"/>
            <w:hideMark/>
          </w:tcPr>
          <w:p w14:paraId="6E544CC5" w14:textId="77777777" w:rsidR="00394330" w:rsidRPr="00C0587E" w:rsidRDefault="00394330" w:rsidP="00B435F6">
            <w:pPr>
              <w:spacing w:after="0" w:line="240" w:lineRule="auto"/>
              <w:jc w:val="center"/>
              <w:rPr>
                <w:rFonts w:ascii="Arial" w:eastAsia="Times New Roman" w:hAnsi="Arial" w:cs="Arial"/>
                <w:color w:val="000000"/>
                <w:kern w:val="0"/>
                <w:sz w:val="22"/>
                <w:szCs w:val="22"/>
                <w:lang w:eastAsia="en-IN"/>
                <w14:ligatures w14:val="none"/>
              </w:rPr>
            </w:pPr>
          </w:p>
        </w:tc>
        <w:tc>
          <w:tcPr>
            <w:tcW w:w="783" w:type="pct"/>
            <w:tcBorders>
              <w:left w:val="single" w:sz="4" w:space="0" w:color="auto"/>
              <w:bottom w:val="single" w:sz="4" w:space="0" w:color="auto"/>
              <w:right w:val="single" w:sz="4" w:space="0" w:color="auto"/>
            </w:tcBorders>
            <w:vAlign w:val="center"/>
            <w:hideMark/>
          </w:tcPr>
          <w:p w14:paraId="33120C6A" w14:textId="29892624" w:rsidR="00394330" w:rsidRPr="00C0587E" w:rsidRDefault="00884617" w:rsidP="00B435F6">
            <w:pPr>
              <w:spacing w:after="0" w:line="240" w:lineRule="auto"/>
              <w:jc w:val="center"/>
              <w:rPr>
                <w:rFonts w:ascii="Arial" w:eastAsia="Times New Roman" w:hAnsi="Arial" w:cs="Arial"/>
                <w:color w:val="000000"/>
                <w:kern w:val="0"/>
                <w:sz w:val="22"/>
                <w:szCs w:val="22"/>
                <w:lang w:eastAsia="en-IN"/>
                <w14:ligatures w14:val="none"/>
              </w:rPr>
            </w:pPr>
            <w:r w:rsidRPr="00C0587E">
              <w:rPr>
                <w:rFonts w:ascii="Arial" w:eastAsia="Times New Roman" w:hAnsi="Arial" w:cs="Arial"/>
                <w:color w:val="000000"/>
                <w:kern w:val="0"/>
                <w:sz w:val="22"/>
                <w:szCs w:val="22"/>
                <w:lang w:eastAsia="en-IN"/>
                <w14:ligatures w14:val="none"/>
              </w:rPr>
              <w:t>T2</w:t>
            </w:r>
          </w:p>
        </w:tc>
        <w:tc>
          <w:tcPr>
            <w:tcW w:w="1251" w:type="pct"/>
            <w:tcBorders>
              <w:left w:val="single" w:sz="4" w:space="0" w:color="auto"/>
              <w:bottom w:val="single" w:sz="4" w:space="0" w:color="auto"/>
            </w:tcBorders>
            <w:vAlign w:val="center"/>
            <w:hideMark/>
          </w:tcPr>
          <w:p w14:paraId="5673193F" w14:textId="77777777" w:rsidR="00394330" w:rsidRPr="00C0587E" w:rsidRDefault="00394330" w:rsidP="00B435F6">
            <w:pPr>
              <w:spacing w:after="0" w:line="240" w:lineRule="auto"/>
              <w:jc w:val="center"/>
              <w:rPr>
                <w:rFonts w:ascii="Arial" w:eastAsia="Times New Roman" w:hAnsi="Arial" w:cs="Arial"/>
                <w:kern w:val="0"/>
                <w:sz w:val="22"/>
                <w:szCs w:val="22"/>
                <w:lang w:eastAsia="en-IN"/>
                <w14:ligatures w14:val="none"/>
              </w:rPr>
            </w:pPr>
            <w:r w:rsidRPr="00C0587E">
              <w:rPr>
                <w:rFonts w:ascii="Arial" w:eastAsia="Arial" w:hAnsi="Arial" w:cs="Arial"/>
                <w:sz w:val="22"/>
                <w:szCs w:val="22"/>
              </w:rPr>
              <w:t>0.05±0.006</w:t>
            </w:r>
            <w:r w:rsidRPr="00C0587E">
              <w:rPr>
                <w:rFonts w:ascii="Arial" w:eastAsia="Arial" w:hAnsi="Arial" w:cs="Arial"/>
                <w:position w:val="10"/>
                <w:sz w:val="22"/>
                <w:szCs w:val="22"/>
                <w:vertAlign w:val="superscript"/>
              </w:rPr>
              <w:t>b</w:t>
            </w:r>
          </w:p>
        </w:tc>
        <w:tc>
          <w:tcPr>
            <w:tcW w:w="941" w:type="pct"/>
            <w:tcBorders>
              <w:bottom w:val="single" w:sz="4" w:space="0" w:color="auto"/>
            </w:tcBorders>
            <w:vAlign w:val="center"/>
            <w:hideMark/>
          </w:tcPr>
          <w:p w14:paraId="189C5E74" w14:textId="77777777" w:rsidR="00394330" w:rsidRPr="00C0587E" w:rsidRDefault="00394330" w:rsidP="00B435F6">
            <w:pPr>
              <w:spacing w:after="0" w:line="240" w:lineRule="auto"/>
              <w:jc w:val="center"/>
              <w:rPr>
                <w:rFonts w:ascii="Arial" w:eastAsia="Times New Roman" w:hAnsi="Arial" w:cs="Arial"/>
                <w:kern w:val="0"/>
                <w:sz w:val="22"/>
                <w:szCs w:val="22"/>
                <w:lang w:eastAsia="en-IN"/>
                <w14:ligatures w14:val="none"/>
              </w:rPr>
            </w:pPr>
            <w:r w:rsidRPr="00C0587E">
              <w:rPr>
                <w:rFonts w:ascii="Arial" w:hAnsi="Arial" w:cs="Arial"/>
                <w:sz w:val="22"/>
                <w:szCs w:val="22"/>
              </w:rPr>
              <w:t>0.13±0.021</w:t>
            </w:r>
            <w:r w:rsidRPr="00C0587E">
              <w:rPr>
                <w:rFonts w:ascii="Arial" w:hAnsi="Arial" w:cs="Arial"/>
                <w:position w:val="10"/>
                <w:sz w:val="22"/>
                <w:szCs w:val="22"/>
                <w:vertAlign w:val="superscript"/>
              </w:rPr>
              <w:t>B</w:t>
            </w:r>
          </w:p>
        </w:tc>
        <w:tc>
          <w:tcPr>
            <w:tcW w:w="1191" w:type="pct"/>
            <w:tcBorders>
              <w:bottom w:val="single" w:sz="4" w:space="0" w:color="auto"/>
            </w:tcBorders>
            <w:vAlign w:val="center"/>
            <w:hideMark/>
          </w:tcPr>
          <w:p w14:paraId="41E05671" w14:textId="77777777" w:rsidR="00394330" w:rsidRPr="00C0587E" w:rsidRDefault="00394330" w:rsidP="00B435F6">
            <w:pPr>
              <w:spacing w:after="0" w:line="240" w:lineRule="auto"/>
              <w:jc w:val="center"/>
              <w:rPr>
                <w:rFonts w:ascii="Arial" w:eastAsia="Times New Roman" w:hAnsi="Arial" w:cs="Arial"/>
                <w:kern w:val="0"/>
                <w:sz w:val="22"/>
                <w:szCs w:val="22"/>
                <w:lang w:eastAsia="en-IN"/>
                <w14:ligatures w14:val="none"/>
              </w:rPr>
            </w:pPr>
            <w:r w:rsidRPr="00C0587E">
              <w:rPr>
                <w:rFonts w:ascii="Arial" w:eastAsia="Arial" w:hAnsi="Arial" w:cs="Arial"/>
                <w:sz w:val="22"/>
                <w:szCs w:val="22"/>
              </w:rPr>
              <w:t>0.19±0.0208</w:t>
            </w:r>
            <w:r w:rsidRPr="00C0587E">
              <w:rPr>
                <w:rFonts w:ascii="Arial" w:eastAsia="Arial" w:hAnsi="Arial" w:cs="Arial"/>
                <w:position w:val="10"/>
                <w:sz w:val="22"/>
                <w:szCs w:val="22"/>
                <w:vertAlign w:val="superscript"/>
              </w:rPr>
              <w:t>r</w:t>
            </w:r>
          </w:p>
        </w:tc>
      </w:tr>
    </w:tbl>
    <w:p w14:paraId="1747DA6F" w14:textId="40425A0A" w:rsidR="00C01C55" w:rsidRDefault="00C01C55" w:rsidP="00915BCB">
      <w:pPr>
        <w:spacing w:after="4" w:line="249" w:lineRule="auto"/>
        <w:ind w:left="-5" w:right="-123" w:hanging="10"/>
        <w:jc w:val="center"/>
        <w:rPr>
          <w:rFonts w:ascii="Arial" w:hAnsi="Arial" w:cs="Arial"/>
          <w:bCs/>
          <w:sz w:val="20"/>
          <w:szCs w:val="20"/>
        </w:rPr>
      </w:pPr>
      <w:r w:rsidRPr="008A16D3">
        <w:rPr>
          <w:rFonts w:ascii="Arial" w:hAnsi="Arial" w:cs="Arial"/>
          <w:sz w:val="20"/>
          <w:szCs w:val="20"/>
        </w:rPr>
        <w:t>(</w:t>
      </w:r>
      <w:r w:rsidRPr="008A16D3">
        <w:rPr>
          <w:rFonts w:ascii="Arial" w:hAnsi="Arial" w:cs="Arial"/>
          <w:bCs/>
          <w:sz w:val="20"/>
          <w:szCs w:val="20"/>
        </w:rPr>
        <w:t xml:space="preserve">*Note </w:t>
      </w:r>
      <w:r w:rsidR="00DA6F8B">
        <w:rPr>
          <w:rFonts w:ascii="Arial" w:hAnsi="Arial" w:cs="Arial"/>
          <w:bCs/>
          <w:sz w:val="20"/>
          <w:szCs w:val="20"/>
        </w:rPr>
        <w:t xml:space="preserve">C= Control, </w:t>
      </w:r>
      <w:r w:rsidRPr="008A16D3">
        <w:rPr>
          <w:rFonts w:ascii="Arial" w:hAnsi="Arial" w:cs="Arial"/>
          <w:bCs/>
          <w:sz w:val="20"/>
          <w:szCs w:val="20"/>
        </w:rPr>
        <w:t xml:space="preserve">T1= Bio-floc (20:1), </w:t>
      </w:r>
      <w:r w:rsidR="00A96EE9">
        <w:rPr>
          <w:rFonts w:ascii="Arial" w:hAnsi="Arial" w:cs="Arial"/>
          <w:bCs/>
          <w:sz w:val="20"/>
          <w:szCs w:val="20"/>
        </w:rPr>
        <w:t>T2</w:t>
      </w:r>
      <w:r w:rsidRPr="008A16D3">
        <w:rPr>
          <w:rFonts w:ascii="Arial" w:hAnsi="Arial" w:cs="Arial"/>
          <w:bCs/>
          <w:sz w:val="20"/>
          <w:szCs w:val="20"/>
        </w:rPr>
        <w:t>=Biofloc (20:1) + 0.5% Jeevamruth; The mean values followed by the different superscript letters in each factor indicate significant difference at 0.05.)</w:t>
      </w:r>
    </w:p>
    <w:p w14:paraId="603E674D" w14:textId="550DE3B7" w:rsidR="0037132C" w:rsidRPr="006079B2" w:rsidRDefault="0037132C" w:rsidP="00446E39">
      <w:pPr>
        <w:rPr>
          <w:rFonts w:ascii="Arial" w:hAnsi="Arial" w:cs="Arial"/>
          <w:b/>
          <w:bCs/>
        </w:rPr>
      </w:pPr>
      <w:r w:rsidRPr="006079B2">
        <w:rPr>
          <w:rFonts w:ascii="Arial" w:hAnsi="Arial" w:cs="Arial"/>
          <w:noProof/>
        </w:rPr>
        <w:lastRenderedPageBreak/>
        <w:drawing>
          <wp:anchor distT="0" distB="0" distL="114300" distR="114300" simplePos="0" relativeHeight="251662336" behindDoc="0" locked="0" layoutInCell="1" allowOverlap="1" wp14:anchorId="10E5CF28" wp14:editId="4E0A4614">
            <wp:simplePos x="0" y="0"/>
            <wp:positionH relativeFrom="margin">
              <wp:posOffset>0</wp:posOffset>
            </wp:positionH>
            <wp:positionV relativeFrom="paragraph">
              <wp:posOffset>304165</wp:posOffset>
            </wp:positionV>
            <wp:extent cx="5486400" cy="2695575"/>
            <wp:effectExtent l="0" t="0" r="0" b="0"/>
            <wp:wrapSquare wrapText="bothSides"/>
            <wp:docPr id="307500294"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29"/>
              </a:graphicData>
            </a:graphic>
            <wp14:sizeRelV relativeFrom="margin">
              <wp14:pctHeight>0</wp14:pctHeight>
            </wp14:sizeRelV>
          </wp:anchor>
        </w:drawing>
      </w:r>
    </w:p>
    <w:p w14:paraId="4E809F3A" w14:textId="2C21E0B7" w:rsidR="00726987" w:rsidRDefault="00726987" w:rsidP="00726987">
      <w:pPr>
        <w:spacing w:line="360" w:lineRule="auto"/>
        <w:jc w:val="center"/>
        <w:rPr>
          <w:rFonts w:ascii="Arial" w:hAnsi="Arial" w:cs="Arial"/>
          <w:b/>
          <w:sz w:val="20"/>
          <w:szCs w:val="20"/>
        </w:rPr>
      </w:pPr>
      <w:r w:rsidRPr="00A152F0">
        <w:rPr>
          <w:rFonts w:ascii="Arial" w:hAnsi="Arial" w:cs="Arial"/>
          <w:b/>
          <w:sz w:val="20"/>
          <w:szCs w:val="20"/>
        </w:rPr>
        <w:t>Figure 1</w:t>
      </w:r>
      <w:r w:rsidR="00FB120A">
        <w:rPr>
          <w:rFonts w:ascii="Arial" w:hAnsi="Arial" w:cs="Arial"/>
          <w:b/>
          <w:sz w:val="20"/>
          <w:szCs w:val="20"/>
        </w:rPr>
        <w:t>3</w:t>
      </w:r>
      <w:r w:rsidRPr="00A152F0">
        <w:rPr>
          <w:rFonts w:ascii="Arial" w:hAnsi="Arial" w:cs="Arial"/>
          <w:b/>
          <w:sz w:val="20"/>
          <w:szCs w:val="20"/>
        </w:rPr>
        <w:t>:</w:t>
      </w:r>
      <w:r>
        <w:rPr>
          <w:rFonts w:ascii="Arial" w:hAnsi="Arial" w:cs="Arial"/>
          <w:b/>
          <w:sz w:val="20"/>
          <w:szCs w:val="20"/>
        </w:rPr>
        <w:t xml:space="preserve"> </w:t>
      </w:r>
      <w:r w:rsidRPr="00224BC0">
        <w:rPr>
          <w:rFonts w:ascii="Arial" w:hAnsi="Arial" w:cs="Arial"/>
          <w:b/>
          <w:sz w:val="20"/>
          <w:szCs w:val="20"/>
        </w:rPr>
        <w:t xml:space="preserve">Average </w:t>
      </w:r>
      <w:r w:rsidR="00FB120A">
        <w:rPr>
          <w:rFonts w:ascii="Arial" w:hAnsi="Arial" w:cs="Arial"/>
          <w:b/>
          <w:bCs/>
          <w:sz w:val="20"/>
          <w:szCs w:val="20"/>
        </w:rPr>
        <w:t>Feed Conversion Efficiency</w:t>
      </w:r>
      <w:r w:rsidRPr="00224BC0">
        <w:rPr>
          <w:rFonts w:ascii="Arial" w:hAnsi="Arial" w:cs="Arial"/>
          <w:b/>
          <w:sz w:val="20"/>
          <w:szCs w:val="20"/>
        </w:rPr>
        <w:t xml:space="preserve"> Value Recorded During the Experiment</w:t>
      </w:r>
    </w:p>
    <w:p w14:paraId="310BC853" w14:textId="05DF71E0" w:rsidR="00C87332" w:rsidRDefault="00C87332" w:rsidP="00C87332">
      <w:pPr>
        <w:spacing w:line="276" w:lineRule="auto"/>
        <w:ind w:firstLine="720"/>
        <w:jc w:val="both"/>
        <w:rPr>
          <w:rFonts w:ascii="Arial" w:hAnsi="Arial" w:cs="Arial"/>
          <w:bCs/>
          <w:sz w:val="20"/>
          <w:szCs w:val="20"/>
        </w:rPr>
      </w:pPr>
      <w:r w:rsidRPr="00C87332">
        <w:rPr>
          <w:rFonts w:ascii="Arial" w:hAnsi="Arial" w:cs="Arial"/>
          <w:bCs/>
          <w:sz w:val="20"/>
          <w:szCs w:val="20"/>
        </w:rPr>
        <w:t>FCE increased progressively with culture duration in all treatments. The highest FCE at the end of the experiment was recorded in T2 (0.19 ± 0.02), followed by the control and T1. The improved FCE in Jeevamruth-treated fish indicates more efficient conversion of feed into biomass.</w:t>
      </w:r>
    </w:p>
    <w:p w14:paraId="3163E929" w14:textId="77777777" w:rsidR="00C87332" w:rsidRPr="00C87332" w:rsidRDefault="00C87332" w:rsidP="00C87332">
      <w:pPr>
        <w:spacing w:line="276" w:lineRule="auto"/>
        <w:jc w:val="both"/>
        <w:rPr>
          <w:rFonts w:ascii="Arial" w:hAnsi="Arial" w:cs="Arial"/>
          <w:bCs/>
          <w:sz w:val="20"/>
          <w:szCs w:val="20"/>
        </w:rPr>
      </w:pPr>
    </w:p>
    <w:p w14:paraId="4A04A762" w14:textId="2BE36AB0" w:rsidR="00A1551A" w:rsidRDefault="00E05B72" w:rsidP="00E05B72">
      <w:pPr>
        <w:spacing w:after="0" w:line="360" w:lineRule="auto"/>
        <w:rPr>
          <w:rFonts w:ascii="Arial" w:hAnsi="Arial" w:cs="Arial"/>
          <w:b/>
          <w:bCs/>
          <w:sz w:val="20"/>
          <w:szCs w:val="20"/>
          <w:u w:val="single"/>
        </w:rPr>
      </w:pPr>
      <w:r>
        <w:rPr>
          <w:rFonts w:ascii="Arial" w:hAnsi="Arial" w:cs="Arial"/>
          <w:b/>
          <w:bCs/>
          <w:sz w:val="20"/>
          <w:szCs w:val="20"/>
          <w:u w:val="single"/>
        </w:rPr>
        <w:t>3.2.6</w:t>
      </w:r>
      <w:r w:rsidR="00A1551A" w:rsidRPr="00E05B72">
        <w:rPr>
          <w:rFonts w:ascii="Arial" w:hAnsi="Arial" w:cs="Arial"/>
          <w:b/>
          <w:bCs/>
          <w:sz w:val="20"/>
          <w:szCs w:val="20"/>
          <w:u w:val="single"/>
        </w:rPr>
        <w:t xml:space="preserve"> Protein efficiency ratio recorded during experimental period.</w:t>
      </w:r>
    </w:p>
    <w:p w14:paraId="49D614B9" w14:textId="031267A2" w:rsidR="009D080D" w:rsidRPr="00E05B72" w:rsidRDefault="009D080D" w:rsidP="009D080D">
      <w:pPr>
        <w:spacing w:line="360" w:lineRule="auto"/>
        <w:rPr>
          <w:rFonts w:ascii="Arial" w:hAnsi="Arial" w:cs="Arial"/>
          <w:b/>
          <w:bCs/>
          <w:sz w:val="20"/>
          <w:szCs w:val="20"/>
          <w:u w:val="single"/>
        </w:rPr>
      </w:pPr>
      <w:r w:rsidRPr="00224BC0">
        <w:rPr>
          <w:rFonts w:ascii="Arial" w:hAnsi="Arial" w:cs="Arial"/>
          <w:b/>
          <w:sz w:val="20"/>
          <w:szCs w:val="20"/>
        </w:rPr>
        <w:t xml:space="preserve">Table </w:t>
      </w:r>
      <w:r w:rsidR="00E35B89">
        <w:rPr>
          <w:rFonts w:ascii="Arial" w:hAnsi="Arial" w:cs="Arial"/>
          <w:b/>
          <w:sz w:val="20"/>
          <w:szCs w:val="20"/>
        </w:rPr>
        <w:t>14</w:t>
      </w:r>
      <w:r w:rsidRPr="00224BC0">
        <w:rPr>
          <w:rFonts w:ascii="Arial" w:hAnsi="Arial" w:cs="Arial"/>
          <w:b/>
          <w:sz w:val="20"/>
          <w:szCs w:val="20"/>
        </w:rPr>
        <w:t xml:space="preserve">: Average </w:t>
      </w:r>
      <w:r>
        <w:rPr>
          <w:rFonts w:ascii="Arial" w:hAnsi="Arial" w:cs="Arial"/>
          <w:b/>
          <w:bCs/>
          <w:sz w:val="20"/>
          <w:szCs w:val="20"/>
        </w:rPr>
        <w:t>Protein Efficiency</w:t>
      </w:r>
      <w:r w:rsidR="00634588">
        <w:rPr>
          <w:rFonts w:ascii="Arial" w:hAnsi="Arial" w:cs="Arial"/>
          <w:b/>
          <w:bCs/>
          <w:sz w:val="20"/>
          <w:szCs w:val="20"/>
        </w:rPr>
        <w:t xml:space="preserve"> Ratio</w:t>
      </w:r>
      <w:r>
        <w:rPr>
          <w:rFonts w:ascii="Arial" w:hAnsi="Arial" w:cs="Arial"/>
          <w:b/>
          <w:bCs/>
          <w:sz w:val="20"/>
          <w:szCs w:val="20"/>
        </w:rPr>
        <w:t xml:space="preserve"> </w:t>
      </w:r>
      <w:r w:rsidRPr="00224BC0">
        <w:rPr>
          <w:rFonts w:ascii="Arial" w:hAnsi="Arial" w:cs="Arial"/>
          <w:b/>
          <w:sz w:val="20"/>
          <w:szCs w:val="20"/>
        </w:rPr>
        <w:t xml:space="preserve">Recorded During the </w:t>
      </w:r>
      <w:commentRangeStart w:id="13"/>
      <w:r w:rsidRPr="00224BC0">
        <w:rPr>
          <w:rFonts w:ascii="Arial" w:hAnsi="Arial" w:cs="Arial"/>
          <w:b/>
          <w:sz w:val="20"/>
          <w:szCs w:val="20"/>
        </w:rPr>
        <w:t>Experiment</w:t>
      </w:r>
      <w:commentRangeEnd w:id="13"/>
      <w:r w:rsidR="00D519C3">
        <w:rPr>
          <w:rStyle w:val="Refdecomentario"/>
        </w:rPr>
        <w:commentReference w:id="13"/>
      </w:r>
    </w:p>
    <w:tbl>
      <w:tblPr>
        <w:tblW w:w="5000" w:type="pct"/>
        <w:tblLook w:val="04A0" w:firstRow="1" w:lastRow="0" w:firstColumn="1" w:lastColumn="0" w:noHBand="0" w:noVBand="1"/>
      </w:tblPr>
      <w:tblGrid>
        <w:gridCol w:w="1505"/>
        <w:gridCol w:w="1413"/>
        <w:gridCol w:w="2258"/>
        <w:gridCol w:w="1700"/>
        <w:gridCol w:w="2150"/>
      </w:tblGrid>
      <w:tr w:rsidR="00A1551A" w:rsidRPr="00C0587E" w14:paraId="4CD128B0" w14:textId="77777777" w:rsidTr="00C01C55">
        <w:trPr>
          <w:trHeight w:val="128"/>
        </w:trPr>
        <w:tc>
          <w:tcPr>
            <w:tcW w:w="833" w:type="pct"/>
            <w:tcBorders>
              <w:top w:val="single" w:sz="4" w:space="0" w:color="auto"/>
              <w:bottom w:val="single" w:sz="4" w:space="0" w:color="auto"/>
              <w:right w:val="single" w:sz="4" w:space="0" w:color="auto"/>
            </w:tcBorders>
            <w:vAlign w:val="center"/>
            <w:hideMark/>
          </w:tcPr>
          <w:p w14:paraId="2F964467" w14:textId="77777777" w:rsidR="00A1551A" w:rsidRPr="00C0587E" w:rsidRDefault="00A1551A" w:rsidP="00B435F6">
            <w:pPr>
              <w:spacing w:after="0" w:line="360" w:lineRule="auto"/>
              <w:jc w:val="both"/>
              <w:rPr>
                <w:rFonts w:ascii="Arial" w:eastAsia="Times New Roman" w:hAnsi="Arial" w:cs="Arial"/>
                <w:color w:val="000000"/>
                <w:kern w:val="0"/>
                <w:sz w:val="22"/>
                <w:szCs w:val="22"/>
                <w:lang w:eastAsia="en-IN"/>
                <w14:ligatures w14:val="none"/>
              </w:rPr>
            </w:pPr>
            <w:r w:rsidRPr="00C0587E">
              <w:rPr>
                <w:rFonts w:ascii="Arial" w:eastAsia="Times New Roman" w:hAnsi="Arial" w:cs="Arial"/>
                <w:color w:val="000000"/>
                <w:kern w:val="0"/>
                <w:sz w:val="22"/>
                <w:szCs w:val="22"/>
                <w:lang w:eastAsia="en-IN"/>
                <w14:ligatures w14:val="none"/>
              </w:rPr>
              <w:t xml:space="preserve">Parameter </w:t>
            </w:r>
          </w:p>
        </w:tc>
        <w:tc>
          <w:tcPr>
            <w:tcW w:w="783" w:type="pct"/>
            <w:tcBorders>
              <w:top w:val="single" w:sz="4" w:space="0" w:color="auto"/>
              <w:left w:val="single" w:sz="4" w:space="0" w:color="auto"/>
              <w:bottom w:val="single" w:sz="4" w:space="0" w:color="auto"/>
              <w:right w:val="single" w:sz="4" w:space="0" w:color="auto"/>
            </w:tcBorders>
            <w:vAlign w:val="center"/>
            <w:hideMark/>
          </w:tcPr>
          <w:p w14:paraId="32CAE92D" w14:textId="77777777" w:rsidR="00A1551A" w:rsidRPr="00C0587E" w:rsidRDefault="00A1551A" w:rsidP="00B435F6">
            <w:pPr>
              <w:spacing w:after="0" w:line="360" w:lineRule="auto"/>
              <w:jc w:val="center"/>
              <w:rPr>
                <w:rFonts w:ascii="Arial" w:eastAsia="Times New Roman" w:hAnsi="Arial" w:cs="Arial"/>
                <w:color w:val="000000"/>
                <w:kern w:val="0"/>
                <w:sz w:val="22"/>
                <w:szCs w:val="22"/>
                <w:lang w:eastAsia="en-IN"/>
                <w14:ligatures w14:val="none"/>
              </w:rPr>
            </w:pPr>
            <w:r w:rsidRPr="00C0587E">
              <w:rPr>
                <w:rFonts w:ascii="Arial" w:eastAsia="Times New Roman" w:hAnsi="Arial" w:cs="Arial"/>
                <w:color w:val="000000"/>
                <w:kern w:val="0"/>
                <w:sz w:val="22"/>
                <w:szCs w:val="22"/>
                <w:lang w:eastAsia="en-IN"/>
                <w14:ligatures w14:val="none"/>
              </w:rPr>
              <w:t>Treatment</w:t>
            </w:r>
          </w:p>
        </w:tc>
        <w:tc>
          <w:tcPr>
            <w:tcW w:w="1251" w:type="pct"/>
            <w:tcBorders>
              <w:top w:val="single" w:sz="4" w:space="0" w:color="auto"/>
              <w:left w:val="single" w:sz="4" w:space="0" w:color="auto"/>
              <w:bottom w:val="single" w:sz="4" w:space="0" w:color="auto"/>
            </w:tcBorders>
            <w:vAlign w:val="center"/>
            <w:hideMark/>
          </w:tcPr>
          <w:p w14:paraId="2D60414F" w14:textId="77777777" w:rsidR="00A1551A" w:rsidRPr="00C0587E" w:rsidRDefault="00A1551A" w:rsidP="00B435F6">
            <w:pPr>
              <w:spacing w:after="0" w:line="360" w:lineRule="auto"/>
              <w:jc w:val="center"/>
              <w:rPr>
                <w:rFonts w:ascii="Arial" w:eastAsia="Times New Roman" w:hAnsi="Arial" w:cs="Arial"/>
                <w:color w:val="000000"/>
                <w:kern w:val="0"/>
                <w:sz w:val="22"/>
                <w:szCs w:val="22"/>
                <w:lang w:eastAsia="en-IN"/>
                <w14:ligatures w14:val="none"/>
              </w:rPr>
            </w:pPr>
            <w:r w:rsidRPr="00C0587E">
              <w:rPr>
                <w:rFonts w:ascii="Arial" w:eastAsia="Times New Roman" w:hAnsi="Arial" w:cs="Arial"/>
                <w:color w:val="000000"/>
                <w:kern w:val="0"/>
                <w:sz w:val="22"/>
                <w:szCs w:val="22"/>
                <w:lang w:eastAsia="en-IN"/>
                <w14:ligatures w14:val="none"/>
              </w:rPr>
              <w:t>20</w:t>
            </w:r>
            <w:r w:rsidRPr="00C0587E">
              <w:rPr>
                <w:rFonts w:ascii="Arial" w:eastAsia="Times New Roman" w:hAnsi="Arial" w:cs="Arial"/>
                <w:color w:val="000000"/>
                <w:kern w:val="0"/>
                <w:sz w:val="22"/>
                <w:szCs w:val="22"/>
                <w:vertAlign w:val="superscript"/>
                <w:lang w:eastAsia="en-IN"/>
                <w14:ligatures w14:val="none"/>
              </w:rPr>
              <w:t>th</w:t>
            </w:r>
            <w:r w:rsidRPr="00C0587E">
              <w:rPr>
                <w:rFonts w:ascii="Arial" w:eastAsia="Times New Roman" w:hAnsi="Arial" w:cs="Arial"/>
                <w:color w:val="000000"/>
                <w:kern w:val="0"/>
                <w:sz w:val="22"/>
                <w:szCs w:val="22"/>
                <w:lang w:eastAsia="en-IN"/>
                <w14:ligatures w14:val="none"/>
              </w:rPr>
              <w:t xml:space="preserve"> DAY</w:t>
            </w:r>
          </w:p>
        </w:tc>
        <w:tc>
          <w:tcPr>
            <w:tcW w:w="942" w:type="pct"/>
            <w:tcBorders>
              <w:top w:val="single" w:sz="4" w:space="0" w:color="auto"/>
              <w:bottom w:val="single" w:sz="4" w:space="0" w:color="auto"/>
            </w:tcBorders>
            <w:vAlign w:val="center"/>
            <w:hideMark/>
          </w:tcPr>
          <w:p w14:paraId="60B644FF" w14:textId="77777777" w:rsidR="00A1551A" w:rsidRPr="00C0587E" w:rsidRDefault="00A1551A" w:rsidP="00B435F6">
            <w:pPr>
              <w:spacing w:after="0" w:line="360" w:lineRule="auto"/>
              <w:jc w:val="center"/>
              <w:rPr>
                <w:rFonts w:ascii="Arial" w:eastAsia="Times New Roman" w:hAnsi="Arial" w:cs="Arial"/>
                <w:color w:val="000000"/>
                <w:kern w:val="0"/>
                <w:sz w:val="22"/>
                <w:szCs w:val="22"/>
                <w:lang w:eastAsia="en-IN"/>
                <w14:ligatures w14:val="none"/>
              </w:rPr>
            </w:pPr>
            <w:r w:rsidRPr="00C0587E">
              <w:rPr>
                <w:rFonts w:ascii="Arial" w:eastAsia="Times New Roman" w:hAnsi="Arial" w:cs="Arial"/>
                <w:color w:val="000000"/>
                <w:kern w:val="0"/>
                <w:sz w:val="22"/>
                <w:szCs w:val="22"/>
                <w:lang w:eastAsia="en-IN"/>
                <w14:ligatures w14:val="none"/>
              </w:rPr>
              <w:t>40</w:t>
            </w:r>
            <w:r w:rsidRPr="00C0587E">
              <w:rPr>
                <w:rFonts w:ascii="Arial" w:eastAsia="Times New Roman" w:hAnsi="Arial" w:cs="Arial"/>
                <w:color w:val="000000"/>
                <w:kern w:val="0"/>
                <w:sz w:val="22"/>
                <w:szCs w:val="22"/>
                <w:vertAlign w:val="superscript"/>
                <w:lang w:eastAsia="en-IN"/>
                <w14:ligatures w14:val="none"/>
              </w:rPr>
              <w:t>th</w:t>
            </w:r>
            <w:r w:rsidRPr="00C0587E">
              <w:rPr>
                <w:rFonts w:ascii="Arial" w:eastAsia="Times New Roman" w:hAnsi="Arial" w:cs="Arial"/>
                <w:color w:val="000000"/>
                <w:kern w:val="0"/>
                <w:sz w:val="22"/>
                <w:szCs w:val="22"/>
                <w:lang w:eastAsia="en-IN"/>
                <w14:ligatures w14:val="none"/>
              </w:rPr>
              <w:t>DAY</w:t>
            </w:r>
          </w:p>
        </w:tc>
        <w:tc>
          <w:tcPr>
            <w:tcW w:w="1191" w:type="pct"/>
            <w:tcBorders>
              <w:top w:val="single" w:sz="4" w:space="0" w:color="auto"/>
              <w:bottom w:val="single" w:sz="4" w:space="0" w:color="auto"/>
            </w:tcBorders>
            <w:vAlign w:val="center"/>
            <w:hideMark/>
          </w:tcPr>
          <w:p w14:paraId="4B81C78C" w14:textId="77777777" w:rsidR="00A1551A" w:rsidRPr="00C0587E" w:rsidRDefault="00A1551A" w:rsidP="00B435F6">
            <w:pPr>
              <w:spacing w:after="0" w:line="360" w:lineRule="auto"/>
              <w:jc w:val="center"/>
              <w:rPr>
                <w:rFonts w:ascii="Arial" w:eastAsia="Times New Roman" w:hAnsi="Arial" w:cs="Arial"/>
                <w:color w:val="000000"/>
                <w:kern w:val="0"/>
                <w:sz w:val="22"/>
                <w:szCs w:val="22"/>
                <w:lang w:eastAsia="en-IN"/>
                <w14:ligatures w14:val="none"/>
              </w:rPr>
            </w:pPr>
            <w:r w:rsidRPr="00C0587E">
              <w:rPr>
                <w:rFonts w:ascii="Arial" w:eastAsia="Times New Roman" w:hAnsi="Arial" w:cs="Arial"/>
                <w:color w:val="000000"/>
                <w:kern w:val="0"/>
                <w:sz w:val="22"/>
                <w:szCs w:val="22"/>
                <w:lang w:eastAsia="en-IN"/>
                <w14:ligatures w14:val="none"/>
              </w:rPr>
              <w:t>60</w:t>
            </w:r>
            <w:r w:rsidRPr="00C0587E">
              <w:rPr>
                <w:rFonts w:ascii="Arial" w:eastAsia="Times New Roman" w:hAnsi="Arial" w:cs="Arial"/>
                <w:color w:val="000000"/>
                <w:kern w:val="0"/>
                <w:sz w:val="22"/>
                <w:szCs w:val="22"/>
                <w:vertAlign w:val="superscript"/>
                <w:lang w:eastAsia="en-IN"/>
                <w14:ligatures w14:val="none"/>
              </w:rPr>
              <w:t>th</w:t>
            </w:r>
            <w:r w:rsidRPr="00C0587E">
              <w:rPr>
                <w:rFonts w:ascii="Arial" w:eastAsia="Times New Roman" w:hAnsi="Arial" w:cs="Arial"/>
                <w:color w:val="000000"/>
                <w:kern w:val="0"/>
                <w:sz w:val="22"/>
                <w:szCs w:val="22"/>
                <w:lang w:eastAsia="en-IN"/>
                <w14:ligatures w14:val="none"/>
              </w:rPr>
              <w:t xml:space="preserve"> DAY</w:t>
            </w:r>
          </w:p>
        </w:tc>
      </w:tr>
      <w:tr w:rsidR="00A1551A" w:rsidRPr="00C0587E" w14:paraId="63B9A342" w14:textId="77777777" w:rsidTr="00C01C55">
        <w:trPr>
          <w:trHeight w:val="128"/>
        </w:trPr>
        <w:tc>
          <w:tcPr>
            <w:tcW w:w="833" w:type="pct"/>
            <w:vMerge w:val="restart"/>
            <w:tcBorders>
              <w:top w:val="single" w:sz="4" w:space="0" w:color="auto"/>
              <w:right w:val="single" w:sz="4" w:space="0" w:color="auto"/>
            </w:tcBorders>
            <w:vAlign w:val="center"/>
            <w:hideMark/>
          </w:tcPr>
          <w:p w14:paraId="0F12D82F" w14:textId="77777777" w:rsidR="00A1551A" w:rsidRPr="00C0587E" w:rsidRDefault="00A1551A" w:rsidP="00B435F6">
            <w:pPr>
              <w:spacing w:after="0" w:line="240" w:lineRule="auto"/>
              <w:jc w:val="both"/>
              <w:rPr>
                <w:rFonts w:ascii="Arial" w:eastAsia="Times New Roman" w:hAnsi="Arial" w:cs="Arial"/>
                <w:color w:val="000000"/>
                <w:kern w:val="0"/>
                <w:sz w:val="22"/>
                <w:szCs w:val="22"/>
                <w:lang w:eastAsia="en-IN"/>
                <w14:ligatures w14:val="none"/>
              </w:rPr>
            </w:pPr>
            <w:r w:rsidRPr="00C0587E">
              <w:rPr>
                <w:rFonts w:ascii="Arial" w:eastAsia="Times New Roman" w:hAnsi="Arial" w:cs="Arial"/>
                <w:bCs/>
                <w:color w:val="000000"/>
                <w:kern w:val="0"/>
                <w:sz w:val="22"/>
                <w:szCs w:val="22"/>
                <w:lang w:eastAsia="en-IN"/>
                <w14:ligatures w14:val="none"/>
              </w:rPr>
              <w:t xml:space="preserve">PER </w:t>
            </w:r>
          </w:p>
        </w:tc>
        <w:tc>
          <w:tcPr>
            <w:tcW w:w="783" w:type="pct"/>
            <w:tcBorders>
              <w:top w:val="single" w:sz="4" w:space="0" w:color="auto"/>
              <w:left w:val="single" w:sz="4" w:space="0" w:color="auto"/>
              <w:right w:val="single" w:sz="4" w:space="0" w:color="auto"/>
            </w:tcBorders>
            <w:vAlign w:val="center"/>
            <w:hideMark/>
          </w:tcPr>
          <w:p w14:paraId="60FC3A4B" w14:textId="77777777" w:rsidR="00A1551A" w:rsidRPr="00C0587E" w:rsidRDefault="00A1551A" w:rsidP="00B435F6">
            <w:pPr>
              <w:spacing w:after="0" w:line="240" w:lineRule="auto"/>
              <w:jc w:val="center"/>
              <w:rPr>
                <w:rFonts w:ascii="Arial" w:eastAsia="Times New Roman" w:hAnsi="Arial" w:cs="Arial"/>
                <w:color w:val="000000"/>
                <w:kern w:val="0"/>
                <w:sz w:val="22"/>
                <w:szCs w:val="22"/>
                <w:lang w:eastAsia="en-IN"/>
                <w14:ligatures w14:val="none"/>
              </w:rPr>
            </w:pPr>
            <w:r w:rsidRPr="00C0587E">
              <w:rPr>
                <w:rFonts w:ascii="Arial" w:eastAsia="Times New Roman" w:hAnsi="Arial" w:cs="Arial"/>
                <w:color w:val="000000"/>
                <w:kern w:val="0"/>
                <w:sz w:val="22"/>
                <w:szCs w:val="22"/>
                <w:lang w:eastAsia="en-IN"/>
                <w14:ligatures w14:val="none"/>
              </w:rPr>
              <w:t>C</w:t>
            </w:r>
          </w:p>
        </w:tc>
        <w:tc>
          <w:tcPr>
            <w:tcW w:w="1251" w:type="pct"/>
            <w:tcBorders>
              <w:top w:val="single" w:sz="4" w:space="0" w:color="auto"/>
              <w:left w:val="single" w:sz="4" w:space="0" w:color="auto"/>
            </w:tcBorders>
            <w:vAlign w:val="center"/>
            <w:hideMark/>
          </w:tcPr>
          <w:p w14:paraId="47554A6E" w14:textId="77777777" w:rsidR="00A1551A" w:rsidRPr="00C0587E" w:rsidRDefault="00A1551A" w:rsidP="00B435F6">
            <w:pPr>
              <w:spacing w:after="0" w:line="240" w:lineRule="auto"/>
              <w:jc w:val="center"/>
              <w:rPr>
                <w:rFonts w:ascii="Arial" w:eastAsia="Times New Roman" w:hAnsi="Arial" w:cs="Arial"/>
                <w:color w:val="010205"/>
                <w:kern w:val="0"/>
                <w:sz w:val="22"/>
                <w:szCs w:val="22"/>
                <w:lang w:eastAsia="en-IN"/>
                <w14:ligatures w14:val="none"/>
              </w:rPr>
            </w:pPr>
            <w:r w:rsidRPr="00C0587E">
              <w:rPr>
                <w:rFonts w:ascii="Arial" w:eastAsia="Arial" w:hAnsi="Arial" w:cs="Arial"/>
                <w:color w:val="000000" w:themeColor="text1"/>
                <w:sz w:val="22"/>
                <w:szCs w:val="22"/>
              </w:rPr>
              <w:t>0.11±0.02</w:t>
            </w:r>
            <w:r w:rsidRPr="00C0587E">
              <w:rPr>
                <w:rFonts w:ascii="Arial" w:eastAsia="Arial" w:hAnsi="Arial" w:cs="Arial"/>
                <w:color w:val="000000" w:themeColor="text1"/>
                <w:position w:val="10"/>
                <w:sz w:val="22"/>
                <w:szCs w:val="22"/>
                <w:vertAlign w:val="superscript"/>
              </w:rPr>
              <w:t>b</w:t>
            </w:r>
          </w:p>
        </w:tc>
        <w:tc>
          <w:tcPr>
            <w:tcW w:w="942" w:type="pct"/>
            <w:tcBorders>
              <w:top w:val="single" w:sz="4" w:space="0" w:color="auto"/>
            </w:tcBorders>
            <w:vAlign w:val="center"/>
            <w:hideMark/>
          </w:tcPr>
          <w:p w14:paraId="2E15291E" w14:textId="77777777" w:rsidR="00A1551A" w:rsidRPr="00C0587E" w:rsidRDefault="00A1551A" w:rsidP="00B435F6">
            <w:pPr>
              <w:spacing w:after="0" w:line="240" w:lineRule="auto"/>
              <w:jc w:val="center"/>
              <w:rPr>
                <w:rFonts w:ascii="Arial" w:eastAsia="Times New Roman" w:hAnsi="Arial" w:cs="Arial"/>
                <w:color w:val="000000"/>
                <w:kern w:val="0"/>
                <w:sz w:val="22"/>
                <w:szCs w:val="22"/>
                <w:lang w:eastAsia="en-IN"/>
                <w14:ligatures w14:val="none"/>
              </w:rPr>
            </w:pPr>
            <w:r w:rsidRPr="00C0587E">
              <w:rPr>
                <w:rFonts w:ascii="Arial" w:hAnsi="Arial" w:cs="Arial"/>
                <w:color w:val="000000" w:themeColor="text1"/>
                <w:sz w:val="22"/>
                <w:szCs w:val="22"/>
              </w:rPr>
              <w:t>0.30±0.07</w:t>
            </w:r>
            <w:r w:rsidRPr="00C0587E">
              <w:rPr>
                <w:rFonts w:ascii="Arial" w:hAnsi="Arial" w:cs="Arial"/>
                <w:color w:val="000000" w:themeColor="text1"/>
                <w:position w:val="10"/>
                <w:sz w:val="22"/>
                <w:szCs w:val="22"/>
                <w:vertAlign w:val="superscript"/>
              </w:rPr>
              <w:t>B</w:t>
            </w:r>
          </w:p>
        </w:tc>
        <w:tc>
          <w:tcPr>
            <w:tcW w:w="1191" w:type="pct"/>
            <w:tcBorders>
              <w:top w:val="single" w:sz="4" w:space="0" w:color="auto"/>
            </w:tcBorders>
            <w:vAlign w:val="center"/>
            <w:hideMark/>
          </w:tcPr>
          <w:p w14:paraId="7CD71E7D" w14:textId="77777777" w:rsidR="00A1551A" w:rsidRPr="00C0587E" w:rsidRDefault="00A1551A" w:rsidP="00B435F6">
            <w:pPr>
              <w:spacing w:after="0" w:line="240" w:lineRule="auto"/>
              <w:jc w:val="center"/>
              <w:rPr>
                <w:rFonts w:ascii="Arial" w:eastAsia="Times New Roman" w:hAnsi="Arial" w:cs="Arial"/>
                <w:color w:val="010205"/>
                <w:kern w:val="0"/>
                <w:sz w:val="22"/>
                <w:szCs w:val="22"/>
                <w:lang w:eastAsia="en-IN"/>
                <w14:ligatures w14:val="none"/>
              </w:rPr>
            </w:pPr>
            <w:r w:rsidRPr="00C0587E">
              <w:rPr>
                <w:rFonts w:ascii="Arial" w:eastAsia="Arial" w:hAnsi="Arial" w:cs="Arial"/>
                <w:color w:val="000000" w:themeColor="text1"/>
                <w:sz w:val="22"/>
                <w:szCs w:val="22"/>
              </w:rPr>
              <w:t>0.57±0.04</w:t>
            </w:r>
            <w:r w:rsidRPr="00C0587E">
              <w:rPr>
                <w:rFonts w:ascii="Arial" w:eastAsia="Arial" w:hAnsi="Arial" w:cs="Arial"/>
                <w:color w:val="000000" w:themeColor="text1"/>
                <w:position w:val="10"/>
                <w:sz w:val="22"/>
                <w:szCs w:val="22"/>
                <w:vertAlign w:val="superscript"/>
              </w:rPr>
              <w:t>r</w:t>
            </w:r>
          </w:p>
        </w:tc>
      </w:tr>
      <w:tr w:rsidR="00A1551A" w:rsidRPr="00C0587E" w14:paraId="6754DA19" w14:textId="77777777" w:rsidTr="00C01C55">
        <w:trPr>
          <w:trHeight w:val="128"/>
        </w:trPr>
        <w:tc>
          <w:tcPr>
            <w:tcW w:w="833" w:type="pct"/>
            <w:vMerge/>
            <w:tcBorders>
              <w:right w:val="single" w:sz="4" w:space="0" w:color="auto"/>
            </w:tcBorders>
            <w:vAlign w:val="center"/>
            <w:hideMark/>
          </w:tcPr>
          <w:p w14:paraId="32F77EC0" w14:textId="77777777" w:rsidR="00A1551A" w:rsidRPr="00C0587E" w:rsidRDefault="00A1551A" w:rsidP="00B435F6">
            <w:pPr>
              <w:spacing w:after="0" w:line="240" w:lineRule="auto"/>
              <w:rPr>
                <w:rFonts w:ascii="Arial" w:eastAsia="Times New Roman" w:hAnsi="Arial" w:cs="Arial"/>
                <w:color w:val="000000"/>
                <w:kern w:val="0"/>
                <w:sz w:val="22"/>
                <w:szCs w:val="22"/>
                <w:lang w:eastAsia="en-IN"/>
                <w14:ligatures w14:val="none"/>
              </w:rPr>
            </w:pPr>
          </w:p>
        </w:tc>
        <w:tc>
          <w:tcPr>
            <w:tcW w:w="783" w:type="pct"/>
            <w:tcBorders>
              <w:left w:val="single" w:sz="4" w:space="0" w:color="auto"/>
              <w:right w:val="single" w:sz="4" w:space="0" w:color="auto"/>
            </w:tcBorders>
            <w:vAlign w:val="center"/>
            <w:hideMark/>
          </w:tcPr>
          <w:p w14:paraId="5BC64CA3" w14:textId="5449B625" w:rsidR="00A1551A" w:rsidRPr="00C0587E" w:rsidRDefault="00884617" w:rsidP="00B435F6">
            <w:pPr>
              <w:spacing w:after="0" w:line="240" w:lineRule="auto"/>
              <w:jc w:val="center"/>
              <w:rPr>
                <w:rFonts w:ascii="Arial" w:eastAsia="Times New Roman" w:hAnsi="Arial" w:cs="Arial"/>
                <w:color w:val="000000"/>
                <w:kern w:val="0"/>
                <w:sz w:val="22"/>
                <w:szCs w:val="22"/>
                <w:lang w:eastAsia="en-IN"/>
                <w14:ligatures w14:val="none"/>
              </w:rPr>
            </w:pPr>
            <w:r w:rsidRPr="00C0587E">
              <w:rPr>
                <w:rFonts w:ascii="Arial" w:eastAsia="Times New Roman" w:hAnsi="Arial" w:cs="Arial"/>
                <w:color w:val="000000"/>
                <w:kern w:val="0"/>
                <w:sz w:val="22"/>
                <w:szCs w:val="22"/>
                <w:lang w:eastAsia="en-IN"/>
                <w14:ligatures w14:val="none"/>
              </w:rPr>
              <w:t>T1</w:t>
            </w:r>
          </w:p>
        </w:tc>
        <w:tc>
          <w:tcPr>
            <w:tcW w:w="1251" w:type="pct"/>
            <w:tcBorders>
              <w:left w:val="single" w:sz="4" w:space="0" w:color="auto"/>
            </w:tcBorders>
            <w:vAlign w:val="center"/>
            <w:hideMark/>
          </w:tcPr>
          <w:p w14:paraId="6176EE97" w14:textId="58836CC8" w:rsidR="00A1551A" w:rsidRPr="00C0587E" w:rsidRDefault="00A1551A" w:rsidP="00B435F6">
            <w:pPr>
              <w:spacing w:after="0" w:line="240" w:lineRule="auto"/>
              <w:jc w:val="center"/>
              <w:rPr>
                <w:rFonts w:ascii="Arial" w:eastAsia="Times New Roman" w:hAnsi="Arial" w:cs="Arial"/>
                <w:color w:val="010205"/>
                <w:kern w:val="0"/>
                <w:sz w:val="22"/>
                <w:szCs w:val="22"/>
                <w:lang w:eastAsia="en-IN"/>
                <w14:ligatures w14:val="none"/>
              </w:rPr>
            </w:pPr>
            <w:r w:rsidRPr="00C0587E">
              <w:rPr>
                <w:rFonts w:ascii="Arial" w:eastAsia="Arial" w:hAnsi="Arial" w:cs="Arial"/>
                <w:color w:val="000000" w:themeColor="text1"/>
                <w:sz w:val="22"/>
                <w:szCs w:val="22"/>
              </w:rPr>
              <w:t>0.08±0.</w:t>
            </w:r>
            <w:r w:rsidR="00620FBF" w:rsidRPr="00C0587E">
              <w:rPr>
                <w:rFonts w:ascii="Arial" w:eastAsia="Arial" w:hAnsi="Arial" w:cs="Arial"/>
                <w:color w:val="000000" w:themeColor="text1"/>
                <w:sz w:val="22"/>
                <w:szCs w:val="22"/>
              </w:rPr>
              <w:t>00</w:t>
            </w:r>
            <w:r w:rsidRPr="00C0587E">
              <w:rPr>
                <w:rFonts w:ascii="Arial" w:eastAsia="Arial" w:hAnsi="Arial" w:cs="Arial"/>
                <w:color w:val="000000" w:themeColor="text1"/>
                <w:sz w:val="22"/>
                <w:szCs w:val="22"/>
              </w:rPr>
              <w:t>8</w:t>
            </w:r>
            <w:r w:rsidRPr="00C0587E">
              <w:rPr>
                <w:rFonts w:ascii="Arial" w:eastAsia="Arial" w:hAnsi="Arial" w:cs="Arial"/>
                <w:color w:val="000000" w:themeColor="text1"/>
                <w:position w:val="10"/>
                <w:sz w:val="22"/>
                <w:szCs w:val="22"/>
                <w:vertAlign w:val="superscript"/>
              </w:rPr>
              <w:t>b</w:t>
            </w:r>
          </w:p>
        </w:tc>
        <w:tc>
          <w:tcPr>
            <w:tcW w:w="942" w:type="pct"/>
            <w:vAlign w:val="center"/>
            <w:hideMark/>
          </w:tcPr>
          <w:p w14:paraId="2AAC0DD8" w14:textId="77777777" w:rsidR="00A1551A" w:rsidRPr="00C0587E" w:rsidRDefault="00A1551A" w:rsidP="00B435F6">
            <w:pPr>
              <w:spacing w:after="0" w:line="240" w:lineRule="auto"/>
              <w:jc w:val="center"/>
              <w:rPr>
                <w:rFonts w:ascii="Arial" w:eastAsia="Times New Roman" w:hAnsi="Arial" w:cs="Arial"/>
                <w:color w:val="000000"/>
                <w:kern w:val="0"/>
                <w:sz w:val="22"/>
                <w:szCs w:val="22"/>
                <w:lang w:eastAsia="en-IN"/>
                <w14:ligatures w14:val="none"/>
              </w:rPr>
            </w:pPr>
            <w:r w:rsidRPr="00C0587E">
              <w:rPr>
                <w:rFonts w:ascii="Arial" w:hAnsi="Arial" w:cs="Arial"/>
                <w:color w:val="000000" w:themeColor="text1"/>
                <w:sz w:val="22"/>
                <w:szCs w:val="22"/>
              </w:rPr>
              <w:t>0.31±0.03</w:t>
            </w:r>
            <w:r w:rsidRPr="00C0587E">
              <w:rPr>
                <w:rFonts w:ascii="Arial" w:hAnsi="Arial" w:cs="Arial"/>
                <w:color w:val="000000" w:themeColor="text1"/>
                <w:position w:val="10"/>
                <w:sz w:val="22"/>
                <w:szCs w:val="22"/>
                <w:vertAlign w:val="superscript"/>
              </w:rPr>
              <w:t>B</w:t>
            </w:r>
          </w:p>
        </w:tc>
        <w:tc>
          <w:tcPr>
            <w:tcW w:w="1191" w:type="pct"/>
            <w:vAlign w:val="center"/>
            <w:hideMark/>
          </w:tcPr>
          <w:p w14:paraId="259BDC08" w14:textId="77777777" w:rsidR="00A1551A" w:rsidRPr="00C0587E" w:rsidRDefault="00A1551A" w:rsidP="00B435F6">
            <w:pPr>
              <w:spacing w:after="0" w:line="240" w:lineRule="auto"/>
              <w:jc w:val="center"/>
              <w:rPr>
                <w:rFonts w:ascii="Arial" w:eastAsia="Times New Roman" w:hAnsi="Arial" w:cs="Arial"/>
                <w:color w:val="010205"/>
                <w:kern w:val="0"/>
                <w:sz w:val="22"/>
                <w:szCs w:val="22"/>
                <w:lang w:eastAsia="en-IN"/>
                <w14:ligatures w14:val="none"/>
              </w:rPr>
            </w:pPr>
            <w:r w:rsidRPr="00C0587E">
              <w:rPr>
                <w:rFonts w:ascii="Arial" w:eastAsia="Arial" w:hAnsi="Arial" w:cs="Arial"/>
                <w:color w:val="000000" w:themeColor="text1"/>
                <w:sz w:val="22"/>
                <w:szCs w:val="22"/>
              </w:rPr>
              <w:t>0.48±0.05</w:t>
            </w:r>
            <w:r w:rsidRPr="00C0587E">
              <w:rPr>
                <w:rFonts w:ascii="Arial" w:eastAsia="Arial" w:hAnsi="Arial" w:cs="Arial"/>
                <w:color w:val="000000" w:themeColor="text1"/>
                <w:position w:val="10"/>
                <w:sz w:val="22"/>
                <w:szCs w:val="22"/>
                <w:vertAlign w:val="superscript"/>
              </w:rPr>
              <w:t>r</w:t>
            </w:r>
          </w:p>
        </w:tc>
      </w:tr>
      <w:tr w:rsidR="00A1551A" w:rsidRPr="00C0587E" w14:paraId="1854438B" w14:textId="77777777" w:rsidTr="00C01C55">
        <w:trPr>
          <w:trHeight w:val="128"/>
        </w:trPr>
        <w:tc>
          <w:tcPr>
            <w:tcW w:w="833" w:type="pct"/>
            <w:vMerge/>
            <w:tcBorders>
              <w:bottom w:val="single" w:sz="4" w:space="0" w:color="auto"/>
              <w:right w:val="single" w:sz="4" w:space="0" w:color="auto"/>
            </w:tcBorders>
            <w:vAlign w:val="center"/>
            <w:hideMark/>
          </w:tcPr>
          <w:p w14:paraId="3D3FDDF4" w14:textId="77777777" w:rsidR="00A1551A" w:rsidRPr="00C0587E" w:rsidRDefault="00A1551A" w:rsidP="00B435F6">
            <w:pPr>
              <w:spacing w:after="0" w:line="240" w:lineRule="auto"/>
              <w:rPr>
                <w:rFonts w:ascii="Arial" w:eastAsia="Times New Roman" w:hAnsi="Arial" w:cs="Arial"/>
                <w:color w:val="000000"/>
                <w:kern w:val="0"/>
                <w:sz w:val="22"/>
                <w:szCs w:val="22"/>
                <w:lang w:eastAsia="en-IN"/>
                <w14:ligatures w14:val="none"/>
              </w:rPr>
            </w:pPr>
          </w:p>
        </w:tc>
        <w:tc>
          <w:tcPr>
            <w:tcW w:w="783" w:type="pct"/>
            <w:tcBorders>
              <w:left w:val="single" w:sz="4" w:space="0" w:color="auto"/>
              <w:bottom w:val="single" w:sz="4" w:space="0" w:color="auto"/>
              <w:right w:val="single" w:sz="4" w:space="0" w:color="auto"/>
            </w:tcBorders>
            <w:vAlign w:val="center"/>
            <w:hideMark/>
          </w:tcPr>
          <w:p w14:paraId="5632B08E" w14:textId="5CB05154" w:rsidR="00A1551A" w:rsidRPr="00C0587E" w:rsidRDefault="00884617" w:rsidP="00B435F6">
            <w:pPr>
              <w:spacing w:after="0" w:line="240" w:lineRule="auto"/>
              <w:jc w:val="center"/>
              <w:rPr>
                <w:rFonts w:ascii="Arial" w:eastAsia="Times New Roman" w:hAnsi="Arial" w:cs="Arial"/>
                <w:color w:val="000000"/>
                <w:kern w:val="0"/>
                <w:sz w:val="22"/>
                <w:szCs w:val="22"/>
                <w:lang w:eastAsia="en-IN"/>
                <w14:ligatures w14:val="none"/>
              </w:rPr>
            </w:pPr>
            <w:r w:rsidRPr="00C0587E">
              <w:rPr>
                <w:rFonts w:ascii="Arial" w:eastAsia="Times New Roman" w:hAnsi="Arial" w:cs="Arial"/>
                <w:color w:val="000000"/>
                <w:kern w:val="0"/>
                <w:sz w:val="22"/>
                <w:szCs w:val="22"/>
                <w:lang w:eastAsia="en-IN"/>
                <w14:ligatures w14:val="none"/>
              </w:rPr>
              <w:t>T2</w:t>
            </w:r>
          </w:p>
        </w:tc>
        <w:tc>
          <w:tcPr>
            <w:tcW w:w="1251" w:type="pct"/>
            <w:tcBorders>
              <w:left w:val="single" w:sz="4" w:space="0" w:color="auto"/>
              <w:bottom w:val="single" w:sz="4" w:space="0" w:color="auto"/>
            </w:tcBorders>
            <w:vAlign w:val="center"/>
            <w:hideMark/>
          </w:tcPr>
          <w:p w14:paraId="71AC2C65" w14:textId="735ABB0A" w:rsidR="00A1551A" w:rsidRPr="00C0587E" w:rsidRDefault="00A1551A" w:rsidP="00B435F6">
            <w:pPr>
              <w:spacing w:after="0" w:line="240" w:lineRule="auto"/>
              <w:jc w:val="center"/>
              <w:rPr>
                <w:rFonts w:ascii="Arial" w:eastAsia="Times New Roman" w:hAnsi="Arial" w:cs="Arial"/>
                <w:color w:val="010205"/>
                <w:kern w:val="0"/>
                <w:sz w:val="22"/>
                <w:szCs w:val="22"/>
                <w:lang w:eastAsia="en-IN"/>
                <w14:ligatures w14:val="none"/>
              </w:rPr>
            </w:pPr>
            <w:r w:rsidRPr="00C0587E">
              <w:rPr>
                <w:rFonts w:ascii="Arial" w:eastAsia="Arial" w:hAnsi="Arial" w:cs="Arial"/>
                <w:color w:val="000000" w:themeColor="text1"/>
                <w:sz w:val="22"/>
                <w:szCs w:val="22"/>
              </w:rPr>
              <w:t>0.17±0.0</w:t>
            </w:r>
            <w:r w:rsidR="00620FBF" w:rsidRPr="00C0587E">
              <w:rPr>
                <w:rFonts w:ascii="Arial" w:eastAsia="Arial" w:hAnsi="Arial" w:cs="Arial"/>
                <w:color w:val="000000" w:themeColor="text1"/>
                <w:sz w:val="22"/>
                <w:szCs w:val="22"/>
              </w:rPr>
              <w:t>1</w:t>
            </w:r>
            <w:r w:rsidRPr="00C0587E">
              <w:rPr>
                <w:rFonts w:ascii="Arial" w:eastAsia="Arial" w:hAnsi="Arial" w:cs="Arial"/>
                <w:color w:val="000000" w:themeColor="text1"/>
                <w:position w:val="10"/>
                <w:sz w:val="22"/>
                <w:szCs w:val="22"/>
                <w:vertAlign w:val="superscript"/>
              </w:rPr>
              <w:t>b</w:t>
            </w:r>
          </w:p>
        </w:tc>
        <w:tc>
          <w:tcPr>
            <w:tcW w:w="942" w:type="pct"/>
            <w:tcBorders>
              <w:bottom w:val="single" w:sz="4" w:space="0" w:color="auto"/>
            </w:tcBorders>
            <w:vAlign w:val="center"/>
            <w:hideMark/>
          </w:tcPr>
          <w:p w14:paraId="753025B6" w14:textId="77777777" w:rsidR="00A1551A" w:rsidRPr="00C0587E" w:rsidRDefault="00A1551A" w:rsidP="00B435F6">
            <w:pPr>
              <w:spacing w:after="0" w:line="240" w:lineRule="auto"/>
              <w:jc w:val="center"/>
              <w:rPr>
                <w:rFonts w:ascii="Arial" w:eastAsia="Times New Roman" w:hAnsi="Arial" w:cs="Arial"/>
                <w:color w:val="000000"/>
                <w:kern w:val="0"/>
                <w:sz w:val="22"/>
                <w:szCs w:val="22"/>
                <w:lang w:eastAsia="en-IN"/>
                <w14:ligatures w14:val="none"/>
              </w:rPr>
            </w:pPr>
            <w:r w:rsidRPr="00C0587E">
              <w:rPr>
                <w:rFonts w:ascii="Arial" w:hAnsi="Arial" w:cs="Arial"/>
                <w:color w:val="000000" w:themeColor="text1"/>
                <w:sz w:val="22"/>
                <w:szCs w:val="22"/>
              </w:rPr>
              <w:t>0.43±0.06</w:t>
            </w:r>
            <w:r w:rsidRPr="00C0587E">
              <w:rPr>
                <w:rFonts w:ascii="Arial" w:hAnsi="Arial" w:cs="Arial"/>
                <w:color w:val="000000" w:themeColor="text1"/>
                <w:position w:val="10"/>
                <w:sz w:val="22"/>
                <w:szCs w:val="22"/>
                <w:vertAlign w:val="superscript"/>
              </w:rPr>
              <w:t>B</w:t>
            </w:r>
          </w:p>
        </w:tc>
        <w:tc>
          <w:tcPr>
            <w:tcW w:w="1191" w:type="pct"/>
            <w:tcBorders>
              <w:bottom w:val="single" w:sz="4" w:space="0" w:color="auto"/>
            </w:tcBorders>
            <w:vAlign w:val="center"/>
            <w:hideMark/>
          </w:tcPr>
          <w:p w14:paraId="53239D3E" w14:textId="77777777" w:rsidR="00A1551A" w:rsidRPr="00C0587E" w:rsidRDefault="00A1551A" w:rsidP="00B435F6">
            <w:pPr>
              <w:spacing w:after="0" w:line="240" w:lineRule="auto"/>
              <w:jc w:val="center"/>
              <w:rPr>
                <w:rFonts w:ascii="Arial" w:eastAsia="Times New Roman" w:hAnsi="Arial" w:cs="Arial"/>
                <w:color w:val="010205"/>
                <w:kern w:val="0"/>
                <w:sz w:val="22"/>
                <w:szCs w:val="22"/>
                <w:lang w:eastAsia="en-IN"/>
                <w14:ligatures w14:val="none"/>
              </w:rPr>
            </w:pPr>
            <w:r w:rsidRPr="00C0587E">
              <w:rPr>
                <w:rFonts w:ascii="Arial" w:eastAsia="Arial" w:hAnsi="Arial" w:cs="Arial"/>
                <w:color w:val="000000" w:themeColor="text1"/>
                <w:sz w:val="22"/>
                <w:szCs w:val="22"/>
              </w:rPr>
              <w:t>0.59±0.11</w:t>
            </w:r>
            <w:r w:rsidRPr="00C0587E">
              <w:rPr>
                <w:rFonts w:ascii="Arial" w:eastAsia="Arial" w:hAnsi="Arial" w:cs="Arial"/>
                <w:color w:val="000000" w:themeColor="text1"/>
                <w:position w:val="10"/>
                <w:sz w:val="22"/>
                <w:szCs w:val="22"/>
                <w:vertAlign w:val="superscript"/>
              </w:rPr>
              <w:t>r</w:t>
            </w:r>
          </w:p>
        </w:tc>
      </w:tr>
    </w:tbl>
    <w:p w14:paraId="70D90C80" w14:textId="4C85185C" w:rsidR="00C01C55" w:rsidRDefault="00C01C55" w:rsidP="00915BCB">
      <w:pPr>
        <w:spacing w:after="4" w:line="249" w:lineRule="auto"/>
        <w:ind w:left="-5" w:right="-123" w:hanging="10"/>
        <w:jc w:val="center"/>
        <w:rPr>
          <w:rFonts w:ascii="Arial" w:hAnsi="Arial" w:cs="Arial"/>
          <w:bCs/>
          <w:sz w:val="20"/>
          <w:szCs w:val="20"/>
        </w:rPr>
      </w:pPr>
      <w:r w:rsidRPr="008A16D3">
        <w:rPr>
          <w:rFonts w:ascii="Arial" w:hAnsi="Arial" w:cs="Arial"/>
          <w:sz w:val="20"/>
          <w:szCs w:val="20"/>
        </w:rPr>
        <w:t>(</w:t>
      </w:r>
      <w:r w:rsidRPr="008A16D3">
        <w:rPr>
          <w:rFonts w:ascii="Arial" w:hAnsi="Arial" w:cs="Arial"/>
          <w:bCs/>
          <w:sz w:val="20"/>
          <w:szCs w:val="20"/>
        </w:rPr>
        <w:t xml:space="preserve">*Note </w:t>
      </w:r>
      <w:r w:rsidR="00DA6F8B">
        <w:rPr>
          <w:rFonts w:ascii="Arial" w:hAnsi="Arial" w:cs="Arial"/>
          <w:bCs/>
          <w:sz w:val="20"/>
          <w:szCs w:val="20"/>
        </w:rPr>
        <w:t xml:space="preserve">C= Control, </w:t>
      </w:r>
      <w:r w:rsidRPr="008A16D3">
        <w:rPr>
          <w:rFonts w:ascii="Arial" w:hAnsi="Arial" w:cs="Arial"/>
          <w:bCs/>
          <w:sz w:val="20"/>
          <w:szCs w:val="20"/>
        </w:rPr>
        <w:t xml:space="preserve">T1= Bio-floc (20:1), </w:t>
      </w:r>
      <w:r w:rsidR="00A96EE9">
        <w:rPr>
          <w:rFonts w:ascii="Arial" w:hAnsi="Arial" w:cs="Arial"/>
          <w:bCs/>
          <w:sz w:val="20"/>
          <w:szCs w:val="20"/>
        </w:rPr>
        <w:t>T2</w:t>
      </w:r>
      <w:r w:rsidRPr="008A16D3">
        <w:rPr>
          <w:rFonts w:ascii="Arial" w:hAnsi="Arial" w:cs="Arial"/>
          <w:bCs/>
          <w:sz w:val="20"/>
          <w:szCs w:val="20"/>
        </w:rPr>
        <w:t>=Biofloc (20:1) + 0.5% Jeevamruth; The mean values followed by the different superscript letters in each factor indicate significant difference at 0.05.)</w:t>
      </w:r>
    </w:p>
    <w:p w14:paraId="453016BD" w14:textId="77777777" w:rsidR="005C3C0A" w:rsidRPr="006079B2" w:rsidRDefault="005C3C0A" w:rsidP="00446E39">
      <w:pPr>
        <w:rPr>
          <w:rFonts w:ascii="Arial" w:hAnsi="Arial" w:cs="Arial"/>
          <w:b/>
          <w:bCs/>
        </w:rPr>
      </w:pPr>
    </w:p>
    <w:p w14:paraId="5284C19E" w14:textId="03328BF6" w:rsidR="00A1551A" w:rsidRPr="006079B2" w:rsidRDefault="005C3C0A" w:rsidP="00446E39">
      <w:pPr>
        <w:rPr>
          <w:rFonts w:ascii="Arial" w:hAnsi="Arial" w:cs="Arial"/>
          <w:b/>
          <w:bCs/>
        </w:rPr>
      </w:pPr>
      <w:r w:rsidRPr="006079B2">
        <w:rPr>
          <w:rFonts w:ascii="Arial" w:hAnsi="Arial" w:cs="Arial"/>
          <w:noProof/>
        </w:rPr>
        <w:lastRenderedPageBreak/>
        <w:drawing>
          <wp:inline distT="0" distB="0" distL="0" distR="0" wp14:anchorId="50CBE477" wp14:editId="5F84A2D0">
            <wp:extent cx="5486400" cy="2695575"/>
            <wp:effectExtent l="0" t="0" r="0" b="0"/>
            <wp:docPr id="850780563"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30"/>
              </a:graphicData>
            </a:graphic>
          </wp:inline>
        </w:drawing>
      </w:r>
    </w:p>
    <w:p w14:paraId="109DA208" w14:textId="1B7D0DAB" w:rsidR="00726987" w:rsidRDefault="00726987" w:rsidP="00726987">
      <w:pPr>
        <w:spacing w:line="360" w:lineRule="auto"/>
        <w:jc w:val="center"/>
        <w:rPr>
          <w:rFonts w:ascii="Arial" w:hAnsi="Arial" w:cs="Arial"/>
          <w:b/>
          <w:sz w:val="20"/>
          <w:szCs w:val="20"/>
        </w:rPr>
      </w:pPr>
      <w:r w:rsidRPr="00A152F0">
        <w:rPr>
          <w:rFonts w:ascii="Arial" w:hAnsi="Arial" w:cs="Arial"/>
          <w:b/>
          <w:sz w:val="20"/>
          <w:szCs w:val="20"/>
        </w:rPr>
        <w:t>Figure 1</w:t>
      </w:r>
      <w:r w:rsidR="00FB120A">
        <w:rPr>
          <w:rFonts w:ascii="Arial" w:hAnsi="Arial" w:cs="Arial"/>
          <w:b/>
          <w:sz w:val="20"/>
          <w:szCs w:val="20"/>
        </w:rPr>
        <w:t>4</w:t>
      </w:r>
      <w:r w:rsidRPr="00A152F0">
        <w:rPr>
          <w:rFonts w:ascii="Arial" w:hAnsi="Arial" w:cs="Arial"/>
          <w:b/>
          <w:sz w:val="20"/>
          <w:szCs w:val="20"/>
        </w:rPr>
        <w:t>:</w:t>
      </w:r>
      <w:r>
        <w:rPr>
          <w:rFonts w:ascii="Arial" w:hAnsi="Arial" w:cs="Arial"/>
          <w:b/>
          <w:sz w:val="20"/>
          <w:szCs w:val="20"/>
        </w:rPr>
        <w:t xml:space="preserve"> </w:t>
      </w:r>
      <w:r w:rsidRPr="00224BC0">
        <w:rPr>
          <w:rFonts w:ascii="Arial" w:hAnsi="Arial" w:cs="Arial"/>
          <w:b/>
          <w:sz w:val="20"/>
          <w:szCs w:val="20"/>
        </w:rPr>
        <w:t xml:space="preserve">Average </w:t>
      </w:r>
      <w:r w:rsidR="00FB120A">
        <w:rPr>
          <w:rFonts w:ascii="Arial" w:hAnsi="Arial" w:cs="Arial"/>
          <w:b/>
          <w:bCs/>
          <w:sz w:val="20"/>
          <w:szCs w:val="20"/>
        </w:rPr>
        <w:t>Protein Efficiency Ratio</w:t>
      </w:r>
      <w:r w:rsidRPr="00224BC0">
        <w:rPr>
          <w:rFonts w:ascii="Arial" w:hAnsi="Arial" w:cs="Arial"/>
          <w:b/>
          <w:sz w:val="20"/>
          <w:szCs w:val="20"/>
        </w:rPr>
        <w:t xml:space="preserve"> Value Recorded During the Experiment</w:t>
      </w:r>
    </w:p>
    <w:p w14:paraId="4A0BBA64" w14:textId="201CF907" w:rsidR="00D36BD5" w:rsidRDefault="00D36BD5" w:rsidP="00D36BD5">
      <w:pPr>
        <w:spacing w:line="276" w:lineRule="auto"/>
        <w:ind w:firstLine="720"/>
        <w:jc w:val="both"/>
        <w:rPr>
          <w:rFonts w:ascii="Arial" w:hAnsi="Arial" w:cs="Arial"/>
          <w:bCs/>
          <w:sz w:val="20"/>
          <w:szCs w:val="20"/>
        </w:rPr>
      </w:pPr>
      <w:r w:rsidRPr="00D36BD5">
        <w:rPr>
          <w:rFonts w:ascii="Arial" w:hAnsi="Arial" w:cs="Arial"/>
          <w:bCs/>
          <w:sz w:val="20"/>
          <w:szCs w:val="20"/>
        </w:rPr>
        <w:t>Fish reared in T2 recorded the highest PER at day 60 (0.59 ± 0.11), while the lowest values were observed in T1. The progressive increase in PER with culture duration across all treatments suggests improved protein utilization, with the most pronounced effect observed in the Jeevamruth-supplemented system.</w:t>
      </w:r>
    </w:p>
    <w:p w14:paraId="4BF1D66C" w14:textId="77777777" w:rsidR="00172D23" w:rsidRPr="00D36BD5" w:rsidRDefault="00172D23" w:rsidP="00D36BD5">
      <w:pPr>
        <w:spacing w:line="276" w:lineRule="auto"/>
        <w:ind w:firstLine="720"/>
        <w:jc w:val="both"/>
        <w:rPr>
          <w:rFonts w:ascii="Arial" w:hAnsi="Arial" w:cs="Arial"/>
          <w:bCs/>
          <w:sz w:val="20"/>
          <w:szCs w:val="20"/>
        </w:rPr>
      </w:pPr>
    </w:p>
    <w:p w14:paraId="6894AD7F" w14:textId="637813D4" w:rsidR="00200CC3" w:rsidRDefault="00E05B72" w:rsidP="00E05B72">
      <w:pPr>
        <w:spacing w:line="360" w:lineRule="auto"/>
        <w:rPr>
          <w:rFonts w:ascii="Arial" w:hAnsi="Arial" w:cs="Arial"/>
          <w:b/>
          <w:bCs/>
          <w:sz w:val="20"/>
          <w:szCs w:val="20"/>
          <w:u w:val="single"/>
        </w:rPr>
      </w:pPr>
      <w:r>
        <w:rPr>
          <w:rFonts w:ascii="Arial" w:hAnsi="Arial" w:cs="Arial"/>
          <w:b/>
          <w:bCs/>
          <w:sz w:val="20"/>
          <w:szCs w:val="20"/>
          <w:u w:val="single"/>
        </w:rPr>
        <w:t xml:space="preserve">3.2.7 </w:t>
      </w:r>
      <w:r w:rsidR="00200CC3" w:rsidRPr="00E05B72">
        <w:rPr>
          <w:rFonts w:ascii="Arial" w:hAnsi="Arial" w:cs="Arial"/>
          <w:b/>
          <w:bCs/>
          <w:sz w:val="20"/>
          <w:szCs w:val="20"/>
          <w:u w:val="single"/>
        </w:rPr>
        <w:t>Lipid efficiency ratio recorded during experimental period.</w:t>
      </w:r>
    </w:p>
    <w:p w14:paraId="3614E637" w14:textId="28BB1FD6" w:rsidR="00634588" w:rsidRPr="00E05B72" w:rsidRDefault="00634588" w:rsidP="00E05B72">
      <w:pPr>
        <w:spacing w:line="360" w:lineRule="auto"/>
        <w:rPr>
          <w:rFonts w:ascii="Arial" w:hAnsi="Arial" w:cs="Arial"/>
          <w:b/>
          <w:bCs/>
          <w:sz w:val="20"/>
          <w:szCs w:val="20"/>
          <w:u w:val="single"/>
        </w:rPr>
      </w:pPr>
      <w:r w:rsidRPr="00224BC0">
        <w:rPr>
          <w:rFonts w:ascii="Arial" w:hAnsi="Arial" w:cs="Arial"/>
          <w:b/>
          <w:sz w:val="20"/>
          <w:szCs w:val="20"/>
        </w:rPr>
        <w:t xml:space="preserve">Table </w:t>
      </w:r>
      <w:r w:rsidR="001B5CD5">
        <w:rPr>
          <w:rFonts w:ascii="Arial" w:hAnsi="Arial" w:cs="Arial"/>
          <w:b/>
          <w:sz w:val="20"/>
          <w:szCs w:val="20"/>
        </w:rPr>
        <w:t>15</w:t>
      </w:r>
      <w:r w:rsidRPr="00224BC0">
        <w:rPr>
          <w:rFonts w:ascii="Arial" w:hAnsi="Arial" w:cs="Arial"/>
          <w:b/>
          <w:sz w:val="20"/>
          <w:szCs w:val="20"/>
        </w:rPr>
        <w:t xml:space="preserve">: Average </w:t>
      </w:r>
      <w:r>
        <w:rPr>
          <w:rFonts w:ascii="Arial" w:hAnsi="Arial" w:cs="Arial"/>
          <w:b/>
          <w:bCs/>
          <w:sz w:val="20"/>
          <w:szCs w:val="20"/>
        </w:rPr>
        <w:t xml:space="preserve">Lipid Efficiency Ratio </w:t>
      </w:r>
      <w:r w:rsidRPr="00224BC0">
        <w:rPr>
          <w:rFonts w:ascii="Arial" w:hAnsi="Arial" w:cs="Arial"/>
          <w:b/>
          <w:sz w:val="20"/>
          <w:szCs w:val="20"/>
        </w:rPr>
        <w:t xml:space="preserve">Recorded During the </w:t>
      </w:r>
      <w:commentRangeStart w:id="14"/>
      <w:r w:rsidRPr="00224BC0">
        <w:rPr>
          <w:rFonts w:ascii="Arial" w:hAnsi="Arial" w:cs="Arial"/>
          <w:b/>
          <w:sz w:val="20"/>
          <w:szCs w:val="20"/>
        </w:rPr>
        <w:t>Experiment</w:t>
      </w:r>
      <w:commentRangeEnd w:id="14"/>
      <w:r w:rsidR="00D519C3">
        <w:rPr>
          <w:rStyle w:val="Refdecomentario"/>
        </w:rPr>
        <w:commentReference w:id="14"/>
      </w:r>
    </w:p>
    <w:tbl>
      <w:tblPr>
        <w:tblW w:w="5000" w:type="pct"/>
        <w:tblLook w:val="04A0" w:firstRow="1" w:lastRow="0" w:firstColumn="1" w:lastColumn="0" w:noHBand="0" w:noVBand="1"/>
      </w:tblPr>
      <w:tblGrid>
        <w:gridCol w:w="1504"/>
        <w:gridCol w:w="1487"/>
        <w:gridCol w:w="2217"/>
        <w:gridCol w:w="1695"/>
        <w:gridCol w:w="2123"/>
      </w:tblGrid>
      <w:tr w:rsidR="00200CC3" w:rsidRPr="00C0587E" w14:paraId="6D0131F5" w14:textId="77777777" w:rsidTr="00560687">
        <w:trPr>
          <w:trHeight w:val="292"/>
        </w:trPr>
        <w:tc>
          <w:tcPr>
            <w:tcW w:w="833" w:type="pct"/>
            <w:tcBorders>
              <w:top w:val="single" w:sz="4" w:space="0" w:color="auto"/>
              <w:bottom w:val="single" w:sz="4" w:space="0" w:color="auto"/>
              <w:right w:val="single" w:sz="4" w:space="0" w:color="auto"/>
            </w:tcBorders>
            <w:vAlign w:val="center"/>
            <w:hideMark/>
          </w:tcPr>
          <w:p w14:paraId="2AD0BE93" w14:textId="77777777" w:rsidR="00200CC3" w:rsidRPr="00C0587E" w:rsidRDefault="00200CC3" w:rsidP="00572D48">
            <w:pPr>
              <w:spacing w:after="0" w:line="240" w:lineRule="auto"/>
              <w:jc w:val="both"/>
              <w:rPr>
                <w:rFonts w:ascii="Arial" w:eastAsia="Times New Roman" w:hAnsi="Arial" w:cs="Arial"/>
                <w:color w:val="000000"/>
                <w:kern w:val="0"/>
                <w:sz w:val="22"/>
                <w:szCs w:val="22"/>
                <w:lang w:eastAsia="en-IN"/>
                <w14:ligatures w14:val="none"/>
              </w:rPr>
            </w:pPr>
            <w:r w:rsidRPr="00C0587E">
              <w:rPr>
                <w:rFonts w:ascii="Arial" w:eastAsia="Times New Roman" w:hAnsi="Arial" w:cs="Arial"/>
                <w:color w:val="000000"/>
                <w:kern w:val="0"/>
                <w:sz w:val="22"/>
                <w:szCs w:val="22"/>
                <w:lang w:eastAsia="en-IN"/>
                <w14:ligatures w14:val="none"/>
              </w:rPr>
              <w:t xml:space="preserve">Parameter </w:t>
            </w:r>
          </w:p>
        </w:tc>
        <w:tc>
          <w:tcPr>
            <w:tcW w:w="824" w:type="pct"/>
            <w:tcBorders>
              <w:top w:val="single" w:sz="4" w:space="0" w:color="auto"/>
              <w:left w:val="single" w:sz="4" w:space="0" w:color="auto"/>
              <w:bottom w:val="single" w:sz="4" w:space="0" w:color="auto"/>
              <w:right w:val="single" w:sz="4" w:space="0" w:color="auto"/>
            </w:tcBorders>
            <w:vAlign w:val="center"/>
            <w:hideMark/>
          </w:tcPr>
          <w:p w14:paraId="252BD449" w14:textId="77777777" w:rsidR="00200CC3" w:rsidRPr="00C0587E" w:rsidRDefault="00200CC3" w:rsidP="00572D48">
            <w:pPr>
              <w:spacing w:after="0" w:line="240" w:lineRule="auto"/>
              <w:jc w:val="center"/>
              <w:rPr>
                <w:rFonts w:ascii="Arial" w:eastAsia="Times New Roman" w:hAnsi="Arial" w:cs="Arial"/>
                <w:color w:val="000000"/>
                <w:kern w:val="0"/>
                <w:sz w:val="22"/>
                <w:szCs w:val="22"/>
                <w:lang w:eastAsia="en-IN"/>
                <w14:ligatures w14:val="none"/>
              </w:rPr>
            </w:pPr>
            <w:r w:rsidRPr="00C0587E">
              <w:rPr>
                <w:rFonts w:ascii="Arial" w:eastAsia="Times New Roman" w:hAnsi="Arial" w:cs="Arial"/>
                <w:color w:val="000000"/>
                <w:kern w:val="0"/>
                <w:sz w:val="22"/>
                <w:szCs w:val="22"/>
                <w:lang w:eastAsia="en-IN"/>
                <w14:ligatures w14:val="none"/>
              </w:rPr>
              <w:t>Treatment</w:t>
            </w:r>
          </w:p>
        </w:tc>
        <w:tc>
          <w:tcPr>
            <w:tcW w:w="1228" w:type="pct"/>
            <w:tcBorders>
              <w:top w:val="single" w:sz="4" w:space="0" w:color="auto"/>
              <w:left w:val="single" w:sz="4" w:space="0" w:color="auto"/>
              <w:bottom w:val="single" w:sz="4" w:space="0" w:color="auto"/>
            </w:tcBorders>
            <w:vAlign w:val="center"/>
            <w:hideMark/>
          </w:tcPr>
          <w:p w14:paraId="1D7BC7EB" w14:textId="77777777" w:rsidR="00200CC3" w:rsidRPr="00C0587E" w:rsidRDefault="00200CC3" w:rsidP="00572D48">
            <w:pPr>
              <w:spacing w:after="0" w:line="240" w:lineRule="auto"/>
              <w:jc w:val="center"/>
              <w:rPr>
                <w:rFonts w:ascii="Arial" w:eastAsia="Times New Roman" w:hAnsi="Arial" w:cs="Arial"/>
                <w:color w:val="000000"/>
                <w:kern w:val="0"/>
                <w:sz w:val="22"/>
                <w:szCs w:val="22"/>
                <w:lang w:eastAsia="en-IN"/>
                <w14:ligatures w14:val="none"/>
              </w:rPr>
            </w:pPr>
            <w:r w:rsidRPr="00C0587E">
              <w:rPr>
                <w:rFonts w:ascii="Arial" w:eastAsia="Times New Roman" w:hAnsi="Arial" w:cs="Arial"/>
                <w:color w:val="000000"/>
                <w:kern w:val="0"/>
                <w:sz w:val="22"/>
                <w:szCs w:val="22"/>
                <w:lang w:eastAsia="en-IN"/>
                <w14:ligatures w14:val="none"/>
              </w:rPr>
              <w:t>20</w:t>
            </w:r>
            <w:r w:rsidRPr="00C0587E">
              <w:rPr>
                <w:rFonts w:ascii="Arial" w:eastAsia="Times New Roman" w:hAnsi="Arial" w:cs="Arial"/>
                <w:color w:val="000000"/>
                <w:kern w:val="0"/>
                <w:sz w:val="22"/>
                <w:szCs w:val="22"/>
                <w:vertAlign w:val="superscript"/>
                <w:lang w:eastAsia="en-IN"/>
                <w14:ligatures w14:val="none"/>
              </w:rPr>
              <w:t>th</w:t>
            </w:r>
            <w:r w:rsidRPr="00C0587E">
              <w:rPr>
                <w:rFonts w:ascii="Arial" w:eastAsia="Times New Roman" w:hAnsi="Arial" w:cs="Arial"/>
                <w:color w:val="000000"/>
                <w:kern w:val="0"/>
                <w:sz w:val="22"/>
                <w:szCs w:val="22"/>
                <w:lang w:eastAsia="en-IN"/>
                <w14:ligatures w14:val="none"/>
              </w:rPr>
              <w:t xml:space="preserve"> DAY</w:t>
            </w:r>
          </w:p>
        </w:tc>
        <w:tc>
          <w:tcPr>
            <w:tcW w:w="939" w:type="pct"/>
            <w:tcBorders>
              <w:top w:val="single" w:sz="4" w:space="0" w:color="auto"/>
              <w:bottom w:val="single" w:sz="4" w:space="0" w:color="auto"/>
            </w:tcBorders>
            <w:vAlign w:val="center"/>
            <w:hideMark/>
          </w:tcPr>
          <w:p w14:paraId="30B13C38" w14:textId="77777777" w:rsidR="00200CC3" w:rsidRPr="00C0587E" w:rsidRDefault="00200CC3" w:rsidP="00572D48">
            <w:pPr>
              <w:spacing w:after="0" w:line="240" w:lineRule="auto"/>
              <w:jc w:val="center"/>
              <w:rPr>
                <w:rFonts w:ascii="Arial" w:eastAsia="Times New Roman" w:hAnsi="Arial" w:cs="Arial"/>
                <w:color w:val="000000"/>
                <w:kern w:val="0"/>
                <w:sz w:val="22"/>
                <w:szCs w:val="22"/>
                <w:lang w:eastAsia="en-IN"/>
                <w14:ligatures w14:val="none"/>
              </w:rPr>
            </w:pPr>
            <w:r w:rsidRPr="00C0587E">
              <w:rPr>
                <w:rFonts w:ascii="Arial" w:eastAsia="Times New Roman" w:hAnsi="Arial" w:cs="Arial"/>
                <w:color w:val="000000"/>
                <w:kern w:val="0"/>
                <w:sz w:val="22"/>
                <w:szCs w:val="22"/>
                <w:lang w:eastAsia="en-IN"/>
                <w14:ligatures w14:val="none"/>
              </w:rPr>
              <w:t>40</w:t>
            </w:r>
            <w:r w:rsidRPr="00C0587E">
              <w:rPr>
                <w:rFonts w:ascii="Arial" w:eastAsia="Times New Roman" w:hAnsi="Arial" w:cs="Arial"/>
                <w:color w:val="000000"/>
                <w:kern w:val="0"/>
                <w:sz w:val="22"/>
                <w:szCs w:val="22"/>
                <w:vertAlign w:val="superscript"/>
                <w:lang w:eastAsia="en-IN"/>
                <w14:ligatures w14:val="none"/>
              </w:rPr>
              <w:t>th</w:t>
            </w:r>
            <w:r w:rsidRPr="00C0587E">
              <w:rPr>
                <w:rFonts w:ascii="Arial" w:eastAsia="Times New Roman" w:hAnsi="Arial" w:cs="Arial"/>
                <w:color w:val="000000"/>
                <w:kern w:val="0"/>
                <w:sz w:val="22"/>
                <w:szCs w:val="22"/>
                <w:lang w:eastAsia="en-IN"/>
                <w14:ligatures w14:val="none"/>
              </w:rPr>
              <w:t>DAY</w:t>
            </w:r>
          </w:p>
        </w:tc>
        <w:tc>
          <w:tcPr>
            <w:tcW w:w="1176" w:type="pct"/>
            <w:tcBorders>
              <w:top w:val="single" w:sz="4" w:space="0" w:color="auto"/>
              <w:bottom w:val="single" w:sz="4" w:space="0" w:color="auto"/>
            </w:tcBorders>
            <w:vAlign w:val="center"/>
            <w:hideMark/>
          </w:tcPr>
          <w:p w14:paraId="1A5FEC84" w14:textId="77777777" w:rsidR="00200CC3" w:rsidRPr="00C0587E" w:rsidRDefault="00200CC3" w:rsidP="00572D48">
            <w:pPr>
              <w:spacing w:after="0" w:line="240" w:lineRule="auto"/>
              <w:jc w:val="center"/>
              <w:rPr>
                <w:rFonts w:ascii="Arial" w:eastAsia="Times New Roman" w:hAnsi="Arial" w:cs="Arial"/>
                <w:color w:val="000000"/>
                <w:kern w:val="0"/>
                <w:sz w:val="22"/>
                <w:szCs w:val="22"/>
                <w:lang w:eastAsia="en-IN"/>
                <w14:ligatures w14:val="none"/>
              </w:rPr>
            </w:pPr>
            <w:r w:rsidRPr="00C0587E">
              <w:rPr>
                <w:rFonts w:ascii="Arial" w:eastAsia="Times New Roman" w:hAnsi="Arial" w:cs="Arial"/>
                <w:color w:val="000000"/>
                <w:kern w:val="0"/>
                <w:sz w:val="22"/>
                <w:szCs w:val="22"/>
                <w:lang w:eastAsia="en-IN"/>
                <w14:ligatures w14:val="none"/>
              </w:rPr>
              <w:t>60</w:t>
            </w:r>
            <w:r w:rsidRPr="00C0587E">
              <w:rPr>
                <w:rFonts w:ascii="Arial" w:eastAsia="Times New Roman" w:hAnsi="Arial" w:cs="Arial"/>
                <w:color w:val="000000"/>
                <w:kern w:val="0"/>
                <w:sz w:val="22"/>
                <w:szCs w:val="22"/>
                <w:vertAlign w:val="superscript"/>
                <w:lang w:eastAsia="en-IN"/>
                <w14:ligatures w14:val="none"/>
              </w:rPr>
              <w:t>th</w:t>
            </w:r>
            <w:r w:rsidRPr="00C0587E">
              <w:rPr>
                <w:rFonts w:ascii="Arial" w:eastAsia="Times New Roman" w:hAnsi="Arial" w:cs="Arial"/>
                <w:color w:val="000000"/>
                <w:kern w:val="0"/>
                <w:sz w:val="22"/>
                <w:szCs w:val="22"/>
                <w:lang w:eastAsia="en-IN"/>
                <w14:ligatures w14:val="none"/>
              </w:rPr>
              <w:t xml:space="preserve"> DAY</w:t>
            </w:r>
          </w:p>
        </w:tc>
      </w:tr>
      <w:tr w:rsidR="00484C21" w:rsidRPr="00C0587E" w14:paraId="2FD6DE15" w14:textId="77777777" w:rsidTr="00560687">
        <w:trPr>
          <w:trHeight w:val="292"/>
        </w:trPr>
        <w:tc>
          <w:tcPr>
            <w:tcW w:w="833" w:type="pct"/>
            <w:vMerge w:val="restart"/>
            <w:tcBorders>
              <w:top w:val="single" w:sz="4" w:space="0" w:color="auto"/>
              <w:right w:val="single" w:sz="4" w:space="0" w:color="auto"/>
            </w:tcBorders>
            <w:vAlign w:val="center"/>
            <w:hideMark/>
          </w:tcPr>
          <w:p w14:paraId="61E67212" w14:textId="08A9D904" w:rsidR="00484C21" w:rsidRPr="00C0587E" w:rsidRDefault="00484C21" w:rsidP="00572D48">
            <w:pPr>
              <w:spacing w:after="0" w:line="240" w:lineRule="auto"/>
              <w:jc w:val="center"/>
              <w:rPr>
                <w:rFonts w:ascii="Arial" w:eastAsia="Times New Roman" w:hAnsi="Arial" w:cs="Arial"/>
                <w:color w:val="000000"/>
                <w:kern w:val="0"/>
                <w:sz w:val="22"/>
                <w:szCs w:val="22"/>
                <w:lang w:eastAsia="en-IN"/>
                <w14:ligatures w14:val="none"/>
              </w:rPr>
            </w:pPr>
            <w:r w:rsidRPr="00C0587E">
              <w:rPr>
                <w:rFonts w:ascii="Arial" w:eastAsia="Times New Roman" w:hAnsi="Arial" w:cs="Arial"/>
                <w:bCs/>
                <w:color w:val="000000"/>
                <w:kern w:val="0"/>
                <w:sz w:val="22"/>
                <w:szCs w:val="22"/>
                <w:lang w:eastAsia="en-IN"/>
                <w14:ligatures w14:val="none"/>
              </w:rPr>
              <w:t>LER</w:t>
            </w:r>
          </w:p>
        </w:tc>
        <w:tc>
          <w:tcPr>
            <w:tcW w:w="824" w:type="pct"/>
            <w:tcBorders>
              <w:top w:val="single" w:sz="4" w:space="0" w:color="auto"/>
              <w:left w:val="single" w:sz="4" w:space="0" w:color="auto"/>
              <w:right w:val="single" w:sz="4" w:space="0" w:color="auto"/>
            </w:tcBorders>
            <w:vAlign w:val="center"/>
            <w:hideMark/>
          </w:tcPr>
          <w:p w14:paraId="60B3164C" w14:textId="77777777" w:rsidR="00484C21" w:rsidRPr="00C0587E" w:rsidRDefault="00484C21" w:rsidP="00572D48">
            <w:pPr>
              <w:spacing w:after="0" w:line="240" w:lineRule="auto"/>
              <w:jc w:val="center"/>
              <w:rPr>
                <w:rFonts w:ascii="Arial" w:eastAsia="Times New Roman" w:hAnsi="Arial" w:cs="Arial"/>
                <w:color w:val="000000"/>
                <w:kern w:val="0"/>
                <w:sz w:val="22"/>
                <w:szCs w:val="22"/>
                <w:lang w:eastAsia="en-IN"/>
                <w14:ligatures w14:val="none"/>
              </w:rPr>
            </w:pPr>
            <w:r w:rsidRPr="00C0587E">
              <w:rPr>
                <w:rFonts w:ascii="Arial" w:eastAsia="Times New Roman" w:hAnsi="Arial" w:cs="Arial"/>
                <w:color w:val="000000"/>
                <w:kern w:val="0"/>
                <w:sz w:val="22"/>
                <w:szCs w:val="22"/>
                <w:lang w:eastAsia="en-IN"/>
                <w14:ligatures w14:val="none"/>
              </w:rPr>
              <w:t>C</w:t>
            </w:r>
          </w:p>
        </w:tc>
        <w:tc>
          <w:tcPr>
            <w:tcW w:w="1228" w:type="pct"/>
            <w:tcBorders>
              <w:top w:val="single" w:sz="4" w:space="0" w:color="auto"/>
              <w:left w:val="single" w:sz="4" w:space="0" w:color="auto"/>
            </w:tcBorders>
            <w:vAlign w:val="center"/>
            <w:hideMark/>
          </w:tcPr>
          <w:p w14:paraId="516B41D1" w14:textId="77777777" w:rsidR="00484C21" w:rsidRPr="00C0587E" w:rsidRDefault="00484C21" w:rsidP="00572D48">
            <w:pPr>
              <w:spacing w:after="0" w:line="240" w:lineRule="auto"/>
              <w:jc w:val="center"/>
              <w:rPr>
                <w:rFonts w:ascii="Arial" w:eastAsia="Times New Roman" w:hAnsi="Arial" w:cs="Arial"/>
                <w:color w:val="000000"/>
                <w:kern w:val="0"/>
                <w:sz w:val="22"/>
                <w:szCs w:val="22"/>
                <w:lang w:eastAsia="en-IN"/>
                <w14:ligatures w14:val="none"/>
              </w:rPr>
            </w:pPr>
            <w:r w:rsidRPr="00C0587E">
              <w:rPr>
                <w:rFonts w:ascii="Arial" w:hAnsi="Arial" w:cs="Arial"/>
                <w:color w:val="000000" w:themeColor="text1"/>
                <w:sz w:val="22"/>
                <w:szCs w:val="22"/>
              </w:rPr>
              <w:t>0.75±0.15</w:t>
            </w:r>
            <w:r w:rsidRPr="00C0587E">
              <w:rPr>
                <w:rFonts w:ascii="Arial" w:hAnsi="Arial" w:cs="Arial"/>
                <w:color w:val="000000" w:themeColor="text1"/>
                <w:position w:val="10"/>
                <w:sz w:val="22"/>
                <w:szCs w:val="22"/>
                <w:vertAlign w:val="superscript"/>
              </w:rPr>
              <w:t>b</w:t>
            </w:r>
          </w:p>
        </w:tc>
        <w:tc>
          <w:tcPr>
            <w:tcW w:w="939" w:type="pct"/>
            <w:tcBorders>
              <w:top w:val="single" w:sz="4" w:space="0" w:color="auto"/>
            </w:tcBorders>
            <w:vAlign w:val="center"/>
            <w:hideMark/>
          </w:tcPr>
          <w:p w14:paraId="1AC8D176" w14:textId="77777777" w:rsidR="00484C21" w:rsidRPr="00C0587E" w:rsidRDefault="00484C21" w:rsidP="00572D48">
            <w:pPr>
              <w:spacing w:after="0" w:line="240" w:lineRule="auto"/>
              <w:jc w:val="center"/>
              <w:rPr>
                <w:rFonts w:ascii="Arial" w:eastAsia="Times New Roman" w:hAnsi="Arial" w:cs="Arial"/>
                <w:color w:val="000000"/>
                <w:kern w:val="0"/>
                <w:sz w:val="22"/>
                <w:szCs w:val="22"/>
                <w:lang w:eastAsia="en-IN"/>
                <w14:ligatures w14:val="none"/>
              </w:rPr>
            </w:pPr>
            <w:r w:rsidRPr="00C0587E">
              <w:rPr>
                <w:rFonts w:ascii="Arial" w:hAnsi="Arial" w:cs="Arial"/>
                <w:color w:val="000000" w:themeColor="text1"/>
                <w:sz w:val="22"/>
                <w:szCs w:val="22"/>
              </w:rPr>
              <w:t>1.92±0.45</w:t>
            </w:r>
            <w:r w:rsidRPr="00C0587E">
              <w:rPr>
                <w:rFonts w:ascii="Arial" w:hAnsi="Arial" w:cs="Arial"/>
                <w:color w:val="000000" w:themeColor="text1"/>
                <w:position w:val="10"/>
                <w:sz w:val="22"/>
                <w:szCs w:val="22"/>
                <w:vertAlign w:val="superscript"/>
              </w:rPr>
              <w:t>B</w:t>
            </w:r>
          </w:p>
        </w:tc>
        <w:tc>
          <w:tcPr>
            <w:tcW w:w="1176" w:type="pct"/>
            <w:tcBorders>
              <w:top w:val="single" w:sz="4" w:space="0" w:color="auto"/>
            </w:tcBorders>
            <w:vAlign w:val="center"/>
            <w:hideMark/>
          </w:tcPr>
          <w:p w14:paraId="251849E0" w14:textId="77777777" w:rsidR="00484C21" w:rsidRPr="00C0587E" w:rsidRDefault="00484C21" w:rsidP="00572D48">
            <w:pPr>
              <w:spacing w:after="0" w:line="240" w:lineRule="auto"/>
              <w:jc w:val="center"/>
              <w:rPr>
                <w:rFonts w:ascii="Arial" w:eastAsia="Times New Roman" w:hAnsi="Arial" w:cs="Arial"/>
                <w:color w:val="000000"/>
                <w:kern w:val="0"/>
                <w:sz w:val="22"/>
                <w:szCs w:val="22"/>
                <w:lang w:eastAsia="en-IN"/>
                <w14:ligatures w14:val="none"/>
              </w:rPr>
            </w:pPr>
            <w:r w:rsidRPr="00C0587E">
              <w:rPr>
                <w:rFonts w:ascii="Arial" w:hAnsi="Arial" w:cs="Arial"/>
                <w:color w:val="000000" w:themeColor="text1"/>
                <w:sz w:val="22"/>
                <w:szCs w:val="22"/>
              </w:rPr>
              <w:t>3.68±0.17</w:t>
            </w:r>
            <w:r w:rsidRPr="00C0587E">
              <w:rPr>
                <w:rFonts w:ascii="Arial" w:hAnsi="Arial" w:cs="Arial"/>
                <w:color w:val="000000" w:themeColor="text1"/>
                <w:position w:val="10"/>
                <w:sz w:val="22"/>
                <w:szCs w:val="22"/>
                <w:vertAlign w:val="superscript"/>
              </w:rPr>
              <w:t>r</w:t>
            </w:r>
          </w:p>
        </w:tc>
      </w:tr>
      <w:tr w:rsidR="00484C21" w:rsidRPr="00C0587E" w14:paraId="10B33B64" w14:textId="77777777" w:rsidTr="00560687">
        <w:trPr>
          <w:trHeight w:val="292"/>
        </w:trPr>
        <w:tc>
          <w:tcPr>
            <w:tcW w:w="833" w:type="pct"/>
            <w:vMerge/>
            <w:tcBorders>
              <w:right w:val="single" w:sz="4" w:space="0" w:color="auto"/>
            </w:tcBorders>
            <w:hideMark/>
          </w:tcPr>
          <w:p w14:paraId="10616388" w14:textId="3B713F56" w:rsidR="00484C21" w:rsidRPr="00C0587E" w:rsidRDefault="00484C21" w:rsidP="00572D48">
            <w:pPr>
              <w:spacing w:after="0" w:line="240" w:lineRule="auto"/>
              <w:ind w:firstLineChars="100" w:firstLine="220"/>
              <w:rPr>
                <w:rFonts w:ascii="Arial" w:eastAsia="Times New Roman" w:hAnsi="Arial" w:cs="Arial"/>
                <w:color w:val="000000"/>
                <w:kern w:val="0"/>
                <w:sz w:val="22"/>
                <w:szCs w:val="22"/>
                <w:lang w:eastAsia="en-IN"/>
                <w14:ligatures w14:val="none"/>
              </w:rPr>
            </w:pPr>
          </w:p>
        </w:tc>
        <w:tc>
          <w:tcPr>
            <w:tcW w:w="824" w:type="pct"/>
            <w:tcBorders>
              <w:left w:val="single" w:sz="4" w:space="0" w:color="auto"/>
              <w:right w:val="single" w:sz="4" w:space="0" w:color="auto"/>
            </w:tcBorders>
            <w:vAlign w:val="center"/>
            <w:hideMark/>
          </w:tcPr>
          <w:p w14:paraId="033403F2" w14:textId="105E032F" w:rsidR="00484C21" w:rsidRPr="00C0587E" w:rsidRDefault="00884617" w:rsidP="00572D48">
            <w:pPr>
              <w:spacing w:after="0" w:line="240" w:lineRule="auto"/>
              <w:jc w:val="center"/>
              <w:rPr>
                <w:rFonts w:ascii="Arial" w:eastAsia="Times New Roman" w:hAnsi="Arial" w:cs="Arial"/>
                <w:color w:val="000000"/>
                <w:kern w:val="0"/>
                <w:sz w:val="22"/>
                <w:szCs w:val="22"/>
                <w:lang w:eastAsia="en-IN"/>
                <w14:ligatures w14:val="none"/>
              </w:rPr>
            </w:pPr>
            <w:r w:rsidRPr="00C0587E">
              <w:rPr>
                <w:rFonts w:ascii="Arial" w:eastAsia="Times New Roman" w:hAnsi="Arial" w:cs="Arial"/>
                <w:color w:val="000000"/>
                <w:kern w:val="0"/>
                <w:sz w:val="22"/>
                <w:szCs w:val="22"/>
                <w:lang w:eastAsia="en-IN"/>
                <w14:ligatures w14:val="none"/>
              </w:rPr>
              <w:t>T1</w:t>
            </w:r>
          </w:p>
        </w:tc>
        <w:tc>
          <w:tcPr>
            <w:tcW w:w="1228" w:type="pct"/>
            <w:tcBorders>
              <w:left w:val="single" w:sz="4" w:space="0" w:color="auto"/>
            </w:tcBorders>
            <w:vAlign w:val="center"/>
            <w:hideMark/>
          </w:tcPr>
          <w:p w14:paraId="7D87FC7A" w14:textId="77777777" w:rsidR="00484C21" w:rsidRPr="00C0587E" w:rsidRDefault="00484C21" w:rsidP="00572D48">
            <w:pPr>
              <w:spacing w:after="0" w:line="240" w:lineRule="auto"/>
              <w:jc w:val="center"/>
              <w:rPr>
                <w:rFonts w:ascii="Arial" w:eastAsia="Times New Roman" w:hAnsi="Arial" w:cs="Arial"/>
                <w:color w:val="000000"/>
                <w:kern w:val="0"/>
                <w:sz w:val="22"/>
                <w:szCs w:val="22"/>
                <w:lang w:eastAsia="en-IN"/>
                <w14:ligatures w14:val="none"/>
              </w:rPr>
            </w:pPr>
            <w:r w:rsidRPr="00C0587E">
              <w:rPr>
                <w:rFonts w:ascii="Arial" w:hAnsi="Arial" w:cs="Arial"/>
                <w:color w:val="000000" w:themeColor="text1"/>
                <w:sz w:val="22"/>
                <w:szCs w:val="22"/>
              </w:rPr>
              <w:t>0.53±0.14</w:t>
            </w:r>
            <w:r w:rsidRPr="00C0587E">
              <w:rPr>
                <w:rFonts w:ascii="Arial" w:hAnsi="Arial" w:cs="Arial"/>
                <w:color w:val="000000" w:themeColor="text1"/>
                <w:position w:val="10"/>
                <w:sz w:val="22"/>
                <w:szCs w:val="22"/>
                <w:vertAlign w:val="superscript"/>
              </w:rPr>
              <w:t>b</w:t>
            </w:r>
          </w:p>
        </w:tc>
        <w:tc>
          <w:tcPr>
            <w:tcW w:w="939" w:type="pct"/>
            <w:vAlign w:val="center"/>
            <w:hideMark/>
          </w:tcPr>
          <w:p w14:paraId="64EDE2E9" w14:textId="77777777" w:rsidR="00484C21" w:rsidRPr="00C0587E" w:rsidRDefault="00484C21" w:rsidP="00572D48">
            <w:pPr>
              <w:spacing w:after="0" w:line="240" w:lineRule="auto"/>
              <w:jc w:val="center"/>
              <w:rPr>
                <w:rFonts w:ascii="Arial" w:eastAsia="Times New Roman" w:hAnsi="Arial" w:cs="Arial"/>
                <w:color w:val="000000"/>
                <w:kern w:val="0"/>
                <w:sz w:val="22"/>
                <w:szCs w:val="22"/>
                <w:lang w:eastAsia="en-IN"/>
                <w14:ligatures w14:val="none"/>
              </w:rPr>
            </w:pPr>
            <w:r w:rsidRPr="00C0587E">
              <w:rPr>
                <w:rFonts w:ascii="Arial" w:hAnsi="Arial" w:cs="Arial"/>
                <w:color w:val="000000" w:themeColor="text1"/>
                <w:sz w:val="22"/>
                <w:szCs w:val="22"/>
              </w:rPr>
              <w:t>2.03±0.20</w:t>
            </w:r>
            <w:r w:rsidRPr="00C0587E">
              <w:rPr>
                <w:rFonts w:ascii="Arial" w:hAnsi="Arial" w:cs="Arial"/>
                <w:color w:val="000000" w:themeColor="text1"/>
                <w:position w:val="10"/>
                <w:sz w:val="22"/>
                <w:szCs w:val="22"/>
                <w:vertAlign w:val="superscript"/>
              </w:rPr>
              <w:t>B</w:t>
            </w:r>
          </w:p>
        </w:tc>
        <w:tc>
          <w:tcPr>
            <w:tcW w:w="1176" w:type="pct"/>
            <w:vAlign w:val="center"/>
            <w:hideMark/>
          </w:tcPr>
          <w:p w14:paraId="1526E887" w14:textId="77777777" w:rsidR="00484C21" w:rsidRPr="00C0587E" w:rsidRDefault="00484C21" w:rsidP="00572D48">
            <w:pPr>
              <w:spacing w:after="0" w:line="240" w:lineRule="auto"/>
              <w:jc w:val="center"/>
              <w:rPr>
                <w:rFonts w:ascii="Arial" w:eastAsia="Times New Roman" w:hAnsi="Arial" w:cs="Arial"/>
                <w:color w:val="000000"/>
                <w:kern w:val="0"/>
                <w:sz w:val="22"/>
                <w:szCs w:val="22"/>
                <w:lang w:eastAsia="en-IN"/>
                <w14:ligatures w14:val="none"/>
              </w:rPr>
            </w:pPr>
            <w:r w:rsidRPr="00C0587E">
              <w:rPr>
                <w:rFonts w:ascii="Arial" w:hAnsi="Arial" w:cs="Arial"/>
                <w:color w:val="000000" w:themeColor="text1"/>
                <w:sz w:val="22"/>
                <w:szCs w:val="22"/>
              </w:rPr>
              <w:t>3.05±0.18</w:t>
            </w:r>
            <w:r w:rsidRPr="00C0587E">
              <w:rPr>
                <w:rFonts w:ascii="Arial" w:hAnsi="Arial" w:cs="Arial"/>
                <w:color w:val="000000" w:themeColor="text1"/>
                <w:position w:val="10"/>
                <w:sz w:val="22"/>
                <w:szCs w:val="22"/>
                <w:vertAlign w:val="superscript"/>
              </w:rPr>
              <w:t>r</w:t>
            </w:r>
          </w:p>
        </w:tc>
      </w:tr>
      <w:tr w:rsidR="00484C21" w:rsidRPr="00C0587E" w14:paraId="78FD3545" w14:textId="77777777" w:rsidTr="00560687">
        <w:trPr>
          <w:trHeight w:val="292"/>
        </w:trPr>
        <w:tc>
          <w:tcPr>
            <w:tcW w:w="833" w:type="pct"/>
            <w:vMerge/>
            <w:tcBorders>
              <w:bottom w:val="single" w:sz="4" w:space="0" w:color="auto"/>
              <w:right w:val="single" w:sz="4" w:space="0" w:color="auto"/>
            </w:tcBorders>
            <w:hideMark/>
          </w:tcPr>
          <w:p w14:paraId="46FA3595" w14:textId="53A1FECD" w:rsidR="00484C21" w:rsidRPr="00C0587E" w:rsidRDefault="00484C21" w:rsidP="00572D48">
            <w:pPr>
              <w:spacing w:after="0" w:line="240" w:lineRule="auto"/>
              <w:ind w:firstLineChars="100" w:firstLine="220"/>
              <w:rPr>
                <w:rFonts w:ascii="Arial" w:eastAsia="Times New Roman" w:hAnsi="Arial" w:cs="Arial"/>
                <w:color w:val="000000"/>
                <w:kern w:val="0"/>
                <w:sz w:val="22"/>
                <w:szCs w:val="22"/>
                <w:lang w:eastAsia="en-IN"/>
                <w14:ligatures w14:val="none"/>
              </w:rPr>
            </w:pPr>
          </w:p>
        </w:tc>
        <w:tc>
          <w:tcPr>
            <w:tcW w:w="824" w:type="pct"/>
            <w:tcBorders>
              <w:left w:val="single" w:sz="4" w:space="0" w:color="auto"/>
              <w:bottom w:val="single" w:sz="4" w:space="0" w:color="auto"/>
              <w:right w:val="single" w:sz="4" w:space="0" w:color="auto"/>
            </w:tcBorders>
            <w:vAlign w:val="center"/>
            <w:hideMark/>
          </w:tcPr>
          <w:p w14:paraId="07E66F32" w14:textId="1C5150EE" w:rsidR="00484C21" w:rsidRPr="00C0587E" w:rsidRDefault="00884617" w:rsidP="00572D48">
            <w:pPr>
              <w:spacing w:after="0" w:line="240" w:lineRule="auto"/>
              <w:jc w:val="center"/>
              <w:rPr>
                <w:rFonts w:ascii="Arial" w:eastAsia="Times New Roman" w:hAnsi="Arial" w:cs="Arial"/>
                <w:color w:val="000000"/>
                <w:kern w:val="0"/>
                <w:sz w:val="22"/>
                <w:szCs w:val="22"/>
                <w:lang w:eastAsia="en-IN"/>
                <w14:ligatures w14:val="none"/>
              </w:rPr>
            </w:pPr>
            <w:r w:rsidRPr="00C0587E">
              <w:rPr>
                <w:rFonts w:ascii="Arial" w:eastAsia="Times New Roman" w:hAnsi="Arial" w:cs="Arial"/>
                <w:color w:val="000000"/>
                <w:kern w:val="0"/>
                <w:sz w:val="22"/>
                <w:szCs w:val="22"/>
                <w:lang w:eastAsia="en-IN"/>
                <w14:ligatures w14:val="none"/>
              </w:rPr>
              <w:t>T2</w:t>
            </w:r>
          </w:p>
        </w:tc>
        <w:tc>
          <w:tcPr>
            <w:tcW w:w="1228" w:type="pct"/>
            <w:tcBorders>
              <w:left w:val="single" w:sz="4" w:space="0" w:color="auto"/>
              <w:bottom w:val="single" w:sz="4" w:space="0" w:color="auto"/>
            </w:tcBorders>
            <w:vAlign w:val="center"/>
            <w:hideMark/>
          </w:tcPr>
          <w:p w14:paraId="2E449161" w14:textId="77777777" w:rsidR="00484C21" w:rsidRPr="00C0587E" w:rsidRDefault="00484C21" w:rsidP="00572D48">
            <w:pPr>
              <w:spacing w:after="0" w:line="240" w:lineRule="auto"/>
              <w:jc w:val="center"/>
              <w:rPr>
                <w:rFonts w:ascii="Arial" w:eastAsia="Times New Roman" w:hAnsi="Arial" w:cs="Arial"/>
                <w:color w:val="000000"/>
                <w:kern w:val="0"/>
                <w:sz w:val="22"/>
                <w:szCs w:val="22"/>
                <w:lang w:eastAsia="en-IN"/>
                <w14:ligatures w14:val="none"/>
              </w:rPr>
            </w:pPr>
            <w:r w:rsidRPr="00C0587E">
              <w:rPr>
                <w:rFonts w:ascii="Arial" w:hAnsi="Arial" w:cs="Arial"/>
                <w:color w:val="000000" w:themeColor="text1"/>
                <w:sz w:val="22"/>
                <w:szCs w:val="22"/>
              </w:rPr>
              <w:t>1.10±0.64</w:t>
            </w:r>
            <w:r w:rsidRPr="00C0587E">
              <w:rPr>
                <w:rFonts w:ascii="Arial" w:hAnsi="Arial" w:cs="Arial"/>
                <w:color w:val="000000" w:themeColor="text1"/>
                <w:position w:val="10"/>
                <w:sz w:val="22"/>
                <w:szCs w:val="22"/>
                <w:vertAlign w:val="superscript"/>
              </w:rPr>
              <w:t>b</w:t>
            </w:r>
          </w:p>
        </w:tc>
        <w:tc>
          <w:tcPr>
            <w:tcW w:w="939" w:type="pct"/>
            <w:tcBorders>
              <w:bottom w:val="single" w:sz="4" w:space="0" w:color="auto"/>
            </w:tcBorders>
            <w:vAlign w:val="center"/>
            <w:hideMark/>
          </w:tcPr>
          <w:p w14:paraId="178A0344" w14:textId="77777777" w:rsidR="00484C21" w:rsidRPr="00C0587E" w:rsidRDefault="00484C21" w:rsidP="00572D48">
            <w:pPr>
              <w:spacing w:after="0" w:line="240" w:lineRule="auto"/>
              <w:jc w:val="center"/>
              <w:rPr>
                <w:rFonts w:ascii="Arial" w:eastAsia="Times New Roman" w:hAnsi="Arial" w:cs="Arial"/>
                <w:color w:val="000000"/>
                <w:kern w:val="0"/>
                <w:sz w:val="22"/>
                <w:szCs w:val="22"/>
                <w:lang w:eastAsia="en-IN"/>
                <w14:ligatures w14:val="none"/>
              </w:rPr>
            </w:pPr>
            <w:r w:rsidRPr="00C0587E">
              <w:rPr>
                <w:rFonts w:ascii="Arial" w:hAnsi="Arial" w:cs="Arial"/>
                <w:color w:val="000000" w:themeColor="text1"/>
                <w:sz w:val="22"/>
                <w:szCs w:val="22"/>
              </w:rPr>
              <w:t>2.77±0.40</w:t>
            </w:r>
            <w:r w:rsidRPr="00C0587E">
              <w:rPr>
                <w:rFonts w:ascii="Arial" w:hAnsi="Arial" w:cs="Arial"/>
                <w:color w:val="000000" w:themeColor="text1"/>
                <w:position w:val="10"/>
                <w:sz w:val="22"/>
                <w:szCs w:val="22"/>
                <w:vertAlign w:val="superscript"/>
              </w:rPr>
              <w:t>B</w:t>
            </w:r>
          </w:p>
        </w:tc>
        <w:tc>
          <w:tcPr>
            <w:tcW w:w="1176" w:type="pct"/>
            <w:tcBorders>
              <w:bottom w:val="single" w:sz="4" w:space="0" w:color="auto"/>
            </w:tcBorders>
            <w:vAlign w:val="center"/>
            <w:hideMark/>
          </w:tcPr>
          <w:p w14:paraId="24AC170E" w14:textId="77777777" w:rsidR="00484C21" w:rsidRPr="00C0587E" w:rsidRDefault="00484C21" w:rsidP="00572D48">
            <w:pPr>
              <w:spacing w:after="0" w:line="240" w:lineRule="auto"/>
              <w:jc w:val="center"/>
              <w:rPr>
                <w:rFonts w:ascii="Arial" w:eastAsia="Times New Roman" w:hAnsi="Arial" w:cs="Arial"/>
                <w:color w:val="000000"/>
                <w:kern w:val="0"/>
                <w:sz w:val="22"/>
                <w:szCs w:val="22"/>
                <w:lang w:eastAsia="en-IN"/>
                <w14:ligatures w14:val="none"/>
              </w:rPr>
            </w:pPr>
            <w:r w:rsidRPr="00C0587E">
              <w:rPr>
                <w:rFonts w:ascii="Arial" w:hAnsi="Arial" w:cs="Arial"/>
                <w:color w:val="000000" w:themeColor="text1"/>
                <w:sz w:val="22"/>
                <w:szCs w:val="22"/>
              </w:rPr>
              <w:t>3.78±0.42</w:t>
            </w:r>
            <w:r w:rsidRPr="00C0587E">
              <w:rPr>
                <w:rFonts w:ascii="Arial" w:hAnsi="Arial" w:cs="Arial"/>
                <w:color w:val="000000" w:themeColor="text1"/>
                <w:position w:val="10"/>
                <w:sz w:val="22"/>
                <w:szCs w:val="22"/>
                <w:vertAlign w:val="superscript"/>
              </w:rPr>
              <w:t>r</w:t>
            </w:r>
          </w:p>
        </w:tc>
      </w:tr>
    </w:tbl>
    <w:p w14:paraId="6F79F118" w14:textId="29045C63" w:rsidR="0097016E" w:rsidRDefault="0097016E" w:rsidP="00915BCB">
      <w:pPr>
        <w:spacing w:after="4" w:line="249" w:lineRule="auto"/>
        <w:ind w:left="-5" w:right="-123" w:hanging="10"/>
        <w:jc w:val="center"/>
        <w:rPr>
          <w:rFonts w:ascii="Arial" w:hAnsi="Arial" w:cs="Arial"/>
          <w:bCs/>
          <w:sz w:val="20"/>
          <w:szCs w:val="20"/>
        </w:rPr>
      </w:pPr>
      <w:r w:rsidRPr="008A16D3">
        <w:rPr>
          <w:rFonts w:ascii="Arial" w:hAnsi="Arial" w:cs="Arial"/>
          <w:sz w:val="20"/>
          <w:szCs w:val="20"/>
        </w:rPr>
        <w:t>(</w:t>
      </w:r>
      <w:r w:rsidRPr="008A16D3">
        <w:rPr>
          <w:rFonts w:ascii="Arial" w:hAnsi="Arial" w:cs="Arial"/>
          <w:bCs/>
          <w:sz w:val="20"/>
          <w:szCs w:val="20"/>
        </w:rPr>
        <w:t xml:space="preserve">*Note </w:t>
      </w:r>
      <w:r w:rsidR="00DA6F8B">
        <w:rPr>
          <w:rFonts w:ascii="Arial" w:hAnsi="Arial" w:cs="Arial"/>
          <w:bCs/>
          <w:sz w:val="20"/>
          <w:szCs w:val="20"/>
        </w:rPr>
        <w:t xml:space="preserve">C= Control, </w:t>
      </w:r>
      <w:r w:rsidRPr="008A16D3">
        <w:rPr>
          <w:rFonts w:ascii="Arial" w:hAnsi="Arial" w:cs="Arial"/>
          <w:bCs/>
          <w:sz w:val="20"/>
          <w:szCs w:val="20"/>
        </w:rPr>
        <w:t xml:space="preserve">T1= Bio-floc (20:1), </w:t>
      </w:r>
      <w:r w:rsidR="00A96EE9">
        <w:rPr>
          <w:rFonts w:ascii="Arial" w:hAnsi="Arial" w:cs="Arial"/>
          <w:bCs/>
          <w:sz w:val="20"/>
          <w:szCs w:val="20"/>
        </w:rPr>
        <w:t>T2</w:t>
      </w:r>
      <w:r w:rsidRPr="008A16D3">
        <w:rPr>
          <w:rFonts w:ascii="Arial" w:hAnsi="Arial" w:cs="Arial"/>
          <w:bCs/>
          <w:sz w:val="20"/>
          <w:szCs w:val="20"/>
        </w:rPr>
        <w:t>=Biofloc (20:1) + 0.5% Jeevamruth; The mean values followed by the different superscript letters in each factor indicate significant difference at 0.05.)</w:t>
      </w:r>
    </w:p>
    <w:p w14:paraId="7F19495B" w14:textId="413634E5" w:rsidR="003E42E6" w:rsidRDefault="003E42E6" w:rsidP="00446E39">
      <w:pPr>
        <w:rPr>
          <w:rFonts w:ascii="Arial" w:hAnsi="Arial" w:cs="Arial"/>
        </w:rPr>
      </w:pPr>
    </w:p>
    <w:p w14:paraId="3B62DDE3" w14:textId="5FCF4F22" w:rsidR="0097016E" w:rsidRPr="006079B2" w:rsidRDefault="0097016E" w:rsidP="00446E39">
      <w:pPr>
        <w:rPr>
          <w:rFonts w:ascii="Arial" w:hAnsi="Arial" w:cs="Arial"/>
        </w:rPr>
      </w:pPr>
      <w:r w:rsidRPr="006079B2">
        <w:rPr>
          <w:rFonts w:ascii="Arial" w:hAnsi="Arial" w:cs="Arial"/>
          <w:noProof/>
        </w:rPr>
        <w:lastRenderedPageBreak/>
        <w:drawing>
          <wp:inline distT="0" distB="0" distL="0" distR="0" wp14:anchorId="2F1BBF91" wp14:editId="5690ECF3">
            <wp:extent cx="5486400" cy="2695575"/>
            <wp:effectExtent l="0" t="0" r="0" b="0"/>
            <wp:docPr id="865575630"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31"/>
              </a:graphicData>
            </a:graphic>
          </wp:inline>
        </w:drawing>
      </w:r>
    </w:p>
    <w:p w14:paraId="12B67834" w14:textId="73B494C7" w:rsidR="00726987" w:rsidRDefault="00726987" w:rsidP="00726987">
      <w:pPr>
        <w:spacing w:line="360" w:lineRule="auto"/>
        <w:jc w:val="center"/>
        <w:rPr>
          <w:rFonts w:ascii="Arial" w:hAnsi="Arial" w:cs="Arial"/>
          <w:b/>
          <w:sz w:val="20"/>
          <w:szCs w:val="20"/>
        </w:rPr>
      </w:pPr>
      <w:r w:rsidRPr="00A152F0">
        <w:rPr>
          <w:rFonts w:ascii="Arial" w:hAnsi="Arial" w:cs="Arial"/>
          <w:b/>
          <w:sz w:val="20"/>
          <w:szCs w:val="20"/>
        </w:rPr>
        <w:t>Figure 1</w:t>
      </w:r>
      <w:r w:rsidR="00FB120A">
        <w:rPr>
          <w:rFonts w:ascii="Arial" w:hAnsi="Arial" w:cs="Arial"/>
          <w:b/>
          <w:sz w:val="20"/>
          <w:szCs w:val="20"/>
        </w:rPr>
        <w:t>5</w:t>
      </w:r>
      <w:r w:rsidRPr="00A152F0">
        <w:rPr>
          <w:rFonts w:ascii="Arial" w:hAnsi="Arial" w:cs="Arial"/>
          <w:b/>
          <w:sz w:val="20"/>
          <w:szCs w:val="20"/>
        </w:rPr>
        <w:t>:</w:t>
      </w:r>
      <w:r>
        <w:rPr>
          <w:rFonts w:ascii="Arial" w:hAnsi="Arial" w:cs="Arial"/>
          <w:b/>
          <w:sz w:val="20"/>
          <w:szCs w:val="20"/>
        </w:rPr>
        <w:t xml:space="preserve"> </w:t>
      </w:r>
      <w:r w:rsidRPr="00224BC0">
        <w:rPr>
          <w:rFonts w:ascii="Arial" w:hAnsi="Arial" w:cs="Arial"/>
          <w:b/>
          <w:sz w:val="20"/>
          <w:szCs w:val="20"/>
        </w:rPr>
        <w:t xml:space="preserve">Average </w:t>
      </w:r>
      <w:r w:rsidR="00FB120A">
        <w:rPr>
          <w:rFonts w:ascii="Arial" w:hAnsi="Arial" w:cs="Arial"/>
          <w:b/>
          <w:bCs/>
          <w:sz w:val="20"/>
          <w:szCs w:val="20"/>
        </w:rPr>
        <w:t>Lipid Efficiency Ratio</w:t>
      </w:r>
      <w:r w:rsidRPr="00224BC0">
        <w:rPr>
          <w:rFonts w:ascii="Arial" w:hAnsi="Arial" w:cs="Arial"/>
          <w:b/>
          <w:sz w:val="20"/>
          <w:szCs w:val="20"/>
        </w:rPr>
        <w:t xml:space="preserve"> Value Recorded During the Experiment</w:t>
      </w:r>
    </w:p>
    <w:p w14:paraId="199D37E8" w14:textId="50629A6D" w:rsidR="00172D23" w:rsidRDefault="00172D23" w:rsidP="00172D23">
      <w:pPr>
        <w:spacing w:line="276" w:lineRule="auto"/>
        <w:ind w:firstLine="720"/>
        <w:jc w:val="both"/>
        <w:rPr>
          <w:rFonts w:ascii="Arial" w:hAnsi="Arial" w:cs="Arial"/>
          <w:bCs/>
          <w:sz w:val="20"/>
          <w:szCs w:val="20"/>
        </w:rPr>
      </w:pPr>
      <w:r w:rsidRPr="00172D23">
        <w:rPr>
          <w:rFonts w:ascii="Arial" w:hAnsi="Arial" w:cs="Arial"/>
          <w:bCs/>
          <w:sz w:val="20"/>
          <w:szCs w:val="20"/>
        </w:rPr>
        <w:t>At the end of the culture period, T2 exhibited the highest LER (3.78 ± 0.42), followed by the control and T1. These results indicate enhanced lipid utilization efficiency in fish cultured under Jeevamruth-enriched biofloc conditions.</w:t>
      </w:r>
    </w:p>
    <w:p w14:paraId="757262A1" w14:textId="77777777" w:rsidR="00172D23" w:rsidRPr="00172D23" w:rsidRDefault="00172D23" w:rsidP="00172D23">
      <w:pPr>
        <w:spacing w:line="276" w:lineRule="auto"/>
        <w:ind w:firstLine="720"/>
        <w:jc w:val="both"/>
        <w:rPr>
          <w:rFonts w:ascii="Arial" w:hAnsi="Arial" w:cs="Arial"/>
          <w:bCs/>
          <w:sz w:val="20"/>
          <w:szCs w:val="20"/>
        </w:rPr>
      </w:pPr>
    </w:p>
    <w:p w14:paraId="191F58F4" w14:textId="1D3844DC" w:rsidR="00FD372A" w:rsidRPr="00E05B72" w:rsidRDefault="00E05B72" w:rsidP="0038138F">
      <w:pPr>
        <w:rPr>
          <w:rFonts w:ascii="Arial" w:hAnsi="Arial" w:cs="Arial"/>
          <w:b/>
          <w:bCs/>
          <w:sz w:val="22"/>
          <w:szCs w:val="22"/>
        </w:rPr>
      </w:pPr>
      <w:r>
        <w:rPr>
          <w:rFonts w:ascii="Arial" w:hAnsi="Arial" w:cs="Arial"/>
          <w:b/>
          <w:bCs/>
          <w:sz w:val="22"/>
          <w:szCs w:val="22"/>
        </w:rPr>
        <w:t xml:space="preserve">3.3 </w:t>
      </w:r>
      <w:r w:rsidR="003F2D9A" w:rsidRPr="00E05B72">
        <w:rPr>
          <w:rFonts w:ascii="Arial" w:hAnsi="Arial" w:cs="Arial"/>
          <w:b/>
          <w:bCs/>
          <w:sz w:val="22"/>
          <w:szCs w:val="22"/>
        </w:rPr>
        <w:t>Effects on Crop Productivity</w:t>
      </w:r>
    </w:p>
    <w:p w14:paraId="07BB3BF0" w14:textId="09346BED" w:rsidR="00B865F9" w:rsidRDefault="00E05B72" w:rsidP="00E05B72">
      <w:pPr>
        <w:spacing w:after="0" w:line="360" w:lineRule="auto"/>
        <w:rPr>
          <w:rFonts w:ascii="Arial" w:hAnsi="Arial" w:cs="Arial"/>
          <w:b/>
          <w:bCs/>
          <w:sz w:val="20"/>
          <w:szCs w:val="20"/>
          <w:u w:val="single"/>
        </w:rPr>
      </w:pPr>
      <w:r>
        <w:rPr>
          <w:rFonts w:ascii="Arial" w:hAnsi="Arial" w:cs="Arial"/>
          <w:b/>
          <w:bCs/>
          <w:sz w:val="20"/>
          <w:szCs w:val="20"/>
          <w:u w:val="single"/>
        </w:rPr>
        <w:t xml:space="preserve">3.3.1 </w:t>
      </w:r>
      <w:r w:rsidR="00B865F9" w:rsidRPr="00E05B72">
        <w:rPr>
          <w:rFonts w:ascii="Arial" w:hAnsi="Arial" w:cs="Arial"/>
          <w:b/>
          <w:bCs/>
          <w:sz w:val="20"/>
          <w:szCs w:val="20"/>
          <w:u w:val="single"/>
        </w:rPr>
        <w:t>Average Plant Length</w:t>
      </w:r>
      <w:r w:rsidR="00197C83">
        <w:rPr>
          <w:rFonts w:ascii="Arial" w:hAnsi="Arial" w:cs="Arial"/>
          <w:b/>
          <w:bCs/>
          <w:sz w:val="20"/>
          <w:szCs w:val="20"/>
          <w:u w:val="single"/>
        </w:rPr>
        <w:t>(cm)</w:t>
      </w:r>
      <w:r w:rsidR="00B865F9" w:rsidRPr="00E05B72">
        <w:rPr>
          <w:rFonts w:ascii="Arial" w:hAnsi="Arial" w:cs="Arial"/>
          <w:b/>
          <w:bCs/>
          <w:sz w:val="20"/>
          <w:szCs w:val="20"/>
          <w:u w:val="single"/>
        </w:rPr>
        <w:t xml:space="preserve"> Recorded During Experimental Period.</w:t>
      </w:r>
    </w:p>
    <w:p w14:paraId="3E12F6E0" w14:textId="406F8966" w:rsidR="00634588" w:rsidRPr="00634588" w:rsidRDefault="00634588" w:rsidP="00634588">
      <w:pPr>
        <w:spacing w:line="360" w:lineRule="auto"/>
        <w:rPr>
          <w:rFonts w:ascii="Arial" w:hAnsi="Arial" w:cs="Arial"/>
          <w:b/>
          <w:bCs/>
          <w:sz w:val="20"/>
          <w:szCs w:val="20"/>
          <w:u w:val="single"/>
        </w:rPr>
      </w:pPr>
      <w:r w:rsidRPr="00224BC0">
        <w:rPr>
          <w:rFonts w:ascii="Arial" w:hAnsi="Arial" w:cs="Arial"/>
          <w:b/>
          <w:sz w:val="20"/>
          <w:szCs w:val="20"/>
        </w:rPr>
        <w:t xml:space="preserve">Table </w:t>
      </w:r>
      <w:r w:rsidR="001B5CD5">
        <w:rPr>
          <w:rFonts w:ascii="Arial" w:hAnsi="Arial" w:cs="Arial"/>
          <w:b/>
          <w:sz w:val="20"/>
          <w:szCs w:val="20"/>
        </w:rPr>
        <w:t>16</w:t>
      </w:r>
      <w:r w:rsidRPr="00224BC0">
        <w:rPr>
          <w:rFonts w:ascii="Arial" w:hAnsi="Arial" w:cs="Arial"/>
          <w:b/>
          <w:sz w:val="20"/>
          <w:szCs w:val="20"/>
        </w:rPr>
        <w:t xml:space="preserve">: Average </w:t>
      </w:r>
      <w:r>
        <w:rPr>
          <w:rFonts w:ascii="Arial" w:hAnsi="Arial" w:cs="Arial"/>
          <w:b/>
          <w:bCs/>
          <w:sz w:val="20"/>
          <w:szCs w:val="20"/>
        </w:rPr>
        <w:t>Plant Length</w:t>
      </w:r>
      <w:r w:rsidR="00197C83">
        <w:rPr>
          <w:rFonts w:ascii="Arial" w:hAnsi="Arial" w:cs="Arial"/>
          <w:b/>
          <w:bCs/>
          <w:sz w:val="20"/>
          <w:szCs w:val="20"/>
        </w:rPr>
        <w:t>(cm)</w:t>
      </w:r>
      <w:r>
        <w:rPr>
          <w:rFonts w:ascii="Arial" w:hAnsi="Arial" w:cs="Arial"/>
          <w:b/>
          <w:bCs/>
          <w:sz w:val="20"/>
          <w:szCs w:val="20"/>
        </w:rPr>
        <w:t xml:space="preserve"> </w:t>
      </w:r>
      <w:r w:rsidRPr="00224BC0">
        <w:rPr>
          <w:rFonts w:ascii="Arial" w:hAnsi="Arial" w:cs="Arial"/>
          <w:b/>
          <w:sz w:val="20"/>
          <w:szCs w:val="20"/>
        </w:rPr>
        <w:t xml:space="preserve">Recorded During the </w:t>
      </w:r>
      <w:commentRangeStart w:id="15"/>
      <w:r w:rsidRPr="00224BC0">
        <w:rPr>
          <w:rFonts w:ascii="Arial" w:hAnsi="Arial" w:cs="Arial"/>
          <w:b/>
          <w:sz w:val="20"/>
          <w:szCs w:val="20"/>
        </w:rPr>
        <w:t>Experiment</w:t>
      </w:r>
      <w:commentRangeEnd w:id="15"/>
      <w:r w:rsidR="00D519C3">
        <w:rPr>
          <w:rStyle w:val="Refdecomentario"/>
        </w:rPr>
        <w:commentReference w:id="15"/>
      </w:r>
    </w:p>
    <w:tbl>
      <w:tblPr>
        <w:tblW w:w="5000" w:type="pct"/>
        <w:tblCellMar>
          <w:top w:w="11" w:type="dxa"/>
          <w:left w:w="173" w:type="dxa"/>
          <w:right w:w="113" w:type="dxa"/>
        </w:tblCellMar>
        <w:tblLook w:val="04A0" w:firstRow="1" w:lastRow="0" w:firstColumn="1" w:lastColumn="0" w:noHBand="0" w:noVBand="1"/>
      </w:tblPr>
      <w:tblGrid>
        <w:gridCol w:w="1605"/>
        <w:gridCol w:w="1809"/>
        <w:gridCol w:w="2009"/>
        <w:gridCol w:w="1910"/>
        <w:gridCol w:w="1693"/>
      </w:tblGrid>
      <w:tr w:rsidR="00B865F9" w:rsidRPr="00C0587E" w14:paraId="5B366F0A" w14:textId="77777777" w:rsidTr="00560687">
        <w:trPr>
          <w:trHeight w:val="296"/>
        </w:trPr>
        <w:tc>
          <w:tcPr>
            <w:tcW w:w="889" w:type="pct"/>
            <w:tcBorders>
              <w:top w:val="single" w:sz="4" w:space="0" w:color="auto"/>
              <w:bottom w:val="single" w:sz="4" w:space="0" w:color="auto"/>
              <w:right w:val="single" w:sz="4" w:space="0" w:color="auto"/>
            </w:tcBorders>
          </w:tcPr>
          <w:p w14:paraId="34F727AD" w14:textId="77777777" w:rsidR="00B865F9" w:rsidRPr="00C0587E" w:rsidRDefault="00B865F9" w:rsidP="00572D48">
            <w:pPr>
              <w:spacing w:after="0" w:line="240" w:lineRule="auto"/>
              <w:jc w:val="both"/>
              <w:rPr>
                <w:rFonts w:ascii="Arial" w:hAnsi="Arial" w:cs="Arial"/>
                <w:bCs/>
                <w:sz w:val="22"/>
                <w:szCs w:val="22"/>
              </w:rPr>
            </w:pPr>
            <w:r w:rsidRPr="00C0587E">
              <w:rPr>
                <w:rFonts w:ascii="Arial" w:hAnsi="Arial" w:cs="Arial"/>
                <w:bCs/>
                <w:sz w:val="22"/>
                <w:szCs w:val="22"/>
              </w:rPr>
              <w:t xml:space="preserve">Parameter </w:t>
            </w:r>
          </w:p>
        </w:tc>
        <w:tc>
          <w:tcPr>
            <w:tcW w:w="1002" w:type="pct"/>
            <w:tcBorders>
              <w:top w:val="single" w:sz="4" w:space="0" w:color="auto"/>
              <w:left w:val="single" w:sz="4" w:space="0" w:color="auto"/>
              <w:bottom w:val="single" w:sz="4" w:space="0" w:color="auto"/>
              <w:right w:val="single" w:sz="4" w:space="0" w:color="auto"/>
            </w:tcBorders>
          </w:tcPr>
          <w:p w14:paraId="08B9E840" w14:textId="77777777" w:rsidR="00B865F9" w:rsidRPr="00C0587E" w:rsidRDefault="00B865F9" w:rsidP="00572D48">
            <w:pPr>
              <w:spacing w:after="0" w:line="240" w:lineRule="auto"/>
              <w:jc w:val="center"/>
              <w:rPr>
                <w:rFonts w:ascii="Arial" w:hAnsi="Arial" w:cs="Arial"/>
                <w:bCs/>
                <w:sz w:val="22"/>
                <w:szCs w:val="22"/>
              </w:rPr>
            </w:pPr>
            <w:r w:rsidRPr="00C0587E">
              <w:rPr>
                <w:rFonts w:ascii="Arial" w:hAnsi="Arial" w:cs="Arial"/>
                <w:bCs/>
                <w:sz w:val="22"/>
                <w:szCs w:val="22"/>
              </w:rPr>
              <w:t>Treatment</w:t>
            </w:r>
          </w:p>
        </w:tc>
        <w:tc>
          <w:tcPr>
            <w:tcW w:w="1113" w:type="pct"/>
            <w:tcBorders>
              <w:top w:val="single" w:sz="4" w:space="0" w:color="auto"/>
              <w:left w:val="single" w:sz="4" w:space="0" w:color="auto"/>
              <w:bottom w:val="single" w:sz="4" w:space="0" w:color="auto"/>
            </w:tcBorders>
          </w:tcPr>
          <w:p w14:paraId="5F0F8EE7" w14:textId="77777777" w:rsidR="00B865F9" w:rsidRPr="00C0587E" w:rsidRDefault="00B865F9" w:rsidP="00572D48">
            <w:pPr>
              <w:spacing w:after="0" w:line="240" w:lineRule="auto"/>
              <w:jc w:val="center"/>
              <w:rPr>
                <w:rFonts w:ascii="Arial" w:hAnsi="Arial" w:cs="Arial"/>
                <w:bCs/>
                <w:sz w:val="22"/>
                <w:szCs w:val="22"/>
              </w:rPr>
            </w:pPr>
            <w:r w:rsidRPr="00C0587E">
              <w:rPr>
                <w:rFonts w:ascii="Arial" w:hAnsi="Arial" w:cs="Arial"/>
                <w:bCs/>
                <w:sz w:val="22"/>
                <w:szCs w:val="22"/>
              </w:rPr>
              <w:t>20</w:t>
            </w:r>
            <w:r w:rsidRPr="00C0587E">
              <w:rPr>
                <w:rFonts w:ascii="Arial" w:hAnsi="Arial" w:cs="Arial"/>
                <w:bCs/>
                <w:sz w:val="22"/>
                <w:szCs w:val="22"/>
                <w:vertAlign w:val="superscript"/>
              </w:rPr>
              <w:t>th</w:t>
            </w:r>
            <w:r w:rsidRPr="00C0587E">
              <w:rPr>
                <w:rFonts w:ascii="Arial" w:hAnsi="Arial" w:cs="Arial"/>
                <w:bCs/>
                <w:sz w:val="22"/>
                <w:szCs w:val="22"/>
              </w:rPr>
              <w:t xml:space="preserve"> DAY</w:t>
            </w:r>
          </w:p>
        </w:tc>
        <w:tc>
          <w:tcPr>
            <w:tcW w:w="1058" w:type="pct"/>
            <w:tcBorders>
              <w:top w:val="single" w:sz="4" w:space="0" w:color="auto"/>
              <w:bottom w:val="single" w:sz="4" w:space="0" w:color="auto"/>
            </w:tcBorders>
          </w:tcPr>
          <w:p w14:paraId="72EA21D6" w14:textId="77777777" w:rsidR="00B865F9" w:rsidRPr="00C0587E" w:rsidRDefault="00B865F9" w:rsidP="00572D48">
            <w:pPr>
              <w:spacing w:after="0" w:line="240" w:lineRule="auto"/>
              <w:jc w:val="center"/>
              <w:rPr>
                <w:rFonts w:ascii="Arial" w:hAnsi="Arial" w:cs="Arial"/>
                <w:bCs/>
                <w:sz w:val="22"/>
                <w:szCs w:val="22"/>
              </w:rPr>
            </w:pPr>
            <w:r w:rsidRPr="00C0587E">
              <w:rPr>
                <w:rFonts w:ascii="Arial" w:hAnsi="Arial" w:cs="Arial"/>
                <w:bCs/>
                <w:sz w:val="22"/>
                <w:szCs w:val="22"/>
              </w:rPr>
              <w:t>40</w:t>
            </w:r>
            <w:r w:rsidRPr="00C0587E">
              <w:rPr>
                <w:rFonts w:ascii="Arial" w:hAnsi="Arial" w:cs="Arial"/>
                <w:bCs/>
                <w:sz w:val="22"/>
                <w:szCs w:val="22"/>
                <w:vertAlign w:val="superscript"/>
              </w:rPr>
              <w:t>th</w:t>
            </w:r>
            <w:r w:rsidRPr="00C0587E">
              <w:rPr>
                <w:rFonts w:ascii="Arial" w:hAnsi="Arial" w:cs="Arial"/>
                <w:bCs/>
                <w:sz w:val="22"/>
                <w:szCs w:val="22"/>
              </w:rPr>
              <w:t>DAY</w:t>
            </w:r>
          </w:p>
        </w:tc>
        <w:tc>
          <w:tcPr>
            <w:tcW w:w="938" w:type="pct"/>
            <w:tcBorders>
              <w:top w:val="single" w:sz="4" w:space="0" w:color="auto"/>
              <w:bottom w:val="single" w:sz="4" w:space="0" w:color="auto"/>
            </w:tcBorders>
          </w:tcPr>
          <w:p w14:paraId="1B20FA7E" w14:textId="77777777" w:rsidR="00B865F9" w:rsidRPr="00C0587E" w:rsidRDefault="00B865F9" w:rsidP="00572D48">
            <w:pPr>
              <w:spacing w:after="0" w:line="240" w:lineRule="auto"/>
              <w:jc w:val="center"/>
              <w:rPr>
                <w:rFonts w:ascii="Arial" w:hAnsi="Arial" w:cs="Arial"/>
                <w:bCs/>
                <w:sz w:val="22"/>
                <w:szCs w:val="22"/>
              </w:rPr>
            </w:pPr>
            <w:r w:rsidRPr="00C0587E">
              <w:rPr>
                <w:rFonts w:ascii="Arial" w:hAnsi="Arial" w:cs="Arial"/>
                <w:bCs/>
                <w:sz w:val="22"/>
                <w:szCs w:val="22"/>
              </w:rPr>
              <w:t>60</w:t>
            </w:r>
            <w:r w:rsidRPr="00C0587E">
              <w:rPr>
                <w:rFonts w:ascii="Arial" w:hAnsi="Arial" w:cs="Arial"/>
                <w:bCs/>
                <w:sz w:val="22"/>
                <w:szCs w:val="22"/>
                <w:vertAlign w:val="superscript"/>
              </w:rPr>
              <w:t>th</w:t>
            </w:r>
            <w:r w:rsidRPr="00C0587E">
              <w:rPr>
                <w:rFonts w:ascii="Arial" w:hAnsi="Arial" w:cs="Arial"/>
                <w:bCs/>
                <w:sz w:val="22"/>
                <w:szCs w:val="22"/>
              </w:rPr>
              <w:t xml:space="preserve"> DAY</w:t>
            </w:r>
          </w:p>
        </w:tc>
      </w:tr>
      <w:tr w:rsidR="00B865F9" w:rsidRPr="00C0587E" w14:paraId="6CB52D8F" w14:textId="77777777" w:rsidTr="00560687">
        <w:trPr>
          <w:trHeight w:val="273"/>
        </w:trPr>
        <w:tc>
          <w:tcPr>
            <w:tcW w:w="889" w:type="pct"/>
            <w:vMerge w:val="restart"/>
            <w:tcBorders>
              <w:top w:val="single" w:sz="4" w:space="0" w:color="auto"/>
              <w:right w:val="single" w:sz="4" w:space="0" w:color="auto"/>
            </w:tcBorders>
            <w:vAlign w:val="center"/>
          </w:tcPr>
          <w:p w14:paraId="524EC679" w14:textId="37C78418" w:rsidR="00B865F9" w:rsidRPr="00C0587E" w:rsidRDefault="00B865F9" w:rsidP="00572D48">
            <w:pPr>
              <w:spacing w:after="0" w:line="240" w:lineRule="auto"/>
              <w:jc w:val="both"/>
              <w:rPr>
                <w:rFonts w:ascii="Arial" w:hAnsi="Arial" w:cs="Arial"/>
                <w:bCs/>
                <w:sz w:val="22"/>
                <w:szCs w:val="22"/>
              </w:rPr>
            </w:pPr>
            <w:r w:rsidRPr="00C0587E">
              <w:rPr>
                <w:rFonts w:ascii="Arial" w:hAnsi="Arial" w:cs="Arial"/>
                <w:bCs/>
                <w:sz w:val="22"/>
                <w:szCs w:val="22"/>
              </w:rPr>
              <w:t>Plant length</w:t>
            </w:r>
            <w:r w:rsidR="00A81981">
              <w:rPr>
                <w:rFonts w:ascii="Arial" w:hAnsi="Arial" w:cs="Arial"/>
                <w:bCs/>
                <w:sz w:val="22"/>
                <w:szCs w:val="22"/>
              </w:rPr>
              <w:t>(cm)</w:t>
            </w:r>
            <w:r w:rsidRPr="00C0587E">
              <w:rPr>
                <w:rFonts w:ascii="Arial" w:hAnsi="Arial" w:cs="Arial"/>
                <w:bCs/>
                <w:sz w:val="22"/>
                <w:szCs w:val="22"/>
              </w:rPr>
              <w:t xml:space="preserve"> </w:t>
            </w:r>
          </w:p>
        </w:tc>
        <w:tc>
          <w:tcPr>
            <w:tcW w:w="1002" w:type="pct"/>
            <w:tcBorders>
              <w:top w:val="single" w:sz="4" w:space="0" w:color="auto"/>
              <w:left w:val="single" w:sz="4" w:space="0" w:color="auto"/>
              <w:right w:val="single" w:sz="4" w:space="0" w:color="auto"/>
            </w:tcBorders>
          </w:tcPr>
          <w:p w14:paraId="3320E2C1" w14:textId="77777777" w:rsidR="00B865F9" w:rsidRPr="00C0587E" w:rsidRDefault="00B865F9" w:rsidP="00572D48">
            <w:pPr>
              <w:spacing w:after="0" w:line="240" w:lineRule="auto"/>
              <w:jc w:val="center"/>
              <w:rPr>
                <w:rFonts w:ascii="Arial" w:hAnsi="Arial" w:cs="Arial"/>
                <w:sz w:val="22"/>
                <w:szCs w:val="22"/>
              </w:rPr>
            </w:pPr>
            <w:r w:rsidRPr="00C0587E">
              <w:rPr>
                <w:rFonts w:ascii="Arial" w:hAnsi="Arial" w:cs="Arial"/>
                <w:sz w:val="22"/>
                <w:szCs w:val="22"/>
              </w:rPr>
              <w:t>C</w:t>
            </w:r>
          </w:p>
        </w:tc>
        <w:tc>
          <w:tcPr>
            <w:tcW w:w="1113" w:type="pct"/>
            <w:tcBorders>
              <w:top w:val="single" w:sz="4" w:space="0" w:color="auto"/>
              <w:left w:val="single" w:sz="4" w:space="0" w:color="auto"/>
            </w:tcBorders>
          </w:tcPr>
          <w:p w14:paraId="0FA7D4F1" w14:textId="77777777" w:rsidR="00B865F9" w:rsidRPr="00C0587E" w:rsidRDefault="00B865F9" w:rsidP="00572D48">
            <w:pPr>
              <w:spacing w:after="0" w:line="240" w:lineRule="auto"/>
              <w:jc w:val="center"/>
              <w:rPr>
                <w:rFonts w:ascii="Arial" w:hAnsi="Arial" w:cs="Arial"/>
                <w:sz w:val="22"/>
                <w:szCs w:val="22"/>
                <w:vertAlign w:val="superscript"/>
              </w:rPr>
            </w:pPr>
            <w:r w:rsidRPr="00C0587E">
              <w:rPr>
                <w:rFonts w:ascii="Arial" w:eastAsia="Calibri" w:hAnsi="Arial" w:cs="Arial"/>
                <w:color w:val="000000" w:themeColor="text1"/>
                <w:sz w:val="22"/>
                <w:szCs w:val="22"/>
              </w:rPr>
              <w:t>11.90±0.37</w:t>
            </w:r>
            <w:r w:rsidRPr="00C0587E">
              <w:rPr>
                <w:rFonts w:ascii="Arial" w:eastAsia="Calibri" w:hAnsi="Arial" w:cs="Arial"/>
                <w:color w:val="000000" w:themeColor="text1"/>
                <w:position w:val="10"/>
                <w:sz w:val="22"/>
                <w:szCs w:val="22"/>
                <w:vertAlign w:val="superscript"/>
              </w:rPr>
              <w:t>c</w:t>
            </w:r>
          </w:p>
        </w:tc>
        <w:tc>
          <w:tcPr>
            <w:tcW w:w="1058" w:type="pct"/>
            <w:tcBorders>
              <w:top w:val="single" w:sz="4" w:space="0" w:color="auto"/>
            </w:tcBorders>
          </w:tcPr>
          <w:p w14:paraId="34A0D853" w14:textId="77777777" w:rsidR="00B865F9" w:rsidRPr="00C0587E" w:rsidRDefault="00B865F9" w:rsidP="00572D48">
            <w:pPr>
              <w:spacing w:after="0" w:line="240" w:lineRule="auto"/>
              <w:jc w:val="center"/>
              <w:rPr>
                <w:rFonts w:ascii="Arial" w:hAnsi="Arial" w:cs="Arial"/>
                <w:sz w:val="22"/>
                <w:szCs w:val="22"/>
                <w:vertAlign w:val="superscript"/>
              </w:rPr>
            </w:pPr>
            <w:r w:rsidRPr="00C0587E">
              <w:rPr>
                <w:rFonts w:ascii="Arial" w:eastAsia="Calibri" w:hAnsi="Arial" w:cs="Arial"/>
                <w:color w:val="000000" w:themeColor="text1"/>
                <w:sz w:val="22"/>
                <w:szCs w:val="22"/>
              </w:rPr>
              <w:t>20.10±0.58</w:t>
            </w:r>
            <w:r w:rsidRPr="00C0587E">
              <w:rPr>
                <w:rFonts w:ascii="Arial" w:eastAsia="Calibri" w:hAnsi="Arial" w:cs="Arial"/>
                <w:color w:val="000000" w:themeColor="text1"/>
                <w:position w:val="10"/>
                <w:sz w:val="22"/>
                <w:szCs w:val="22"/>
                <w:vertAlign w:val="superscript"/>
              </w:rPr>
              <w:t>C</w:t>
            </w:r>
          </w:p>
        </w:tc>
        <w:tc>
          <w:tcPr>
            <w:tcW w:w="938" w:type="pct"/>
            <w:tcBorders>
              <w:top w:val="single" w:sz="4" w:space="0" w:color="auto"/>
            </w:tcBorders>
          </w:tcPr>
          <w:p w14:paraId="1997B987" w14:textId="77777777" w:rsidR="00B865F9" w:rsidRPr="00C0587E" w:rsidRDefault="00B865F9" w:rsidP="00572D48">
            <w:pPr>
              <w:spacing w:after="0" w:line="240" w:lineRule="auto"/>
              <w:jc w:val="center"/>
              <w:rPr>
                <w:rFonts w:ascii="Arial" w:hAnsi="Arial" w:cs="Arial"/>
                <w:sz w:val="22"/>
                <w:szCs w:val="22"/>
                <w:vertAlign w:val="superscript"/>
              </w:rPr>
            </w:pPr>
            <w:r w:rsidRPr="00C0587E">
              <w:rPr>
                <w:rFonts w:ascii="Arial" w:eastAsia="Calibri" w:hAnsi="Arial" w:cs="Arial"/>
                <w:color w:val="000000" w:themeColor="text1"/>
                <w:sz w:val="22"/>
                <w:szCs w:val="22"/>
              </w:rPr>
              <w:t>35.50±1.44</w:t>
            </w:r>
            <w:r w:rsidRPr="00C0587E">
              <w:rPr>
                <w:rFonts w:ascii="Arial" w:eastAsia="Calibri" w:hAnsi="Arial" w:cs="Arial"/>
                <w:color w:val="000000" w:themeColor="text1"/>
                <w:position w:val="10"/>
                <w:sz w:val="22"/>
                <w:szCs w:val="22"/>
                <w:vertAlign w:val="superscript"/>
              </w:rPr>
              <w:t>r</w:t>
            </w:r>
          </w:p>
        </w:tc>
      </w:tr>
      <w:tr w:rsidR="00B865F9" w:rsidRPr="00C0587E" w14:paraId="0D4B20A6" w14:textId="77777777" w:rsidTr="00560687">
        <w:trPr>
          <w:trHeight w:val="271"/>
        </w:trPr>
        <w:tc>
          <w:tcPr>
            <w:tcW w:w="889" w:type="pct"/>
            <w:vMerge/>
            <w:tcBorders>
              <w:right w:val="single" w:sz="4" w:space="0" w:color="auto"/>
            </w:tcBorders>
          </w:tcPr>
          <w:p w14:paraId="0B177D62" w14:textId="77777777" w:rsidR="00B865F9" w:rsidRPr="00C0587E" w:rsidRDefault="00B865F9" w:rsidP="00572D48">
            <w:pPr>
              <w:spacing w:after="0" w:line="240" w:lineRule="auto"/>
              <w:jc w:val="both"/>
              <w:rPr>
                <w:rFonts w:ascii="Arial" w:hAnsi="Arial" w:cs="Arial"/>
                <w:bCs/>
                <w:sz w:val="22"/>
                <w:szCs w:val="22"/>
              </w:rPr>
            </w:pPr>
          </w:p>
        </w:tc>
        <w:tc>
          <w:tcPr>
            <w:tcW w:w="1002" w:type="pct"/>
            <w:tcBorders>
              <w:left w:val="single" w:sz="4" w:space="0" w:color="auto"/>
              <w:right w:val="single" w:sz="4" w:space="0" w:color="auto"/>
            </w:tcBorders>
          </w:tcPr>
          <w:p w14:paraId="1F31DEE3" w14:textId="5E7AF48A" w:rsidR="00B865F9" w:rsidRPr="00C0587E" w:rsidRDefault="00884617" w:rsidP="00572D48">
            <w:pPr>
              <w:spacing w:after="0" w:line="240" w:lineRule="auto"/>
              <w:jc w:val="center"/>
              <w:rPr>
                <w:rFonts w:ascii="Arial" w:hAnsi="Arial" w:cs="Arial"/>
                <w:sz w:val="22"/>
                <w:szCs w:val="22"/>
              </w:rPr>
            </w:pPr>
            <w:r w:rsidRPr="00C0587E">
              <w:rPr>
                <w:rFonts w:ascii="Arial" w:hAnsi="Arial" w:cs="Arial"/>
                <w:sz w:val="22"/>
                <w:szCs w:val="22"/>
              </w:rPr>
              <w:t>T1</w:t>
            </w:r>
          </w:p>
        </w:tc>
        <w:tc>
          <w:tcPr>
            <w:tcW w:w="1113" w:type="pct"/>
            <w:tcBorders>
              <w:left w:val="single" w:sz="4" w:space="0" w:color="auto"/>
            </w:tcBorders>
          </w:tcPr>
          <w:p w14:paraId="57406C7A" w14:textId="77777777" w:rsidR="00B865F9" w:rsidRPr="00C0587E" w:rsidRDefault="00B865F9" w:rsidP="00572D48">
            <w:pPr>
              <w:spacing w:after="0" w:line="240" w:lineRule="auto"/>
              <w:jc w:val="center"/>
              <w:rPr>
                <w:rFonts w:ascii="Arial" w:hAnsi="Arial" w:cs="Arial"/>
                <w:sz w:val="22"/>
                <w:szCs w:val="22"/>
                <w:vertAlign w:val="superscript"/>
              </w:rPr>
            </w:pPr>
            <w:r w:rsidRPr="00C0587E">
              <w:rPr>
                <w:rFonts w:ascii="Arial" w:eastAsia="Calibri" w:hAnsi="Arial" w:cs="Arial"/>
                <w:color w:val="000000" w:themeColor="text1"/>
                <w:sz w:val="22"/>
                <w:szCs w:val="22"/>
              </w:rPr>
              <w:t>16.36±0.98</w:t>
            </w:r>
            <w:r w:rsidRPr="00C0587E">
              <w:rPr>
                <w:rFonts w:ascii="Arial" w:eastAsia="Calibri" w:hAnsi="Arial" w:cs="Arial"/>
                <w:color w:val="000000" w:themeColor="text1"/>
                <w:position w:val="10"/>
                <w:sz w:val="22"/>
                <w:szCs w:val="22"/>
                <w:vertAlign w:val="superscript"/>
              </w:rPr>
              <w:t>b</w:t>
            </w:r>
          </w:p>
        </w:tc>
        <w:tc>
          <w:tcPr>
            <w:tcW w:w="1058" w:type="pct"/>
          </w:tcPr>
          <w:p w14:paraId="5D8E5F22" w14:textId="77777777" w:rsidR="00B865F9" w:rsidRPr="00C0587E" w:rsidRDefault="00B865F9" w:rsidP="00572D48">
            <w:pPr>
              <w:spacing w:after="0" w:line="240" w:lineRule="auto"/>
              <w:jc w:val="center"/>
              <w:rPr>
                <w:rFonts w:ascii="Arial" w:hAnsi="Arial" w:cs="Arial"/>
                <w:sz w:val="22"/>
                <w:szCs w:val="22"/>
                <w:vertAlign w:val="superscript"/>
              </w:rPr>
            </w:pPr>
            <w:r w:rsidRPr="00C0587E">
              <w:rPr>
                <w:rFonts w:ascii="Arial" w:eastAsia="Calibri" w:hAnsi="Arial" w:cs="Arial"/>
                <w:color w:val="000000" w:themeColor="text1"/>
                <w:sz w:val="22"/>
                <w:szCs w:val="22"/>
              </w:rPr>
              <w:t>29.26±1.36</w:t>
            </w:r>
            <w:r w:rsidRPr="00C0587E">
              <w:rPr>
                <w:rFonts w:ascii="Arial" w:eastAsia="Calibri" w:hAnsi="Arial" w:cs="Arial"/>
                <w:color w:val="000000" w:themeColor="text1"/>
                <w:position w:val="10"/>
                <w:sz w:val="22"/>
                <w:szCs w:val="22"/>
                <w:vertAlign w:val="superscript"/>
              </w:rPr>
              <w:t>BC</w:t>
            </w:r>
          </w:p>
        </w:tc>
        <w:tc>
          <w:tcPr>
            <w:tcW w:w="938" w:type="pct"/>
          </w:tcPr>
          <w:p w14:paraId="39E47AE3" w14:textId="77777777" w:rsidR="00B865F9" w:rsidRPr="00C0587E" w:rsidRDefault="00B865F9" w:rsidP="00572D48">
            <w:pPr>
              <w:spacing w:after="0" w:line="240" w:lineRule="auto"/>
              <w:jc w:val="center"/>
              <w:rPr>
                <w:rFonts w:ascii="Arial" w:hAnsi="Arial" w:cs="Arial"/>
                <w:sz w:val="22"/>
                <w:szCs w:val="22"/>
                <w:vertAlign w:val="superscript"/>
              </w:rPr>
            </w:pPr>
            <w:r w:rsidRPr="00C0587E">
              <w:rPr>
                <w:rFonts w:ascii="Arial" w:eastAsia="Calibri" w:hAnsi="Arial" w:cs="Arial"/>
                <w:color w:val="000000" w:themeColor="text1"/>
                <w:sz w:val="22"/>
                <w:szCs w:val="22"/>
              </w:rPr>
              <w:t>37.86±0.69</w:t>
            </w:r>
            <w:r w:rsidRPr="00C0587E">
              <w:rPr>
                <w:rFonts w:ascii="Arial" w:eastAsia="Calibri" w:hAnsi="Arial" w:cs="Arial"/>
                <w:color w:val="000000" w:themeColor="text1"/>
                <w:position w:val="10"/>
                <w:sz w:val="22"/>
                <w:szCs w:val="22"/>
                <w:vertAlign w:val="superscript"/>
              </w:rPr>
              <w:t>r</w:t>
            </w:r>
          </w:p>
        </w:tc>
      </w:tr>
      <w:tr w:rsidR="00B865F9" w:rsidRPr="00C0587E" w14:paraId="53FF3F95" w14:textId="77777777" w:rsidTr="00560687">
        <w:trPr>
          <w:trHeight w:val="271"/>
        </w:trPr>
        <w:tc>
          <w:tcPr>
            <w:tcW w:w="889" w:type="pct"/>
            <w:vMerge/>
            <w:tcBorders>
              <w:bottom w:val="single" w:sz="4" w:space="0" w:color="auto"/>
              <w:right w:val="single" w:sz="4" w:space="0" w:color="auto"/>
            </w:tcBorders>
          </w:tcPr>
          <w:p w14:paraId="16302D0A" w14:textId="77777777" w:rsidR="00B865F9" w:rsidRPr="00C0587E" w:rsidRDefault="00B865F9" w:rsidP="00572D48">
            <w:pPr>
              <w:spacing w:after="0" w:line="240" w:lineRule="auto"/>
              <w:jc w:val="both"/>
              <w:rPr>
                <w:rFonts w:ascii="Arial" w:hAnsi="Arial" w:cs="Arial"/>
                <w:bCs/>
                <w:sz w:val="22"/>
                <w:szCs w:val="22"/>
              </w:rPr>
            </w:pPr>
          </w:p>
        </w:tc>
        <w:tc>
          <w:tcPr>
            <w:tcW w:w="1002" w:type="pct"/>
            <w:tcBorders>
              <w:left w:val="single" w:sz="4" w:space="0" w:color="auto"/>
              <w:bottom w:val="single" w:sz="4" w:space="0" w:color="auto"/>
              <w:right w:val="single" w:sz="4" w:space="0" w:color="auto"/>
            </w:tcBorders>
          </w:tcPr>
          <w:p w14:paraId="513C9CF7" w14:textId="1F838A53" w:rsidR="00B865F9" w:rsidRPr="00C0587E" w:rsidRDefault="00884617" w:rsidP="00572D48">
            <w:pPr>
              <w:spacing w:after="0" w:line="240" w:lineRule="auto"/>
              <w:jc w:val="center"/>
              <w:rPr>
                <w:rFonts w:ascii="Arial" w:hAnsi="Arial" w:cs="Arial"/>
                <w:sz w:val="22"/>
                <w:szCs w:val="22"/>
              </w:rPr>
            </w:pPr>
            <w:r w:rsidRPr="00C0587E">
              <w:rPr>
                <w:rFonts w:ascii="Arial" w:hAnsi="Arial" w:cs="Arial"/>
                <w:sz w:val="22"/>
                <w:szCs w:val="22"/>
              </w:rPr>
              <w:t>T2</w:t>
            </w:r>
          </w:p>
        </w:tc>
        <w:tc>
          <w:tcPr>
            <w:tcW w:w="1113" w:type="pct"/>
            <w:tcBorders>
              <w:left w:val="single" w:sz="4" w:space="0" w:color="auto"/>
              <w:bottom w:val="single" w:sz="4" w:space="0" w:color="auto"/>
            </w:tcBorders>
          </w:tcPr>
          <w:p w14:paraId="1D5EA2BF" w14:textId="77777777" w:rsidR="00B865F9" w:rsidRPr="00C0587E" w:rsidRDefault="00B865F9" w:rsidP="00572D48">
            <w:pPr>
              <w:spacing w:after="0" w:line="240" w:lineRule="auto"/>
              <w:jc w:val="center"/>
              <w:rPr>
                <w:rFonts w:ascii="Arial" w:hAnsi="Arial" w:cs="Arial"/>
                <w:sz w:val="22"/>
                <w:szCs w:val="22"/>
                <w:vertAlign w:val="superscript"/>
              </w:rPr>
            </w:pPr>
            <w:r w:rsidRPr="00C0587E">
              <w:rPr>
                <w:rFonts w:ascii="Arial" w:eastAsia="Calibri" w:hAnsi="Arial" w:cs="Arial"/>
                <w:color w:val="000000" w:themeColor="text1"/>
                <w:sz w:val="22"/>
                <w:szCs w:val="22"/>
              </w:rPr>
              <w:t>14.96±0.49</w:t>
            </w:r>
            <w:r w:rsidRPr="00C0587E">
              <w:rPr>
                <w:rFonts w:ascii="Arial" w:eastAsia="Calibri" w:hAnsi="Arial" w:cs="Arial"/>
                <w:color w:val="000000" w:themeColor="text1"/>
                <w:position w:val="10"/>
                <w:sz w:val="22"/>
                <w:szCs w:val="22"/>
                <w:vertAlign w:val="superscript"/>
              </w:rPr>
              <w:t>b</w:t>
            </w:r>
          </w:p>
        </w:tc>
        <w:tc>
          <w:tcPr>
            <w:tcW w:w="1058" w:type="pct"/>
            <w:tcBorders>
              <w:bottom w:val="single" w:sz="4" w:space="0" w:color="auto"/>
            </w:tcBorders>
          </w:tcPr>
          <w:p w14:paraId="52964C42" w14:textId="77777777" w:rsidR="00B865F9" w:rsidRPr="00C0587E" w:rsidRDefault="00B865F9" w:rsidP="00572D48">
            <w:pPr>
              <w:spacing w:after="0" w:line="240" w:lineRule="auto"/>
              <w:jc w:val="center"/>
              <w:rPr>
                <w:rFonts w:ascii="Arial" w:hAnsi="Arial" w:cs="Arial"/>
                <w:sz w:val="22"/>
                <w:szCs w:val="22"/>
              </w:rPr>
            </w:pPr>
            <w:r w:rsidRPr="00C0587E">
              <w:rPr>
                <w:rFonts w:ascii="Arial" w:eastAsia="Calibri" w:hAnsi="Arial" w:cs="Arial"/>
                <w:color w:val="000000" w:themeColor="text1"/>
                <w:sz w:val="22"/>
                <w:szCs w:val="22"/>
              </w:rPr>
              <w:t>32±1.00</w:t>
            </w:r>
            <w:r w:rsidRPr="00C0587E">
              <w:rPr>
                <w:rFonts w:ascii="Arial" w:eastAsia="Calibri" w:hAnsi="Arial" w:cs="Arial"/>
                <w:color w:val="000000" w:themeColor="text1"/>
                <w:position w:val="10"/>
                <w:sz w:val="22"/>
                <w:szCs w:val="22"/>
                <w:vertAlign w:val="superscript"/>
              </w:rPr>
              <w:t>BC</w:t>
            </w:r>
          </w:p>
        </w:tc>
        <w:tc>
          <w:tcPr>
            <w:tcW w:w="938" w:type="pct"/>
            <w:tcBorders>
              <w:bottom w:val="single" w:sz="4" w:space="0" w:color="auto"/>
            </w:tcBorders>
          </w:tcPr>
          <w:p w14:paraId="6AF855C4" w14:textId="77777777" w:rsidR="00B865F9" w:rsidRPr="00C0587E" w:rsidRDefault="00B865F9" w:rsidP="00572D48">
            <w:pPr>
              <w:spacing w:after="0" w:line="240" w:lineRule="auto"/>
              <w:jc w:val="center"/>
              <w:rPr>
                <w:rFonts w:ascii="Arial" w:hAnsi="Arial" w:cs="Arial"/>
                <w:sz w:val="22"/>
                <w:szCs w:val="22"/>
                <w:vertAlign w:val="superscript"/>
              </w:rPr>
            </w:pPr>
            <w:r w:rsidRPr="00C0587E">
              <w:rPr>
                <w:rFonts w:ascii="Arial" w:eastAsia="Calibri" w:hAnsi="Arial" w:cs="Arial"/>
                <w:color w:val="000000" w:themeColor="text1"/>
                <w:sz w:val="22"/>
                <w:szCs w:val="22"/>
              </w:rPr>
              <w:t>46.03±2.06</w:t>
            </w:r>
            <w:r w:rsidRPr="00C0587E">
              <w:rPr>
                <w:rFonts w:ascii="Arial" w:eastAsia="Calibri" w:hAnsi="Arial" w:cs="Arial"/>
                <w:color w:val="000000" w:themeColor="text1"/>
                <w:position w:val="10"/>
                <w:sz w:val="22"/>
                <w:szCs w:val="22"/>
                <w:vertAlign w:val="superscript"/>
              </w:rPr>
              <w:t>q</w:t>
            </w:r>
          </w:p>
        </w:tc>
      </w:tr>
    </w:tbl>
    <w:p w14:paraId="41141BB2" w14:textId="27590913" w:rsidR="0097016E" w:rsidRDefault="0097016E" w:rsidP="00915BCB">
      <w:pPr>
        <w:spacing w:after="4" w:line="249" w:lineRule="auto"/>
        <w:ind w:left="-5" w:right="-123" w:hanging="10"/>
        <w:jc w:val="center"/>
        <w:rPr>
          <w:rFonts w:ascii="Arial" w:hAnsi="Arial" w:cs="Arial"/>
          <w:bCs/>
          <w:sz w:val="20"/>
          <w:szCs w:val="20"/>
        </w:rPr>
      </w:pPr>
      <w:r w:rsidRPr="008A16D3">
        <w:rPr>
          <w:rFonts w:ascii="Arial" w:hAnsi="Arial" w:cs="Arial"/>
          <w:sz w:val="20"/>
          <w:szCs w:val="20"/>
        </w:rPr>
        <w:t>(</w:t>
      </w:r>
      <w:r w:rsidRPr="008A16D3">
        <w:rPr>
          <w:rFonts w:ascii="Arial" w:hAnsi="Arial" w:cs="Arial"/>
          <w:bCs/>
          <w:sz w:val="20"/>
          <w:szCs w:val="20"/>
        </w:rPr>
        <w:t xml:space="preserve">*Note </w:t>
      </w:r>
      <w:r w:rsidR="00DA6F8B">
        <w:rPr>
          <w:rFonts w:ascii="Arial" w:hAnsi="Arial" w:cs="Arial"/>
          <w:bCs/>
          <w:sz w:val="20"/>
          <w:szCs w:val="20"/>
        </w:rPr>
        <w:t xml:space="preserve">C= Control, </w:t>
      </w:r>
      <w:r w:rsidRPr="008A16D3">
        <w:rPr>
          <w:rFonts w:ascii="Arial" w:hAnsi="Arial" w:cs="Arial"/>
          <w:bCs/>
          <w:sz w:val="20"/>
          <w:szCs w:val="20"/>
        </w:rPr>
        <w:t xml:space="preserve">T1= Bio-floc (20:1), </w:t>
      </w:r>
      <w:r w:rsidR="00A96EE9">
        <w:rPr>
          <w:rFonts w:ascii="Arial" w:hAnsi="Arial" w:cs="Arial"/>
          <w:bCs/>
          <w:sz w:val="20"/>
          <w:szCs w:val="20"/>
        </w:rPr>
        <w:t>T2</w:t>
      </w:r>
      <w:r w:rsidRPr="008A16D3">
        <w:rPr>
          <w:rFonts w:ascii="Arial" w:hAnsi="Arial" w:cs="Arial"/>
          <w:bCs/>
          <w:sz w:val="20"/>
          <w:szCs w:val="20"/>
        </w:rPr>
        <w:t>=Biofloc (20:1) + 0.5% Jeevamruth; The mean values followed by the different superscript letters in each factor indicate significant difference at 0.05.)</w:t>
      </w:r>
    </w:p>
    <w:p w14:paraId="35292D4A" w14:textId="77777777" w:rsidR="00B865F9" w:rsidRPr="006079B2" w:rsidRDefault="00B865F9" w:rsidP="0038138F">
      <w:pPr>
        <w:rPr>
          <w:rFonts w:ascii="Arial" w:hAnsi="Arial" w:cs="Arial"/>
          <w:b/>
          <w:bCs/>
        </w:rPr>
      </w:pPr>
    </w:p>
    <w:p w14:paraId="073DD93E" w14:textId="6AC3E162" w:rsidR="00D357C5" w:rsidRPr="006079B2" w:rsidRDefault="00D357C5" w:rsidP="0038138F">
      <w:pPr>
        <w:rPr>
          <w:rFonts w:ascii="Arial" w:hAnsi="Arial" w:cs="Arial"/>
          <w:b/>
          <w:bCs/>
        </w:rPr>
      </w:pPr>
      <w:r w:rsidRPr="006079B2">
        <w:rPr>
          <w:rFonts w:ascii="Arial" w:hAnsi="Arial" w:cs="Arial"/>
          <w:noProof/>
        </w:rPr>
        <w:lastRenderedPageBreak/>
        <w:drawing>
          <wp:inline distT="0" distB="0" distL="0" distR="0" wp14:anchorId="77AA5FD7" wp14:editId="6C77CB96">
            <wp:extent cx="5486400" cy="2695575"/>
            <wp:effectExtent l="0" t="0" r="0" b="0"/>
            <wp:docPr id="1614736280"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32"/>
              </a:graphicData>
            </a:graphic>
          </wp:inline>
        </w:drawing>
      </w:r>
    </w:p>
    <w:p w14:paraId="43E76099" w14:textId="1373811A" w:rsidR="00726987" w:rsidRDefault="00726987" w:rsidP="00726987">
      <w:pPr>
        <w:spacing w:line="360" w:lineRule="auto"/>
        <w:jc w:val="center"/>
        <w:rPr>
          <w:rFonts w:ascii="Arial" w:hAnsi="Arial" w:cs="Arial"/>
          <w:b/>
          <w:sz w:val="20"/>
          <w:szCs w:val="20"/>
        </w:rPr>
      </w:pPr>
      <w:r w:rsidRPr="00A152F0">
        <w:rPr>
          <w:rFonts w:ascii="Arial" w:hAnsi="Arial" w:cs="Arial"/>
          <w:b/>
          <w:sz w:val="20"/>
          <w:szCs w:val="20"/>
        </w:rPr>
        <w:t>Figure 1</w:t>
      </w:r>
      <w:r w:rsidR="00FB120A">
        <w:rPr>
          <w:rFonts w:ascii="Arial" w:hAnsi="Arial" w:cs="Arial"/>
          <w:b/>
          <w:sz w:val="20"/>
          <w:szCs w:val="20"/>
        </w:rPr>
        <w:t>6</w:t>
      </w:r>
      <w:r w:rsidRPr="00A152F0">
        <w:rPr>
          <w:rFonts w:ascii="Arial" w:hAnsi="Arial" w:cs="Arial"/>
          <w:b/>
          <w:sz w:val="20"/>
          <w:szCs w:val="20"/>
        </w:rPr>
        <w:t>:</w:t>
      </w:r>
      <w:r>
        <w:rPr>
          <w:rFonts w:ascii="Arial" w:hAnsi="Arial" w:cs="Arial"/>
          <w:b/>
          <w:sz w:val="20"/>
          <w:szCs w:val="20"/>
        </w:rPr>
        <w:t xml:space="preserve"> </w:t>
      </w:r>
      <w:r w:rsidRPr="00224BC0">
        <w:rPr>
          <w:rFonts w:ascii="Arial" w:hAnsi="Arial" w:cs="Arial"/>
          <w:b/>
          <w:sz w:val="20"/>
          <w:szCs w:val="20"/>
        </w:rPr>
        <w:t xml:space="preserve">Average </w:t>
      </w:r>
      <w:r w:rsidR="00FB120A">
        <w:rPr>
          <w:rFonts w:ascii="Arial" w:hAnsi="Arial" w:cs="Arial"/>
          <w:b/>
          <w:bCs/>
          <w:sz w:val="20"/>
          <w:szCs w:val="20"/>
        </w:rPr>
        <w:t>Plant Length</w:t>
      </w:r>
      <w:r w:rsidRPr="00224BC0">
        <w:rPr>
          <w:rFonts w:ascii="Arial" w:hAnsi="Arial" w:cs="Arial"/>
          <w:b/>
          <w:sz w:val="20"/>
          <w:szCs w:val="20"/>
        </w:rPr>
        <w:t xml:space="preserve"> Value Recorded During the Experiment</w:t>
      </w:r>
    </w:p>
    <w:p w14:paraId="7A7A117F" w14:textId="5D170A63" w:rsidR="00204C53" w:rsidRDefault="00204C53" w:rsidP="00204C53">
      <w:pPr>
        <w:spacing w:line="276" w:lineRule="auto"/>
        <w:ind w:firstLine="720"/>
        <w:jc w:val="both"/>
        <w:rPr>
          <w:rFonts w:ascii="Arial" w:hAnsi="Arial" w:cs="Arial"/>
          <w:bCs/>
          <w:sz w:val="20"/>
          <w:szCs w:val="20"/>
        </w:rPr>
      </w:pPr>
      <w:r w:rsidRPr="00204C53">
        <w:rPr>
          <w:rFonts w:ascii="Arial" w:hAnsi="Arial" w:cs="Arial"/>
          <w:bCs/>
          <w:sz w:val="20"/>
          <w:szCs w:val="20"/>
        </w:rPr>
        <w:t>Plant length increased progressively in all treatments with culture duration. At the end of 60 days, the highest plant length was recorded in the Jeevamruth-supplemented biofloc treatment (T2; 46.03 ± 2.06 cm), followed by T1 (37.86 ± 0.69 cm) and the control (35.50 ± 1.44 cm). Significant differences (p &lt; 0.05) were observed among treatments, indicating improved vegetative growth in plots irrigated with biofloc effluents, particularly under Jeevamruth supplementation.</w:t>
      </w:r>
    </w:p>
    <w:p w14:paraId="21E35929" w14:textId="77777777" w:rsidR="00204C53" w:rsidRPr="00204C53" w:rsidRDefault="00204C53" w:rsidP="00204C53">
      <w:pPr>
        <w:spacing w:line="276" w:lineRule="auto"/>
        <w:ind w:firstLine="720"/>
        <w:jc w:val="both"/>
        <w:rPr>
          <w:rFonts w:ascii="Arial" w:hAnsi="Arial" w:cs="Arial"/>
          <w:bCs/>
          <w:sz w:val="20"/>
          <w:szCs w:val="20"/>
        </w:rPr>
      </w:pPr>
    </w:p>
    <w:p w14:paraId="58194DBC" w14:textId="2342C968" w:rsidR="00135908" w:rsidRDefault="00E05B72" w:rsidP="00E05B72">
      <w:pPr>
        <w:spacing w:line="360" w:lineRule="auto"/>
        <w:rPr>
          <w:rFonts w:ascii="Arial" w:hAnsi="Arial" w:cs="Arial"/>
          <w:b/>
          <w:bCs/>
          <w:sz w:val="20"/>
          <w:szCs w:val="20"/>
          <w:u w:val="single"/>
        </w:rPr>
      </w:pPr>
      <w:r>
        <w:rPr>
          <w:rFonts w:ascii="Arial" w:hAnsi="Arial" w:cs="Arial"/>
          <w:b/>
          <w:bCs/>
          <w:sz w:val="20"/>
          <w:szCs w:val="20"/>
          <w:u w:val="single"/>
        </w:rPr>
        <w:t xml:space="preserve">3.3.2 </w:t>
      </w:r>
      <w:r w:rsidR="00135908" w:rsidRPr="00E05B72">
        <w:rPr>
          <w:rFonts w:ascii="Arial" w:hAnsi="Arial" w:cs="Arial"/>
          <w:b/>
          <w:bCs/>
          <w:sz w:val="20"/>
          <w:szCs w:val="20"/>
          <w:u w:val="single"/>
        </w:rPr>
        <w:t>Average growth rate</w:t>
      </w:r>
      <w:r w:rsidR="00197C83">
        <w:rPr>
          <w:rFonts w:ascii="Arial" w:hAnsi="Arial" w:cs="Arial"/>
          <w:b/>
          <w:bCs/>
          <w:sz w:val="20"/>
          <w:szCs w:val="20"/>
          <w:u w:val="single"/>
        </w:rPr>
        <w:t>(cm/day)</w:t>
      </w:r>
      <w:r w:rsidR="00135908" w:rsidRPr="00E05B72">
        <w:rPr>
          <w:rFonts w:ascii="Arial" w:hAnsi="Arial" w:cs="Arial"/>
          <w:b/>
          <w:bCs/>
          <w:sz w:val="20"/>
          <w:szCs w:val="20"/>
          <w:u w:val="single"/>
        </w:rPr>
        <w:t xml:space="preserve"> recorded during experimental period.</w:t>
      </w:r>
    </w:p>
    <w:p w14:paraId="456705E1" w14:textId="296D09B2" w:rsidR="00634588" w:rsidRPr="00E05B72" w:rsidRDefault="00634588" w:rsidP="00E05B72">
      <w:pPr>
        <w:spacing w:line="360" w:lineRule="auto"/>
        <w:rPr>
          <w:rFonts w:ascii="Arial" w:hAnsi="Arial" w:cs="Arial"/>
          <w:b/>
          <w:bCs/>
          <w:sz w:val="20"/>
          <w:szCs w:val="20"/>
          <w:u w:val="single"/>
        </w:rPr>
      </w:pPr>
      <w:r w:rsidRPr="00224BC0">
        <w:rPr>
          <w:rFonts w:ascii="Arial" w:hAnsi="Arial" w:cs="Arial"/>
          <w:b/>
          <w:sz w:val="20"/>
          <w:szCs w:val="20"/>
        </w:rPr>
        <w:t xml:space="preserve">Table </w:t>
      </w:r>
      <w:r w:rsidR="001B5CD5">
        <w:rPr>
          <w:rFonts w:ascii="Arial" w:hAnsi="Arial" w:cs="Arial"/>
          <w:b/>
          <w:sz w:val="20"/>
          <w:szCs w:val="20"/>
        </w:rPr>
        <w:t>17</w:t>
      </w:r>
      <w:r w:rsidRPr="00224BC0">
        <w:rPr>
          <w:rFonts w:ascii="Arial" w:hAnsi="Arial" w:cs="Arial"/>
          <w:b/>
          <w:sz w:val="20"/>
          <w:szCs w:val="20"/>
        </w:rPr>
        <w:t xml:space="preserve">: Average </w:t>
      </w:r>
      <w:r w:rsidR="00E35B89">
        <w:rPr>
          <w:rFonts w:ascii="Arial" w:hAnsi="Arial" w:cs="Arial"/>
          <w:b/>
          <w:bCs/>
          <w:sz w:val="20"/>
          <w:szCs w:val="20"/>
        </w:rPr>
        <w:t>growth rate</w:t>
      </w:r>
      <w:r w:rsidR="00197C83">
        <w:rPr>
          <w:rFonts w:ascii="Arial" w:hAnsi="Arial" w:cs="Arial"/>
          <w:b/>
          <w:bCs/>
          <w:sz w:val="20"/>
          <w:szCs w:val="20"/>
        </w:rPr>
        <w:t>(cm/day)</w:t>
      </w:r>
      <w:r w:rsidR="00E35B89">
        <w:rPr>
          <w:rFonts w:ascii="Arial" w:hAnsi="Arial" w:cs="Arial"/>
          <w:b/>
          <w:bCs/>
          <w:sz w:val="20"/>
          <w:szCs w:val="20"/>
        </w:rPr>
        <w:t xml:space="preserve"> </w:t>
      </w:r>
      <w:r w:rsidRPr="00224BC0">
        <w:rPr>
          <w:rFonts w:ascii="Arial" w:hAnsi="Arial" w:cs="Arial"/>
          <w:b/>
          <w:sz w:val="20"/>
          <w:szCs w:val="20"/>
        </w:rPr>
        <w:t xml:space="preserve">Recorded During the </w:t>
      </w:r>
      <w:commentRangeStart w:id="16"/>
      <w:r w:rsidRPr="00224BC0">
        <w:rPr>
          <w:rFonts w:ascii="Arial" w:hAnsi="Arial" w:cs="Arial"/>
          <w:b/>
          <w:sz w:val="20"/>
          <w:szCs w:val="20"/>
        </w:rPr>
        <w:t>Experiment</w:t>
      </w:r>
      <w:commentRangeEnd w:id="16"/>
      <w:r w:rsidR="00D519C3">
        <w:rPr>
          <w:rStyle w:val="Refdecomentario"/>
        </w:rPr>
        <w:commentReference w:id="16"/>
      </w:r>
    </w:p>
    <w:tbl>
      <w:tblPr>
        <w:tblW w:w="5000" w:type="pct"/>
        <w:tblLook w:val="04A0" w:firstRow="1" w:lastRow="0" w:firstColumn="1" w:lastColumn="0" w:noHBand="0" w:noVBand="1"/>
      </w:tblPr>
      <w:tblGrid>
        <w:gridCol w:w="1978"/>
        <w:gridCol w:w="1358"/>
        <w:gridCol w:w="1926"/>
        <w:gridCol w:w="1616"/>
        <w:gridCol w:w="2148"/>
      </w:tblGrid>
      <w:tr w:rsidR="00943C54" w:rsidRPr="00C0587E" w14:paraId="3E3D815E" w14:textId="77777777" w:rsidTr="001C62A9">
        <w:trPr>
          <w:trHeight w:val="395"/>
        </w:trPr>
        <w:tc>
          <w:tcPr>
            <w:tcW w:w="1096" w:type="pct"/>
            <w:tcBorders>
              <w:top w:val="single" w:sz="4" w:space="0" w:color="auto"/>
              <w:bottom w:val="single" w:sz="4" w:space="0" w:color="auto"/>
              <w:right w:val="single" w:sz="4" w:space="0" w:color="auto"/>
            </w:tcBorders>
            <w:vAlign w:val="center"/>
            <w:hideMark/>
          </w:tcPr>
          <w:p w14:paraId="6214AE75" w14:textId="77777777" w:rsidR="00943C54" w:rsidRPr="00C0587E" w:rsidRDefault="00943C54" w:rsidP="00572D48">
            <w:pPr>
              <w:spacing w:after="0" w:line="240" w:lineRule="auto"/>
              <w:jc w:val="both"/>
              <w:rPr>
                <w:rFonts w:ascii="Arial" w:eastAsia="Times New Roman" w:hAnsi="Arial" w:cs="Arial"/>
                <w:color w:val="000000"/>
                <w:kern w:val="0"/>
                <w:sz w:val="22"/>
                <w:szCs w:val="22"/>
                <w:lang w:eastAsia="en-IN"/>
                <w14:ligatures w14:val="none"/>
              </w:rPr>
            </w:pPr>
            <w:r w:rsidRPr="00C0587E">
              <w:rPr>
                <w:rFonts w:ascii="Arial" w:eastAsia="Times New Roman" w:hAnsi="Arial" w:cs="Arial"/>
                <w:color w:val="000000"/>
                <w:kern w:val="0"/>
                <w:sz w:val="22"/>
                <w:szCs w:val="22"/>
                <w:lang w:eastAsia="en-IN"/>
                <w14:ligatures w14:val="none"/>
              </w:rPr>
              <w:t xml:space="preserve">Parameter </w:t>
            </w:r>
          </w:p>
        </w:tc>
        <w:tc>
          <w:tcPr>
            <w:tcW w:w="752" w:type="pct"/>
            <w:tcBorders>
              <w:top w:val="single" w:sz="4" w:space="0" w:color="auto"/>
              <w:left w:val="single" w:sz="4" w:space="0" w:color="auto"/>
              <w:bottom w:val="single" w:sz="4" w:space="0" w:color="auto"/>
              <w:right w:val="single" w:sz="4" w:space="0" w:color="auto"/>
            </w:tcBorders>
            <w:vAlign w:val="center"/>
            <w:hideMark/>
          </w:tcPr>
          <w:p w14:paraId="4E75ABF9" w14:textId="77777777" w:rsidR="00943C54" w:rsidRPr="00C0587E" w:rsidRDefault="00943C54" w:rsidP="00572D48">
            <w:pPr>
              <w:spacing w:after="0" w:line="240" w:lineRule="auto"/>
              <w:jc w:val="center"/>
              <w:rPr>
                <w:rFonts w:ascii="Arial" w:eastAsia="Times New Roman" w:hAnsi="Arial" w:cs="Arial"/>
                <w:color w:val="000000"/>
                <w:kern w:val="0"/>
                <w:sz w:val="22"/>
                <w:szCs w:val="22"/>
                <w:lang w:eastAsia="en-IN"/>
                <w14:ligatures w14:val="none"/>
              </w:rPr>
            </w:pPr>
            <w:r w:rsidRPr="00C0587E">
              <w:rPr>
                <w:rFonts w:ascii="Arial" w:eastAsia="Times New Roman" w:hAnsi="Arial" w:cs="Arial"/>
                <w:color w:val="000000"/>
                <w:kern w:val="0"/>
                <w:sz w:val="22"/>
                <w:szCs w:val="22"/>
                <w:lang w:eastAsia="en-IN"/>
                <w14:ligatures w14:val="none"/>
              </w:rPr>
              <w:t>Treatment</w:t>
            </w:r>
          </w:p>
        </w:tc>
        <w:tc>
          <w:tcPr>
            <w:tcW w:w="1067" w:type="pct"/>
            <w:tcBorders>
              <w:top w:val="single" w:sz="4" w:space="0" w:color="auto"/>
              <w:left w:val="single" w:sz="4" w:space="0" w:color="auto"/>
              <w:bottom w:val="single" w:sz="4" w:space="0" w:color="auto"/>
            </w:tcBorders>
            <w:vAlign w:val="center"/>
            <w:hideMark/>
          </w:tcPr>
          <w:p w14:paraId="135357C3" w14:textId="77777777" w:rsidR="00943C54" w:rsidRPr="00C0587E" w:rsidRDefault="00943C54" w:rsidP="00572D48">
            <w:pPr>
              <w:spacing w:after="0" w:line="240" w:lineRule="auto"/>
              <w:jc w:val="center"/>
              <w:rPr>
                <w:rFonts w:ascii="Arial" w:eastAsia="Times New Roman" w:hAnsi="Arial" w:cs="Arial"/>
                <w:color w:val="000000"/>
                <w:kern w:val="0"/>
                <w:sz w:val="22"/>
                <w:szCs w:val="22"/>
                <w:lang w:eastAsia="en-IN"/>
                <w14:ligatures w14:val="none"/>
              </w:rPr>
            </w:pPr>
            <w:r w:rsidRPr="00C0587E">
              <w:rPr>
                <w:rFonts w:ascii="Arial" w:eastAsia="Times New Roman" w:hAnsi="Arial" w:cs="Arial"/>
                <w:color w:val="000000"/>
                <w:kern w:val="0"/>
                <w:sz w:val="22"/>
                <w:szCs w:val="22"/>
                <w:lang w:eastAsia="en-IN"/>
                <w14:ligatures w14:val="none"/>
              </w:rPr>
              <w:t>20</w:t>
            </w:r>
            <w:r w:rsidRPr="00C0587E">
              <w:rPr>
                <w:rFonts w:ascii="Arial" w:eastAsia="Times New Roman" w:hAnsi="Arial" w:cs="Arial"/>
                <w:color w:val="000000"/>
                <w:kern w:val="0"/>
                <w:sz w:val="22"/>
                <w:szCs w:val="22"/>
                <w:vertAlign w:val="superscript"/>
                <w:lang w:eastAsia="en-IN"/>
                <w14:ligatures w14:val="none"/>
              </w:rPr>
              <w:t>th</w:t>
            </w:r>
            <w:r w:rsidRPr="00C0587E">
              <w:rPr>
                <w:rFonts w:ascii="Arial" w:eastAsia="Times New Roman" w:hAnsi="Arial" w:cs="Arial"/>
                <w:color w:val="000000"/>
                <w:kern w:val="0"/>
                <w:sz w:val="22"/>
                <w:szCs w:val="22"/>
                <w:lang w:eastAsia="en-IN"/>
                <w14:ligatures w14:val="none"/>
              </w:rPr>
              <w:t xml:space="preserve"> DAY</w:t>
            </w:r>
          </w:p>
        </w:tc>
        <w:tc>
          <w:tcPr>
            <w:tcW w:w="895" w:type="pct"/>
            <w:tcBorders>
              <w:top w:val="single" w:sz="4" w:space="0" w:color="auto"/>
              <w:bottom w:val="single" w:sz="4" w:space="0" w:color="auto"/>
            </w:tcBorders>
            <w:vAlign w:val="center"/>
            <w:hideMark/>
          </w:tcPr>
          <w:p w14:paraId="7F5A8151" w14:textId="77777777" w:rsidR="00943C54" w:rsidRPr="00C0587E" w:rsidRDefault="00943C54" w:rsidP="00572D48">
            <w:pPr>
              <w:spacing w:after="0" w:line="240" w:lineRule="auto"/>
              <w:jc w:val="center"/>
              <w:rPr>
                <w:rFonts w:ascii="Arial" w:eastAsia="Times New Roman" w:hAnsi="Arial" w:cs="Arial"/>
                <w:color w:val="000000"/>
                <w:kern w:val="0"/>
                <w:sz w:val="22"/>
                <w:szCs w:val="22"/>
                <w:lang w:eastAsia="en-IN"/>
                <w14:ligatures w14:val="none"/>
              </w:rPr>
            </w:pPr>
            <w:r w:rsidRPr="00C0587E">
              <w:rPr>
                <w:rFonts w:ascii="Arial" w:eastAsia="Times New Roman" w:hAnsi="Arial" w:cs="Arial"/>
                <w:color w:val="000000"/>
                <w:kern w:val="0"/>
                <w:sz w:val="22"/>
                <w:szCs w:val="22"/>
                <w:lang w:eastAsia="en-IN"/>
                <w14:ligatures w14:val="none"/>
              </w:rPr>
              <w:t>40</w:t>
            </w:r>
            <w:r w:rsidRPr="00C0587E">
              <w:rPr>
                <w:rFonts w:ascii="Arial" w:eastAsia="Times New Roman" w:hAnsi="Arial" w:cs="Arial"/>
                <w:color w:val="000000"/>
                <w:kern w:val="0"/>
                <w:sz w:val="22"/>
                <w:szCs w:val="22"/>
                <w:vertAlign w:val="superscript"/>
                <w:lang w:eastAsia="en-IN"/>
                <w14:ligatures w14:val="none"/>
              </w:rPr>
              <w:t>th</w:t>
            </w:r>
            <w:r w:rsidRPr="00C0587E">
              <w:rPr>
                <w:rFonts w:ascii="Arial" w:eastAsia="Times New Roman" w:hAnsi="Arial" w:cs="Arial"/>
                <w:color w:val="000000"/>
                <w:kern w:val="0"/>
                <w:sz w:val="22"/>
                <w:szCs w:val="22"/>
                <w:lang w:eastAsia="en-IN"/>
                <w14:ligatures w14:val="none"/>
              </w:rPr>
              <w:t>DAY</w:t>
            </w:r>
          </w:p>
        </w:tc>
        <w:tc>
          <w:tcPr>
            <w:tcW w:w="1190" w:type="pct"/>
            <w:tcBorders>
              <w:top w:val="single" w:sz="4" w:space="0" w:color="auto"/>
              <w:bottom w:val="single" w:sz="4" w:space="0" w:color="auto"/>
            </w:tcBorders>
            <w:vAlign w:val="center"/>
            <w:hideMark/>
          </w:tcPr>
          <w:p w14:paraId="4E200A71" w14:textId="77777777" w:rsidR="00943C54" w:rsidRPr="00C0587E" w:rsidRDefault="00943C54" w:rsidP="00572D48">
            <w:pPr>
              <w:spacing w:after="0" w:line="240" w:lineRule="auto"/>
              <w:jc w:val="center"/>
              <w:rPr>
                <w:rFonts w:ascii="Arial" w:eastAsia="Times New Roman" w:hAnsi="Arial" w:cs="Arial"/>
                <w:color w:val="000000"/>
                <w:kern w:val="0"/>
                <w:sz w:val="22"/>
                <w:szCs w:val="22"/>
                <w:lang w:eastAsia="en-IN"/>
                <w14:ligatures w14:val="none"/>
              </w:rPr>
            </w:pPr>
            <w:r w:rsidRPr="00C0587E">
              <w:rPr>
                <w:rFonts w:ascii="Arial" w:eastAsia="Times New Roman" w:hAnsi="Arial" w:cs="Arial"/>
                <w:color w:val="000000"/>
                <w:kern w:val="0"/>
                <w:sz w:val="22"/>
                <w:szCs w:val="22"/>
                <w:lang w:eastAsia="en-IN"/>
                <w14:ligatures w14:val="none"/>
              </w:rPr>
              <w:t>60</w:t>
            </w:r>
            <w:r w:rsidRPr="00C0587E">
              <w:rPr>
                <w:rFonts w:ascii="Arial" w:eastAsia="Times New Roman" w:hAnsi="Arial" w:cs="Arial"/>
                <w:color w:val="000000"/>
                <w:kern w:val="0"/>
                <w:sz w:val="22"/>
                <w:szCs w:val="22"/>
                <w:vertAlign w:val="superscript"/>
                <w:lang w:eastAsia="en-IN"/>
                <w14:ligatures w14:val="none"/>
              </w:rPr>
              <w:t>th</w:t>
            </w:r>
            <w:r w:rsidRPr="00C0587E">
              <w:rPr>
                <w:rFonts w:ascii="Arial" w:eastAsia="Times New Roman" w:hAnsi="Arial" w:cs="Arial"/>
                <w:color w:val="000000"/>
                <w:kern w:val="0"/>
                <w:sz w:val="22"/>
                <w:szCs w:val="22"/>
                <w:lang w:eastAsia="en-IN"/>
                <w14:ligatures w14:val="none"/>
              </w:rPr>
              <w:t xml:space="preserve"> DAY</w:t>
            </w:r>
          </w:p>
        </w:tc>
      </w:tr>
      <w:tr w:rsidR="00572D48" w:rsidRPr="00C0587E" w14:paraId="1B70E6DA" w14:textId="77777777" w:rsidTr="001C62A9">
        <w:trPr>
          <w:trHeight w:val="344"/>
        </w:trPr>
        <w:tc>
          <w:tcPr>
            <w:tcW w:w="1096" w:type="pct"/>
            <w:vMerge w:val="restart"/>
            <w:tcBorders>
              <w:top w:val="single" w:sz="4" w:space="0" w:color="auto"/>
              <w:right w:val="single" w:sz="4" w:space="0" w:color="auto"/>
            </w:tcBorders>
            <w:vAlign w:val="center"/>
            <w:hideMark/>
          </w:tcPr>
          <w:p w14:paraId="4024AAE8" w14:textId="77777777" w:rsidR="00572D48" w:rsidRPr="00C0587E" w:rsidRDefault="00572D48" w:rsidP="00572D48">
            <w:pPr>
              <w:spacing w:after="0" w:line="240" w:lineRule="auto"/>
              <w:ind w:firstLineChars="100" w:firstLine="220"/>
              <w:rPr>
                <w:rFonts w:ascii="Arial" w:eastAsia="Times New Roman" w:hAnsi="Arial" w:cs="Arial"/>
                <w:color w:val="000000"/>
                <w:kern w:val="0"/>
                <w:sz w:val="22"/>
                <w:szCs w:val="22"/>
                <w:lang w:eastAsia="en-IN"/>
                <w14:ligatures w14:val="none"/>
              </w:rPr>
            </w:pPr>
            <w:r w:rsidRPr="00C0587E">
              <w:rPr>
                <w:rFonts w:ascii="Arial" w:eastAsia="Times New Roman" w:hAnsi="Arial" w:cs="Arial"/>
                <w:color w:val="000000"/>
                <w:kern w:val="0"/>
                <w:sz w:val="22"/>
                <w:szCs w:val="22"/>
                <w:lang w:eastAsia="en-IN"/>
                <w14:ligatures w14:val="none"/>
              </w:rPr>
              <w:t>AGR (cm/day) </w:t>
            </w:r>
          </w:p>
          <w:p w14:paraId="5898D7B3" w14:textId="59BD5FD2" w:rsidR="00572D48" w:rsidRPr="00C0587E" w:rsidRDefault="00572D48" w:rsidP="00572D48">
            <w:pPr>
              <w:spacing w:after="0" w:line="240" w:lineRule="auto"/>
              <w:ind w:firstLineChars="100" w:firstLine="220"/>
              <w:rPr>
                <w:rFonts w:ascii="Arial" w:eastAsia="Times New Roman" w:hAnsi="Arial" w:cs="Arial"/>
                <w:color w:val="000000"/>
                <w:kern w:val="0"/>
                <w:sz w:val="22"/>
                <w:szCs w:val="22"/>
                <w:lang w:eastAsia="en-IN"/>
                <w14:ligatures w14:val="none"/>
              </w:rPr>
            </w:pPr>
            <w:r w:rsidRPr="00C0587E">
              <w:rPr>
                <w:rFonts w:ascii="Arial" w:eastAsia="Times New Roman" w:hAnsi="Arial" w:cs="Arial"/>
                <w:color w:val="000000"/>
                <w:kern w:val="0"/>
                <w:sz w:val="22"/>
                <w:szCs w:val="22"/>
                <w:lang w:eastAsia="en-IN"/>
                <w14:ligatures w14:val="none"/>
              </w:rPr>
              <w:t> </w:t>
            </w:r>
          </w:p>
        </w:tc>
        <w:tc>
          <w:tcPr>
            <w:tcW w:w="752" w:type="pct"/>
            <w:tcBorders>
              <w:top w:val="single" w:sz="4" w:space="0" w:color="auto"/>
              <w:left w:val="single" w:sz="4" w:space="0" w:color="auto"/>
              <w:right w:val="single" w:sz="4" w:space="0" w:color="auto"/>
            </w:tcBorders>
            <w:vAlign w:val="center"/>
            <w:hideMark/>
          </w:tcPr>
          <w:p w14:paraId="7A97E516" w14:textId="77777777" w:rsidR="00572D48" w:rsidRPr="00C0587E" w:rsidRDefault="00572D48" w:rsidP="00572D48">
            <w:pPr>
              <w:spacing w:after="0" w:line="240" w:lineRule="auto"/>
              <w:jc w:val="center"/>
              <w:rPr>
                <w:rFonts w:ascii="Arial" w:eastAsia="Times New Roman" w:hAnsi="Arial" w:cs="Arial"/>
                <w:color w:val="000000"/>
                <w:kern w:val="0"/>
                <w:sz w:val="22"/>
                <w:szCs w:val="22"/>
                <w:lang w:eastAsia="en-IN"/>
                <w14:ligatures w14:val="none"/>
              </w:rPr>
            </w:pPr>
            <w:r w:rsidRPr="00C0587E">
              <w:rPr>
                <w:rFonts w:ascii="Arial" w:eastAsia="Times New Roman" w:hAnsi="Arial" w:cs="Arial"/>
                <w:color w:val="000000"/>
                <w:kern w:val="0"/>
                <w:sz w:val="22"/>
                <w:szCs w:val="22"/>
                <w:lang w:eastAsia="en-IN"/>
                <w14:ligatures w14:val="none"/>
              </w:rPr>
              <w:t>C</w:t>
            </w:r>
          </w:p>
        </w:tc>
        <w:tc>
          <w:tcPr>
            <w:tcW w:w="1067" w:type="pct"/>
            <w:tcBorders>
              <w:top w:val="single" w:sz="4" w:space="0" w:color="auto"/>
              <w:left w:val="single" w:sz="4" w:space="0" w:color="auto"/>
            </w:tcBorders>
            <w:vAlign w:val="center"/>
            <w:hideMark/>
          </w:tcPr>
          <w:p w14:paraId="303C6EE2" w14:textId="77777777" w:rsidR="00572D48" w:rsidRPr="00C0587E" w:rsidRDefault="00572D48" w:rsidP="00572D48">
            <w:pPr>
              <w:spacing w:after="0" w:line="240" w:lineRule="auto"/>
              <w:jc w:val="center"/>
              <w:rPr>
                <w:rFonts w:ascii="Arial" w:eastAsia="Times New Roman" w:hAnsi="Arial" w:cs="Arial"/>
                <w:color w:val="000000"/>
                <w:kern w:val="0"/>
                <w:sz w:val="22"/>
                <w:szCs w:val="22"/>
                <w:vertAlign w:val="superscript"/>
                <w:lang w:eastAsia="en-IN"/>
                <w14:ligatures w14:val="none"/>
              </w:rPr>
            </w:pPr>
            <w:r w:rsidRPr="00C0587E">
              <w:rPr>
                <w:rFonts w:ascii="Arial" w:eastAsia="Arial" w:hAnsi="Arial" w:cs="Arial"/>
                <w:color w:val="000000" w:themeColor="text1"/>
                <w:sz w:val="22"/>
                <w:szCs w:val="22"/>
              </w:rPr>
              <w:t>0.59±0.01</w:t>
            </w:r>
            <w:r w:rsidRPr="00C0587E">
              <w:rPr>
                <w:rFonts w:ascii="Arial" w:eastAsia="Arial" w:hAnsi="Arial" w:cs="Arial"/>
                <w:color w:val="000000" w:themeColor="text1"/>
                <w:position w:val="10"/>
                <w:sz w:val="22"/>
                <w:szCs w:val="22"/>
                <w:vertAlign w:val="superscript"/>
              </w:rPr>
              <w:t>c</w:t>
            </w:r>
          </w:p>
        </w:tc>
        <w:tc>
          <w:tcPr>
            <w:tcW w:w="895" w:type="pct"/>
            <w:tcBorders>
              <w:top w:val="single" w:sz="4" w:space="0" w:color="auto"/>
            </w:tcBorders>
            <w:vAlign w:val="center"/>
            <w:hideMark/>
          </w:tcPr>
          <w:p w14:paraId="1976B18A" w14:textId="77777777" w:rsidR="00572D48" w:rsidRPr="00C0587E" w:rsidRDefault="00572D48" w:rsidP="00572D48">
            <w:pPr>
              <w:spacing w:after="0" w:line="240" w:lineRule="auto"/>
              <w:jc w:val="center"/>
              <w:rPr>
                <w:rFonts w:ascii="Arial" w:eastAsia="Times New Roman" w:hAnsi="Arial" w:cs="Arial"/>
                <w:color w:val="000000"/>
                <w:kern w:val="0"/>
                <w:sz w:val="22"/>
                <w:szCs w:val="22"/>
                <w:vertAlign w:val="superscript"/>
                <w:lang w:eastAsia="en-IN"/>
                <w14:ligatures w14:val="none"/>
              </w:rPr>
            </w:pPr>
            <w:r w:rsidRPr="00C0587E">
              <w:rPr>
                <w:rFonts w:ascii="Arial" w:eastAsia="Arial" w:hAnsi="Arial" w:cs="Arial"/>
                <w:color w:val="000000" w:themeColor="text1"/>
                <w:sz w:val="22"/>
                <w:szCs w:val="22"/>
              </w:rPr>
              <w:t>0.76±0.02</w:t>
            </w:r>
            <w:r w:rsidRPr="00C0587E">
              <w:rPr>
                <w:rFonts w:ascii="Arial" w:eastAsia="Arial" w:hAnsi="Arial" w:cs="Arial"/>
                <w:color w:val="000000" w:themeColor="text1"/>
                <w:position w:val="10"/>
                <w:sz w:val="22"/>
                <w:szCs w:val="22"/>
                <w:vertAlign w:val="superscript"/>
              </w:rPr>
              <w:t>C</w:t>
            </w:r>
          </w:p>
        </w:tc>
        <w:tc>
          <w:tcPr>
            <w:tcW w:w="1190" w:type="pct"/>
            <w:tcBorders>
              <w:top w:val="single" w:sz="4" w:space="0" w:color="auto"/>
            </w:tcBorders>
            <w:vAlign w:val="center"/>
            <w:hideMark/>
          </w:tcPr>
          <w:p w14:paraId="7985C203" w14:textId="77777777" w:rsidR="00572D48" w:rsidRPr="00C0587E" w:rsidRDefault="00572D48" w:rsidP="00572D48">
            <w:pPr>
              <w:spacing w:after="0" w:line="240" w:lineRule="auto"/>
              <w:jc w:val="center"/>
              <w:rPr>
                <w:rFonts w:ascii="Arial" w:eastAsia="Times New Roman" w:hAnsi="Arial" w:cs="Arial"/>
                <w:color w:val="000000"/>
                <w:kern w:val="0"/>
                <w:sz w:val="22"/>
                <w:szCs w:val="22"/>
                <w:vertAlign w:val="superscript"/>
                <w:lang w:eastAsia="en-IN"/>
                <w14:ligatures w14:val="none"/>
              </w:rPr>
            </w:pPr>
            <w:r w:rsidRPr="00C0587E">
              <w:rPr>
                <w:rFonts w:ascii="Arial" w:eastAsia="Arial" w:hAnsi="Arial" w:cs="Arial"/>
                <w:color w:val="000000" w:themeColor="text1"/>
                <w:sz w:val="22"/>
                <w:szCs w:val="22"/>
              </w:rPr>
              <w:t>0.42±0.04</w:t>
            </w:r>
            <w:r w:rsidRPr="00C0587E">
              <w:rPr>
                <w:rFonts w:ascii="Arial" w:eastAsia="Arial" w:hAnsi="Arial" w:cs="Arial"/>
                <w:color w:val="000000" w:themeColor="text1"/>
                <w:position w:val="10"/>
                <w:sz w:val="22"/>
                <w:szCs w:val="22"/>
                <w:vertAlign w:val="superscript"/>
              </w:rPr>
              <w:t>pq</w:t>
            </w:r>
          </w:p>
        </w:tc>
      </w:tr>
      <w:tr w:rsidR="00572D48" w:rsidRPr="00C0587E" w14:paraId="1D8DDD7F" w14:textId="77777777" w:rsidTr="001C62A9">
        <w:trPr>
          <w:trHeight w:val="344"/>
        </w:trPr>
        <w:tc>
          <w:tcPr>
            <w:tcW w:w="1096" w:type="pct"/>
            <w:vMerge/>
            <w:tcBorders>
              <w:right w:val="single" w:sz="4" w:space="0" w:color="auto"/>
            </w:tcBorders>
            <w:hideMark/>
          </w:tcPr>
          <w:p w14:paraId="5FBE7253" w14:textId="7B4B497B" w:rsidR="00572D48" w:rsidRPr="00C0587E" w:rsidRDefault="00572D48" w:rsidP="00572D48">
            <w:pPr>
              <w:spacing w:after="0" w:line="240" w:lineRule="auto"/>
              <w:ind w:firstLineChars="100" w:firstLine="220"/>
              <w:rPr>
                <w:rFonts w:ascii="Arial" w:eastAsia="Times New Roman" w:hAnsi="Arial" w:cs="Arial"/>
                <w:color w:val="000000"/>
                <w:kern w:val="0"/>
                <w:sz w:val="22"/>
                <w:szCs w:val="22"/>
                <w:lang w:eastAsia="en-IN"/>
                <w14:ligatures w14:val="none"/>
              </w:rPr>
            </w:pPr>
          </w:p>
        </w:tc>
        <w:tc>
          <w:tcPr>
            <w:tcW w:w="752" w:type="pct"/>
            <w:tcBorders>
              <w:left w:val="single" w:sz="4" w:space="0" w:color="auto"/>
              <w:right w:val="single" w:sz="4" w:space="0" w:color="auto"/>
            </w:tcBorders>
            <w:vAlign w:val="center"/>
            <w:hideMark/>
          </w:tcPr>
          <w:p w14:paraId="2834C2E7" w14:textId="741D1557" w:rsidR="00572D48" w:rsidRPr="00C0587E" w:rsidRDefault="00884617" w:rsidP="00572D48">
            <w:pPr>
              <w:spacing w:after="0" w:line="240" w:lineRule="auto"/>
              <w:jc w:val="center"/>
              <w:rPr>
                <w:rFonts w:ascii="Arial" w:eastAsia="Times New Roman" w:hAnsi="Arial" w:cs="Arial"/>
                <w:color w:val="000000"/>
                <w:kern w:val="0"/>
                <w:sz w:val="22"/>
                <w:szCs w:val="22"/>
                <w:lang w:eastAsia="en-IN"/>
                <w14:ligatures w14:val="none"/>
              </w:rPr>
            </w:pPr>
            <w:r w:rsidRPr="00C0587E">
              <w:rPr>
                <w:rFonts w:ascii="Arial" w:eastAsia="Times New Roman" w:hAnsi="Arial" w:cs="Arial"/>
                <w:color w:val="000000"/>
                <w:kern w:val="0"/>
                <w:sz w:val="22"/>
                <w:szCs w:val="22"/>
                <w:lang w:eastAsia="en-IN"/>
                <w14:ligatures w14:val="none"/>
              </w:rPr>
              <w:t>T1</w:t>
            </w:r>
          </w:p>
        </w:tc>
        <w:tc>
          <w:tcPr>
            <w:tcW w:w="1067" w:type="pct"/>
            <w:tcBorders>
              <w:left w:val="single" w:sz="4" w:space="0" w:color="auto"/>
            </w:tcBorders>
            <w:vAlign w:val="center"/>
            <w:hideMark/>
          </w:tcPr>
          <w:p w14:paraId="0B25EF37" w14:textId="77777777" w:rsidR="00572D48" w:rsidRPr="00C0587E" w:rsidRDefault="00572D48" w:rsidP="00572D48">
            <w:pPr>
              <w:spacing w:after="0" w:line="240" w:lineRule="auto"/>
              <w:jc w:val="center"/>
              <w:rPr>
                <w:rFonts w:ascii="Arial" w:eastAsia="Times New Roman" w:hAnsi="Arial" w:cs="Arial"/>
                <w:color w:val="000000"/>
                <w:kern w:val="0"/>
                <w:sz w:val="22"/>
                <w:szCs w:val="22"/>
                <w:vertAlign w:val="superscript"/>
                <w:lang w:eastAsia="en-IN"/>
                <w14:ligatures w14:val="none"/>
              </w:rPr>
            </w:pPr>
            <w:r w:rsidRPr="00C0587E">
              <w:rPr>
                <w:rFonts w:ascii="Arial" w:eastAsia="Arial" w:hAnsi="Arial" w:cs="Arial"/>
                <w:color w:val="000000" w:themeColor="text1"/>
                <w:sz w:val="22"/>
                <w:szCs w:val="22"/>
              </w:rPr>
              <w:t>0.81±0.04</w:t>
            </w:r>
            <w:r w:rsidRPr="00C0587E">
              <w:rPr>
                <w:rFonts w:ascii="Arial" w:eastAsia="Arial" w:hAnsi="Arial" w:cs="Arial"/>
                <w:color w:val="000000" w:themeColor="text1"/>
                <w:position w:val="10"/>
                <w:sz w:val="22"/>
                <w:szCs w:val="22"/>
                <w:vertAlign w:val="superscript"/>
              </w:rPr>
              <w:t>b</w:t>
            </w:r>
          </w:p>
        </w:tc>
        <w:tc>
          <w:tcPr>
            <w:tcW w:w="895" w:type="pct"/>
            <w:vAlign w:val="center"/>
            <w:hideMark/>
          </w:tcPr>
          <w:p w14:paraId="4956B58C" w14:textId="77777777" w:rsidR="00572D48" w:rsidRPr="00C0587E" w:rsidRDefault="00572D48" w:rsidP="00572D48">
            <w:pPr>
              <w:spacing w:after="0" w:line="240" w:lineRule="auto"/>
              <w:jc w:val="center"/>
              <w:rPr>
                <w:rFonts w:ascii="Arial" w:eastAsia="Times New Roman" w:hAnsi="Arial" w:cs="Arial"/>
                <w:color w:val="000000"/>
                <w:kern w:val="0"/>
                <w:sz w:val="22"/>
                <w:szCs w:val="22"/>
                <w:vertAlign w:val="superscript"/>
                <w:lang w:eastAsia="en-IN"/>
                <w14:ligatures w14:val="none"/>
              </w:rPr>
            </w:pPr>
            <w:r w:rsidRPr="00C0587E">
              <w:rPr>
                <w:rFonts w:ascii="Arial" w:eastAsia="Arial" w:hAnsi="Arial" w:cs="Arial"/>
                <w:color w:val="000000" w:themeColor="text1"/>
                <w:sz w:val="22"/>
                <w:szCs w:val="22"/>
              </w:rPr>
              <w:t>0.64±0.03</w:t>
            </w:r>
            <w:r w:rsidRPr="00C0587E">
              <w:rPr>
                <w:rFonts w:ascii="Arial" w:eastAsia="Arial" w:hAnsi="Arial" w:cs="Arial"/>
                <w:color w:val="000000" w:themeColor="text1"/>
                <w:position w:val="10"/>
                <w:sz w:val="22"/>
                <w:szCs w:val="22"/>
                <w:vertAlign w:val="superscript"/>
              </w:rPr>
              <w:t>C</w:t>
            </w:r>
          </w:p>
        </w:tc>
        <w:tc>
          <w:tcPr>
            <w:tcW w:w="1190" w:type="pct"/>
            <w:vAlign w:val="center"/>
            <w:hideMark/>
          </w:tcPr>
          <w:p w14:paraId="1E7F87EA" w14:textId="3241E661" w:rsidR="00572D48" w:rsidRPr="00C0587E" w:rsidRDefault="00572D48" w:rsidP="00572D48">
            <w:pPr>
              <w:spacing w:after="0" w:line="240" w:lineRule="auto"/>
              <w:jc w:val="center"/>
              <w:rPr>
                <w:rFonts w:ascii="Arial" w:eastAsia="Times New Roman" w:hAnsi="Arial" w:cs="Arial"/>
                <w:color w:val="000000"/>
                <w:kern w:val="0"/>
                <w:sz w:val="22"/>
                <w:szCs w:val="22"/>
                <w:vertAlign w:val="superscript"/>
                <w:lang w:eastAsia="en-IN"/>
                <w14:ligatures w14:val="none"/>
              </w:rPr>
            </w:pPr>
            <w:r w:rsidRPr="00C0587E">
              <w:rPr>
                <w:rFonts w:ascii="Arial" w:eastAsia="Arial" w:hAnsi="Arial" w:cs="Arial"/>
                <w:color w:val="000000" w:themeColor="text1"/>
                <w:sz w:val="22"/>
                <w:szCs w:val="22"/>
              </w:rPr>
              <w:t>0.43±0.</w:t>
            </w:r>
            <w:r w:rsidR="008F24DA" w:rsidRPr="00C0587E">
              <w:rPr>
                <w:rFonts w:ascii="Arial" w:eastAsia="Arial" w:hAnsi="Arial" w:cs="Arial"/>
                <w:color w:val="000000" w:themeColor="text1"/>
                <w:sz w:val="22"/>
                <w:szCs w:val="22"/>
              </w:rPr>
              <w:t>0</w:t>
            </w:r>
            <w:r w:rsidRPr="00C0587E">
              <w:rPr>
                <w:rFonts w:ascii="Arial" w:eastAsia="Arial" w:hAnsi="Arial" w:cs="Arial"/>
                <w:color w:val="000000" w:themeColor="text1"/>
                <w:sz w:val="22"/>
                <w:szCs w:val="22"/>
              </w:rPr>
              <w:t>5</w:t>
            </w:r>
            <w:r w:rsidRPr="00C0587E">
              <w:rPr>
                <w:rFonts w:ascii="Arial" w:eastAsia="Arial" w:hAnsi="Arial" w:cs="Arial"/>
                <w:color w:val="000000" w:themeColor="text1"/>
                <w:position w:val="10"/>
                <w:sz w:val="22"/>
                <w:szCs w:val="22"/>
                <w:vertAlign w:val="superscript"/>
              </w:rPr>
              <w:t>pq</w:t>
            </w:r>
          </w:p>
        </w:tc>
      </w:tr>
      <w:tr w:rsidR="00572D48" w:rsidRPr="00C0587E" w14:paraId="4E4AC07B" w14:textId="77777777" w:rsidTr="001C62A9">
        <w:trPr>
          <w:trHeight w:val="344"/>
        </w:trPr>
        <w:tc>
          <w:tcPr>
            <w:tcW w:w="1096" w:type="pct"/>
            <w:vMerge/>
            <w:tcBorders>
              <w:bottom w:val="single" w:sz="4" w:space="0" w:color="auto"/>
              <w:right w:val="single" w:sz="4" w:space="0" w:color="auto"/>
            </w:tcBorders>
            <w:hideMark/>
          </w:tcPr>
          <w:p w14:paraId="66772188" w14:textId="2E333FC7" w:rsidR="00572D48" w:rsidRPr="00C0587E" w:rsidRDefault="00572D48" w:rsidP="00572D48">
            <w:pPr>
              <w:spacing w:after="0" w:line="240" w:lineRule="auto"/>
              <w:ind w:firstLineChars="100" w:firstLine="220"/>
              <w:rPr>
                <w:rFonts w:ascii="Arial" w:eastAsia="Times New Roman" w:hAnsi="Arial" w:cs="Arial"/>
                <w:color w:val="000000"/>
                <w:kern w:val="0"/>
                <w:sz w:val="22"/>
                <w:szCs w:val="22"/>
                <w:lang w:eastAsia="en-IN"/>
                <w14:ligatures w14:val="none"/>
              </w:rPr>
            </w:pPr>
          </w:p>
        </w:tc>
        <w:tc>
          <w:tcPr>
            <w:tcW w:w="752" w:type="pct"/>
            <w:tcBorders>
              <w:left w:val="single" w:sz="4" w:space="0" w:color="auto"/>
              <w:bottom w:val="single" w:sz="4" w:space="0" w:color="auto"/>
              <w:right w:val="single" w:sz="4" w:space="0" w:color="auto"/>
            </w:tcBorders>
            <w:vAlign w:val="center"/>
            <w:hideMark/>
          </w:tcPr>
          <w:p w14:paraId="034E5ACB" w14:textId="1E78E285" w:rsidR="00572D48" w:rsidRPr="00C0587E" w:rsidRDefault="00884617" w:rsidP="00572D48">
            <w:pPr>
              <w:spacing w:after="0" w:line="240" w:lineRule="auto"/>
              <w:jc w:val="center"/>
              <w:rPr>
                <w:rFonts w:ascii="Arial" w:eastAsia="Times New Roman" w:hAnsi="Arial" w:cs="Arial"/>
                <w:color w:val="000000"/>
                <w:kern w:val="0"/>
                <w:sz w:val="22"/>
                <w:szCs w:val="22"/>
                <w:lang w:eastAsia="en-IN"/>
                <w14:ligatures w14:val="none"/>
              </w:rPr>
            </w:pPr>
            <w:r w:rsidRPr="00C0587E">
              <w:rPr>
                <w:rFonts w:ascii="Arial" w:eastAsia="Times New Roman" w:hAnsi="Arial" w:cs="Arial"/>
                <w:color w:val="000000"/>
                <w:kern w:val="0"/>
                <w:sz w:val="22"/>
                <w:szCs w:val="22"/>
                <w:lang w:eastAsia="en-IN"/>
                <w14:ligatures w14:val="none"/>
              </w:rPr>
              <w:t>T2</w:t>
            </w:r>
          </w:p>
        </w:tc>
        <w:tc>
          <w:tcPr>
            <w:tcW w:w="1067" w:type="pct"/>
            <w:tcBorders>
              <w:left w:val="single" w:sz="4" w:space="0" w:color="auto"/>
              <w:bottom w:val="single" w:sz="4" w:space="0" w:color="auto"/>
            </w:tcBorders>
            <w:vAlign w:val="center"/>
            <w:hideMark/>
          </w:tcPr>
          <w:p w14:paraId="6FFDBEF0" w14:textId="77777777" w:rsidR="00572D48" w:rsidRPr="00C0587E" w:rsidRDefault="00572D48" w:rsidP="00572D48">
            <w:pPr>
              <w:spacing w:after="0" w:line="240" w:lineRule="auto"/>
              <w:jc w:val="center"/>
              <w:rPr>
                <w:rFonts w:ascii="Arial" w:eastAsia="Times New Roman" w:hAnsi="Arial" w:cs="Arial"/>
                <w:color w:val="000000"/>
                <w:kern w:val="0"/>
                <w:sz w:val="22"/>
                <w:szCs w:val="22"/>
                <w:vertAlign w:val="superscript"/>
                <w:lang w:eastAsia="en-IN"/>
                <w14:ligatures w14:val="none"/>
              </w:rPr>
            </w:pPr>
            <w:r w:rsidRPr="00C0587E">
              <w:rPr>
                <w:rFonts w:ascii="Arial" w:eastAsia="Arial" w:hAnsi="Arial" w:cs="Arial"/>
                <w:color w:val="000000" w:themeColor="text1"/>
                <w:sz w:val="22"/>
                <w:szCs w:val="22"/>
              </w:rPr>
              <w:t>0.74±0.02</w:t>
            </w:r>
            <w:r w:rsidRPr="00C0587E">
              <w:rPr>
                <w:rFonts w:ascii="Arial" w:eastAsia="Arial" w:hAnsi="Arial" w:cs="Arial"/>
                <w:color w:val="000000" w:themeColor="text1"/>
                <w:position w:val="10"/>
                <w:sz w:val="22"/>
                <w:szCs w:val="22"/>
                <w:vertAlign w:val="superscript"/>
              </w:rPr>
              <w:t>b</w:t>
            </w:r>
          </w:p>
        </w:tc>
        <w:tc>
          <w:tcPr>
            <w:tcW w:w="895" w:type="pct"/>
            <w:tcBorders>
              <w:bottom w:val="single" w:sz="4" w:space="0" w:color="auto"/>
            </w:tcBorders>
            <w:vAlign w:val="center"/>
            <w:hideMark/>
          </w:tcPr>
          <w:p w14:paraId="7492E8EF" w14:textId="77777777" w:rsidR="00572D48" w:rsidRPr="00C0587E" w:rsidRDefault="00572D48" w:rsidP="00572D48">
            <w:pPr>
              <w:spacing w:after="0" w:line="240" w:lineRule="auto"/>
              <w:jc w:val="center"/>
              <w:rPr>
                <w:rFonts w:ascii="Arial" w:eastAsia="Times New Roman" w:hAnsi="Arial" w:cs="Arial"/>
                <w:color w:val="000000"/>
                <w:kern w:val="0"/>
                <w:sz w:val="22"/>
                <w:szCs w:val="22"/>
                <w:vertAlign w:val="superscript"/>
                <w:lang w:eastAsia="en-IN"/>
                <w14:ligatures w14:val="none"/>
              </w:rPr>
            </w:pPr>
            <w:r w:rsidRPr="00C0587E">
              <w:rPr>
                <w:rFonts w:ascii="Arial" w:eastAsia="Arial" w:hAnsi="Arial" w:cs="Arial"/>
                <w:color w:val="000000" w:themeColor="text1"/>
                <w:sz w:val="22"/>
                <w:szCs w:val="22"/>
              </w:rPr>
              <w:t>0.85±0.03</w:t>
            </w:r>
            <w:r w:rsidRPr="00C0587E">
              <w:rPr>
                <w:rFonts w:ascii="Arial" w:eastAsia="Arial" w:hAnsi="Arial" w:cs="Arial"/>
                <w:color w:val="000000" w:themeColor="text1"/>
                <w:position w:val="10"/>
                <w:sz w:val="22"/>
                <w:szCs w:val="22"/>
                <w:vertAlign w:val="superscript"/>
              </w:rPr>
              <w:t>BC</w:t>
            </w:r>
          </w:p>
        </w:tc>
        <w:tc>
          <w:tcPr>
            <w:tcW w:w="1190" w:type="pct"/>
            <w:tcBorders>
              <w:bottom w:val="single" w:sz="4" w:space="0" w:color="auto"/>
            </w:tcBorders>
            <w:vAlign w:val="center"/>
            <w:hideMark/>
          </w:tcPr>
          <w:p w14:paraId="42FF1162" w14:textId="77777777" w:rsidR="00572D48" w:rsidRPr="00C0587E" w:rsidRDefault="00572D48" w:rsidP="00572D48">
            <w:pPr>
              <w:spacing w:after="0" w:line="240" w:lineRule="auto"/>
              <w:jc w:val="center"/>
              <w:rPr>
                <w:rFonts w:ascii="Arial" w:eastAsia="Times New Roman" w:hAnsi="Arial" w:cs="Arial"/>
                <w:color w:val="000000"/>
                <w:kern w:val="0"/>
                <w:sz w:val="22"/>
                <w:szCs w:val="22"/>
                <w:vertAlign w:val="superscript"/>
                <w:lang w:eastAsia="en-IN"/>
                <w14:ligatures w14:val="none"/>
              </w:rPr>
            </w:pPr>
            <w:r w:rsidRPr="00C0587E">
              <w:rPr>
                <w:rFonts w:ascii="Arial" w:eastAsia="Arial" w:hAnsi="Arial" w:cs="Arial"/>
                <w:color w:val="000000" w:themeColor="text1"/>
                <w:sz w:val="22"/>
                <w:szCs w:val="22"/>
              </w:rPr>
              <w:t>0.7±0.05</w:t>
            </w:r>
            <w:r w:rsidRPr="00C0587E">
              <w:rPr>
                <w:rFonts w:ascii="Arial" w:eastAsia="Arial" w:hAnsi="Arial" w:cs="Arial"/>
                <w:color w:val="000000" w:themeColor="text1"/>
                <w:position w:val="10"/>
                <w:sz w:val="22"/>
                <w:szCs w:val="22"/>
                <w:vertAlign w:val="superscript"/>
              </w:rPr>
              <w:t>pq</w:t>
            </w:r>
          </w:p>
        </w:tc>
      </w:tr>
    </w:tbl>
    <w:p w14:paraId="6A1B3E6C" w14:textId="1DBDDFD7" w:rsidR="0097016E" w:rsidRDefault="0097016E" w:rsidP="00915BCB">
      <w:pPr>
        <w:spacing w:after="4" w:line="249" w:lineRule="auto"/>
        <w:ind w:left="-5" w:right="-123" w:hanging="10"/>
        <w:jc w:val="center"/>
        <w:rPr>
          <w:rFonts w:ascii="Arial" w:hAnsi="Arial" w:cs="Arial"/>
          <w:bCs/>
          <w:sz w:val="20"/>
          <w:szCs w:val="20"/>
        </w:rPr>
      </w:pPr>
      <w:r w:rsidRPr="008A16D3">
        <w:rPr>
          <w:rFonts w:ascii="Arial" w:hAnsi="Arial" w:cs="Arial"/>
          <w:sz w:val="20"/>
          <w:szCs w:val="20"/>
        </w:rPr>
        <w:t>(</w:t>
      </w:r>
      <w:r w:rsidRPr="008A16D3">
        <w:rPr>
          <w:rFonts w:ascii="Arial" w:hAnsi="Arial" w:cs="Arial"/>
          <w:bCs/>
          <w:sz w:val="20"/>
          <w:szCs w:val="20"/>
        </w:rPr>
        <w:t xml:space="preserve">*Note </w:t>
      </w:r>
      <w:r w:rsidR="00DA6F8B">
        <w:rPr>
          <w:rFonts w:ascii="Arial" w:hAnsi="Arial" w:cs="Arial"/>
          <w:bCs/>
          <w:sz w:val="20"/>
          <w:szCs w:val="20"/>
        </w:rPr>
        <w:t xml:space="preserve">C= Control, </w:t>
      </w:r>
      <w:r w:rsidRPr="008A16D3">
        <w:rPr>
          <w:rFonts w:ascii="Arial" w:hAnsi="Arial" w:cs="Arial"/>
          <w:bCs/>
          <w:sz w:val="20"/>
          <w:szCs w:val="20"/>
        </w:rPr>
        <w:t xml:space="preserve">T1= Bio-floc (20:1), </w:t>
      </w:r>
      <w:r w:rsidR="00A96EE9">
        <w:rPr>
          <w:rFonts w:ascii="Arial" w:hAnsi="Arial" w:cs="Arial"/>
          <w:bCs/>
          <w:sz w:val="20"/>
          <w:szCs w:val="20"/>
        </w:rPr>
        <w:t>T2</w:t>
      </w:r>
      <w:r w:rsidRPr="008A16D3">
        <w:rPr>
          <w:rFonts w:ascii="Arial" w:hAnsi="Arial" w:cs="Arial"/>
          <w:bCs/>
          <w:sz w:val="20"/>
          <w:szCs w:val="20"/>
        </w:rPr>
        <w:t>=Biofloc (20:1) + 0.5% Jeevamruth; The mean values followed by the different superscript letters in each factor indicate significant difference at 0.05.)</w:t>
      </w:r>
    </w:p>
    <w:p w14:paraId="4BB10B8B" w14:textId="77777777" w:rsidR="00943C54" w:rsidRPr="006079B2" w:rsidRDefault="00943C54" w:rsidP="0038138F">
      <w:pPr>
        <w:rPr>
          <w:rFonts w:ascii="Arial" w:hAnsi="Arial" w:cs="Arial"/>
          <w:b/>
          <w:bCs/>
        </w:rPr>
      </w:pPr>
    </w:p>
    <w:p w14:paraId="1D56BDFF" w14:textId="23C3B37C" w:rsidR="0097206B" w:rsidRPr="006079B2" w:rsidRDefault="0097206B" w:rsidP="0038138F">
      <w:pPr>
        <w:rPr>
          <w:rFonts w:ascii="Arial" w:hAnsi="Arial" w:cs="Arial"/>
          <w:b/>
          <w:bCs/>
        </w:rPr>
      </w:pPr>
      <w:r w:rsidRPr="006079B2">
        <w:rPr>
          <w:rFonts w:ascii="Arial" w:hAnsi="Arial" w:cs="Arial"/>
          <w:noProof/>
        </w:rPr>
        <w:lastRenderedPageBreak/>
        <w:drawing>
          <wp:inline distT="0" distB="0" distL="0" distR="0" wp14:anchorId="25C95957" wp14:editId="51A9F405">
            <wp:extent cx="5486400" cy="2695575"/>
            <wp:effectExtent l="0" t="0" r="0" b="0"/>
            <wp:docPr id="2104918553"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33"/>
              </a:graphicData>
            </a:graphic>
          </wp:inline>
        </w:drawing>
      </w:r>
    </w:p>
    <w:p w14:paraId="65BCE6E3" w14:textId="27069156" w:rsidR="00726987" w:rsidRDefault="00726987" w:rsidP="00726987">
      <w:pPr>
        <w:spacing w:line="360" w:lineRule="auto"/>
        <w:jc w:val="center"/>
        <w:rPr>
          <w:rFonts w:ascii="Arial" w:hAnsi="Arial" w:cs="Arial"/>
          <w:b/>
          <w:sz w:val="20"/>
          <w:szCs w:val="20"/>
        </w:rPr>
      </w:pPr>
      <w:r w:rsidRPr="00A152F0">
        <w:rPr>
          <w:rFonts w:ascii="Arial" w:hAnsi="Arial" w:cs="Arial"/>
          <w:b/>
          <w:sz w:val="20"/>
          <w:szCs w:val="20"/>
        </w:rPr>
        <w:t>Figure 1</w:t>
      </w:r>
      <w:r w:rsidR="00FB120A">
        <w:rPr>
          <w:rFonts w:ascii="Arial" w:hAnsi="Arial" w:cs="Arial"/>
          <w:b/>
          <w:sz w:val="20"/>
          <w:szCs w:val="20"/>
        </w:rPr>
        <w:t>7</w:t>
      </w:r>
      <w:r w:rsidRPr="00A152F0">
        <w:rPr>
          <w:rFonts w:ascii="Arial" w:hAnsi="Arial" w:cs="Arial"/>
          <w:b/>
          <w:sz w:val="20"/>
          <w:szCs w:val="20"/>
        </w:rPr>
        <w:t>:</w:t>
      </w:r>
      <w:r>
        <w:rPr>
          <w:rFonts w:ascii="Arial" w:hAnsi="Arial" w:cs="Arial"/>
          <w:b/>
          <w:sz w:val="20"/>
          <w:szCs w:val="20"/>
        </w:rPr>
        <w:t xml:space="preserve"> </w:t>
      </w:r>
      <w:r w:rsidRPr="00224BC0">
        <w:rPr>
          <w:rFonts w:ascii="Arial" w:hAnsi="Arial" w:cs="Arial"/>
          <w:b/>
          <w:sz w:val="20"/>
          <w:szCs w:val="20"/>
        </w:rPr>
        <w:t xml:space="preserve">Average </w:t>
      </w:r>
      <w:r w:rsidR="00FB120A">
        <w:rPr>
          <w:rFonts w:ascii="Arial" w:hAnsi="Arial" w:cs="Arial"/>
          <w:b/>
          <w:bCs/>
          <w:sz w:val="20"/>
          <w:szCs w:val="20"/>
        </w:rPr>
        <w:t xml:space="preserve">growth rate </w:t>
      </w:r>
      <w:r w:rsidRPr="00224BC0">
        <w:rPr>
          <w:rFonts w:ascii="Arial" w:hAnsi="Arial" w:cs="Arial"/>
          <w:b/>
          <w:sz w:val="20"/>
          <w:szCs w:val="20"/>
        </w:rPr>
        <w:t>Value Recorded During the Experiment</w:t>
      </w:r>
    </w:p>
    <w:p w14:paraId="7716D0E5" w14:textId="6457DA19" w:rsidR="00A97DB0" w:rsidRDefault="00A97DB0" w:rsidP="00A97DB0">
      <w:pPr>
        <w:spacing w:line="276" w:lineRule="auto"/>
        <w:ind w:firstLine="720"/>
        <w:jc w:val="both"/>
        <w:rPr>
          <w:rFonts w:ascii="Arial" w:hAnsi="Arial" w:cs="Arial"/>
          <w:bCs/>
          <w:sz w:val="20"/>
          <w:szCs w:val="20"/>
        </w:rPr>
      </w:pPr>
      <w:r w:rsidRPr="00A97DB0">
        <w:rPr>
          <w:rFonts w:ascii="Arial" w:hAnsi="Arial" w:cs="Arial"/>
          <w:bCs/>
          <w:sz w:val="20"/>
          <w:szCs w:val="20"/>
        </w:rPr>
        <w:t>Growth rate varied across treatments and sampling intervals. At 60 days, T2 exhibited the highest growth rate (0.70 ± 0.05 cm day</w:t>
      </w:r>
      <w:r w:rsidRPr="00A97DB0">
        <w:rPr>
          <w:rFonts w:ascii="Cambria Math" w:hAnsi="Cambria Math" w:cs="Cambria Math"/>
          <w:bCs/>
          <w:sz w:val="20"/>
          <w:szCs w:val="20"/>
        </w:rPr>
        <w:t>⁻</w:t>
      </w:r>
      <w:r w:rsidRPr="00A97DB0">
        <w:rPr>
          <w:rFonts w:ascii="Arial" w:hAnsi="Arial" w:cs="Arial"/>
          <w:bCs/>
          <w:sz w:val="20"/>
          <w:szCs w:val="20"/>
        </w:rPr>
        <w:t>¹), while comparatively lower values were observed in the control and T1 treatments. The consistently higher growth rate in T2 demonstrates enhanced plant development under Jeevamruth-enriched aquaculture effluent irrigation.</w:t>
      </w:r>
    </w:p>
    <w:p w14:paraId="36389DB3" w14:textId="59B8E2A5" w:rsidR="00A97DB0" w:rsidRPr="00A97DB0" w:rsidRDefault="00A97DB0" w:rsidP="00A97DB0">
      <w:pPr>
        <w:spacing w:line="276" w:lineRule="auto"/>
        <w:ind w:firstLine="720"/>
        <w:jc w:val="both"/>
        <w:rPr>
          <w:rFonts w:ascii="Arial" w:hAnsi="Arial" w:cs="Arial"/>
          <w:bCs/>
          <w:sz w:val="20"/>
          <w:szCs w:val="20"/>
        </w:rPr>
      </w:pPr>
    </w:p>
    <w:p w14:paraId="2BD2F86A" w14:textId="5EAB1363" w:rsidR="00697E95" w:rsidRDefault="00E05B72" w:rsidP="00E05B72">
      <w:pPr>
        <w:rPr>
          <w:rFonts w:ascii="Arial" w:hAnsi="Arial" w:cs="Arial"/>
          <w:b/>
          <w:bCs/>
          <w:sz w:val="20"/>
          <w:szCs w:val="20"/>
          <w:u w:val="single"/>
        </w:rPr>
      </w:pPr>
      <w:r>
        <w:rPr>
          <w:rFonts w:ascii="Arial" w:hAnsi="Arial" w:cs="Arial"/>
          <w:b/>
          <w:bCs/>
          <w:sz w:val="20"/>
          <w:szCs w:val="20"/>
          <w:u w:val="single"/>
        </w:rPr>
        <w:t xml:space="preserve">3.3.3 </w:t>
      </w:r>
      <w:r w:rsidR="00697E95" w:rsidRPr="00E05B72">
        <w:rPr>
          <w:rFonts w:ascii="Arial" w:hAnsi="Arial" w:cs="Arial"/>
          <w:b/>
          <w:bCs/>
          <w:sz w:val="20"/>
          <w:szCs w:val="20"/>
          <w:u w:val="single"/>
        </w:rPr>
        <w:t>Average Plant Biomass</w:t>
      </w:r>
      <w:r w:rsidR="00F9371F">
        <w:rPr>
          <w:rFonts w:ascii="Arial" w:hAnsi="Arial" w:cs="Arial"/>
          <w:b/>
          <w:bCs/>
          <w:sz w:val="20"/>
          <w:szCs w:val="20"/>
          <w:u w:val="single"/>
        </w:rPr>
        <w:t>(gram)</w:t>
      </w:r>
      <w:r w:rsidR="00697E95" w:rsidRPr="00E05B72">
        <w:rPr>
          <w:rFonts w:ascii="Arial" w:hAnsi="Arial" w:cs="Arial"/>
          <w:b/>
          <w:bCs/>
          <w:sz w:val="20"/>
          <w:szCs w:val="20"/>
          <w:u w:val="single"/>
        </w:rPr>
        <w:t xml:space="preserve"> Recorded During Experimental Period.</w:t>
      </w:r>
    </w:p>
    <w:p w14:paraId="4552C84C" w14:textId="5752AA83" w:rsidR="00E35B89" w:rsidRPr="00E05B72" w:rsidRDefault="00E35B89" w:rsidP="00E35B89">
      <w:pPr>
        <w:spacing w:line="360" w:lineRule="auto"/>
        <w:rPr>
          <w:rFonts w:ascii="Arial" w:hAnsi="Arial" w:cs="Arial"/>
          <w:b/>
          <w:bCs/>
          <w:sz w:val="20"/>
          <w:szCs w:val="20"/>
          <w:u w:val="single"/>
        </w:rPr>
      </w:pPr>
      <w:r w:rsidRPr="00224BC0">
        <w:rPr>
          <w:rFonts w:ascii="Arial" w:hAnsi="Arial" w:cs="Arial"/>
          <w:b/>
          <w:sz w:val="20"/>
          <w:szCs w:val="20"/>
        </w:rPr>
        <w:t xml:space="preserve">Table </w:t>
      </w:r>
      <w:r w:rsidR="001B5CD5">
        <w:rPr>
          <w:rFonts w:ascii="Arial" w:hAnsi="Arial" w:cs="Arial"/>
          <w:b/>
          <w:sz w:val="20"/>
          <w:szCs w:val="20"/>
        </w:rPr>
        <w:t>18</w:t>
      </w:r>
      <w:r w:rsidRPr="00224BC0">
        <w:rPr>
          <w:rFonts w:ascii="Arial" w:hAnsi="Arial" w:cs="Arial"/>
          <w:b/>
          <w:sz w:val="20"/>
          <w:szCs w:val="20"/>
        </w:rPr>
        <w:t xml:space="preserve">: Average </w:t>
      </w:r>
      <w:r>
        <w:rPr>
          <w:rFonts w:ascii="Arial" w:hAnsi="Arial" w:cs="Arial"/>
          <w:b/>
          <w:bCs/>
          <w:sz w:val="20"/>
          <w:szCs w:val="20"/>
        </w:rPr>
        <w:t>Plant Biomass</w:t>
      </w:r>
      <w:r w:rsidR="00F9371F">
        <w:rPr>
          <w:rFonts w:ascii="Arial" w:hAnsi="Arial" w:cs="Arial"/>
          <w:b/>
          <w:bCs/>
          <w:sz w:val="20"/>
          <w:szCs w:val="20"/>
        </w:rPr>
        <w:t>(gram)</w:t>
      </w:r>
      <w:r>
        <w:rPr>
          <w:rFonts w:ascii="Arial" w:hAnsi="Arial" w:cs="Arial"/>
          <w:b/>
          <w:bCs/>
          <w:sz w:val="20"/>
          <w:szCs w:val="20"/>
        </w:rPr>
        <w:t xml:space="preserve"> </w:t>
      </w:r>
      <w:r w:rsidRPr="00224BC0">
        <w:rPr>
          <w:rFonts w:ascii="Arial" w:hAnsi="Arial" w:cs="Arial"/>
          <w:b/>
          <w:sz w:val="20"/>
          <w:szCs w:val="20"/>
        </w:rPr>
        <w:t xml:space="preserve">Recorded During the </w:t>
      </w:r>
      <w:commentRangeStart w:id="17"/>
      <w:r w:rsidRPr="00224BC0">
        <w:rPr>
          <w:rFonts w:ascii="Arial" w:hAnsi="Arial" w:cs="Arial"/>
          <w:b/>
          <w:sz w:val="20"/>
          <w:szCs w:val="20"/>
        </w:rPr>
        <w:t>Experiment</w:t>
      </w:r>
      <w:commentRangeEnd w:id="17"/>
      <w:r w:rsidR="00D519C3">
        <w:rPr>
          <w:rStyle w:val="Refdecomentario"/>
        </w:rPr>
        <w:commentReference w:id="17"/>
      </w:r>
    </w:p>
    <w:tbl>
      <w:tblPr>
        <w:tblW w:w="5000" w:type="pct"/>
        <w:tblLook w:val="04A0" w:firstRow="1" w:lastRow="0" w:firstColumn="1" w:lastColumn="0" w:noHBand="0" w:noVBand="1"/>
      </w:tblPr>
      <w:tblGrid>
        <w:gridCol w:w="3506"/>
        <w:gridCol w:w="2491"/>
        <w:gridCol w:w="3029"/>
      </w:tblGrid>
      <w:tr w:rsidR="00230EA3" w:rsidRPr="00C0587E" w14:paraId="6CA4252D" w14:textId="77777777" w:rsidTr="001C62A9">
        <w:trPr>
          <w:trHeight w:val="511"/>
        </w:trPr>
        <w:tc>
          <w:tcPr>
            <w:tcW w:w="1942" w:type="pct"/>
            <w:tcBorders>
              <w:top w:val="single" w:sz="4" w:space="0" w:color="auto"/>
              <w:bottom w:val="single" w:sz="4" w:space="0" w:color="auto"/>
              <w:right w:val="single" w:sz="4" w:space="0" w:color="auto"/>
            </w:tcBorders>
            <w:hideMark/>
          </w:tcPr>
          <w:p w14:paraId="21437AE7" w14:textId="6C946B75" w:rsidR="00230EA3" w:rsidRPr="00C0587E" w:rsidRDefault="00230EA3" w:rsidP="00244FE2">
            <w:pPr>
              <w:spacing w:after="0" w:line="240" w:lineRule="auto"/>
              <w:jc w:val="center"/>
              <w:rPr>
                <w:rFonts w:ascii="Arial" w:eastAsia="Times New Roman" w:hAnsi="Arial" w:cs="Arial"/>
                <w:color w:val="000000"/>
                <w:kern w:val="0"/>
                <w:sz w:val="22"/>
                <w:szCs w:val="22"/>
                <w:lang w:eastAsia="en-IN"/>
                <w14:ligatures w14:val="none"/>
              </w:rPr>
            </w:pPr>
            <w:r w:rsidRPr="00C0587E">
              <w:rPr>
                <w:rFonts w:ascii="Arial" w:eastAsia="Times New Roman" w:hAnsi="Arial" w:cs="Arial"/>
                <w:color w:val="000000"/>
                <w:kern w:val="0"/>
                <w:sz w:val="22"/>
                <w:szCs w:val="22"/>
                <w:lang w:eastAsia="en-IN"/>
                <w14:ligatures w14:val="none"/>
              </w:rPr>
              <w:t>Parameter</w:t>
            </w:r>
          </w:p>
        </w:tc>
        <w:tc>
          <w:tcPr>
            <w:tcW w:w="1380" w:type="pct"/>
            <w:tcBorders>
              <w:top w:val="single" w:sz="4" w:space="0" w:color="auto"/>
              <w:left w:val="single" w:sz="4" w:space="0" w:color="auto"/>
              <w:bottom w:val="single" w:sz="4" w:space="0" w:color="auto"/>
            </w:tcBorders>
            <w:vAlign w:val="center"/>
            <w:hideMark/>
          </w:tcPr>
          <w:p w14:paraId="34CEBD6F" w14:textId="77777777" w:rsidR="00230EA3" w:rsidRPr="00C0587E" w:rsidRDefault="00230EA3" w:rsidP="00B435F6">
            <w:pPr>
              <w:spacing w:after="0" w:line="240" w:lineRule="auto"/>
              <w:jc w:val="center"/>
              <w:rPr>
                <w:rFonts w:ascii="Arial" w:eastAsia="Times New Roman" w:hAnsi="Arial" w:cs="Arial"/>
                <w:color w:val="000000"/>
                <w:kern w:val="0"/>
                <w:sz w:val="22"/>
                <w:szCs w:val="22"/>
                <w:lang w:eastAsia="en-IN"/>
                <w14:ligatures w14:val="none"/>
              </w:rPr>
            </w:pPr>
            <w:r w:rsidRPr="00C0587E">
              <w:rPr>
                <w:rFonts w:ascii="Arial" w:eastAsia="Times New Roman" w:hAnsi="Arial" w:cs="Arial"/>
                <w:color w:val="000000"/>
                <w:kern w:val="0"/>
                <w:sz w:val="22"/>
                <w:szCs w:val="22"/>
                <w:lang w:eastAsia="en-IN"/>
                <w14:ligatures w14:val="none"/>
              </w:rPr>
              <w:t>Treatment</w:t>
            </w:r>
          </w:p>
        </w:tc>
        <w:tc>
          <w:tcPr>
            <w:tcW w:w="1678" w:type="pct"/>
            <w:tcBorders>
              <w:top w:val="single" w:sz="4" w:space="0" w:color="auto"/>
              <w:bottom w:val="single" w:sz="4" w:space="0" w:color="auto"/>
            </w:tcBorders>
            <w:vAlign w:val="center"/>
            <w:hideMark/>
          </w:tcPr>
          <w:p w14:paraId="7A460E6B" w14:textId="77777777" w:rsidR="00230EA3" w:rsidRPr="00C0587E" w:rsidRDefault="00230EA3" w:rsidP="00B435F6">
            <w:pPr>
              <w:spacing w:after="0" w:line="240" w:lineRule="auto"/>
              <w:jc w:val="center"/>
              <w:rPr>
                <w:rFonts w:ascii="Arial" w:eastAsia="Times New Roman" w:hAnsi="Arial" w:cs="Arial"/>
                <w:color w:val="000000"/>
                <w:kern w:val="0"/>
                <w:sz w:val="22"/>
                <w:szCs w:val="22"/>
                <w:lang w:eastAsia="en-IN"/>
                <w14:ligatures w14:val="none"/>
              </w:rPr>
            </w:pPr>
            <w:r w:rsidRPr="00C0587E">
              <w:rPr>
                <w:rFonts w:ascii="Arial" w:eastAsia="Times New Roman" w:hAnsi="Arial" w:cs="Arial"/>
                <w:color w:val="000000"/>
                <w:kern w:val="0"/>
                <w:sz w:val="22"/>
                <w:szCs w:val="22"/>
                <w:lang w:eastAsia="en-IN"/>
                <w14:ligatures w14:val="none"/>
              </w:rPr>
              <w:t>Biomass</w:t>
            </w:r>
          </w:p>
        </w:tc>
      </w:tr>
      <w:tr w:rsidR="00230EA3" w:rsidRPr="00C0587E" w14:paraId="5E22A4EC" w14:textId="77777777" w:rsidTr="001C62A9">
        <w:trPr>
          <w:trHeight w:val="242"/>
        </w:trPr>
        <w:tc>
          <w:tcPr>
            <w:tcW w:w="1942" w:type="pct"/>
            <w:vMerge w:val="restart"/>
            <w:tcBorders>
              <w:top w:val="single" w:sz="4" w:space="0" w:color="auto"/>
              <w:right w:val="single" w:sz="4" w:space="0" w:color="auto"/>
            </w:tcBorders>
            <w:vAlign w:val="center"/>
            <w:hideMark/>
          </w:tcPr>
          <w:p w14:paraId="43045979" w14:textId="77777777" w:rsidR="00230EA3" w:rsidRPr="00C0587E" w:rsidRDefault="00230EA3" w:rsidP="00230EA3">
            <w:pPr>
              <w:spacing w:after="0" w:line="240" w:lineRule="auto"/>
              <w:jc w:val="center"/>
              <w:rPr>
                <w:rFonts w:ascii="Arial" w:eastAsia="Times New Roman" w:hAnsi="Arial" w:cs="Arial"/>
                <w:color w:val="000000"/>
                <w:kern w:val="0"/>
                <w:sz w:val="22"/>
                <w:szCs w:val="22"/>
                <w:lang w:eastAsia="en-IN"/>
                <w14:ligatures w14:val="none"/>
              </w:rPr>
            </w:pPr>
            <w:r w:rsidRPr="00C0587E">
              <w:rPr>
                <w:rFonts w:ascii="Arial" w:eastAsia="Times New Roman" w:hAnsi="Arial" w:cs="Arial"/>
                <w:color w:val="000000"/>
                <w:kern w:val="0"/>
                <w:sz w:val="22"/>
                <w:szCs w:val="22"/>
                <w:lang w:eastAsia="en-IN"/>
                <w14:ligatures w14:val="none"/>
              </w:rPr>
              <w:t>Plant Biomass</w:t>
            </w:r>
          </w:p>
          <w:p w14:paraId="18E94ACE" w14:textId="77777777" w:rsidR="00230EA3" w:rsidRPr="00C0587E" w:rsidRDefault="00230EA3" w:rsidP="00230EA3">
            <w:pPr>
              <w:spacing w:after="0" w:line="240" w:lineRule="auto"/>
              <w:ind w:firstLineChars="100" w:firstLine="220"/>
              <w:rPr>
                <w:rFonts w:ascii="Arial" w:eastAsia="Times New Roman" w:hAnsi="Arial" w:cs="Arial"/>
                <w:color w:val="000000"/>
                <w:kern w:val="0"/>
                <w:sz w:val="22"/>
                <w:szCs w:val="22"/>
                <w:lang w:eastAsia="en-IN"/>
                <w14:ligatures w14:val="none"/>
              </w:rPr>
            </w:pPr>
            <w:r w:rsidRPr="00C0587E">
              <w:rPr>
                <w:rFonts w:ascii="Arial" w:eastAsia="Times New Roman" w:hAnsi="Arial" w:cs="Arial"/>
                <w:color w:val="000000"/>
                <w:kern w:val="0"/>
                <w:sz w:val="22"/>
                <w:szCs w:val="22"/>
                <w:lang w:eastAsia="en-IN"/>
                <w14:ligatures w14:val="none"/>
              </w:rPr>
              <w:t> </w:t>
            </w:r>
          </w:p>
          <w:p w14:paraId="70333325" w14:textId="48E77E21" w:rsidR="00230EA3" w:rsidRPr="00C0587E" w:rsidRDefault="00230EA3" w:rsidP="00230EA3">
            <w:pPr>
              <w:spacing w:after="0" w:line="240" w:lineRule="auto"/>
              <w:ind w:firstLineChars="100" w:firstLine="220"/>
              <w:rPr>
                <w:rFonts w:ascii="Arial" w:eastAsia="Times New Roman" w:hAnsi="Arial" w:cs="Arial"/>
                <w:color w:val="000000"/>
                <w:kern w:val="0"/>
                <w:sz w:val="22"/>
                <w:szCs w:val="22"/>
                <w:lang w:eastAsia="en-IN"/>
                <w14:ligatures w14:val="none"/>
              </w:rPr>
            </w:pPr>
            <w:r w:rsidRPr="00C0587E">
              <w:rPr>
                <w:rFonts w:ascii="Arial" w:eastAsia="Times New Roman" w:hAnsi="Arial" w:cs="Arial"/>
                <w:color w:val="000000"/>
                <w:kern w:val="0"/>
                <w:sz w:val="22"/>
                <w:szCs w:val="22"/>
                <w:lang w:eastAsia="en-IN"/>
                <w14:ligatures w14:val="none"/>
              </w:rPr>
              <w:t> </w:t>
            </w:r>
          </w:p>
        </w:tc>
        <w:tc>
          <w:tcPr>
            <w:tcW w:w="1380" w:type="pct"/>
            <w:tcBorders>
              <w:top w:val="single" w:sz="4" w:space="0" w:color="auto"/>
              <w:left w:val="single" w:sz="4" w:space="0" w:color="auto"/>
            </w:tcBorders>
            <w:vAlign w:val="center"/>
            <w:hideMark/>
          </w:tcPr>
          <w:p w14:paraId="773DFFC2" w14:textId="77777777" w:rsidR="00230EA3" w:rsidRPr="00C0587E" w:rsidRDefault="00230EA3" w:rsidP="00230EA3">
            <w:pPr>
              <w:spacing w:after="0" w:line="240" w:lineRule="auto"/>
              <w:jc w:val="center"/>
              <w:rPr>
                <w:rFonts w:ascii="Arial" w:eastAsia="Times New Roman" w:hAnsi="Arial" w:cs="Arial"/>
                <w:color w:val="000000"/>
                <w:kern w:val="0"/>
                <w:sz w:val="22"/>
                <w:szCs w:val="22"/>
                <w:lang w:eastAsia="en-IN"/>
                <w14:ligatures w14:val="none"/>
              </w:rPr>
            </w:pPr>
            <w:r w:rsidRPr="00C0587E">
              <w:rPr>
                <w:rFonts w:ascii="Arial" w:eastAsia="Times New Roman" w:hAnsi="Arial" w:cs="Arial"/>
                <w:color w:val="000000"/>
                <w:kern w:val="0"/>
                <w:sz w:val="22"/>
                <w:szCs w:val="22"/>
                <w:lang w:eastAsia="en-IN"/>
                <w14:ligatures w14:val="none"/>
              </w:rPr>
              <w:t>C</w:t>
            </w:r>
          </w:p>
        </w:tc>
        <w:tc>
          <w:tcPr>
            <w:tcW w:w="1678" w:type="pct"/>
            <w:tcBorders>
              <w:top w:val="single" w:sz="4" w:space="0" w:color="auto"/>
            </w:tcBorders>
            <w:vAlign w:val="center"/>
            <w:hideMark/>
          </w:tcPr>
          <w:p w14:paraId="2089B648" w14:textId="77777777" w:rsidR="00230EA3" w:rsidRPr="00C0587E" w:rsidRDefault="00230EA3" w:rsidP="00230EA3">
            <w:pPr>
              <w:spacing w:after="0" w:line="240" w:lineRule="auto"/>
              <w:jc w:val="center"/>
              <w:rPr>
                <w:rFonts w:ascii="Arial" w:eastAsia="Times New Roman" w:hAnsi="Arial" w:cs="Arial"/>
                <w:color w:val="000000"/>
                <w:kern w:val="0"/>
                <w:sz w:val="22"/>
                <w:szCs w:val="22"/>
                <w:lang w:eastAsia="en-IN"/>
                <w14:ligatures w14:val="none"/>
              </w:rPr>
            </w:pPr>
            <w:r w:rsidRPr="00C0587E">
              <w:rPr>
                <w:rFonts w:ascii="Arial" w:eastAsia="Times New Roman" w:hAnsi="Arial" w:cs="Arial"/>
                <w:color w:val="000000"/>
                <w:kern w:val="0"/>
                <w:sz w:val="22"/>
                <w:szCs w:val="22"/>
                <w:lang w:eastAsia="en-IN"/>
                <w14:ligatures w14:val="none"/>
              </w:rPr>
              <w:t>5.33</w:t>
            </w:r>
            <w:r w:rsidRPr="00C0587E">
              <w:rPr>
                <w:rFonts w:ascii="Arial" w:eastAsia="Arial" w:hAnsi="Arial" w:cs="Arial"/>
                <w:color w:val="000000" w:themeColor="text1"/>
                <w:sz w:val="22"/>
                <w:szCs w:val="22"/>
              </w:rPr>
              <w:t>±0.22</w:t>
            </w:r>
            <w:r w:rsidRPr="00C0587E">
              <w:rPr>
                <w:rFonts w:ascii="Arial" w:eastAsia="Arial" w:hAnsi="Arial" w:cs="Arial"/>
                <w:color w:val="000000" w:themeColor="text1"/>
                <w:sz w:val="22"/>
                <w:szCs w:val="22"/>
                <w:vertAlign w:val="superscript"/>
              </w:rPr>
              <w:t>r</w:t>
            </w:r>
          </w:p>
        </w:tc>
      </w:tr>
      <w:tr w:rsidR="00230EA3" w:rsidRPr="00C0587E" w14:paraId="2A77BEAA" w14:textId="77777777" w:rsidTr="001C62A9">
        <w:trPr>
          <w:trHeight w:val="242"/>
        </w:trPr>
        <w:tc>
          <w:tcPr>
            <w:tcW w:w="1942" w:type="pct"/>
            <w:vMerge/>
            <w:tcBorders>
              <w:right w:val="single" w:sz="4" w:space="0" w:color="auto"/>
            </w:tcBorders>
            <w:hideMark/>
          </w:tcPr>
          <w:p w14:paraId="579EB424" w14:textId="35368716" w:rsidR="00230EA3" w:rsidRPr="00C0587E" w:rsidRDefault="00230EA3" w:rsidP="00230EA3">
            <w:pPr>
              <w:spacing w:after="0" w:line="240" w:lineRule="auto"/>
              <w:ind w:firstLineChars="100" w:firstLine="220"/>
              <w:rPr>
                <w:rFonts w:ascii="Arial" w:eastAsia="Times New Roman" w:hAnsi="Arial" w:cs="Arial"/>
                <w:color w:val="000000"/>
                <w:kern w:val="0"/>
                <w:sz w:val="22"/>
                <w:szCs w:val="22"/>
                <w:lang w:eastAsia="en-IN"/>
                <w14:ligatures w14:val="none"/>
              </w:rPr>
            </w:pPr>
          </w:p>
        </w:tc>
        <w:tc>
          <w:tcPr>
            <w:tcW w:w="1380" w:type="pct"/>
            <w:tcBorders>
              <w:left w:val="single" w:sz="4" w:space="0" w:color="auto"/>
            </w:tcBorders>
            <w:vAlign w:val="center"/>
            <w:hideMark/>
          </w:tcPr>
          <w:p w14:paraId="7E71A84F" w14:textId="40589508" w:rsidR="00230EA3" w:rsidRPr="00C0587E" w:rsidRDefault="00884617" w:rsidP="00230EA3">
            <w:pPr>
              <w:spacing w:after="0" w:line="240" w:lineRule="auto"/>
              <w:jc w:val="center"/>
              <w:rPr>
                <w:rFonts w:ascii="Arial" w:eastAsia="Times New Roman" w:hAnsi="Arial" w:cs="Arial"/>
                <w:color w:val="000000"/>
                <w:kern w:val="0"/>
                <w:sz w:val="22"/>
                <w:szCs w:val="22"/>
                <w:lang w:eastAsia="en-IN"/>
                <w14:ligatures w14:val="none"/>
              </w:rPr>
            </w:pPr>
            <w:r w:rsidRPr="00C0587E">
              <w:rPr>
                <w:rFonts w:ascii="Arial" w:eastAsia="Times New Roman" w:hAnsi="Arial" w:cs="Arial"/>
                <w:color w:val="000000"/>
                <w:kern w:val="0"/>
                <w:sz w:val="22"/>
                <w:szCs w:val="22"/>
                <w:lang w:eastAsia="en-IN"/>
                <w14:ligatures w14:val="none"/>
              </w:rPr>
              <w:t>T1</w:t>
            </w:r>
          </w:p>
        </w:tc>
        <w:tc>
          <w:tcPr>
            <w:tcW w:w="1678" w:type="pct"/>
            <w:vAlign w:val="center"/>
            <w:hideMark/>
          </w:tcPr>
          <w:p w14:paraId="6952D9BB" w14:textId="77777777" w:rsidR="00230EA3" w:rsidRPr="00C0587E" w:rsidRDefault="00230EA3" w:rsidP="00230EA3">
            <w:pPr>
              <w:spacing w:after="0" w:line="240" w:lineRule="auto"/>
              <w:jc w:val="center"/>
              <w:rPr>
                <w:rFonts w:ascii="Arial" w:eastAsia="Times New Roman" w:hAnsi="Arial" w:cs="Arial"/>
                <w:color w:val="000000"/>
                <w:kern w:val="0"/>
                <w:sz w:val="22"/>
                <w:szCs w:val="22"/>
                <w:lang w:eastAsia="en-IN"/>
                <w14:ligatures w14:val="none"/>
              </w:rPr>
            </w:pPr>
            <w:r w:rsidRPr="00C0587E">
              <w:rPr>
                <w:rFonts w:ascii="Arial" w:eastAsia="Times New Roman" w:hAnsi="Arial" w:cs="Arial"/>
                <w:color w:val="000000"/>
                <w:kern w:val="0"/>
                <w:sz w:val="22"/>
                <w:szCs w:val="22"/>
                <w:lang w:eastAsia="en-IN"/>
                <w14:ligatures w14:val="none"/>
              </w:rPr>
              <w:t>5.68</w:t>
            </w:r>
            <w:r w:rsidRPr="00C0587E">
              <w:rPr>
                <w:rFonts w:ascii="Arial" w:eastAsia="Arial" w:hAnsi="Arial" w:cs="Arial"/>
                <w:color w:val="000000" w:themeColor="text1"/>
                <w:sz w:val="22"/>
                <w:szCs w:val="22"/>
              </w:rPr>
              <w:t>±0.1</w:t>
            </w:r>
            <w:r w:rsidRPr="00C0587E">
              <w:rPr>
                <w:rFonts w:ascii="Arial" w:eastAsia="Arial" w:hAnsi="Arial" w:cs="Arial"/>
                <w:color w:val="000000" w:themeColor="text1"/>
                <w:sz w:val="22"/>
                <w:szCs w:val="22"/>
                <w:vertAlign w:val="superscript"/>
              </w:rPr>
              <w:t>r</w:t>
            </w:r>
          </w:p>
        </w:tc>
      </w:tr>
      <w:tr w:rsidR="00230EA3" w:rsidRPr="00C0587E" w14:paraId="6C799B0D" w14:textId="77777777" w:rsidTr="001C62A9">
        <w:trPr>
          <w:trHeight w:val="242"/>
        </w:trPr>
        <w:tc>
          <w:tcPr>
            <w:tcW w:w="1942" w:type="pct"/>
            <w:vMerge/>
            <w:tcBorders>
              <w:bottom w:val="single" w:sz="4" w:space="0" w:color="auto"/>
              <w:right w:val="single" w:sz="4" w:space="0" w:color="auto"/>
            </w:tcBorders>
            <w:hideMark/>
          </w:tcPr>
          <w:p w14:paraId="4EDA5088" w14:textId="6C708581" w:rsidR="00230EA3" w:rsidRPr="00C0587E" w:rsidRDefault="00230EA3" w:rsidP="00230EA3">
            <w:pPr>
              <w:spacing w:after="0" w:line="240" w:lineRule="auto"/>
              <w:ind w:firstLineChars="100" w:firstLine="220"/>
              <w:rPr>
                <w:rFonts w:ascii="Arial" w:eastAsia="Times New Roman" w:hAnsi="Arial" w:cs="Arial"/>
                <w:color w:val="000000"/>
                <w:kern w:val="0"/>
                <w:sz w:val="22"/>
                <w:szCs w:val="22"/>
                <w:lang w:eastAsia="en-IN"/>
                <w14:ligatures w14:val="none"/>
              </w:rPr>
            </w:pPr>
          </w:p>
        </w:tc>
        <w:tc>
          <w:tcPr>
            <w:tcW w:w="1380" w:type="pct"/>
            <w:tcBorders>
              <w:left w:val="single" w:sz="4" w:space="0" w:color="auto"/>
              <w:bottom w:val="single" w:sz="4" w:space="0" w:color="auto"/>
            </w:tcBorders>
            <w:vAlign w:val="center"/>
            <w:hideMark/>
          </w:tcPr>
          <w:p w14:paraId="285043E7" w14:textId="185E8488" w:rsidR="00230EA3" w:rsidRPr="00C0587E" w:rsidRDefault="00884617" w:rsidP="00230EA3">
            <w:pPr>
              <w:spacing w:after="0" w:line="240" w:lineRule="auto"/>
              <w:jc w:val="center"/>
              <w:rPr>
                <w:rFonts w:ascii="Arial" w:eastAsia="Times New Roman" w:hAnsi="Arial" w:cs="Arial"/>
                <w:color w:val="000000"/>
                <w:kern w:val="0"/>
                <w:sz w:val="22"/>
                <w:szCs w:val="22"/>
                <w:lang w:eastAsia="en-IN"/>
                <w14:ligatures w14:val="none"/>
              </w:rPr>
            </w:pPr>
            <w:r w:rsidRPr="00C0587E">
              <w:rPr>
                <w:rFonts w:ascii="Arial" w:eastAsia="Times New Roman" w:hAnsi="Arial" w:cs="Arial"/>
                <w:color w:val="000000"/>
                <w:kern w:val="0"/>
                <w:sz w:val="22"/>
                <w:szCs w:val="22"/>
                <w:lang w:eastAsia="en-IN"/>
                <w14:ligatures w14:val="none"/>
              </w:rPr>
              <w:t>T2</w:t>
            </w:r>
          </w:p>
        </w:tc>
        <w:tc>
          <w:tcPr>
            <w:tcW w:w="1678" w:type="pct"/>
            <w:tcBorders>
              <w:bottom w:val="single" w:sz="4" w:space="0" w:color="auto"/>
            </w:tcBorders>
            <w:vAlign w:val="center"/>
            <w:hideMark/>
          </w:tcPr>
          <w:p w14:paraId="2A49CE3C" w14:textId="77777777" w:rsidR="00230EA3" w:rsidRPr="00C0587E" w:rsidRDefault="00230EA3" w:rsidP="00230EA3">
            <w:pPr>
              <w:spacing w:after="0" w:line="240" w:lineRule="auto"/>
              <w:jc w:val="center"/>
              <w:rPr>
                <w:rFonts w:ascii="Arial" w:eastAsia="Times New Roman" w:hAnsi="Arial" w:cs="Arial"/>
                <w:color w:val="000000"/>
                <w:kern w:val="0"/>
                <w:sz w:val="22"/>
                <w:szCs w:val="22"/>
                <w:lang w:eastAsia="en-IN"/>
                <w14:ligatures w14:val="none"/>
              </w:rPr>
            </w:pPr>
            <w:r w:rsidRPr="00C0587E">
              <w:rPr>
                <w:rFonts w:ascii="Arial" w:eastAsia="Times New Roman" w:hAnsi="Arial" w:cs="Arial"/>
                <w:color w:val="000000"/>
                <w:kern w:val="0"/>
                <w:sz w:val="22"/>
                <w:szCs w:val="22"/>
                <w:lang w:eastAsia="en-IN"/>
                <w14:ligatures w14:val="none"/>
              </w:rPr>
              <w:t>6.9</w:t>
            </w:r>
            <w:r w:rsidRPr="00C0587E">
              <w:rPr>
                <w:rFonts w:ascii="Arial" w:eastAsia="Arial" w:hAnsi="Arial" w:cs="Arial"/>
                <w:color w:val="000000" w:themeColor="text1"/>
                <w:sz w:val="22"/>
                <w:szCs w:val="22"/>
              </w:rPr>
              <w:t>±0.31</w:t>
            </w:r>
            <w:r w:rsidRPr="00C0587E">
              <w:rPr>
                <w:rFonts w:ascii="Arial" w:eastAsia="Arial" w:hAnsi="Arial" w:cs="Arial"/>
                <w:color w:val="000000" w:themeColor="text1"/>
                <w:sz w:val="22"/>
                <w:szCs w:val="22"/>
                <w:vertAlign w:val="superscript"/>
              </w:rPr>
              <w:t>q</w:t>
            </w:r>
          </w:p>
        </w:tc>
      </w:tr>
    </w:tbl>
    <w:p w14:paraId="61BE8F5F" w14:textId="738B58CE" w:rsidR="0097016E" w:rsidRDefault="0097016E" w:rsidP="00915BCB">
      <w:pPr>
        <w:spacing w:after="4" w:line="249" w:lineRule="auto"/>
        <w:ind w:left="-5" w:right="-123" w:hanging="10"/>
        <w:jc w:val="center"/>
        <w:rPr>
          <w:rFonts w:ascii="Arial" w:hAnsi="Arial" w:cs="Arial"/>
          <w:bCs/>
          <w:sz w:val="20"/>
          <w:szCs w:val="20"/>
        </w:rPr>
      </w:pPr>
      <w:r w:rsidRPr="008A16D3">
        <w:rPr>
          <w:rFonts w:ascii="Arial" w:hAnsi="Arial" w:cs="Arial"/>
          <w:sz w:val="20"/>
          <w:szCs w:val="20"/>
        </w:rPr>
        <w:t>(</w:t>
      </w:r>
      <w:r w:rsidRPr="008A16D3">
        <w:rPr>
          <w:rFonts w:ascii="Arial" w:hAnsi="Arial" w:cs="Arial"/>
          <w:bCs/>
          <w:sz w:val="20"/>
          <w:szCs w:val="20"/>
        </w:rPr>
        <w:t xml:space="preserve">*Note </w:t>
      </w:r>
      <w:r w:rsidR="00DA6F8B">
        <w:rPr>
          <w:rFonts w:ascii="Arial" w:hAnsi="Arial" w:cs="Arial"/>
          <w:bCs/>
          <w:sz w:val="20"/>
          <w:szCs w:val="20"/>
        </w:rPr>
        <w:t xml:space="preserve">C= Control, </w:t>
      </w:r>
      <w:r w:rsidRPr="008A16D3">
        <w:rPr>
          <w:rFonts w:ascii="Arial" w:hAnsi="Arial" w:cs="Arial"/>
          <w:bCs/>
          <w:sz w:val="20"/>
          <w:szCs w:val="20"/>
        </w:rPr>
        <w:t xml:space="preserve">T1= Bio-floc (20:1), </w:t>
      </w:r>
      <w:r w:rsidR="00A96EE9">
        <w:rPr>
          <w:rFonts w:ascii="Arial" w:hAnsi="Arial" w:cs="Arial"/>
          <w:bCs/>
          <w:sz w:val="20"/>
          <w:szCs w:val="20"/>
        </w:rPr>
        <w:t>T2</w:t>
      </w:r>
      <w:r w:rsidRPr="008A16D3">
        <w:rPr>
          <w:rFonts w:ascii="Arial" w:hAnsi="Arial" w:cs="Arial"/>
          <w:bCs/>
          <w:sz w:val="20"/>
          <w:szCs w:val="20"/>
        </w:rPr>
        <w:t>=Biofloc (20:1) + 0.5% Jeevamruth; The mean values followed by the different superscript letters in each factor indicate significant difference at 0.05.)</w:t>
      </w:r>
    </w:p>
    <w:p w14:paraId="2357BED7" w14:textId="72B10E34" w:rsidR="00B6512B" w:rsidRDefault="0097016E" w:rsidP="0089538A">
      <w:pPr>
        <w:spacing w:before="100" w:beforeAutospacing="1" w:after="100" w:afterAutospacing="1" w:line="240" w:lineRule="auto"/>
        <w:outlineLvl w:val="1"/>
        <w:rPr>
          <w:rFonts w:ascii="Arial" w:eastAsia="Times New Roman" w:hAnsi="Arial" w:cs="Arial"/>
          <w:b/>
          <w:bCs/>
          <w:kern w:val="0"/>
          <w:sz w:val="28"/>
          <w:szCs w:val="28"/>
          <w:lang w:eastAsia="en-IN"/>
          <w14:ligatures w14:val="none"/>
        </w:rPr>
      </w:pPr>
      <w:r w:rsidRPr="006079B2">
        <w:rPr>
          <w:rFonts w:ascii="Arial" w:hAnsi="Arial" w:cs="Arial"/>
          <w:noProof/>
        </w:rPr>
        <w:drawing>
          <wp:inline distT="0" distB="0" distL="0" distR="0" wp14:anchorId="0D7AD21C" wp14:editId="0A1C8EB5">
            <wp:extent cx="5486400" cy="2695575"/>
            <wp:effectExtent l="0" t="0" r="0" b="0"/>
            <wp:docPr id="487613606"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34"/>
              </a:graphicData>
            </a:graphic>
          </wp:inline>
        </w:drawing>
      </w:r>
    </w:p>
    <w:p w14:paraId="063C882E" w14:textId="3EBEB664" w:rsidR="00726987" w:rsidRDefault="00726987" w:rsidP="00726987">
      <w:pPr>
        <w:spacing w:line="360" w:lineRule="auto"/>
        <w:jc w:val="center"/>
        <w:rPr>
          <w:rFonts w:ascii="Arial" w:hAnsi="Arial" w:cs="Arial"/>
          <w:b/>
          <w:sz w:val="20"/>
          <w:szCs w:val="20"/>
        </w:rPr>
      </w:pPr>
      <w:r w:rsidRPr="00A152F0">
        <w:rPr>
          <w:rFonts w:ascii="Arial" w:hAnsi="Arial" w:cs="Arial"/>
          <w:b/>
          <w:sz w:val="20"/>
          <w:szCs w:val="20"/>
        </w:rPr>
        <w:lastRenderedPageBreak/>
        <w:t>Figure 1</w:t>
      </w:r>
      <w:r w:rsidR="00FB120A">
        <w:rPr>
          <w:rFonts w:ascii="Arial" w:hAnsi="Arial" w:cs="Arial"/>
          <w:b/>
          <w:sz w:val="20"/>
          <w:szCs w:val="20"/>
        </w:rPr>
        <w:t>8</w:t>
      </w:r>
      <w:r w:rsidRPr="00A152F0">
        <w:rPr>
          <w:rFonts w:ascii="Arial" w:hAnsi="Arial" w:cs="Arial"/>
          <w:b/>
          <w:sz w:val="20"/>
          <w:szCs w:val="20"/>
        </w:rPr>
        <w:t>:</w:t>
      </w:r>
      <w:r>
        <w:rPr>
          <w:rFonts w:ascii="Arial" w:hAnsi="Arial" w:cs="Arial"/>
          <w:b/>
          <w:sz w:val="20"/>
          <w:szCs w:val="20"/>
        </w:rPr>
        <w:t xml:space="preserve"> </w:t>
      </w:r>
      <w:r w:rsidRPr="00224BC0">
        <w:rPr>
          <w:rFonts w:ascii="Arial" w:hAnsi="Arial" w:cs="Arial"/>
          <w:b/>
          <w:sz w:val="20"/>
          <w:szCs w:val="20"/>
        </w:rPr>
        <w:t xml:space="preserve">Average </w:t>
      </w:r>
      <w:r w:rsidR="00FB120A">
        <w:rPr>
          <w:rFonts w:ascii="Arial" w:hAnsi="Arial" w:cs="Arial"/>
          <w:b/>
          <w:bCs/>
          <w:sz w:val="20"/>
          <w:szCs w:val="20"/>
        </w:rPr>
        <w:t xml:space="preserve">Plant Biomass </w:t>
      </w:r>
      <w:r w:rsidRPr="00224BC0">
        <w:rPr>
          <w:rFonts w:ascii="Arial" w:hAnsi="Arial" w:cs="Arial"/>
          <w:b/>
          <w:sz w:val="20"/>
          <w:szCs w:val="20"/>
        </w:rPr>
        <w:t>Value Recorded During the Experiment</w:t>
      </w:r>
    </w:p>
    <w:p w14:paraId="2ACEAB46" w14:textId="131C148D" w:rsidR="00781DC5" w:rsidRPr="00781DC5" w:rsidRDefault="00781DC5" w:rsidP="00781DC5">
      <w:pPr>
        <w:spacing w:line="276" w:lineRule="auto"/>
        <w:ind w:firstLine="720"/>
        <w:rPr>
          <w:rFonts w:ascii="Arial" w:hAnsi="Arial" w:cs="Arial"/>
          <w:bCs/>
          <w:sz w:val="20"/>
          <w:szCs w:val="20"/>
        </w:rPr>
      </w:pPr>
      <w:r w:rsidRPr="00781DC5">
        <w:rPr>
          <w:rFonts w:ascii="Arial" w:hAnsi="Arial" w:cs="Arial"/>
          <w:bCs/>
          <w:sz w:val="20"/>
          <w:szCs w:val="20"/>
        </w:rPr>
        <w:t>The highest biomass accumulation was observed in T2 (6.90 ± 0.31 g), followed by T1 (5.68 ± 0.10 g) and the control (5.33 ± 0.22 g). Statistical analysis indicated significant differences (p &lt; 0.05) among treatments, with Jeevamruth-supplemented biofloc effluent resulting in superior biomass production.</w:t>
      </w:r>
    </w:p>
    <w:p w14:paraId="17144116" w14:textId="1710B468" w:rsidR="0089538A" w:rsidRPr="006079B2" w:rsidRDefault="00A53A15" w:rsidP="0089538A">
      <w:pPr>
        <w:spacing w:before="100" w:beforeAutospacing="1" w:after="100" w:afterAutospacing="1" w:line="240" w:lineRule="auto"/>
        <w:outlineLvl w:val="1"/>
        <w:rPr>
          <w:rFonts w:ascii="Arial" w:eastAsia="Times New Roman" w:hAnsi="Arial" w:cs="Arial"/>
          <w:b/>
          <w:bCs/>
          <w:kern w:val="0"/>
          <w:sz w:val="28"/>
          <w:szCs w:val="28"/>
          <w:lang w:eastAsia="en-IN"/>
          <w14:ligatures w14:val="none"/>
        </w:rPr>
      </w:pPr>
      <w:r>
        <w:rPr>
          <w:rFonts w:ascii="Arial" w:eastAsia="Times New Roman" w:hAnsi="Arial" w:cs="Arial"/>
          <w:b/>
          <w:bCs/>
          <w:kern w:val="0"/>
          <w:sz w:val="22"/>
          <w:szCs w:val="22"/>
          <w:lang w:eastAsia="en-IN"/>
          <w14:ligatures w14:val="none"/>
        </w:rPr>
        <w:t>3</w:t>
      </w:r>
      <w:r w:rsidR="009E44F8">
        <w:rPr>
          <w:rFonts w:ascii="Arial" w:eastAsia="Times New Roman" w:hAnsi="Arial" w:cs="Arial"/>
          <w:b/>
          <w:bCs/>
          <w:kern w:val="0"/>
          <w:sz w:val="22"/>
          <w:szCs w:val="22"/>
          <w:lang w:eastAsia="en-IN"/>
          <w14:ligatures w14:val="none"/>
        </w:rPr>
        <w:t>.</w:t>
      </w:r>
      <w:r w:rsidR="00953F46">
        <w:rPr>
          <w:rFonts w:ascii="Arial" w:eastAsia="Times New Roman" w:hAnsi="Arial" w:cs="Arial"/>
          <w:b/>
          <w:bCs/>
          <w:kern w:val="0"/>
          <w:sz w:val="22"/>
          <w:szCs w:val="22"/>
          <w:lang w:eastAsia="en-IN"/>
          <w14:ligatures w14:val="none"/>
        </w:rPr>
        <w:t>4</w:t>
      </w:r>
      <w:r w:rsidR="009E44F8">
        <w:rPr>
          <w:rFonts w:ascii="Arial" w:eastAsia="Times New Roman" w:hAnsi="Arial" w:cs="Arial"/>
          <w:b/>
          <w:bCs/>
          <w:kern w:val="0"/>
          <w:sz w:val="22"/>
          <w:szCs w:val="22"/>
          <w:lang w:eastAsia="en-IN"/>
          <w14:ligatures w14:val="none"/>
        </w:rPr>
        <w:t xml:space="preserve"> </w:t>
      </w:r>
      <w:r w:rsidR="009E44F8" w:rsidRPr="005E763E">
        <w:rPr>
          <w:rFonts w:ascii="Arial" w:eastAsia="Times New Roman" w:hAnsi="Arial" w:cs="Arial"/>
          <w:b/>
          <w:bCs/>
          <w:kern w:val="0"/>
          <w:sz w:val="22"/>
          <w:szCs w:val="22"/>
          <w:lang w:eastAsia="en-IN"/>
          <w14:ligatures w14:val="none"/>
        </w:rPr>
        <w:t>DISCUSSION</w:t>
      </w:r>
    </w:p>
    <w:p w14:paraId="2D0D2755" w14:textId="26FD7803" w:rsidR="00D61039" w:rsidRPr="007421C2" w:rsidRDefault="0089538A" w:rsidP="00791B15">
      <w:pPr>
        <w:spacing w:before="100" w:beforeAutospacing="1" w:after="100" w:afterAutospacing="1" w:line="276" w:lineRule="auto"/>
        <w:ind w:firstLine="720"/>
        <w:jc w:val="both"/>
        <w:rPr>
          <w:rFonts w:ascii="Arial" w:eastAsia="Times New Roman" w:hAnsi="Arial" w:cs="Arial"/>
          <w:kern w:val="0"/>
          <w:sz w:val="20"/>
          <w:szCs w:val="20"/>
          <w:lang w:eastAsia="en-IN"/>
          <w14:ligatures w14:val="none"/>
        </w:rPr>
      </w:pPr>
      <w:r w:rsidRPr="005E763E">
        <w:rPr>
          <w:rFonts w:ascii="Arial" w:eastAsia="Times New Roman" w:hAnsi="Arial" w:cs="Arial"/>
          <w:kern w:val="0"/>
          <w:sz w:val="20"/>
          <w:szCs w:val="20"/>
          <w:lang w:eastAsia="en-IN"/>
          <w14:ligatures w14:val="none"/>
        </w:rPr>
        <w:t>The 60-day trial clearly demonstrated that the application of Jeevamruth at both 0.5% and 1% concentrations markedly improved overall system performance compared to the control. The enhancement was more evident in the 1% treatment (T2), indicating that Jeevamruth acts as an effective microbial stimulant that improves water quality, nutrient recycling, and biological productivity in integrated aquaculture systems.</w:t>
      </w:r>
      <w:r w:rsidR="00791B15">
        <w:rPr>
          <w:rFonts w:ascii="Arial" w:eastAsia="Times New Roman" w:hAnsi="Arial" w:cs="Arial"/>
          <w:kern w:val="0"/>
          <w:sz w:val="20"/>
          <w:szCs w:val="20"/>
          <w:lang w:eastAsia="en-IN"/>
          <w14:ligatures w14:val="none"/>
        </w:rPr>
        <w:t xml:space="preserve"> </w:t>
      </w:r>
      <w:r w:rsidRPr="005E763E">
        <w:rPr>
          <w:rFonts w:ascii="Arial" w:eastAsia="Times New Roman" w:hAnsi="Arial" w:cs="Arial"/>
          <w:kern w:val="0"/>
          <w:sz w:val="20"/>
          <w:szCs w:val="20"/>
          <w:lang w:eastAsia="en-IN"/>
          <w14:ligatures w14:val="none"/>
        </w:rPr>
        <w:t xml:space="preserve">The physicochemical parameters of the culture water showed consistent and favorable trends with the addition of Jeevamruth. Temperature remained within the optimal range for </w:t>
      </w:r>
      <w:r w:rsidRPr="005E763E">
        <w:rPr>
          <w:rFonts w:ascii="Arial" w:eastAsia="Times New Roman" w:hAnsi="Arial" w:cs="Arial"/>
          <w:i/>
          <w:iCs/>
          <w:kern w:val="0"/>
          <w:sz w:val="20"/>
          <w:szCs w:val="20"/>
          <w:lang w:eastAsia="en-IN"/>
          <w14:ligatures w14:val="none"/>
        </w:rPr>
        <w:t>Labeo rohita</w:t>
      </w:r>
      <w:r w:rsidRPr="005E763E">
        <w:rPr>
          <w:rFonts w:ascii="Arial" w:eastAsia="Times New Roman" w:hAnsi="Arial" w:cs="Arial"/>
          <w:kern w:val="0"/>
          <w:sz w:val="20"/>
          <w:szCs w:val="20"/>
          <w:lang w:eastAsia="en-IN"/>
          <w14:ligatures w14:val="none"/>
        </w:rPr>
        <w:t xml:space="preserve"> (26–27°C), with slightly higher values in the treated groups, suggesting microbial activity contributed to thermal stability (Sarangi et al., 2025). The stable thermal pattern aligns with Chudasama et al. (2024), who noted that microbial activation in organic systems supports temperature regulation and physiological homeostasis.</w:t>
      </w:r>
      <w:r w:rsidR="00EE400C" w:rsidRPr="005E763E">
        <w:rPr>
          <w:rFonts w:ascii="Arial" w:eastAsia="Times New Roman" w:hAnsi="Arial" w:cs="Arial"/>
          <w:kern w:val="0"/>
          <w:sz w:val="20"/>
          <w:szCs w:val="20"/>
          <w:lang w:eastAsia="en-IN"/>
          <w14:ligatures w14:val="none"/>
        </w:rPr>
        <w:t xml:space="preserve"> </w:t>
      </w:r>
      <w:r w:rsidRPr="005E763E">
        <w:rPr>
          <w:rFonts w:ascii="Arial" w:eastAsia="Times New Roman" w:hAnsi="Arial" w:cs="Arial"/>
          <w:kern w:val="0"/>
          <w:sz w:val="20"/>
          <w:szCs w:val="20"/>
          <w:lang w:eastAsia="en-IN"/>
          <w14:ligatures w14:val="none"/>
        </w:rPr>
        <w:t>pH values were consistently higher and more stable in Jeevamruth-supplemented treatments, especially T2, where peak values reached 8.9 on day 14. This demonstrates the buffering capacity of microbial-rich systems and the enhanced organic matter degradation induced by Jeevamruth. Sengupta et al. (2024) similarly reported that biofloc systems enriched with organic inoculants maintain stable alkalinity through active nitrification and carbon–nitrogen cycling.</w:t>
      </w:r>
      <w:r w:rsidR="00EE400C" w:rsidRPr="005E763E">
        <w:rPr>
          <w:rFonts w:ascii="Arial" w:eastAsia="Times New Roman" w:hAnsi="Arial" w:cs="Arial"/>
          <w:kern w:val="0"/>
          <w:sz w:val="20"/>
          <w:szCs w:val="20"/>
          <w:lang w:eastAsia="en-IN"/>
          <w14:ligatures w14:val="none"/>
        </w:rPr>
        <w:t xml:space="preserve"> </w:t>
      </w:r>
      <w:r w:rsidRPr="005E763E">
        <w:rPr>
          <w:rFonts w:ascii="Arial" w:eastAsia="Times New Roman" w:hAnsi="Arial" w:cs="Arial"/>
          <w:kern w:val="0"/>
          <w:sz w:val="20"/>
          <w:szCs w:val="20"/>
          <w:lang w:eastAsia="en-IN"/>
          <w14:ligatures w14:val="none"/>
        </w:rPr>
        <w:t>TDS and conductivity values rose gradually in both Jeevamruth treatments, indicating active microbial mineralization and ion release without surpassing safe thresholds. The highest TDS (685.56 mg/L) and EC (1.07 mS/cm) in T2 confirm greater microbial biomass buildup and organic matter conversion. This pattern is consistent with Liu et al. (2019) and Ramasubburayan et al. (2024), who observed that increased microbial load in biofloc systems enhances nutrient recycling and ionic stability.</w:t>
      </w:r>
      <w:r w:rsidR="00EE400C" w:rsidRPr="005E763E">
        <w:rPr>
          <w:rFonts w:ascii="Arial" w:eastAsia="Times New Roman" w:hAnsi="Arial" w:cs="Arial"/>
          <w:kern w:val="0"/>
          <w:sz w:val="20"/>
          <w:szCs w:val="20"/>
          <w:lang w:eastAsia="en-IN"/>
          <w14:ligatures w14:val="none"/>
        </w:rPr>
        <w:t xml:space="preserve"> </w:t>
      </w:r>
      <w:r w:rsidRPr="005E763E">
        <w:rPr>
          <w:rFonts w:ascii="Arial" w:eastAsia="Times New Roman" w:hAnsi="Arial" w:cs="Arial"/>
          <w:kern w:val="0"/>
          <w:sz w:val="20"/>
          <w:szCs w:val="20"/>
          <w:lang w:eastAsia="en-IN"/>
          <w14:ligatures w14:val="none"/>
        </w:rPr>
        <w:t>Salinity remained steady, showing only minor increments in T1 and T2, which supports the conclusion that Jeevamruth does not cause ionic imbalance but contributes to maintaining system equilibrium (Al-Sayegh et al., 2024). Dissolved oxygen declined slightly in Jeevamruth treatments but remained within acceptable limits, reflecting increased microbial respiration and higher biological activity a sign of active nutrient cycling (Ramasubburayan et al., 2025).</w:t>
      </w:r>
      <w:r w:rsidR="00791B15">
        <w:rPr>
          <w:rFonts w:ascii="Arial" w:eastAsia="Times New Roman" w:hAnsi="Arial" w:cs="Arial"/>
          <w:kern w:val="0"/>
          <w:sz w:val="20"/>
          <w:szCs w:val="20"/>
          <w:lang w:eastAsia="en-IN"/>
          <w14:ligatures w14:val="none"/>
        </w:rPr>
        <w:t xml:space="preserve"> </w:t>
      </w:r>
      <w:r w:rsidRPr="005E763E">
        <w:rPr>
          <w:rFonts w:ascii="Arial" w:eastAsia="Times New Roman" w:hAnsi="Arial" w:cs="Arial"/>
          <w:kern w:val="0"/>
          <w:sz w:val="20"/>
          <w:szCs w:val="20"/>
          <w:lang w:eastAsia="en-IN"/>
          <w14:ligatures w14:val="none"/>
        </w:rPr>
        <w:t>Ammonia and nitrite concentrations decreased notably in the Jeevamruth treatments, demonstrating superior nitrogen management. The lowest ammonia (0.27 mg/L) and nitrite (0.17 mg/L) were recorded in T2, suggesting effective nitrification and microbial assimilation. Jeevamruth’s microbial consortium likely supported ammonia-oxidizing bacteria (AOB) and nitrite-oxidizing bacteria (NOB), facilitating detoxification processes. These findings are in agreement with Chen et al. (2023) and Robles-Porchas et al. (2020), who emphasized that organic microbial additives significantly enhance nitrification efficiency in biofloc systems.</w:t>
      </w:r>
      <w:r w:rsidR="00791B15">
        <w:rPr>
          <w:rFonts w:ascii="Arial" w:eastAsia="Times New Roman" w:hAnsi="Arial" w:cs="Arial"/>
          <w:kern w:val="0"/>
          <w:sz w:val="20"/>
          <w:szCs w:val="20"/>
          <w:lang w:eastAsia="en-IN"/>
          <w14:ligatures w14:val="none"/>
        </w:rPr>
        <w:t xml:space="preserve"> </w:t>
      </w:r>
      <w:r w:rsidRPr="007421C2">
        <w:rPr>
          <w:rFonts w:ascii="Arial" w:eastAsia="Times New Roman" w:hAnsi="Arial" w:cs="Arial"/>
          <w:kern w:val="0"/>
          <w:sz w:val="20"/>
          <w:szCs w:val="20"/>
          <w:lang w:eastAsia="en-IN"/>
          <w14:ligatures w14:val="none"/>
        </w:rPr>
        <w:t>The growth data confirmed the beneficial effects of Jeevamruth supplementation, with the best outcomes achieved in the 1% treatment (T2). Final weight, average weight gain, and body weight gain percentage were highest in T2, indicating enhanced feed utilization and metabolic efficiency. T2 achieved a 53.68% BWG and 7.88% SGR, outperforming both the control and 0.5% treatments. These improvements reflect the synergistic role of microbial enrichment in improving nutrient assimilation and digestive performance. Jeevamruth likely enhanced microbial enzyme activity, supporting efficient feed breakdown and nutrient uptake (Sahu et al., 2021; Zaki et al., 2024).</w:t>
      </w:r>
      <w:r w:rsidR="002F5418" w:rsidRPr="007421C2">
        <w:rPr>
          <w:rFonts w:ascii="Arial" w:eastAsia="Times New Roman" w:hAnsi="Arial" w:cs="Arial"/>
          <w:kern w:val="0"/>
          <w:sz w:val="20"/>
          <w:szCs w:val="20"/>
          <w:lang w:eastAsia="en-IN"/>
          <w14:ligatures w14:val="none"/>
        </w:rPr>
        <w:t xml:space="preserve"> </w:t>
      </w:r>
      <w:r w:rsidRPr="007421C2">
        <w:rPr>
          <w:rFonts w:ascii="Arial" w:eastAsia="Times New Roman" w:hAnsi="Arial" w:cs="Arial"/>
          <w:kern w:val="0"/>
          <w:sz w:val="20"/>
          <w:szCs w:val="20"/>
          <w:lang w:eastAsia="en-IN"/>
          <w14:ligatures w14:val="none"/>
        </w:rPr>
        <w:t xml:space="preserve">Feed conversion efficiency (FCE), protein efficiency ratio (PER), and lipid efficiency ratio (LER) also improved notably with Jeevamruth addition. By day 60, T2 recorded the highest FCE (0.19), PER (0.59), and LER (3.78), confirming superior feed utilization and energy conversion. These trends are consistent with findings by Panigrahi et al. (2018) and Cuzon et al. (2004), who reported that microbial enrichment enhances protein digestibility and reduces feed wastage in biofloc systems. The improved FCE and PER further demonstrate that Jeevamruth fosters beneficial microbial populations that transform organic wastes into microbial protein, serving as a </w:t>
      </w:r>
      <w:r w:rsidRPr="007421C2">
        <w:rPr>
          <w:rFonts w:ascii="Arial" w:eastAsia="Times New Roman" w:hAnsi="Arial" w:cs="Arial"/>
          <w:kern w:val="0"/>
          <w:sz w:val="20"/>
          <w:szCs w:val="20"/>
          <w:lang w:eastAsia="en-IN"/>
          <w14:ligatures w14:val="none"/>
        </w:rPr>
        <w:lastRenderedPageBreak/>
        <w:t>continuous supplementary nutrient source for fish.</w:t>
      </w:r>
      <w:r w:rsidR="00791B15">
        <w:rPr>
          <w:rFonts w:ascii="Arial" w:eastAsia="Times New Roman" w:hAnsi="Arial" w:cs="Arial"/>
          <w:kern w:val="0"/>
          <w:sz w:val="20"/>
          <w:szCs w:val="20"/>
          <w:lang w:eastAsia="en-IN"/>
          <w14:ligatures w14:val="none"/>
        </w:rPr>
        <w:t xml:space="preserve"> </w:t>
      </w:r>
      <w:r w:rsidRPr="007421C2">
        <w:rPr>
          <w:rFonts w:ascii="Arial" w:eastAsia="Times New Roman" w:hAnsi="Arial" w:cs="Arial"/>
          <w:kern w:val="0"/>
          <w:sz w:val="20"/>
          <w:szCs w:val="20"/>
          <w:lang w:eastAsia="en-IN"/>
          <w14:ligatures w14:val="none"/>
        </w:rPr>
        <w:t xml:space="preserve">The positive effects of Jeevamruth supplementation extended to plant growth, with </w:t>
      </w:r>
      <w:r w:rsidRPr="007421C2">
        <w:rPr>
          <w:rFonts w:ascii="Arial" w:eastAsia="Times New Roman" w:hAnsi="Arial" w:cs="Arial"/>
          <w:i/>
          <w:iCs/>
          <w:kern w:val="0"/>
          <w:sz w:val="20"/>
          <w:szCs w:val="20"/>
          <w:lang w:eastAsia="en-IN"/>
          <w14:ligatures w14:val="none"/>
        </w:rPr>
        <w:t>Cyamopsis tetragonoloba</w:t>
      </w:r>
      <w:r w:rsidRPr="007421C2">
        <w:rPr>
          <w:rFonts w:ascii="Arial" w:eastAsia="Times New Roman" w:hAnsi="Arial" w:cs="Arial"/>
          <w:kern w:val="0"/>
          <w:sz w:val="20"/>
          <w:szCs w:val="20"/>
          <w:lang w:eastAsia="en-IN"/>
          <w14:ligatures w14:val="none"/>
        </w:rPr>
        <w:t xml:space="preserve"> exhibiting greater height, growth rate, and biomass under 1% treatment. T2 recorded the highest plant height (46.03 cm), growth rate (0.70 cm/day), and biomass (6.9 g), indicating that biofloc effluent enriched with Jeevamruth-derived microbes provided readily available nutrients and organic matter for crop growth. These results correspond with Fimbres-Acedo et al. (2020) and Zimmermann et al. (2023), who demonstrated that aquaculture effluents containing microbial flocs enhance nitrogen uptake and promote vigorous plant development. The microbial exudates and phytohormones produced by Jeevamruth may have further enhanced nutrient assimilation and photosynthetic activity (Kumar et al., 2018; Pinho et al., 2021).</w:t>
      </w:r>
    </w:p>
    <w:p w14:paraId="36A010A8" w14:textId="77777777" w:rsidR="002F5418" w:rsidRPr="005E763E" w:rsidRDefault="002F5418" w:rsidP="005700F7">
      <w:pPr>
        <w:rPr>
          <w:rFonts w:ascii="Times New Roman" w:hAnsi="Times New Roman" w:cs="Times New Roman"/>
          <w:b/>
          <w:bCs/>
          <w:sz w:val="20"/>
          <w:szCs w:val="20"/>
        </w:rPr>
        <w:sectPr w:rsidR="002F5418" w:rsidRPr="005E763E" w:rsidSect="006078DB">
          <w:type w:val="continuous"/>
          <w:pgSz w:w="11906" w:h="16838"/>
          <w:pgMar w:top="1440" w:right="1440" w:bottom="1440" w:left="144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pPr>
    </w:p>
    <w:p w14:paraId="2DFDCDD4" w14:textId="3115D397" w:rsidR="009A3F25" w:rsidRPr="00206E48" w:rsidRDefault="00A53A15" w:rsidP="009A3F25">
      <w:pPr>
        <w:spacing w:before="100" w:beforeAutospacing="1" w:after="100" w:afterAutospacing="1" w:line="240" w:lineRule="auto"/>
        <w:outlineLvl w:val="1"/>
        <w:rPr>
          <w:rFonts w:ascii="Arial" w:eastAsia="Times New Roman" w:hAnsi="Arial" w:cs="Arial"/>
          <w:b/>
          <w:bCs/>
          <w:kern w:val="0"/>
          <w:sz w:val="22"/>
          <w:szCs w:val="22"/>
          <w:lang w:eastAsia="en-IN"/>
          <w14:ligatures w14:val="none"/>
        </w:rPr>
      </w:pPr>
      <w:r>
        <w:rPr>
          <w:rFonts w:ascii="Arial" w:eastAsia="Times New Roman" w:hAnsi="Arial" w:cs="Arial"/>
          <w:b/>
          <w:bCs/>
          <w:kern w:val="0"/>
          <w:sz w:val="22"/>
          <w:szCs w:val="22"/>
          <w:lang w:eastAsia="en-IN"/>
          <w14:ligatures w14:val="none"/>
        </w:rPr>
        <w:t>4</w:t>
      </w:r>
      <w:r w:rsidR="009E44F8">
        <w:rPr>
          <w:rFonts w:ascii="Arial" w:eastAsia="Times New Roman" w:hAnsi="Arial" w:cs="Arial"/>
          <w:b/>
          <w:bCs/>
          <w:kern w:val="0"/>
          <w:sz w:val="22"/>
          <w:szCs w:val="22"/>
          <w:lang w:eastAsia="en-IN"/>
          <w14:ligatures w14:val="none"/>
        </w:rPr>
        <w:t xml:space="preserve">. </w:t>
      </w:r>
      <w:r w:rsidR="009E44F8" w:rsidRPr="00206E48">
        <w:rPr>
          <w:rFonts w:ascii="Arial" w:eastAsia="Times New Roman" w:hAnsi="Arial" w:cs="Arial"/>
          <w:b/>
          <w:bCs/>
          <w:kern w:val="0"/>
          <w:sz w:val="22"/>
          <w:szCs w:val="22"/>
          <w:lang w:eastAsia="en-IN"/>
          <w14:ligatures w14:val="none"/>
        </w:rPr>
        <w:t>CONCLUSION</w:t>
      </w:r>
    </w:p>
    <w:p w14:paraId="3E3E0E0A" w14:textId="77777777" w:rsidR="009A3F25" w:rsidRDefault="009A3F25" w:rsidP="006078DB">
      <w:pPr>
        <w:spacing w:before="100" w:beforeAutospacing="1" w:after="100" w:afterAutospacing="1" w:line="276" w:lineRule="auto"/>
        <w:ind w:firstLine="720"/>
        <w:jc w:val="both"/>
        <w:rPr>
          <w:rFonts w:ascii="Arial" w:eastAsia="Times New Roman" w:hAnsi="Arial" w:cs="Arial"/>
          <w:kern w:val="0"/>
          <w:sz w:val="20"/>
          <w:szCs w:val="20"/>
          <w:lang w:eastAsia="en-IN"/>
          <w14:ligatures w14:val="none"/>
        </w:rPr>
      </w:pPr>
      <w:r w:rsidRPr="007421C2">
        <w:rPr>
          <w:rFonts w:ascii="Arial" w:eastAsia="Times New Roman" w:hAnsi="Arial" w:cs="Arial"/>
          <w:kern w:val="0"/>
          <w:sz w:val="20"/>
          <w:szCs w:val="20"/>
          <w:lang w:eastAsia="en-IN"/>
          <w14:ligatures w14:val="none"/>
        </w:rPr>
        <w:t xml:space="preserve">The findings of this 60-day study clearly demonstrate that Jeevamruth supplementation significantly improved both water quality and biological productivity in the integrated aquaculture–agriculture system. Among the treatments, the </w:t>
      </w:r>
      <w:r w:rsidR="00681D54">
        <w:rPr>
          <w:rFonts w:ascii="Arial" w:eastAsia="Times New Roman" w:hAnsi="Arial" w:cs="Arial"/>
          <w:kern w:val="0"/>
          <w:sz w:val="20"/>
          <w:szCs w:val="20"/>
          <w:lang w:eastAsia="en-IN"/>
          <w14:ligatures w14:val="none"/>
        </w:rPr>
        <w:t>0.5</w:t>
      </w:r>
      <w:r w:rsidRPr="007421C2">
        <w:rPr>
          <w:rFonts w:ascii="Arial" w:eastAsia="Times New Roman" w:hAnsi="Arial" w:cs="Arial"/>
          <w:kern w:val="0"/>
          <w:sz w:val="20"/>
          <w:szCs w:val="20"/>
          <w:lang w:eastAsia="en-IN"/>
          <w14:ligatures w14:val="none"/>
        </w:rPr>
        <w:t>% Jeevamruth concentration (T</w:t>
      </w:r>
      <w:r w:rsidR="00681D54">
        <w:rPr>
          <w:rFonts w:ascii="Arial" w:eastAsia="Times New Roman" w:hAnsi="Arial" w:cs="Arial"/>
          <w:kern w:val="0"/>
          <w:sz w:val="20"/>
          <w:szCs w:val="20"/>
          <w:lang w:eastAsia="en-IN"/>
          <w14:ligatures w14:val="none"/>
        </w:rPr>
        <w:t>1</w:t>
      </w:r>
      <w:r w:rsidRPr="007421C2">
        <w:rPr>
          <w:rFonts w:ascii="Arial" w:eastAsia="Times New Roman" w:hAnsi="Arial" w:cs="Arial"/>
          <w:kern w:val="0"/>
          <w:sz w:val="20"/>
          <w:szCs w:val="20"/>
          <w:lang w:eastAsia="en-IN"/>
          <w14:ligatures w14:val="none"/>
        </w:rPr>
        <w:t xml:space="preserve">) consistently produced superior outcomes compared to the control and </w:t>
      </w:r>
      <w:r w:rsidR="00681D54">
        <w:rPr>
          <w:rFonts w:ascii="Arial" w:eastAsia="Times New Roman" w:hAnsi="Arial" w:cs="Arial"/>
          <w:kern w:val="0"/>
          <w:sz w:val="20"/>
          <w:szCs w:val="20"/>
          <w:lang w:eastAsia="en-IN"/>
          <w14:ligatures w14:val="none"/>
        </w:rPr>
        <w:t>1</w:t>
      </w:r>
      <w:r w:rsidRPr="007421C2">
        <w:rPr>
          <w:rFonts w:ascii="Arial" w:eastAsia="Times New Roman" w:hAnsi="Arial" w:cs="Arial"/>
          <w:kern w:val="0"/>
          <w:sz w:val="20"/>
          <w:szCs w:val="20"/>
          <w:lang w:eastAsia="en-IN"/>
          <w14:ligatures w14:val="none"/>
        </w:rPr>
        <w:t>% group (T</w:t>
      </w:r>
      <w:r w:rsidR="00681D54">
        <w:rPr>
          <w:rFonts w:ascii="Arial" w:eastAsia="Times New Roman" w:hAnsi="Arial" w:cs="Arial"/>
          <w:kern w:val="0"/>
          <w:sz w:val="20"/>
          <w:szCs w:val="20"/>
          <w:lang w:eastAsia="en-IN"/>
          <w14:ligatures w14:val="none"/>
        </w:rPr>
        <w:t>2</w:t>
      </w:r>
      <w:r w:rsidRPr="007421C2">
        <w:rPr>
          <w:rFonts w:ascii="Arial" w:eastAsia="Times New Roman" w:hAnsi="Arial" w:cs="Arial"/>
          <w:kern w:val="0"/>
          <w:sz w:val="20"/>
          <w:szCs w:val="20"/>
          <w:lang w:eastAsia="en-IN"/>
          <w14:ligatures w14:val="none"/>
        </w:rPr>
        <w:t xml:space="preserve">). The enhanced pH stability, reduced ammonia and nitrite concentrations, and increased TDS and conductivity values reflect active microbial metabolism and effective nutrient recycling.Fish cultured under </w:t>
      </w:r>
      <w:r w:rsidR="00681D54">
        <w:rPr>
          <w:rFonts w:ascii="Arial" w:eastAsia="Times New Roman" w:hAnsi="Arial" w:cs="Arial"/>
          <w:kern w:val="0"/>
          <w:sz w:val="20"/>
          <w:szCs w:val="20"/>
          <w:lang w:eastAsia="en-IN"/>
          <w14:ligatures w14:val="none"/>
        </w:rPr>
        <w:t>0.5</w:t>
      </w:r>
      <w:r w:rsidRPr="007421C2">
        <w:rPr>
          <w:rFonts w:ascii="Arial" w:eastAsia="Times New Roman" w:hAnsi="Arial" w:cs="Arial"/>
          <w:kern w:val="0"/>
          <w:sz w:val="20"/>
          <w:szCs w:val="20"/>
          <w:lang w:eastAsia="en-IN"/>
          <w14:ligatures w14:val="none"/>
        </w:rPr>
        <w:t xml:space="preserve">% Jeevamruth exhibited higher final weight, specific growth rate, feed conversion efficiency, and protein and lipid utilization, indicating improved feed assimilation and overall metabolic performance. Similarly, </w:t>
      </w:r>
      <w:r w:rsidRPr="007421C2">
        <w:rPr>
          <w:rFonts w:ascii="Arial" w:eastAsia="Times New Roman" w:hAnsi="Arial" w:cs="Arial"/>
          <w:i/>
          <w:iCs/>
          <w:kern w:val="0"/>
          <w:sz w:val="20"/>
          <w:szCs w:val="20"/>
          <w:lang w:eastAsia="en-IN"/>
          <w14:ligatures w14:val="none"/>
        </w:rPr>
        <w:t>Cyamopsis tetragonoloba</w:t>
      </w:r>
      <w:r w:rsidRPr="007421C2">
        <w:rPr>
          <w:rFonts w:ascii="Arial" w:eastAsia="Times New Roman" w:hAnsi="Arial" w:cs="Arial"/>
          <w:kern w:val="0"/>
          <w:sz w:val="20"/>
          <w:szCs w:val="20"/>
          <w:lang w:eastAsia="en-IN"/>
          <w14:ligatures w14:val="none"/>
        </w:rPr>
        <w:t xml:space="preserve"> irrigated with Jeevamruth-enriched effluent showed greater height, biomass, and growth rate, confirming the dual benefits of microbial inoculation for aquaculture and plant systems.</w:t>
      </w:r>
      <w:r w:rsidR="006078DB">
        <w:rPr>
          <w:rFonts w:ascii="Arial" w:eastAsia="Times New Roman" w:hAnsi="Arial" w:cs="Arial"/>
          <w:kern w:val="0"/>
          <w:sz w:val="20"/>
          <w:szCs w:val="20"/>
          <w:lang w:eastAsia="en-IN"/>
          <w14:ligatures w14:val="none"/>
        </w:rPr>
        <w:t xml:space="preserve"> </w:t>
      </w:r>
      <w:r w:rsidRPr="007421C2">
        <w:rPr>
          <w:rFonts w:ascii="Arial" w:eastAsia="Times New Roman" w:hAnsi="Arial" w:cs="Arial"/>
          <w:kern w:val="0"/>
          <w:sz w:val="20"/>
          <w:szCs w:val="20"/>
          <w:lang w:eastAsia="en-IN"/>
          <w14:ligatures w14:val="none"/>
        </w:rPr>
        <w:t xml:space="preserve">the integration of </w:t>
      </w:r>
      <w:r w:rsidR="007E2527">
        <w:rPr>
          <w:rFonts w:ascii="Arial" w:eastAsia="Times New Roman" w:hAnsi="Arial" w:cs="Arial"/>
          <w:kern w:val="0"/>
          <w:sz w:val="20"/>
          <w:szCs w:val="20"/>
          <w:lang w:eastAsia="en-IN"/>
          <w14:ligatures w14:val="none"/>
        </w:rPr>
        <w:t>0.5</w:t>
      </w:r>
      <w:r w:rsidRPr="007421C2">
        <w:rPr>
          <w:rFonts w:ascii="Arial" w:eastAsia="Times New Roman" w:hAnsi="Arial" w:cs="Arial"/>
          <w:kern w:val="0"/>
          <w:sz w:val="20"/>
          <w:szCs w:val="20"/>
          <w:lang w:eastAsia="en-IN"/>
          <w14:ligatures w14:val="none"/>
        </w:rPr>
        <w:t>% Jeevamruth effectively enhanced water stability, nutrient utilization, and growth performance across components, proving its potential as a natural, eco-friendly biostimulant for sustainable and low-cost integrated farming models.</w:t>
      </w:r>
    </w:p>
    <w:p w14:paraId="2F27A2D3" w14:textId="77777777" w:rsidR="00246111" w:rsidRDefault="00246111" w:rsidP="006078DB">
      <w:pPr>
        <w:spacing w:before="100" w:beforeAutospacing="1" w:after="100" w:afterAutospacing="1" w:line="276" w:lineRule="auto"/>
        <w:ind w:firstLine="720"/>
        <w:jc w:val="both"/>
        <w:rPr>
          <w:rFonts w:ascii="Arial" w:eastAsia="Times New Roman" w:hAnsi="Arial" w:cs="Arial"/>
          <w:kern w:val="0"/>
          <w:sz w:val="20"/>
          <w:szCs w:val="20"/>
          <w:lang w:eastAsia="en-IN"/>
          <w14:ligatures w14:val="none"/>
        </w:rPr>
      </w:pPr>
    </w:p>
    <w:p w14:paraId="7484DD20" w14:textId="77777777" w:rsidR="00246111" w:rsidRPr="00246111" w:rsidRDefault="00246111" w:rsidP="00246111">
      <w:pPr>
        <w:spacing w:after="200" w:line="276" w:lineRule="auto"/>
        <w:rPr>
          <w:rFonts w:ascii="Arial" w:eastAsia="Times New Roman" w:hAnsi="Arial" w:cs="Arial"/>
          <w:b/>
          <w:bCs/>
          <w:kern w:val="0"/>
          <w:sz w:val="22"/>
          <w:szCs w:val="22"/>
          <w:lang w:val="en-GB" w:eastAsia="en-GB" w:bidi="ar-SA"/>
          <w14:ligatures w14:val="none"/>
        </w:rPr>
      </w:pPr>
      <w:r w:rsidRPr="00246111">
        <w:rPr>
          <w:rFonts w:ascii="Arial" w:eastAsia="Times New Roman" w:hAnsi="Arial" w:cs="Arial"/>
          <w:b/>
          <w:bCs/>
          <w:kern w:val="0"/>
          <w:sz w:val="22"/>
          <w:szCs w:val="22"/>
          <w:lang w:val="en-GB" w:eastAsia="en-GB" w:bidi="ar-SA"/>
          <w14:ligatures w14:val="none"/>
        </w:rPr>
        <w:t>COMPETING INTERESTS DISCLAIMER:</w:t>
      </w:r>
    </w:p>
    <w:p w14:paraId="28240BB0" w14:textId="77777777" w:rsidR="00246111" w:rsidRPr="00246111" w:rsidRDefault="00246111" w:rsidP="00246111">
      <w:pPr>
        <w:spacing w:after="200" w:line="276" w:lineRule="auto"/>
        <w:rPr>
          <w:rFonts w:ascii="Calibri" w:eastAsia="Times New Roman" w:hAnsi="Calibri" w:cs="Times New Roman"/>
          <w:kern w:val="0"/>
          <w:sz w:val="22"/>
          <w:szCs w:val="22"/>
          <w:lang w:val="en-GB" w:eastAsia="en-GB" w:bidi="ar-SA"/>
          <w14:ligatures w14:val="none"/>
        </w:rPr>
      </w:pPr>
      <w:r w:rsidRPr="00246111">
        <w:rPr>
          <w:rFonts w:ascii="Arial" w:eastAsia="Times New Roman" w:hAnsi="Arial" w:cs="Arial"/>
          <w:kern w:val="0"/>
          <w:sz w:val="22"/>
          <w:szCs w:val="22"/>
          <w:lang w:val="en-GB" w:eastAsia="en-GB" w:bidi="ar-SA"/>
          <w14:ligatures w14:val="none"/>
        </w:rPr>
        <w:t>Authors have declared that they have no known competing financial interests OR non-financial interests OR personal relationships that could have appeared to influence the work reported in this paper.</w:t>
      </w:r>
    </w:p>
    <w:p w14:paraId="6B479308" w14:textId="75417FED" w:rsidR="00246111" w:rsidRPr="007421C2" w:rsidRDefault="00246111" w:rsidP="006078DB">
      <w:pPr>
        <w:spacing w:before="100" w:beforeAutospacing="1" w:after="100" w:afterAutospacing="1" w:line="276" w:lineRule="auto"/>
        <w:ind w:firstLine="720"/>
        <w:jc w:val="both"/>
        <w:rPr>
          <w:rFonts w:ascii="Arial" w:eastAsia="Times New Roman" w:hAnsi="Arial" w:cs="Arial"/>
          <w:kern w:val="0"/>
          <w:sz w:val="20"/>
          <w:szCs w:val="20"/>
          <w:lang w:eastAsia="en-IN"/>
          <w14:ligatures w14:val="none"/>
        </w:rPr>
        <w:sectPr w:rsidR="00246111" w:rsidRPr="007421C2" w:rsidSect="006078DB">
          <w:type w:val="continuous"/>
          <w:pgSz w:w="11906" w:h="16838"/>
          <w:pgMar w:top="1440" w:right="1440" w:bottom="1440" w:left="144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pPr>
    </w:p>
    <w:p w14:paraId="23FE3911" w14:textId="4B534667" w:rsidR="005700F7" w:rsidRPr="00206E48" w:rsidRDefault="00A53A15" w:rsidP="005700F7">
      <w:pPr>
        <w:rPr>
          <w:rFonts w:ascii="Arial" w:hAnsi="Arial" w:cs="Arial"/>
          <w:b/>
          <w:bCs/>
          <w:sz w:val="22"/>
          <w:szCs w:val="22"/>
        </w:rPr>
      </w:pPr>
      <w:r w:rsidRPr="00206E48">
        <w:rPr>
          <w:rFonts w:ascii="Arial" w:hAnsi="Arial" w:cs="Arial"/>
          <w:b/>
          <w:bCs/>
          <w:sz w:val="22"/>
          <w:szCs w:val="22"/>
        </w:rPr>
        <w:t>REFERENCES</w:t>
      </w:r>
    </w:p>
    <w:p w14:paraId="4C680AA5" w14:textId="2BDE3C42" w:rsidR="00747AC9" w:rsidRDefault="00747AC9" w:rsidP="00747AC9">
      <w:pPr>
        <w:spacing w:after="0" w:line="240" w:lineRule="auto"/>
        <w:ind w:left="426" w:hanging="426"/>
        <w:jc w:val="both"/>
        <w:rPr>
          <w:rFonts w:ascii="Times New Roman" w:hAnsi="Times New Roman" w:cs="Times New Roman"/>
          <w:sz w:val="20"/>
          <w:szCs w:val="20"/>
        </w:rPr>
      </w:pPr>
      <w:r w:rsidRPr="0073335E">
        <w:rPr>
          <w:rFonts w:ascii="Times New Roman" w:hAnsi="Times New Roman" w:cs="Times New Roman"/>
          <w:sz w:val="20"/>
          <w:szCs w:val="20"/>
        </w:rPr>
        <w:t xml:space="preserve">Al-Sayegh, S. Y., Rosas, V. T., Vethamony, P., Kasan, N. A., Liew, H. J., Ikhwanuddin, M., Disi, Z. a. A., Elsayed, H., &amp; Al-Khayat, J. A. (2024). Maturation of the biofloc system in Penaeus vannamei culture under different salinities and its effects on the microbial communities. </w:t>
      </w:r>
      <w:r w:rsidRPr="0073335E">
        <w:rPr>
          <w:rFonts w:ascii="Times New Roman" w:hAnsi="Times New Roman" w:cs="Times New Roman"/>
          <w:i/>
          <w:iCs/>
          <w:sz w:val="20"/>
          <w:szCs w:val="20"/>
        </w:rPr>
        <w:t>Aquaculture Reports</w:t>
      </w:r>
      <w:r w:rsidRPr="0073335E">
        <w:rPr>
          <w:rFonts w:ascii="Times New Roman" w:hAnsi="Times New Roman" w:cs="Times New Roman"/>
          <w:sz w:val="20"/>
          <w:szCs w:val="20"/>
        </w:rPr>
        <w:t xml:space="preserve">, </w:t>
      </w:r>
      <w:r w:rsidRPr="0073335E">
        <w:rPr>
          <w:rFonts w:ascii="Times New Roman" w:hAnsi="Times New Roman" w:cs="Times New Roman"/>
          <w:i/>
          <w:iCs/>
          <w:sz w:val="20"/>
          <w:szCs w:val="20"/>
        </w:rPr>
        <w:t>40</w:t>
      </w:r>
      <w:r w:rsidRPr="0073335E">
        <w:rPr>
          <w:rFonts w:ascii="Times New Roman" w:hAnsi="Times New Roman" w:cs="Times New Roman"/>
          <w:sz w:val="20"/>
          <w:szCs w:val="20"/>
        </w:rPr>
        <w:t xml:space="preserve">, 102568. </w:t>
      </w:r>
      <w:hyperlink r:id="rId35" w:history="1">
        <w:r w:rsidR="00EA44DB" w:rsidRPr="00205E0D">
          <w:rPr>
            <w:rStyle w:val="Hipervnculo"/>
            <w:rFonts w:ascii="Times New Roman" w:hAnsi="Times New Roman" w:cs="Times New Roman"/>
            <w:sz w:val="20"/>
            <w:szCs w:val="20"/>
          </w:rPr>
          <w:t>https://doi.org/10.1016/j.aqrep.2024.102568</w:t>
        </w:r>
      </w:hyperlink>
    </w:p>
    <w:p w14:paraId="283F44D4" w14:textId="3CA98AB6" w:rsidR="00EA44DB" w:rsidRPr="0073335E" w:rsidRDefault="00EA44DB" w:rsidP="00747AC9">
      <w:pPr>
        <w:spacing w:after="0" w:line="240" w:lineRule="auto"/>
        <w:ind w:left="426" w:hanging="426"/>
        <w:jc w:val="both"/>
        <w:rPr>
          <w:rFonts w:ascii="Times New Roman" w:hAnsi="Times New Roman" w:cs="Times New Roman"/>
          <w:sz w:val="20"/>
          <w:szCs w:val="20"/>
        </w:rPr>
      </w:pPr>
      <w:r w:rsidRPr="00EA44DB">
        <w:rPr>
          <w:rFonts w:ascii="Times New Roman" w:hAnsi="Times New Roman" w:cs="Times New Roman"/>
          <w:sz w:val="20"/>
          <w:szCs w:val="20"/>
        </w:rPr>
        <w:t>APHA (1998) Standard Methods for the Examination of Water and Wastewater. 20th Edition, American Public Health Association, American Water Works Association and Water Environmental Federation, Washington DC.</w:t>
      </w:r>
    </w:p>
    <w:p w14:paraId="4E6D28BE" w14:textId="77777777" w:rsidR="00747AC9" w:rsidRPr="0073335E" w:rsidRDefault="00747AC9" w:rsidP="009E30B0">
      <w:pPr>
        <w:pStyle w:val="NormalWeb"/>
        <w:spacing w:before="0" w:beforeAutospacing="0" w:after="0" w:afterAutospacing="0"/>
        <w:ind w:left="720" w:hanging="720"/>
        <w:jc w:val="both"/>
        <w:rPr>
          <w:sz w:val="20"/>
          <w:szCs w:val="20"/>
        </w:rPr>
      </w:pPr>
      <w:r w:rsidRPr="0073335E">
        <w:rPr>
          <w:sz w:val="20"/>
          <w:szCs w:val="20"/>
        </w:rPr>
        <w:t xml:space="preserve">Bhavan K. (2025). </w:t>
      </w:r>
      <w:r w:rsidRPr="0073335E">
        <w:rPr>
          <w:i/>
          <w:iCs/>
          <w:sz w:val="20"/>
          <w:szCs w:val="20"/>
        </w:rPr>
        <w:t>Technical Manual on Natural Farming.</w:t>
      </w:r>
      <w:r w:rsidRPr="0073335E">
        <w:rPr>
          <w:sz w:val="20"/>
          <w:szCs w:val="20"/>
        </w:rPr>
        <w:t xml:space="preserve"> NMNF Research India. </w:t>
      </w:r>
      <w:hyperlink r:id="rId36" w:history="1">
        <w:r w:rsidRPr="0073335E">
          <w:rPr>
            <w:rStyle w:val="Hipervnculo"/>
            <w:sz w:val="20"/>
            <w:szCs w:val="20"/>
          </w:rPr>
          <w:t>https://nmnfresearch.in/3_Technical_Manual_on_Natural_Farming.pdf</w:t>
        </w:r>
      </w:hyperlink>
    </w:p>
    <w:p w14:paraId="4CC0E1D5" w14:textId="77777777" w:rsidR="00747AC9" w:rsidRPr="0073335E" w:rsidRDefault="00747AC9" w:rsidP="009E30B0">
      <w:pPr>
        <w:pStyle w:val="NormalWeb"/>
        <w:spacing w:before="0" w:beforeAutospacing="0" w:after="0" w:afterAutospacing="0"/>
        <w:ind w:left="720" w:hanging="720"/>
        <w:jc w:val="both"/>
        <w:rPr>
          <w:sz w:val="20"/>
          <w:szCs w:val="20"/>
        </w:rPr>
      </w:pPr>
      <w:r w:rsidRPr="0073335E">
        <w:rPr>
          <w:sz w:val="20"/>
          <w:szCs w:val="20"/>
        </w:rPr>
        <w:t xml:space="preserve">Bora N. &amp; Bhuyan A. (2023). </w:t>
      </w:r>
      <w:r w:rsidRPr="0073335E">
        <w:rPr>
          <w:i/>
          <w:iCs/>
          <w:sz w:val="20"/>
          <w:szCs w:val="20"/>
        </w:rPr>
        <w:t>Natural Farming.</w:t>
      </w:r>
      <w:r w:rsidRPr="0073335E">
        <w:rPr>
          <w:sz w:val="20"/>
          <w:szCs w:val="20"/>
        </w:rPr>
        <w:t xml:space="preserve"> ResearchGate. </w:t>
      </w:r>
      <w:hyperlink r:id="rId37" w:history="1">
        <w:r w:rsidRPr="0073335E">
          <w:rPr>
            <w:rStyle w:val="Hipervnculo"/>
            <w:sz w:val="20"/>
            <w:szCs w:val="20"/>
          </w:rPr>
          <w:t>https://www.researchgate.net/publication/371220387_Natural_Farming</w:t>
        </w:r>
      </w:hyperlink>
    </w:p>
    <w:p w14:paraId="1EA475EF" w14:textId="77777777" w:rsidR="00747AC9" w:rsidRDefault="00747AC9" w:rsidP="009E30B0">
      <w:pPr>
        <w:spacing w:after="0" w:line="240" w:lineRule="auto"/>
        <w:ind w:left="426" w:hanging="426"/>
        <w:jc w:val="both"/>
      </w:pPr>
      <w:r w:rsidRPr="0073335E">
        <w:rPr>
          <w:rFonts w:ascii="Times New Roman" w:hAnsi="Times New Roman" w:cs="Times New Roman"/>
          <w:sz w:val="20"/>
          <w:szCs w:val="20"/>
          <w:shd w:val="clear" w:color="auto" w:fill="FFFFFF"/>
        </w:rPr>
        <w:t xml:space="preserve">Boyd, C. E., McNevin, A. A., &amp; Davis, R. P. (2022). The contribution of fisheries and aquaculture to the global protein supply. </w:t>
      </w:r>
      <w:r w:rsidRPr="0073335E">
        <w:rPr>
          <w:rFonts w:ascii="Times New Roman" w:hAnsi="Times New Roman" w:cs="Times New Roman"/>
          <w:i/>
          <w:iCs/>
          <w:sz w:val="20"/>
          <w:szCs w:val="20"/>
          <w:shd w:val="clear" w:color="auto" w:fill="FFFFFF"/>
        </w:rPr>
        <w:t>Food Security</w:t>
      </w:r>
      <w:r w:rsidRPr="0073335E">
        <w:rPr>
          <w:rFonts w:ascii="Times New Roman" w:hAnsi="Times New Roman" w:cs="Times New Roman"/>
          <w:sz w:val="20"/>
          <w:szCs w:val="20"/>
          <w:shd w:val="clear" w:color="auto" w:fill="FFFFFF"/>
        </w:rPr>
        <w:t xml:space="preserve">, </w:t>
      </w:r>
      <w:r w:rsidRPr="0073335E">
        <w:rPr>
          <w:rFonts w:ascii="Times New Roman" w:hAnsi="Times New Roman" w:cs="Times New Roman"/>
          <w:i/>
          <w:iCs/>
          <w:sz w:val="20"/>
          <w:szCs w:val="20"/>
          <w:shd w:val="clear" w:color="auto" w:fill="FFFFFF"/>
        </w:rPr>
        <w:t>14</w:t>
      </w:r>
      <w:r w:rsidRPr="0073335E">
        <w:rPr>
          <w:rFonts w:ascii="Times New Roman" w:hAnsi="Times New Roman" w:cs="Times New Roman"/>
          <w:sz w:val="20"/>
          <w:szCs w:val="20"/>
          <w:shd w:val="clear" w:color="auto" w:fill="FFFFFF"/>
        </w:rPr>
        <w:t xml:space="preserve">(3), 805-827. </w:t>
      </w:r>
      <w:hyperlink r:id="rId38" w:history="1">
        <w:r w:rsidRPr="0073335E">
          <w:rPr>
            <w:rStyle w:val="Hipervnculo"/>
            <w:rFonts w:ascii="Times New Roman" w:hAnsi="Times New Roman" w:cs="Times New Roman"/>
            <w:sz w:val="20"/>
            <w:szCs w:val="20"/>
            <w:shd w:val="clear" w:color="auto" w:fill="FFFFFF"/>
          </w:rPr>
          <w:t>https://doi.org/10.1007/s12571-021-01246-9</w:t>
        </w:r>
      </w:hyperlink>
    </w:p>
    <w:p w14:paraId="0BB67A71" w14:textId="2485F236" w:rsidR="00601B3E" w:rsidRPr="0073335E" w:rsidRDefault="004576C8" w:rsidP="009E30B0">
      <w:pPr>
        <w:spacing w:after="0" w:line="240" w:lineRule="auto"/>
        <w:ind w:left="426" w:hanging="426"/>
        <w:jc w:val="both"/>
        <w:rPr>
          <w:rFonts w:ascii="Times New Roman" w:hAnsi="Times New Roman" w:cs="Times New Roman"/>
          <w:sz w:val="20"/>
          <w:szCs w:val="20"/>
          <w:shd w:val="clear" w:color="auto" w:fill="FFFFFF"/>
        </w:rPr>
      </w:pPr>
      <w:r w:rsidRPr="004576C8">
        <w:rPr>
          <w:rFonts w:ascii="Times New Roman" w:hAnsi="Times New Roman" w:cs="Times New Roman"/>
          <w:sz w:val="20"/>
          <w:szCs w:val="20"/>
          <w:shd w:val="clear" w:color="auto" w:fill="FFFFFF"/>
        </w:rPr>
        <w:t xml:space="preserve">Boyd, C. E. (2020). </w:t>
      </w:r>
      <w:r w:rsidRPr="004576C8">
        <w:rPr>
          <w:rFonts w:ascii="Times New Roman" w:hAnsi="Times New Roman" w:cs="Times New Roman"/>
          <w:i/>
          <w:iCs/>
          <w:sz w:val="20"/>
          <w:szCs w:val="20"/>
          <w:shd w:val="clear" w:color="auto" w:fill="FFFFFF"/>
        </w:rPr>
        <w:t>Water Quality: An Introduction</w:t>
      </w:r>
      <w:r w:rsidRPr="004576C8">
        <w:rPr>
          <w:rFonts w:ascii="Times New Roman" w:hAnsi="Times New Roman" w:cs="Times New Roman"/>
          <w:sz w:val="20"/>
          <w:szCs w:val="20"/>
          <w:shd w:val="clear" w:color="auto" w:fill="FFFFFF"/>
        </w:rPr>
        <w:t>. Springer Nature, Cham, Switzerland.</w:t>
      </w:r>
      <w:r w:rsidRPr="004576C8">
        <w:rPr>
          <w:rFonts w:ascii="Times New Roman" w:hAnsi="Times New Roman" w:cs="Times New Roman"/>
          <w:sz w:val="20"/>
          <w:szCs w:val="20"/>
          <w:shd w:val="clear" w:color="auto" w:fill="FFFFFF"/>
        </w:rPr>
        <w:br/>
        <w:t>https://doi.org/10.1007/978-3-030-23335-8</w:t>
      </w:r>
    </w:p>
    <w:p w14:paraId="264D053A" w14:textId="77777777" w:rsidR="00747AC9" w:rsidRPr="0073335E" w:rsidRDefault="00747AC9" w:rsidP="009E30B0">
      <w:pPr>
        <w:spacing w:after="0" w:line="240" w:lineRule="auto"/>
        <w:ind w:left="426" w:hanging="426"/>
        <w:jc w:val="both"/>
        <w:rPr>
          <w:rFonts w:ascii="Times New Roman" w:hAnsi="Times New Roman" w:cs="Times New Roman"/>
          <w:sz w:val="20"/>
          <w:szCs w:val="20"/>
          <w:shd w:val="clear" w:color="auto" w:fill="FFFFFF"/>
        </w:rPr>
      </w:pPr>
      <w:r w:rsidRPr="0073335E">
        <w:rPr>
          <w:rFonts w:ascii="Times New Roman" w:hAnsi="Times New Roman" w:cs="Times New Roman"/>
          <w:sz w:val="20"/>
          <w:szCs w:val="20"/>
          <w:shd w:val="clear" w:color="auto" w:fill="FFFFFF"/>
        </w:rPr>
        <w:t xml:space="preserve">Chen, L., Feng, Q., Li, C., Wei, Y., Zhao, Y., Feng, Y., Zheng, H., Li, F., &amp; Li, H. (2017). Impacts of aquaculture wastewater irrigation on soil microbial functional diversity and community structure in arid regions. </w:t>
      </w:r>
      <w:r w:rsidRPr="0073335E">
        <w:rPr>
          <w:rFonts w:ascii="Times New Roman" w:hAnsi="Times New Roman" w:cs="Times New Roman"/>
          <w:i/>
          <w:iCs/>
          <w:sz w:val="20"/>
          <w:szCs w:val="20"/>
          <w:shd w:val="clear" w:color="auto" w:fill="FFFFFF"/>
        </w:rPr>
        <w:t>Scientific Reports</w:t>
      </w:r>
      <w:r w:rsidRPr="0073335E">
        <w:rPr>
          <w:rFonts w:ascii="Times New Roman" w:hAnsi="Times New Roman" w:cs="Times New Roman"/>
          <w:sz w:val="20"/>
          <w:szCs w:val="20"/>
          <w:shd w:val="clear" w:color="auto" w:fill="FFFFFF"/>
        </w:rPr>
        <w:t xml:space="preserve">, </w:t>
      </w:r>
      <w:r w:rsidRPr="0073335E">
        <w:rPr>
          <w:rFonts w:ascii="Times New Roman" w:hAnsi="Times New Roman" w:cs="Times New Roman"/>
          <w:i/>
          <w:iCs/>
          <w:sz w:val="20"/>
          <w:szCs w:val="20"/>
          <w:shd w:val="clear" w:color="auto" w:fill="FFFFFF"/>
        </w:rPr>
        <w:t>7</w:t>
      </w:r>
      <w:r w:rsidRPr="0073335E">
        <w:rPr>
          <w:rFonts w:ascii="Times New Roman" w:hAnsi="Times New Roman" w:cs="Times New Roman"/>
          <w:sz w:val="20"/>
          <w:szCs w:val="20"/>
          <w:shd w:val="clear" w:color="auto" w:fill="FFFFFF"/>
        </w:rPr>
        <w:t xml:space="preserve">(1). </w:t>
      </w:r>
      <w:hyperlink r:id="rId39" w:history="1">
        <w:r w:rsidRPr="0073335E">
          <w:rPr>
            <w:rStyle w:val="Hipervnculo"/>
            <w:rFonts w:ascii="Times New Roman" w:hAnsi="Times New Roman" w:cs="Times New Roman"/>
            <w:sz w:val="20"/>
            <w:szCs w:val="20"/>
            <w:shd w:val="clear" w:color="auto" w:fill="FFFFFF"/>
          </w:rPr>
          <w:t>https://doi.org/10.1038/s41598-017-11678-z</w:t>
        </w:r>
      </w:hyperlink>
    </w:p>
    <w:p w14:paraId="73CE4CC5" w14:textId="77777777" w:rsidR="00747AC9" w:rsidRPr="0073335E" w:rsidRDefault="00747AC9" w:rsidP="00747AC9">
      <w:pPr>
        <w:spacing w:after="0" w:line="240" w:lineRule="auto"/>
        <w:ind w:left="426" w:hanging="426"/>
        <w:jc w:val="both"/>
        <w:rPr>
          <w:rFonts w:ascii="Times New Roman" w:hAnsi="Times New Roman" w:cs="Times New Roman"/>
          <w:sz w:val="20"/>
          <w:szCs w:val="20"/>
          <w:shd w:val="clear" w:color="auto" w:fill="FFFFFF"/>
        </w:rPr>
      </w:pPr>
      <w:r w:rsidRPr="0073335E">
        <w:rPr>
          <w:rFonts w:ascii="Times New Roman" w:hAnsi="Times New Roman" w:cs="Times New Roman"/>
          <w:sz w:val="20"/>
          <w:szCs w:val="20"/>
        </w:rPr>
        <w:lastRenderedPageBreak/>
        <w:t xml:space="preserve">Chen, S., Sun, X., Tian, X., Jiang, W., Dong, X., &amp; Li, L. (2023). Influence of ammonia nitrogen management strategies on microbial communities in biofloc-based aquaculture systems. </w:t>
      </w:r>
      <w:r w:rsidRPr="0073335E">
        <w:rPr>
          <w:rFonts w:ascii="Times New Roman" w:hAnsi="Times New Roman" w:cs="Times New Roman"/>
          <w:i/>
          <w:iCs/>
          <w:sz w:val="20"/>
          <w:szCs w:val="20"/>
        </w:rPr>
        <w:t>The Science of the Total Environment</w:t>
      </w:r>
      <w:r w:rsidRPr="0073335E">
        <w:rPr>
          <w:rFonts w:ascii="Times New Roman" w:hAnsi="Times New Roman" w:cs="Times New Roman"/>
          <w:sz w:val="20"/>
          <w:szCs w:val="20"/>
        </w:rPr>
        <w:t xml:space="preserve">, </w:t>
      </w:r>
      <w:r w:rsidRPr="0073335E">
        <w:rPr>
          <w:rFonts w:ascii="Times New Roman" w:hAnsi="Times New Roman" w:cs="Times New Roman"/>
          <w:i/>
          <w:iCs/>
          <w:sz w:val="20"/>
          <w:szCs w:val="20"/>
        </w:rPr>
        <w:t>903</w:t>
      </w:r>
      <w:r w:rsidRPr="0073335E">
        <w:rPr>
          <w:rFonts w:ascii="Times New Roman" w:hAnsi="Times New Roman" w:cs="Times New Roman"/>
          <w:sz w:val="20"/>
          <w:szCs w:val="20"/>
        </w:rPr>
        <w:t>, 166159. https://doi.org/10.1016/j.scitotenv.2023.166159</w:t>
      </w:r>
    </w:p>
    <w:p w14:paraId="4C642571" w14:textId="77777777" w:rsidR="00747AC9" w:rsidRPr="0073335E" w:rsidRDefault="00747AC9" w:rsidP="00747AC9">
      <w:pPr>
        <w:spacing w:after="0" w:line="240" w:lineRule="auto"/>
        <w:ind w:left="426" w:hanging="426"/>
        <w:jc w:val="both"/>
        <w:rPr>
          <w:rFonts w:ascii="Times New Roman" w:hAnsi="Times New Roman" w:cs="Times New Roman"/>
          <w:sz w:val="20"/>
          <w:szCs w:val="20"/>
          <w:shd w:val="clear" w:color="auto" w:fill="FFFFFF"/>
        </w:rPr>
      </w:pPr>
      <w:r w:rsidRPr="0073335E">
        <w:rPr>
          <w:rFonts w:ascii="Times New Roman" w:hAnsi="Times New Roman" w:cs="Times New Roman"/>
          <w:sz w:val="20"/>
          <w:szCs w:val="20"/>
        </w:rPr>
        <w:t xml:space="preserve">Chudasama, R. V., Solanki, H. G., &amp; Joshi, N. H. (2024). Strategic Planning for Biofloc Technology in Tilapia Culture: A Pathway to Sustainable Food Security. In </w:t>
      </w:r>
      <w:r w:rsidRPr="0073335E">
        <w:rPr>
          <w:rFonts w:ascii="Times New Roman" w:hAnsi="Times New Roman" w:cs="Times New Roman"/>
          <w:i/>
          <w:iCs/>
          <w:sz w:val="20"/>
          <w:szCs w:val="20"/>
        </w:rPr>
        <w:t>Food Security, Nutrition and Sustainability Through Aquaculture Technologies</w:t>
      </w:r>
      <w:r w:rsidRPr="0073335E">
        <w:rPr>
          <w:rFonts w:ascii="Times New Roman" w:hAnsi="Times New Roman" w:cs="Times New Roman"/>
          <w:sz w:val="20"/>
          <w:szCs w:val="20"/>
        </w:rPr>
        <w:t xml:space="preserve"> (pp. 327-343). https://doi.org/10.1007/978-3-031-75830-0_18</w:t>
      </w:r>
    </w:p>
    <w:p w14:paraId="38FD2DE7" w14:textId="77777777" w:rsidR="00747AC9" w:rsidRPr="0073335E" w:rsidRDefault="00747AC9" w:rsidP="00747AC9">
      <w:pPr>
        <w:spacing w:after="0" w:line="240" w:lineRule="auto"/>
        <w:ind w:left="426" w:hanging="426"/>
        <w:jc w:val="both"/>
        <w:rPr>
          <w:rFonts w:ascii="Times New Roman" w:hAnsi="Times New Roman" w:cs="Times New Roman"/>
          <w:sz w:val="20"/>
          <w:szCs w:val="20"/>
          <w:shd w:val="clear" w:color="auto" w:fill="FFFFFF"/>
        </w:rPr>
      </w:pPr>
      <w:r w:rsidRPr="0073335E">
        <w:rPr>
          <w:rFonts w:ascii="Times New Roman" w:hAnsi="Times New Roman" w:cs="Times New Roman"/>
          <w:sz w:val="20"/>
          <w:szCs w:val="20"/>
        </w:rPr>
        <w:t xml:space="preserve">Cuzon, G., Lawrence, A., Gaxiola, G., Rosas, C., &amp; Guillaume, J. (2004). Nutrition of Litopenaeus vannamei reared in tanks or in ponds. </w:t>
      </w:r>
      <w:r w:rsidRPr="0073335E">
        <w:rPr>
          <w:rFonts w:ascii="Times New Roman" w:hAnsi="Times New Roman" w:cs="Times New Roman"/>
          <w:i/>
          <w:iCs/>
          <w:sz w:val="20"/>
          <w:szCs w:val="20"/>
        </w:rPr>
        <w:t>Aquaculture</w:t>
      </w:r>
      <w:r w:rsidRPr="0073335E">
        <w:rPr>
          <w:rFonts w:ascii="Times New Roman" w:hAnsi="Times New Roman" w:cs="Times New Roman"/>
          <w:sz w:val="20"/>
          <w:szCs w:val="20"/>
        </w:rPr>
        <w:t xml:space="preserve">, </w:t>
      </w:r>
      <w:r w:rsidRPr="0073335E">
        <w:rPr>
          <w:rFonts w:ascii="Times New Roman" w:hAnsi="Times New Roman" w:cs="Times New Roman"/>
          <w:i/>
          <w:iCs/>
          <w:sz w:val="20"/>
          <w:szCs w:val="20"/>
        </w:rPr>
        <w:t>235</w:t>
      </w:r>
      <w:r w:rsidRPr="0073335E">
        <w:rPr>
          <w:rFonts w:ascii="Times New Roman" w:hAnsi="Times New Roman" w:cs="Times New Roman"/>
          <w:sz w:val="20"/>
          <w:szCs w:val="20"/>
        </w:rPr>
        <w:t>(1-4), 513-551. https://doi.org/10.1016/j.aquaculture.2003.12.022</w:t>
      </w:r>
    </w:p>
    <w:p w14:paraId="63D6C631" w14:textId="77777777" w:rsidR="00747AC9" w:rsidRPr="0073335E" w:rsidRDefault="00747AC9" w:rsidP="009E30B0">
      <w:pPr>
        <w:pStyle w:val="NormalWeb"/>
        <w:spacing w:before="0" w:beforeAutospacing="0" w:after="0" w:afterAutospacing="0"/>
        <w:ind w:left="720" w:hanging="720"/>
        <w:jc w:val="both"/>
        <w:rPr>
          <w:sz w:val="20"/>
          <w:szCs w:val="20"/>
        </w:rPr>
      </w:pPr>
      <w:r w:rsidRPr="0073335E">
        <w:rPr>
          <w:sz w:val="20"/>
          <w:szCs w:val="20"/>
        </w:rPr>
        <w:t xml:space="preserve">Das, Anjitha. (2024). 2. Role of Organic and Natural Farming on Environment Conservation and Soil Health. </w:t>
      </w:r>
      <w:hyperlink r:id="rId40" w:history="1">
        <w:r w:rsidRPr="0073335E">
          <w:rPr>
            <w:rStyle w:val="Hipervnculo"/>
            <w:sz w:val="20"/>
            <w:szCs w:val="20"/>
          </w:rPr>
          <w:t>https://www.researchgate.net/publication/383359200</w:t>
        </w:r>
      </w:hyperlink>
    </w:p>
    <w:p w14:paraId="417E2662" w14:textId="77777777" w:rsidR="00747AC9" w:rsidRPr="0073335E" w:rsidRDefault="00747AC9" w:rsidP="009E30B0">
      <w:pPr>
        <w:pStyle w:val="NormalWeb"/>
        <w:spacing w:before="0" w:beforeAutospacing="0" w:after="0" w:afterAutospacing="0"/>
        <w:ind w:left="720" w:hanging="720"/>
        <w:jc w:val="both"/>
        <w:rPr>
          <w:rStyle w:val="url"/>
          <w:rFonts w:eastAsiaTheme="majorEastAsia"/>
          <w:sz w:val="20"/>
          <w:szCs w:val="20"/>
        </w:rPr>
      </w:pPr>
      <w:r w:rsidRPr="0073335E">
        <w:rPr>
          <w:sz w:val="20"/>
          <w:szCs w:val="20"/>
        </w:rPr>
        <w:t xml:space="preserve">Edwards, P. (2015). Aquaculture environment interactions: Past, present and likely future trends. </w:t>
      </w:r>
      <w:r w:rsidRPr="0073335E">
        <w:rPr>
          <w:i/>
          <w:iCs/>
          <w:sz w:val="20"/>
          <w:szCs w:val="20"/>
        </w:rPr>
        <w:t>Aquaculture</w:t>
      </w:r>
      <w:r w:rsidRPr="0073335E">
        <w:rPr>
          <w:sz w:val="20"/>
          <w:szCs w:val="20"/>
        </w:rPr>
        <w:t xml:space="preserve">, </w:t>
      </w:r>
      <w:r w:rsidRPr="0073335E">
        <w:rPr>
          <w:i/>
          <w:iCs/>
          <w:sz w:val="20"/>
          <w:szCs w:val="20"/>
        </w:rPr>
        <w:t>447</w:t>
      </w:r>
      <w:r w:rsidRPr="0073335E">
        <w:rPr>
          <w:sz w:val="20"/>
          <w:szCs w:val="20"/>
        </w:rPr>
        <w:t xml:space="preserve">, 2–14. </w:t>
      </w:r>
      <w:hyperlink r:id="rId41" w:history="1">
        <w:r w:rsidRPr="0073335E">
          <w:rPr>
            <w:rStyle w:val="Hipervnculo"/>
            <w:rFonts w:eastAsiaTheme="majorEastAsia"/>
            <w:sz w:val="20"/>
            <w:szCs w:val="20"/>
          </w:rPr>
          <w:t>https://doi.org/10.1016/j.aquaculture.2015.02.001</w:t>
        </w:r>
      </w:hyperlink>
    </w:p>
    <w:p w14:paraId="1F935C9D" w14:textId="77777777" w:rsidR="00747AC9" w:rsidRPr="0073335E" w:rsidRDefault="00747AC9" w:rsidP="009E30B0">
      <w:pPr>
        <w:spacing w:after="0" w:line="240" w:lineRule="auto"/>
        <w:ind w:left="426" w:hanging="426"/>
        <w:jc w:val="both"/>
        <w:rPr>
          <w:rFonts w:ascii="Times New Roman" w:hAnsi="Times New Roman" w:cs="Times New Roman"/>
          <w:sz w:val="20"/>
          <w:szCs w:val="20"/>
          <w:shd w:val="clear" w:color="auto" w:fill="FFFFFF"/>
        </w:rPr>
      </w:pPr>
      <w:r w:rsidRPr="0073335E">
        <w:rPr>
          <w:rFonts w:ascii="Times New Roman" w:hAnsi="Times New Roman" w:cs="Times New Roman"/>
          <w:sz w:val="20"/>
          <w:szCs w:val="20"/>
          <w:shd w:val="clear" w:color="auto" w:fill="FFFFFF"/>
        </w:rPr>
        <w:t xml:space="preserve">Farrant, D. N., Frank, K. L., &amp; Larsen, A. E. (2021). Reuse and recycle: Integrating aquaculture and agricultural systems to increase production and reduce nutrient pollution. </w:t>
      </w:r>
      <w:r w:rsidRPr="0073335E">
        <w:rPr>
          <w:rFonts w:ascii="Times New Roman" w:hAnsi="Times New Roman" w:cs="Times New Roman"/>
          <w:i/>
          <w:iCs/>
          <w:sz w:val="20"/>
          <w:szCs w:val="20"/>
          <w:shd w:val="clear" w:color="auto" w:fill="FFFFFF"/>
        </w:rPr>
        <w:t>The Science of the Total Environment</w:t>
      </w:r>
      <w:r w:rsidRPr="0073335E">
        <w:rPr>
          <w:rFonts w:ascii="Times New Roman" w:hAnsi="Times New Roman" w:cs="Times New Roman"/>
          <w:sz w:val="20"/>
          <w:szCs w:val="20"/>
          <w:shd w:val="clear" w:color="auto" w:fill="FFFFFF"/>
        </w:rPr>
        <w:t xml:space="preserve">, </w:t>
      </w:r>
      <w:r w:rsidRPr="0073335E">
        <w:rPr>
          <w:rFonts w:ascii="Times New Roman" w:hAnsi="Times New Roman" w:cs="Times New Roman"/>
          <w:i/>
          <w:iCs/>
          <w:sz w:val="20"/>
          <w:szCs w:val="20"/>
          <w:shd w:val="clear" w:color="auto" w:fill="FFFFFF"/>
        </w:rPr>
        <w:t>785</w:t>
      </w:r>
      <w:r w:rsidRPr="0073335E">
        <w:rPr>
          <w:rFonts w:ascii="Times New Roman" w:hAnsi="Times New Roman" w:cs="Times New Roman"/>
          <w:sz w:val="20"/>
          <w:szCs w:val="20"/>
          <w:shd w:val="clear" w:color="auto" w:fill="FFFFFF"/>
        </w:rPr>
        <w:t xml:space="preserve">, 146859. </w:t>
      </w:r>
      <w:hyperlink r:id="rId42" w:history="1">
        <w:r w:rsidRPr="0073335E">
          <w:rPr>
            <w:rStyle w:val="Hipervnculo"/>
            <w:rFonts w:ascii="Times New Roman" w:hAnsi="Times New Roman" w:cs="Times New Roman"/>
            <w:sz w:val="20"/>
            <w:szCs w:val="20"/>
            <w:shd w:val="clear" w:color="auto" w:fill="FFFFFF"/>
          </w:rPr>
          <w:t>https://doi.org/10.1016/j.scitotenv.2021.146859</w:t>
        </w:r>
      </w:hyperlink>
    </w:p>
    <w:p w14:paraId="7354B2CC" w14:textId="77777777" w:rsidR="00747AC9" w:rsidRPr="0073335E" w:rsidRDefault="00747AC9" w:rsidP="00747AC9">
      <w:pPr>
        <w:spacing w:after="0" w:line="240" w:lineRule="auto"/>
        <w:ind w:left="426" w:hanging="426"/>
        <w:jc w:val="both"/>
        <w:rPr>
          <w:rFonts w:ascii="Times New Roman" w:hAnsi="Times New Roman" w:cs="Times New Roman"/>
          <w:sz w:val="20"/>
          <w:szCs w:val="20"/>
          <w:shd w:val="clear" w:color="auto" w:fill="FFFFFF"/>
        </w:rPr>
      </w:pPr>
      <w:r w:rsidRPr="0073335E">
        <w:rPr>
          <w:rFonts w:ascii="Times New Roman" w:hAnsi="Times New Roman" w:cs="Times New Roman"/>
          <w:sz w:val="20"/>
          <w:szCs w:val="20"/>
        </w:rPr>
        <w:t xml:space="preserve">Fimbres‐Acedo, Y. E., Servín‐Villegas, R., Garza‐Torres, R., Endo, M., Fitzsimmons, K. M., Emerenciano, M. G., Magallón‐Servín, P., López‐Vela, M., &amp; Magallón‐Barajas, F. J. (2020). Hydroponic horticulture using residual waters fromOreochromis niloticusaquaculture with biofloc technology in photoautotrophic conditions withChlorellamicroalgae. </w:t>
      </w:r>
      <w:r w:rsidRPr="0073335E">
        <w:rPr>
          <w:rFonts w:ascii="Times New Roman" w:hAnsi="Times New Roman" w:cs="Times New Roman"/>
          <w:i/>
          <w:iCs/>
          <w:sz w:val="20"/>
          <w:szCs w:val="20"/>
        </w:rPr>
        <w:t>Aquaculture Research</w:t>
      </w:r>
      <w:r w:rsidRPr="0073335E">
        <w:rPr>
          <w:rFonts w:ascii="Times New Roman" w:hAnsi="Times New Roman" w:cs="Times New Roman"/>
          <w:sz w:val="20"/>
          <w:szCs w:val="20"/>
        </w:rPr>
        <w:t xml:space="preserve">, </w:t>
      </w:r>
      <w:r w:rsidRPr="0073335E">
        <w:rPr>
          <w:rFonts w:ascii="Times New Roman" w:hAnsi="Times New Roman" w:cs="Times New Roman"/>
          <w:i/>
          <w:iCs/>
          <w:sz w:val="20"/>
          <w:szCs w:val="20"/>
        </w:rPr>
        <w:t>51</w:t>
      </w:r>
      <w:r w:rsidRPr="0073335E">
        <w:rPr>
          <w:rFonts w:ascii="Times New Roman" w:hAnsi="Times New Roman" w:cs="Times New Roman"/>
          <w:sz w:val="20"/>
          <w:szCs w:val="20"/>
        </w:rPr>
        <w:t>(10), 4340-4360. https://doi.org/10.1111/are.14779</w:t>
      </w:r>
    </w:p>
    <w:p w14:paraId="135C2C0E" w14:textId="77777777" w:rsidR="00747AC9" w:rsidRPr="0073335E" w:rsidRDefault="00747AC9" w:rsidP="009E30B0">
      <w:pPr>
        <w:pStyle w:val="NormalWeb"/>
        <w:spacing w:before="0" w:beforeAutospacing="0" w:after="0" w:afterAutospacing="0"/>
        <w:ind w:left="720" w:hanging="720"/>
        <w:jc w:val="both"/>
        <w:rPr>
          <w:sz w:val="20"/>
          <w:szCs w:val="20"/>
        </w:rPr>
      </w:pPr>
      <w:r w:rsidRPr="0073335E">
        <w:rPr>
          <w:sz w:val="20"/>
          <w:szCs w:val="20"/>
        </w:rPr>
        <w:t xml:space="preserve">Gunavijayan, Gayathry &amp; Natarajan, Kaliyaperumal &amp; M P, Sugumaran &amp; Jayakumar, Jeganaathan. (2025). Scientific Perspectives of Natural Farming. </w:t>
      </w:r>
      <w:hyperlink r:id="rId43" w:tgtFrame="_new" w:history="1">
        <w:r w:rsidRPr="0073335E">
          <w:rPr>
            <w:rStyle w:val="Hipervnculo"/>
            <w:sz w:val="20"/>
            <w:szCs w:val="20"/>
          </w:rPr>
          <w:t>https://www.researchgate.net/publication/387600705_Scientific_Perspectives_of_Natural_Farming</w:t>
        </w:r>
      </w:hyperlink>
    </w:p>
    <w:p w14:paraId="5212D6F2" w14:textId="77777777" w:rsidR="00747AC9" w:rsidRPr="0073335E" w:rsidRDefault="00747AC9" w:rsidP="00747AC9">
      <w:pPr>
        <w:spacing w:after="0" w:line="240" w:lineRule="auto"/>
        <w:ind w:left="426" w:hanging="426"/>
        <w:jc w:val="both"/>
        <w:rPr>
          <w:rFonts w:ascii="Times New Roman" w:hAnsi="Times New Roman" w:cs="Times New Roman"/>
          <w:sz w:val="20"/>
          <w:szCs w:val="20"/>
          <w:shd w:val="clear" w:color="auto" w:fill="FFFFFF"/>
        </w:rPr>
      </w:pPr>
      <w:r w:rsidRPr="0073335E">
        <w:rPr>
          <w:rFonts w:ascii="Times New Roman" w:hAnsi="Times New Roman" w:cs="Times New Roman"/>
          <w:sz w:val="20"/>
          <w:szCs w:val="20"/>
          <w:shd w:val="clear" w:color="auto" w:fill="FFFFFF"/>
        </w:rPr>
        <w:t xml:space="preserve">Kumar, V. S., Pandey, P., Anand, T., Bhuvaneswari, G. R., Dhinakaran, A., &amp; Kumar, S. (2018). Biofloc improves water, effluent quality and growth parameters of Penaeus vannamei in an intensive culture system. </w:t>
      </w:r>
      <w:r w:rsidRPr="0073335E">
        <w:rPr>
          <w:rFonts w:ascii="Times New Roman" w:hAnsi="Times New Roman" w:cs="Times New Roman"/>
          <w:i/>
          <w:iCs/>
          <w:sz w:val="20"/>
          <w:szCs w:val="20"/>
          <w:shd w:val="clear" w:color="auto" w:fill="FFFFFF"/>
        </w:rPr>
        <w:t>Journal of Environmental Management</w:t>
      </w:r>
      <w:r w:rsidRPr="0073335E">
        <w:rPr>
          <w:rFonts w:ascii="Times New Roman" w:hAnsi="Times New Roman" w:cs="Times New Roman"/>
          <w:sz w:val="20"/>
          <w:szCs w:val="20"/>
          <w:shd w:val="clear" w:color="auto" w:fill="FFFFFF"/>
        </w:rPr>
        <w:t xml:space="preserve">, </w:t>
      </w:r>
      <w:r w:rsidRPr="0073335E">
        <w:rPr>
          <w:rFonts w:ascii="Times New Roman" w:hAnsi="Times New Roman" w:cs="Times New Roman"/>
          <w:i/>
          <w:iCs/>
          <w:sz w:val="20"/>
          <w:szCs w:val="20"/>
          <w:shd w:val="clear" w:color="auto" w:fill="FFFFFF"/>
        </w:rPr>
        <w:t>215</w:t>
      </w:r>
      <w:r w:rsidRPr="0073335E">
        <w:rPr>
          <w:rFonts w:ascii="Times New Roman" w:hAnsi="Times New Roman" w:cs="Times New Roman"/>
          <w:sz w:val="20"/>
          <w:szCs w:val="20"/>
          <w:shd w:val="clear" w:color="auto" w:fill="FFFFFF"/>
        </w:rPr>
        <w:t>, 206-215. https://doi.org/10.1016/j.jenvman.2018.03.015</w:t>
      </w:r>
    </w:p>
    <w:p w14:paraId="37CCF528" w14:textId="77777777" w:rsidR="00747AC9" w:rsidRPr="0073335E" w:rsidRDefault="00747AC9" w:rsidP="009E30B0">
      <w:pPr>
        <w:pStyle w:val="NormalWeb"/>
        <w:spacing w:before="0" w:beforeAutospacing="0" w:after="0" w:afterAutospacing="0"/>
        <w:ind w:left="720" w:hanging="720"/>
        <w:jc w:val="both"/>
        <w:rPr>
          <w:sz w:val="20"/>
          <w:szCs w:val="20"/>
        </w:rPr>
      </w:pPr>
      <w:r w:rsidRPr="0073335E">
        <w:rPr>
          <w:sz w:val="20"/>
          <w:szCs w:val="20"/>
        </w:rPr>
        <w:t xml:space="preserve">Kumari, P., Sagar, S., Akriti, N., Rana, P., Mahajan, R., Bala, J., Chauhan, R., Kumar, R., &amp; Walia, A. (2024). Organic and natural farming to boost soil immunity. In </w:t>
      </w:r>
      <w:r w:rsidRPr="0073335E">
        <w:rPr>
          <w:i/>
          <w:iCs/>
          <w:sz w:val="20"/>
          <w:szCs w:val="20"/>
        </w:rPr>
        <w:t>Microorganisms for sustainability</w:t>
      </w:r>
      <w:r w:rsidRPr="0073335E">
        <w:rPr>
          <w:sz w:val="20"/>
          <w:szCs w:val="20"/>
        </w:rPr>
        <w:t xml:space="preserve"> (pp. 249–293). </w:t>
      </w:r>
      <w:hyperlink r:id="rId44" w:history="1">
        <w:r w:rsidRPr="0073335E">
          <w:rPr>
            <w:rStyle w:val="Hipervnculo"/>
            <w:sz w:val="20"/>
            <w:szCs w:val="20"/>
          </w:rPr>
          <w:t>https://doi.org/10.1007/978-981-99-9482-3_12</w:t>
        </w:r>
      </w:hyperlink>
    </w:p>
    <w:p w14:paraId="4CE5C0F1" w14:textId="77777777" w:rsidR="00747AC9" w:rsidRPr="0073335E" w:rsidRDefault="00747AC9" w:rsidP="00747AC9">
      <w:pPr>
        <w:spacing w:after="0" w:line="240" w:lineRule="auto"/>
        <w:ind w:left="426" w:hanging="426"/>
        <w:jc w:val="both"/>
        <w:rPr>
          <w:rFonts w:ascii="Times New Roman" w:hAnsi="Times New Roman" w:cs="Times New Roman"/>
          <w:sz w:val="20"/>
          <w:szCs w:val="20"/>
          <w:shd w:val="clear" w:color="auto" w:fill="FFFFFF"/>
        </w:rPr>
      </w:pPr>
      <w:r w:rsidRPr="0073335E">
        <w:rPr>
          <w:rFonts w:ascii="Times New Roman" w:hAnsi="Times New Roman" w:cs="Times New Roman"/>
          <w:sz w:val="20"/>
          <w:szCs w:val="20"/>
        </w:rPr>
        <w:t xml:space="preserve">Liu, H., Li, H., Wei, H., Zhu, X., Han, D., Jin, J., Yang, Y., &amp; Xie, S. (2019). Biofloc formation improves water quality and fish yield in a freshwater pond aquaculture system. </w:t>
      </w:r>
      <w:r w:rsidRPr="0073335E">
        <w:rPr>
          <w:rFonts w:ascii="Times New Roman" w:hAnsi="Times New Roman" w:cs="Times New Roman"/>
          <w:i/>
          <w:iCs/>
          <w:sz w:val="20"/>
          <w:szCs w:val="20"/>
        </w:rPr>
        <w:t>Aquaculture</w:t>
      </w:r>
      <w:r w:rsidRPr="0073335E">
        <w:rPr>
          <w:rFonts w:ascii="Times New Roman" w:hAnsi="Times New Roman" w:cs="Times New Roman"/>
          <w:sz w:val="20"/>
          <w:szCs w:val="20"/>
        </w:rPr>
        <w:t xml:space="preserve">, </w:t>
      </w:r>
      <w:r w:rsidRPr="0073335E">
        <w:rPr>
          <w:rFonts w:ascii="Times New Roman" w:hAnsi="Times New Roman" w:cs="Times New Roman"/>
          <w:i/>
          <w:iCs/>
          <w:sz w:val="20"/>
          <w:szCs w:val="20"/>
        </w:rPr>
        <w:t>506</w:t>
      </w:r>
      <w:r w:rsidRPr="0073335E">
        <w:rPr>
          <w:rFonts w:ascii="Times New Roman" w:hAnsi="Times New Roman" w:cs="Times New Roman"/>
          <w:sz w:val="20"/>
          <w:szCs w:val="20"/>
        </w:rPr>
        <w:t>, 256-269. https://doi.org/10.1016/j.aquaculture.2019.03.031</w:t>
      </w:r>
    </w:p>
    <w:p w14:paraId="2527CD59" w14:textId="77777777" w:rsidR="00747AC9" w:rsidRPr="0073335E" w:rsidRDefault="00747AC9" w:rsidP="009E30B0">
      <w:pPr>
        <w:pStyle w:val="NormalWeb"/>
        <w:spacing w:before="0" w:beforeAutospacing="0" w:after="0" w:afterAutospacing="0"/>
        <w:ind w:left="720" w:hanging="720"/>
        <w:jc w:val="both"/>
        <w:rPr>
          <w:rStyle w:val="url"/>
          <w:rFonts w:eastAsiaTheme="majorEastAsia"/>
          <w:sz w:val="20"/>
          <w:szCs w:val="20"/>
        </w:rPr>
      </w:pPr>
      <w:r w:rsidRPr="0073335E">
        <w:rPr>
          <w:sz w:val="20"/>
          <w:szCs w:val="20"/>
        </w:rPr>
        <w:t xml:space="preserve">Mukherjee, S., Gupta, A., Nandi, R., Chakraborty, A., Bhattacharjee, A., Sarkar, S., Ray, K., Tripathi, S., Ravisankar, N., &amp; Chatterjee, G. (2025). Exploring the microbial community dynamics of Jeevamrit reveals the multifaceted roles of the bacillus and pseudomonas genera in nutrient availability and plant growth Promotion in India’s zero budget natural farming. </w:t>
      </w:r>
      <w:r w:rsidRPr="0073335E">
        <w:rPr>
          <w:i/>
          <w:iCs/>
          <w:sz w:val="20"/>
          <w:szCs w:val="20"/>
        </w:rPr>
        <w:t>Journal of Soil Science and Plant Nutrition</w:t>
      </w:r>
      <w:r w:rsidRPr="0073335E">
        <w:rPr>
          <w:sz w:val="20"/>
          <w:szCs w:val="20"/>
        </w:rPr>
        <w:t xml:space="preserve">, </w:t>
      </w:r>
      <w:r w:rsidRPr="0073335E">
        <w:rPr>
          <w:i/>
          <w:iCs/>
          <w:sz w:val="20"/>
          <w:szCs w:val="20"/>
        </w:rPr>
        <w:t>25</w:t>
      </w:r>
      <w:r w:rsidRPr="0073335E">
        <w:rPr>
          <w:sz w:val="20"/>
          <w:szCs w:val="20"/>
        </w:rPr>
        <w:t xml:space="preserve">(3), 5836–5852. </w:t>
      </w:r>
      <w:hyperlink r:id="rId45" w:history="1">
        <w:r w:rsidRPr="0073335E">
          <w:rPr>
            <w:rStyle w:val="Hipervnculo"/>
            <w:rFonts w:eastAsiaTheme="majorEastAsia"/>
            <w:sz w:val="20"/>
            <w:szCs w:val="20"/>
          </w:rPr>
          <w:t>https://doi.org/10.1007/s42729-025-02500-1</w:t>
        </w:r>
      </w:hyperlink>
    </w:p>
    <w:p w14:paraId="02FD831D" w14:textId="77777777" w:rsidR="00747AC9" w:rsidRPr="0073335E" w:rsidRDefault="00747AC9" w:rsidP="009E30B0">
      <w:pPr>
        <w:pStyle w:val="NormalWeb"/>
        <w:spacing w:before="0" w:beforeAutospacing="0" w:after="0" w:afterAutospacing="0"/>
        <w:ind w:left="720" w:hanging="720"/>
        <w:jc w:val="both"/>
        <w:rPr>
          <w:sz w:val="20"/>
          <w:szCs w:val="20"/>
        </w:rPr>
      </w:pPr>
      <w:r w:rsidRPr="0073335E">
        <w:rPr>
          <w:sz w:val="20"/>
          <w:szCs w:val="20"/>
        </w:rPr>
        <w:t xml:space="preserve">Palekar S. (2014). </w:t>
      </w:r>
      <w:r w:rsidRPr="0073335E">
        <w:rPr>
          <w:i/>
          <w:iCs/>
          <w:sz w:val="20"/>
          <w:szCs w:val="20"/>
        </w:rPr>
        <w:t>The Philosophy of Spiritual Farming: Zero Budget Natural Farming.</w:t>
      </w:r>
      <w:r w:rsidRPr="0073335E">
        <w:rPr>
          <w:sz w:val="20"/>
          <w:szCs w:val="20"/>
        </w:rPr>
        <w:t xml:space="preserve"> Subhash Palekar Foundation.</w:t>
      </w:r>
    </w:p>
    <w:p w14:paraId="529B905A" w14:textId="77777777" w:rsidR="00747AC9" w:rsidRPr="0073335E" w:rsidRDefault="00747AC9" w:rsidP="009E30B0">
      <w:pPr>
        <w:pStyle w:val="NormalWeb"/>
        <w:spacing w:before="0" w:beforeAutospacing="0" w:after="0" w:afterAutospacing="0"/>
        <w:ind w:left="720" w:hanging="720"/>
        <w:jc w:val="both"/>
        <w:rPr>
          <w:sz w:val="20"/>
          <w:szCs w:val="20"/>
        </w:rPr>
      </w:pPr>
      <w:r w:rsidRPr="0073335E">
        <w:rPr>
          <w:sz w:val="20"/>
          <w:szCs w:val="20"/>
        </w:rPr>
        <w:t xml:space="preserve">Palm, H. W., Knaus, U., Appelbaum, S., Goddek, S., Strauch, S. M., Vermeulen, T., Jijakli, M. H., &amp; Kotzen, B. (2018). Towards commercial aquaponics: a review of systems, designs, scales and nomenclature. </w:t>
      </w:r>
      <w:r w:rsidRPr="0073335E">
        <w:rPr>
          <w:i/>
          <w:iCs/>
          <w:sz w:val="20"/>
          <w:szCs w:val="20"/>
        </w:rPr>
        <w:t>Aquaculture International</w:t>
      </w:r>
      <w:r w:rsidRPr="0073335E">
        <w:rPr>
          <w:sz w:val="20"/>
          <w:szCs w:val="20"/>
        </w:rPr>
        <w:t xml:space="preserve">, </w:t>
      </w:r>
      <w:r w:rsidRPr="0073335E">
        <w:rPr>
          <w:i/>
          <w:iCs/>
          <w:sz w:val="20"/>
          <w:szCs w:val="20"/>
        </w:rPr>
        <w:t>26</w:t>
      </w:r>
      <w:r w:rsidRPr="0073335E">
        <w:rPr>
          <w:sz w:val="20"/>
          <w:szCs w:val="20"/>
        </w:rPr>
        <w:t xml:space="preserve">(3), 813–842. </w:t>
      </w:r>
      <w:hyperlink r:id="rId46" w:history="1">
        <w:r w:rsidRPr="0073335E">
          <w:rPr>
            <w:rStyle w:val="Hipervnculo"/>
            <w:sz w:val="20"/>
            <w:szCs w:val="20"/>
          </w:rPr>
          <w:t>https://doi.org/10.1007/s10499-018-0249-z</w:t>
        </w:r>
      </w:hyperlink>
    </w:p>
    <w:p w14:paraId="34FDBBF8" w14:textId="77777777" w:rsidR="00747AC9" w:rsidRPr="0073335E" w:rsidRDefault="00747AC9" w:rsidP="009E30B0">
      <w:pPr>
        <w:pStyle w:val="NormalWeb"/>
        <w:spacing w:before="0" w:beforeAutospacing="0" w:after="0" w:afterAutospacing="0"/>
        <w:ind w:left="720" w:hanging="720"/>
        <w:jc w:val="both"/>
        <w:rPr>
          <w:sz w:val="20"/>
          <w:szCs w:val="20"/>
        </w:rPr>
      </w:pPr>
      <w:r w:rsidRPr="0073335E">
        <w:rPr>
          <w:sz w:val="20"/>
          <w:szCs w:val="20"/>
        </w:rPr>
        <w:t xml:space="preserve">Pandey, J., Sharma, I. P., Bind, S., Sharma, S., &amp; Sharma, A. K. (2025). Impact of natural farming inputs and their microbes on the growth, yield and nutrients of French bean (Phaseolus vulgaris L.) under controlled and field conditions. </w:t>
      </w:r>
      <w:r w:rsidRPr="0073335E">
        <w:rPr>
          <w:i/>
          <w:iCs/>
          <w:sz w:val="20"/>
          <w:szCs w:val="20"/>
        </w:rPr>
        <w:t>Organic Agriculture</w:t>
      </w:r>
      <w:r w:rsidRPr="0073335E">
        <w:rPr>
          <w:sz w:val="20"/>
          <w:szCs w:val="20"/>
        </w:rPr>
        <w:t xml:space="preserve">, </w:t>
      </w:r>
      <w:r w:rsidRPr="0073335E">
        <w:rPr>
          <w:i/>
          <w:iCs/>
          <w:sz w:val="20"/>
          <w:szCs w:val="20"/>
        </w:rPr>
        <w:t>15</w:t>
      </w:r>
      <w:r w:rsidRPr="0073335E">
        <w:rPr>
          <w:sz w:val="20"/>
          <w:szCs w:val="20"/>
        </w:rPr>
        <w:t xml:space="preserve">(2), 199–211. </w:t>
      </w:r>
      <w:hyperlink r:id="rId47" w:history="1">
        <w:r w:rsidRPr="0073335E">
          <w:rPr>
            <w:rStyle w:val="Hipervnculo"/>
            <w:sz w:val="20"/>
            <w:szCs w:val="20"/>
          </w:rPr>
          <w:t>https://doi.org/10.1007/s13165-025-00492-x</w:t>
        </w:r>
      </w:hyperlink>
    </w:p>
    <w:p w14:paraId="0520D976" w14:textId="77777777" w:rsidR="00747AC9" w:rsidRPr="0073335E" w:rsidRDefault="00747AC9" w:rsidP="00747AC9">
      <w:pPr>
        <w:spacing w:after="0" w:line="240" w:lineRule="auto"/>
        <w:ind w:left="426" w:hanging="426"/>
        <w:jc w:val="both"/>
        <w:rPr>
          <w:rFonts w:ascii="Times New Roman" w:hAnsi="Times New Roman" w:cs="Times New Roman"/>
          <w:sz w:val="20"/>
          <w:szCs w:val="20"/>
          <w:shd w:val="clear" w:color="auto" w:fill="FFFFFF"/>
        </w:rPr>
      </w:pPr>
      <w:r w:rsidRPr="0073335E">
        <w:rPr>
          <w:rFonts w:ascii="Times New Roman" w:hAnsi="Times New Roman" w:cs="Times New Roman"/>
          <w:sz w:val="20"/>
          <w:szCs w:val="20"/>
        </w:rPr>
        <w:t xml:space="preserve">Panigrahi, A., Saranya, C., Sundaram, M., Kannan, S. V., Das, R. R., Kumar, R. S., Rajesh, P., &amp; Otta, S. (2018). Carbon: Nitrogen (C: N) ratio level variation influences microbial community of the system and growth as well as immunity of shrimp (Litopenaeus vannamei) in biofloc based culture system. </w:t>
      </w:r>
      <w:r w:rsidRPr="0073335E">
        <w:rPr>
          <w:rFonts w:ascii="Times New Roman" w:hAnsi="Times New Roman" w:cs="Times New Roman"/>
          <w:i/>
          <w:iCs/>
          <w:sz w:val="20"/>
          <w:szCs w:val="20"/>
        </w:rPr>
        <w:t>Fish &amp; Shellfish Immunology</w:t>
      </w:r>
      <w:r w:rsidRPr="0073335E">
        <w:rPr>
          <w:rFonts w:ascii="Times New Roman" w:hAnsi="Times New Roman" w:cs="Times New Roman"/>
          <w:sz w:val="20"/>
          <w:szCs w:val="20"/>
        </w:rPr>
        <w:t xml:space="preserve">, </w:t>
      </w:r>
      <w:r w:rsidRPr="0073335E">
        <w:rPr>
          <w:rFonts w:ascii="Times New Roman" w:hAnsi="Times New Roman" w:cs="Times New Roman"/>
          <w:i/>
          <w:iCs/>
          <w:sz w:val="20"/>
          <w:szCs w:val="20"/>
        </w:rPr>
        <w:t>81</w:t>
      </w:r>
      <w:r w:rsidRPr="0073335E">
        <w:rPr>
          <w:rFonts w:ascii="Times New Roman" w:hAnsi="Times New Roman" w:cs="Times New Roman"/>
          <w:sz w:val="20"/>
          <w:szCs w:val="20"/>
        </w:rPr>
        <w:t>, 329-337. https://doi.org/10.1016/j.fsi.2018.07.035</w:t>
      </w:r>
    </w:p>
    <w:p w14:paraId="58433877" w14:textId="77777777" w:rsidR="00747AC9" w:rsidRPr="0073335E" w:rsidRDefault="00747AC9" w:rsidP="00747AC9">
      <w:pPr>
        <w:spacing w:after="0" w:line="240" w:lineRule="auto"/>
        <w:ind w:left="426" w:hanging="426"/>
        <w:jc w:val="both"/>
        <w:rPr>
          <w:rFonts w:ascii="Times New Roman" w:hAnsi="Times New Roman" w:cs="Times New Roman"/>
          <w:sz w:val="20"/>
          <w:szCs w:val="20"/>
          <w:shd w:val="clear" w:color="auto" w:fill="FFFFFF"/>
        </w:rPr>
      </w:pPr>
      <w:r w:rsidRPr="0073335E">
        <w:rPr>
          <w:rFonts w:ascii="Times New Roman" w:hAnsi="Times New Roman" w:cs="Times New Roman"/>
          <w:sz w:val="20"/>
          <w:szCs w:val="20"/>
          <w:shd w:val="clear" w:color="auto" w:fill="FFFFFF"/>
        </w:rPr>
        <w:t xml:space="preserve">Pinho, S. M., De Lima, J. P., David, L. H., Emerenciano, M. G. C., Goddek, S., Verdegem, M. C. J., Keesman, K. J., &amp; Portella, M. C. (2021). FLOCponics: The integration of biofloc technology with plant production. </w:t>
      </w:r>
      <w:r w:rsidRPr="0073335E">
        <w:rPr>
          <w:rFonts w:ascii="Times New Roman" w:hAnsi="Times New Roman" w:cs="Times New Roman"/>
          <w:i/>
          <w:iCs/>
          <w:sz w:val="20"/>
          <w:szCs w:val="20"/>
          <w:shd w:val="clear" w:color="auto" w:fill="FFFFFF"/>
        </w:rPr>
        <w:t>Reviews in Aquaculture</w:t>
      </w:r>
      <w:r w:rsidRPr="0073335E">
        <w:rPr>
          <w:rFonts w:ascii="Times New Roman" w:hAnsi="Times New Roman" w:cs="Times New Roman"/>
          <w:sz w:val="20"/>
          <w:szCs w:val="20"/>
          <w:shd w:val="clear" w:color="auto" w:fill="FFFFFF"/>
        </w:rPr>
        <w:t xml:space="preserve">, </w:t>
      </w:r>
      <w:r w:rsidRPr="0073335E">
        <w:rPr>
          <w:rFonts w:ascii="Times New Roman" w:hAnsi="Times New Roman" w:cs="Times New Roman"/>
          <w:i/>
          <w:iCs/>
          <w:sz w:val="20"/>
          <w:szCs w:val="20"/>
          <w:shd w:val="clear" w:color="auto" w:fill="FFFFFF"/>
        </w:rPr>
        <w:t>14</w:t>
      </w:r>
      <w:r w:rsidRPr="0073335E">
        <w:rPr>
          <w:rFonts w:ascii="Times New Roman" w:hAnsi="Times New Roman" w:cs="Times New Roman"/>
          <w:sz w:val="20"/>
          <w:szCs w:val="20"/>
          <w:shd w:val="clear" w:color="auto" w:fill="FFFFFF"/>
        </w:rPr>
        <w:t>(2), 647-675. https://doi.org/10.1111/raq.12617</w:t>
      </w:r>
    </w:p>
    <w:p w14:paraId="25DA1AB4" w14:textId="77777777" w:rsidR="00747AC9" w:rsidRPr="0073335E" w:rsidRDefault="00747AC9" w:rsidP="00747AC9">
      <w:pPr>
        <w:spacing w:after="0" w:line="240" w:lineRule="auto"/>
        <w:ind w:left="426" w:hanging="426"/>
        <w:jc w:val="both"/>
        <w:rPr>
          <w:rFonts w:ascii="Times New Roman" w:hAnsi="Times New Roman" w:cs="Times New Roman"/>
          <w:sz w:val="20"/>
          <w:szCs w:val="20"/>
          <w:shd w:val="clear" w:color="auto" w:fill="FFFFFF"/>
        </w:rPr>
      </w:pPr>
      <w:r w:rsidRPr="0073335E">
        <w:rPr>
          <w:rFonts w:ascii="Times New Roman" w:hAnsi="Times New Roman" w:cs="Times New Roman"/>
          <w:sz w:val="20"/>
          <w:szCs w:val="20"/>
          <w:shd w:val="clear" w:color="auto" w:fill="FFFFFF"/>
          <w:lang w:bidi="ar-SA"/>
        </w:rPr>
        <w:t xml:space="preserve">Ramasubburayan, R., Prakash, S., Immanuel, G., Mubarakali, D., Rajakumar, G., Thirumurugan, D., &amp; Palavesam, A. (2024). The Transformative Role of Prebiotics, probiotics, and microbiomes in Biofloc Systems for Sustainable Aquaculture: A Comprehensive Review. </w:t>
      </w:r>
      <w:r w:rsidRPr="0073335E">
        <w:rPr>
          <w:rFonts w:ascii="Times New Roman" w:hAnsi="Times New Roman" w:cs="Times New Roman"/>
          <w:i/>
          <w:iCs/>
          <w:sz w:val="20"/>
          <w:szCs w:val="20"/>
          <w:shd w:val="clear" w:color="auto" w:fill="FFFFFF"/>
          <w:lang w:bidi="ar-SA"/>
        </w:rPr>
        <w:t>Reviews in Aquaculture</w:t>
      </w:r>
      <w:r w:rsidRPr="0073335E">
        <w:rPr>
          <w:rFonts w:ascii="Times New Roman" w:hAnsi="Times New Roman" w:cs="Times New Roman"/>
          <w:sz w:val="20"/>
          <w:szCs w:val="20"/>
          <w:shd w:val="clear" w:color="auto" w:fill="FFFFFF"/>
          <w:lang w:bidi="ar-SA"/>
        </w:rPr>
        <w:t xml:space="preserve">, </w:t>
      </w:r>
      <w:r w:rsidRPr="0073335E">
        <w:rPr>
          <w:rFonts w:ascii="Times New Roman" w:hAnsi="Times New Roman" w:cs="Times New Roman"/>
          <w:i/>
          <w:iCs/>
          <w:sz w:val="20"/>
          <w:szCs w:val="20"/>
          <w:shd w:val="clear" w:color="auto" w:fill="FFFFFF"/>
          <w:lang w:bidi="ar-SA"/>
        </w:rPr>
        <w:t>17</w:t>
      </w:r>
      <w:r w:rsidRPr="0073335E">
        <w:rPr>
          <w:rFonts w:ascii="Times New Roman" w:hAnsi="Times New Roman" w:cs="Times New Roman"/>
          <w:sz w:val="20"/>
          <w:szCs w:val="20"/>
          <w:shd w:val="clear" w:color="auto" w:fill="FFFFFF"/>
          <w:lang w:bidi="ar-SA"/>
        </w:rPr>
        <w:t>(1). https://doi.org/10.1111/raq.13000</w:t>
      </w:r>
    </w:p>
    <w:p w14:paraId="3B3F2D54" w14:textId="77777777" w:rsidR="00747AC9" w:rsidRPr="0073335E" w:rsidRDefault="00747AC9" w:rsidP="00747AC9">
      <w:pPr>
        <w:spacing w:after="0" w:line="240" w:lineRule="auto"/>
        <w:ind w:left="426" w:hanging="426"/>
        <w:jc w:val="both"/>
        <w:rPr>
          <w:rFonts w:ascii="Times New Roman" w:hAnsi="Times New Roman" w:cs="Times New Roman"/>
          <w:sz w:val="20"/>
          <w:szCs w:val="20"/>
          <w:shd w:val="clear" w:color="auto" w:fill="FFFFFF"/>
        </w:rPr>
      </w:pPr>
      <w:r w:rsidRPr="0073335E">
        <w:rPr>
          <w:rFonts w:ascii="Times New Roman" w:hAnsi="Times New Roman" w:cs="Times New Roman"/>
          <w:sz w:val="20"/>
          <w:szCs w:val="20"/>
        </w:rPr>
        <w:t xml:space="preserve">Robles‐Porchas, G. R., Gollas‐Galván, T., Martínez‐Porchas, M., Martínez‐Cordova, L. R., Miranda‐Baeza, A., &amp; Vargas‐Albores, F. (2020). The nitrification process for nitrogen removal in biofloc system aquaculture. </w:t>
      </w:r>
      <w:r w:rsidRPr="0073335E">
        <w:rPr>
          <w:rFonts w:ascii="Times New Roman" w:hAnsi="Times New Roman" w:cs="Times New Roman"/>
          <w:i/>
          <w:iCs/>
          <w:sz w:val="20"/>
          <w:szCs w:val="20"/>
        </w:rPr>
        <w:t>Reviews in Aquaculture</w:t>
      </w:r>
      <w:r w:rsidRPr="0073335E">
        <w:rPr>
          <w:rFonts w:ascii="Times New Roman" w:hAnsi="Times New Roman" w:cs="Times New Roman"/>
          <w:sz w:val="20"/>
          <w:szCs w:val="20"/>
        </w:rPr>
        <w:t xml:space="preserve">, </w:t>
      </w:r>
      <w:r w:rsidRPr="0073335E">
        <w:rPr>
          <w:rFonts w:ascii="Times New Roman" w:hAnsi="Times New Roman" w:cs="Times New Roman"/>
          <w:i/>
          <w:iCs/>
          <w:sz w:val="20"/>
          <w:szCs w:val="20"/>
        </w:rPr>
        <w:t>12</w:t>
      </w:r>
      <w:r w:rsidRPr="0073335E">
        <w:rPr>
          <w:rFonts w:ascii="Times New Roman" w:hAnsi="Times New Roman" w:cs="Times New Roman"/>
          <w:sz w:val="20"/>
          <w:szCs w:val="20"/>
        </w:rPr>
        <w:t>(4), 2228-2249. https://doi.org/10.1111/raq.12431</w:t>
      </w:r>
    </w:p>
    <w:p w14:paraId="01BAC35D" w14:textId="77777777" w:rsidR="00747AC9" w:rsidRPr="0073335E" w:rsidRDefault="00747AC9" w:rsidP="00747AC9">
      <w:pPr>
        <w:spacing w:after="0" w:line="240" w:lineRule="auto"/>
        <w:ind w:left="426" w:hanging="426"/>
        <w:jc w:val="both"/>
        <w:rPr>
          <w:rFonts w:ascii="Times New Roman" w:hAnsi="Times New Roman" w:cs="Times New Roman"/>
          <w:sz w:val="20"/>
          <w:szCs w:val="20"/>
          <w:shd w:val="clear" w:color="auto" w:fill="FFFFFF"/>
        </w:rPr>
      </w:pPr>
      <w:r w:rsidRPr="0073335E">
        <w:rPr>
          <w:rFonts w:ascii="Times New Roman" w:hAnsi="Times New Roman" w:cs="Times New Roman"/>
          <w:sz w:val="20"/>
          <w:szCs w:val="20"/>
        </w:rPr>
        <w:lastRenderedPageBreak/>
        <w:t xml:space="preserve">Sarangi, S. K., Mohanty, R. K., Munilkumar, S., &amp; Sundaray, J. K. (2025). </w:t>
      </w:r>
      <w:r w:rsidRPr="0073335E">
        <w:rPr>
          <w:rFonts w:ascii="Times New Roman" w:hAnsi="Times New Roman" w:cs="Times New Roman"/>
          <w:i/>
          <w:iCs/>
          <w:sz w:val="20"/>
          <w:szCs w:val="20"/>
        </w:rPr>
        <w:t>Agroecology and integrated farming system</w:t>
      </w:r>
      <w:r w:rsidRPr="0073335E">
        <w:rPr>
          <w:rFonts w:ascii="Times New Roman" w:hAnsi="Times New Roman" w:cs="Times New Roman"/>
          <w:sz w:val="20"/>
          <w:szCs w:val="20"/>
        </w:rPr>
        <w:t>. CRC Press.</w:t>
      </w:r>
    </w:p>
    <w:p w14:paraId="74E58413" w14:textId="77777777" w:rsidR="00747AC9" w:rsidRPr="0073335E" w:rsidRDefault="00747AC9" w:rsidP="00747AC9">
      <w:pPr>
        <w:spacing w:after="0" w:line="240" w:lineRule="auto"/>
        <w:ind w:left="426" w:hanging="426"/>
        <w:jc w:val="both"/>
        <w:rPr>
          <w:rFonts w:ascii="Times New Roman" w:hAnsi="Times New Roman" w:cs="Times New Roman"/>
          <w:sz w:val="20"/>
          <w:szCs w:val="20"/>
          <w:shd w:val="clear" w:color="auto" w:fill="FFFFFF"/>
        </w:rPr>
      </w:pPr>
      <w:r w:rsidRPr="0073335E">
        <w:rPr>
          <w:rFonts w:ascii="Times New Roman" w:hAnsi="Times New Roman" w:cs="Times New Roman"/>
          <w:sz w:val="20"/>
          <w:szCs w:val="20"/>
        </w:rPr>
        <w:t xml:space="preserve">Sengupta, T., Nath, D., &amp; Pramanik, C. (2024). Use of Microbial mass Assisted Aquaculture Practice: A step towards resilient and sustainable youth empowerment. In </w:t>
      </w:r>
      <w:r w:rsidRPr="0073335E">
        <w:rPr>
          <w:rFonts w:ascii="Times New Roman" w:hAnsi="Times New Roman" w:cs="Times New Roman"/>
          <w:i/>
          <w:iCs/>
          <w:sz w:val="20"/>
          <w:szCs w:val="20"/>
        </w:rPr>
        <w:t>Environmental science and engineering</w:t>
      </w:r>
      <w:r w:rsidRPr="0073335E">
        <w:rPr>
          <w:rFonts w:ascii="Times New Roman" w:hAnsi="Times New Roman" w:cs="Times New Roman"/>
          <w:sz w:val="20"/>
          <w:szCs w:val="20"/>
        </w:rPr>
        <w:t xml:space="preserve"> (pp. 199-210). https://doi.org/10.1007/978-3-031-58025-3_9</w:t>
      </w:r>
    </w:p>
    <w:p w14:paraId="2408BD13" w14:textId="77777777" w:rsidR="00747AC9" w:rsidRPr="0073335E" w:rsidRDefault="00747AC9" w:rsidP="009E30B0">
      <w:pPr>
        <w:spacing w:after="0" w:line="240" w:lineRule="auto"/>
        <w:ind w:left="426" w:hanging="426"/>
        <w:jc w:val="both"/>
        <w:rPr>
          <w:rFonts w:ascii="Times New Roman" w:hAnsi="Times New Roman" w:cs="Times New Roman"/>
          <w:sz w:val="20"/>
          <w:szCs w:val="20"/>
        </w:rPr>
      </w:pPr>
      <w:r w:rsidRPr="0073335E">
        <w:rPr>
          <w:rFonts w:ascii="Times New Roman" w:hAnsi="Times New Roman" w:cs="Times New Roman"/>
          <w:sz w:val="20"/>
          <w:szCs w:val="20"/>
        </w:rPr>
        <w:t xml:space="preserve">Sudheer, K., Triveni, S., Latha, P., &amp; Maheswari, T. U. (2024). Microbial Dynamics and Shelf-life Assessment of Indigenous Organic Preparations Beejamrutham, Jeevamrutham and Panchagavya for Sustainable Agriculture. </w:t>
      </w:r>
      <w:r w:rsidRPr="0073335E">
        <w:rPr>
          <w:rFonts w:ascii="Times New Roman" w:hAnsi="Times New Roman" w:cs="Times New Roman"/>
          <w:i/>
          <w:iCs/>
          <w:sz w:val="20"/>
          <w:szCs w:val="20"/>
        </w:rPr>
        <w:t>Indian Journal of Agricultural Research</w:t>
      </w:r>
      <w:r w:rsidRPr="0073335E">
        <w:rPr>
          <w:rFonts w:ascii="Times New Roman" w:hAnsi="Times New Roman" w:cs="Times New Roman"/>
          <w:sz w:val="20"/>
          <w:szCs w:val="20"/>
        </w:rPr>
        <w:t xml:space="preserve">. </w:t>
      </w:r>
      <w:hyperlink r:id="rId48" w:history="1">
        <w:r w:rsidRPr="0073335E">
          <w:rPr>
            <w:rStyle w:val="Hipervnculo"/>
            <w:rFonts w:ascii="Times New Roman" w:hAnsi="Times New Roman" w:cs="Times New Roman"/>
            <w:sz w:val="20"/>
            <w:szCs w:val="20"/>
          </w:rPr>
          <w:t>https://doi.org/10.18805/ijare.a-6292</w:t>
        </w:r>
      </w:hyperlink>
    </w:p>
    <w:p w14:paraId="7E4A4928" w14:textId="77777777" w:rsidR="00747AC9" w:rsidRPr="0073335E" w:rsidRDefault="00747AC9" w:rsidP="009E30B0">
      <w:pPr>
        <w:pStyle w:val="NormalWeb"/>
        <w:spacing w:before="0" w:beforeAutospacing="0" w:after="0" w:afterAutospacing="0"/>
        <w:ind w:left="720" w:hanging="720"/>
        <w:jc w:val="both"/>
        <w:rPr>
          <w:sz w:val="20"/>
          <w:szCs w:val="20"/>
        </w:rPr>
      </w:pPr>
      <w:r w:rsidRPr="0073335E">
        <w:rPr>
          <w:sz w:val="20"/>
          <w:szCs w:val="20"/>
        </w:rPr>
        <w:t xml:space="preserve">Surpura R. M., Rathore A. P., &amp; Patel S. K. (2025). Harnessing microbial properties of natural farming components. </w:t>
      </w:r>
      <w:r w:rsidRPr="0073335E">
        <w:rPr>
          <w:rStyle w:val="nfasis"/>
          <w:rFonts w:eastAsiaTheme="majorEastAsia"/>
          <w:sz w:val="20"/>
          <w:szCs w:val="20"/>
        </w:rPr>
        <w:t>Agricultural Reviews.</w:t>
      </w:r>
      <w:r w:rsidRPr="0073335E">
        <w:rPr>
          <w:sz w:val="20"/>
          <w:szCs w:val="20"/>
        </w:rPr>
        <w:t xml:space="preserve"> </w:t>
      </w:r>
      <w:hyperlink r:id="rId49" w:history="1">
        <w:r w:rsidRPr="0073335E">
          <w:rPr>
            <w:rStyle w:val="Hipervnculo"/>
            <w:sz w:val="20"/>
            <w:szCs w:val="20"/>
          </w:rPr>
          <w:t>http://arccarticles.s3.amazonaws.com/OnlinePublish/Final-article-attachemnt-with-doi-R-2764-6089603e9087340b9bdcbbb1.pdf</w:t>
        </w:r>
      </w:hyperlink>
    </w:p>
    <w:p w14:paraId="02E579C6" w14:textId="77777777" w:rsidR="00747AC9" w:rsidRPr="0073335E" w:rsidRDefault="00747AC9" w:rsidP="009E30B0">
      <w:pPr>
        <w:pStyle w:val="NormalWeb"/>
        <w:spacing w:before="0" w:beforeAutospacing="0" w:after="0" w:afterAutospacing="0"/>
        <w:ind w:left="720" w:hanging="720"/>
        <w:jc w:val="both"/>
        <w:rPr>
          <w:rStyle w:val="url"/>
          <w:rFonts w:eastAsiaTheme="majorEastAsia"/>
          <w:sz w:val="20"/>
          <w:szCs w:val="20"/>
        </w:rPr>
      </w:pPr>
      <w:r w:rsidRPr="0073335E">
        <w:rPr>
          <w:sz w:val="20"/>
          <w:szCs w:val="20"/>
        </w:rPr>
        <w:t xml:space="preserve">The State of World Fisheries and Aquaculture 2024. (2024). In </w:t>
      </w:r>
      <w:r w:rsidRPr="0073335E">
        <w:rPr>
          <w:i/>
          <w:iCs/>
          <w:sz w:val="20"/>
          <w:szCs w:val="20"/>
        </w:rPr>
        <w:t>FAO eBooks</w:t>
      </w:r>
      <w:r w:rsidRPr="0073335E">
        <w:rPr>
          <w:sz w:val="20"/>
          <w:szCs w:val="20"/>
        </w:rPr>
        <w:t xml:space="preserve">. </w:t>
      </w:r>
      <w:hyperlink r:id="rId50" w:history="1">
        <w:r w:rsidRPr="0073335E">
          <w:rPr>
            <w:rStyle w:val="Hipervnculo"/>
            <w:rFonts w:eastAsiaTheme="majorEastAsia"/>
            <w:sz w:val="20"/>
            <w:szCs w:val="20"/>
          </w:rPr>
          <w:t>https://doi.org/10.4060/cd0683en</w:t>
        </w:r>
      </w:hyperlink>
    </w:p>
    <w:p w14:paraId="387D4652" w14:textId="77777777" w:rsidR="00747AC9" w:rsidRPr="0073335E" w:rsidRDefault="00747AC9" w:rsidP="009E30B0">
      <w:pPr>
        <w:pStyle w:val="NormalWeb"/>
        <w:spacing w:before="0" w:beforeAutospacing="0" w:after="0" w:afterAutospacing="0"/>
        <w:ind w:left="720" w:hanging="720"/>
        <w:jc w:val="both"/>
        <w:rPr>
          <w:sz w:val="20"/>
          <w:szCs w:val="20"/>
        </w:rPr>
      </w:pPr>
      <w:r w:rsidRPr="0073335E">
        <w:rPr>
          <w:sz w:val="20"/>
          <w:szCs w:val="20"/>
        </w:rPr>
        <w:t xml:space="preserve">Xiao, X., Ma, F., You, S., Guo, H., Zhang, J., Bao, X., &amp; Ma, X. (2021). Direct sludge granulation by applying mycelial pellets in continuous-flow aerobic membrane bioreactor: Performance, granulation process and mechanism. </w:t>
      </w:r>
      <w:r w:rsidRPr="0073335E">
        <w:rPr>
          <w:i/>
          <w:iCs/>
          <w:sz w:val="20"/>
          <w:szCs w:val="20"/>
        </w:rPr>
        <w:t>Bioresource Technology</w:t>
      </w:r>
      <w:r w:rsidRPr="0073335E">
        <w:rPr>
          <w:sz w:val="20"/>
          <w:szCs w:val="20"/>
        </w:rPr>
        <w:t xml:space="preserve">, </w:t>
      </w:r>
      <w:r w:rsidRPr="0073335E">
        <w:rPr>
          <w:i/>
          <w:iCs/>
          <w:sz w:val="20"/>
          <w:szCs w:val="20"/>
        </w:rPr>
        <w:t>344</w:t>
      </w:r>
      <w:r w:rsidRPr="0073335E">
        <w:rPr>
          <w:sz w:val="20"/>
          <w:szCs w:val="20"/>
        </w:rPr>
        <w:t xml:space="preserve">, 126233. </w:t>
      </w:r>
      <w:hyperlink r:id="rId51" w:history="1">
        <w:r w:rsidRPr="0073335E">
          <w:rPr>
            <w:rStyle w:val="Hipervnculo"/>
            <w:sz w:val="20"/>
            <w:szCs w:val="20"/>
          </w:rPr>
          <w:t>https://doi.org/10.1016/j.biortech.2021.126233</w:t>
        </w:r>
      </w:hyperlink>
    </w:p>
    <w:p w14:paraId="38FF83C5" w14:textId="77777777" w:rsidR="00747AC9" w:rsidRPr="0073335E" w:rsidRDefault="00747AC9" w:rsidP="00747AC9">
      <w:pPr>
        <w:spacing w:after="0" w:line="240" w:lineRule="auto"/>
        <w:ind w:left="426" w:hanging="426"/>
        <w:jc w:val="both"/>
        <w:rPr>
          <w:rFonts w:ascii="Times New Roman" w:hAnsi="Times New Roman" w:cs="Times New Roman"/>
          <w:sz w:val="20"/>
          <w:szCs w:val="20"/>
          <w:shd w:val="clear" w:color="auto" w:fill="FFFFFF"/>
        </w:rPr>
      </w:pPr>
      <w:r w:rsidRPr="0073335E">
        <w:rPr>
          <w:rFonts w:ascii="Times New Roman" w:hAnsi="Times New Roman" w:cs="Times New Roman"/>
          <w:sz w:val="20"/>
          <w:szCs w:val="20"/>
        </w:rPr>
        <w:t xml:space="preserve">Zaki, F. M., Said, M. M., Amer, M. A., Khalil, R. H., &amp; Dighiesh, H. S. (2024). Evaluation of biofloc system effects on water quality, growth, innate immunity, physiological status, and immune- and growth-related gene expressions in early growth stages of thin-lipped mullet (Liza ramada). </w:t>
      </w:r>
      <w:r w:rsidRPr="0073335E">
        <w:rPr>
          <w:rFonts w:ascii="Times New Roman" w:hAnsi="Times New Roman" w:cs="Times New Roman"/>
          <w:i/>
          <w:iCs/>
          <w:sz w:val="20"/>
          <w:szCs w:val="20"/>
        </w:rPr>
        <w:t>Aquaculture International</w:t>
      </w:r>
      <w:r w:rsidRPr="0073335E">
        <w:rPr>
          <w:rFonts w:ascii="Times New Roman" w:hAnsi="Times New Roman" w:cs="Times New Roman"/>
          <w:sz w:val="20"/>
          <w:szCs w:val="20"/>
        </w:rPr>
        <w:t xml:space="preserve">, </w:t>
      </w:r>
      <w:r w:rsidRPr="0073335E">
        <w:rPr>
          <w:rFonts w:ascii="Times New Roman" w:hAnsi="Times New Roman" w:cs="Times New Roman"/>
          <w:i/>
          <w:iCs/>
          <w:sz w:val="20"/>
          <w:szCs w:val="20"/>
        </w:rPr>
        <w:t>33</w:t>
      </w:r>
      <w:r w:rsidRPr="0073335E">
        <w:rPr>
          <w:rFonts w:ascii="Times New Roman" w:hAnsi="Times New Roman" w:cs="Times New Roman"/>
          <w:sz w:val="20"/>
          <w:szCs w:val="20"/>
        </w:rPr>
        <w:t>(1). https://doi.org/10.1007/s10499-024-01696-w</w:t>
      </w:r>
    </w:p>
    <w:p w14:paraId="3D6EEE17" w14:textId="77777777" w:rsidR="00747AC9" w:rsidRPr="0073335E" w:rsidRDefault="00747AC9" w:rsidP="00747AC9">
      <w:pPr>
        <w:spacing w:after="0" w:line="240" w:lineRule="auto"/>
        <w:ind w:left="426" w:hanging="426"/>
        <w:jc w:val="both"/>
        <w:rPr>
          <w:rFonts w:ascii="Times New Roman" w:hAnsi="Times New Roman" w:cs="Times New Roman"/>
          <w:sz w:val="20"/>
          <w:szCs w:val="20"/>
          <w:shd w:val="clear" w:color="auto" w:fill="FFFFFF"/>
        </w:rPr>
      </w:pPr>
      <w:r w:rsidRPr="0073335E">
        <w:rPr>
          <w:rFonts w:ascii="Times New Roman" w:hAnsi="Times New Roman" w:cs="Times New Roman"/>
          <w:sz w:val="20"/>
          <w:szCs w:val="20"/>
          <w:shd w:val="clear" w:color="auto" w:fill="FFFFFF"/>
        </w:rPr>
        <w:t xml:space="preserve">Zimmermann, S., Kiessling, A., &amp; Zhang, J. (2023). The future of intensive tilapia production and the circular bioeconomy without effluents: Biofloc technology, recirculation aquaculture systems, bio‐RAS, partitioned aquaculture systems and integrated multitrophic aquaculture. </w:t>
      </w:r>
      <w:r w:rsidRPr="0073335E">
        <w:rPr>
          <w:rFonts w:ascii="Times New Roman" w:hAnsi="Times New Roman" w:cs="Times New Roman"/>
          <w:i/>
          <w:iCs/>
          <w:sz w:val="20"/>
          <w:szCs w:val="20"/>
          <w:shd w:val="clear" w:color="auto" w:fill="FFFFFF"/>
        </w:rPr>
        <w:t>Reviews in Aquaculture</w:t>
      </w:r>
      <w:r w:rsidRPr="0073335E">
        <w:rPr>
          <w:rFonts w:ascii="Times New Roman" w:hAnsi="Times New Roman" w:cs="Times New Roman"/>
          <w:sz w:val="20"/>
          <w:szCs w:val="20"/>
          <w:shd w:val="clear" w:color="auto" w:fill="FFFFFF"/>
        </w:rPr>
        <w:t xml:space="preserve">, </w:t>
      </w:r>
      <w:r w:rsidRPr="0073335E">
        <w:rPr>
          <w:rFonts w:ascii="Times New Roman" w:hAnsi="Times New Roman" w:cs="Times New Roman"/>
          <w:i/>
          <w:iCs/>
          <w:sz w:val="20"/>
          <w:szCs w:val="20"/>
          <w:shd w:val="clear" w:color="auto" w:fill="FFFFFF"/>
        </w:rPr>
        <w:t>15</w:t>
      </w:r>
      <w:r w:rsidRPr="0073335E">
        <w:rPr>
          <w:rFonts w:ascii="Times New Roman" w:hAnsi="Times New Roman" w:cs="Times New Roman"/>
          <w:sz w:val="20"/>
          <w:szCs w:val="20"/>
          <w:shd w:val="clear" w:color="auto" w:fill="FFFFFF"/>
        </w:rPr>
        <w:t>(S1), 22-31. https://doi.org/10.1111/raq.12744</w:t>
      </w:r>
    </w:p>
    <w:sectPr w:rsidR="00747AC9" w:rsidRPr="0073335E" w:rsidSect="00424CFD">
      <w:type w:val="continuous"/>
      <w:pgSz w:w="11906" w:h="16838"/>
      <w:pgMar w:top="1440" w:right="1440" w:bottom="1440" w:left="144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1" w:author="Ernesto Aaron Chavez Ortiz" w:date="2026-01-23T11:54:00Z" w:initials="EACO">
    <w:p w14:paraId="6D105039" w14:textId="0ADDB69D" w:rsidR="00B435F6" w:rsidRDefault="00B435F6">
      <w:pPr>
        <w:pStyle w:val="Textocomentario"/>
      </w:pPr>
      <w:r>
        <w:rPr>
          <w:rStyle w:val="Refdecomentario"/>
        </w:rPr>
        <w:annotationRef/>
      </w:r>
      <w:r>
        <w:t>Please delete the table or the figure. They duplicate the information</w:t>
      </w:r>
    </w:p>
  </w:comment>
  <w:comment w:id="2" w:author="Ernesto Aaron Chavez Ortiz" w:date="2026-01-23T11:55:00Z" w:initials="EACO">
    <w:p w14:paraId="7AE4A16D" w14:textId="337DFA80" w:rsidR="00AB048C" w:rsidRDefault="00AB048C">
      <w:pPr>
        <w:pStyle w:val="Textocomentario"/>
      </w:pPr>
      <w:r>
        <w:rPr>
          <w:rStyle w:val="Refdecomentario"/>
        </w:rPr>
        <w:annotationRef/>
      </w:r>
      <w:r>
        <w:t>Please delete the table or the figure. They duplicate the information</w:t>
      </w:r>
    </w:p>
  </w:comment>
  <w:comment w:id="3" w:author="Ernesto Aaron Chavez Ortiz" w:date="2026-01-23T11:56:00Z" w:initials="EACO">
    <w:p w14:paraId="02FFD912" w14:textId="5C252E0B" w:rsidR="00AB048C" w:rsidRDefault="00AB048C">
      <w:pPr>
        <w:pStyle w:val="Textocomentario"/>
      </w:pPr>
      <w:r>
        <w:rPr>
          <w:rStyle w:val="Refdecomentario"/>
        </w:rPr>
        <w:annotationRef/>
      </w:r>
      <w:r>
        <w:t>Please delete the table or the figure. They duplicate the information</w:t>
      </w:r>
    </w:p>
  </w:comment>
  <w:comment w:id="4" w:author="Ernesto Aaron Chavez Ortiz" w:date="2026-01-23T11:57:00Z" w:initials="EACO">
    <w:p w14:paraId="19643ADC" w14:textId="76598692" w:rsidR="00AB048C" w:rsidRDefault="00AB048C">
      <w:pPr>
        <w:pStyle w:val="Textocomentario"/>
      </w:pPr>
      <w:r>
        <w:rPr>
          <w:rStyle w:val="Refdecomentario"/>
        </w:rPr>
        <w:annotationRef/>
      </w:r>
      <w:r>
        <w:t>Please delete the table or the figure. They duplicate the information</w:t>
      </w:r>
    </w:p>
  </w:comment>
  <w:comment w:id="5" w:author="Ernesto Aaron Chavez Ortiz" w:date="2026-01-23T11:58:00Z" w:initials="EACO">
    <w:p w14:paraId="638C765D" w14:textId="605465A6" w:rsidR="00AB048C" w:rsidRDefault="00AB048C">
      <w:pPr>
        <w:pStyle w:val="Textocomentario"/>
      </w:pPr>
      <w:r>
        <w:rPr>
          <w:rStyle w:val="Refdecomentario"/>
        </w:rPr>
        <w:annotationRef/>
      </w:r>
      <w:r>
        <w:t>Conductivity i8s another way to express the salinity, so, please delete that section of the manuscript</w:t>
      </w:r>
    </w:p>
  </w:comment>
  <w:comment w:id="6" w:author="Ernesto Aaron Chavez Ortiz" w:date="2026-01-23T11:59:00Z" w:initials="EACO">
    <w:p w14:paraId="20CC7C28" w14:textId="7379E31A" w:rsidR="00AB048C" w:rsidRDefault="00AB048C">
      <w:pPr>
        <w:pStyle w:val="Textocomentario"/>
      </w:pPr>
      <w:r>
        <w:rPr>
          <w:rStyle w:val="Refdecomentario"/>
        </w:rPr>
        <w:annotationRef/>
      </w:r>
      <w:r>
        <w:t>Please delete the table or the figure. They duplicate the information</w:t>
      </w:r>
    </w:p>
  </w:comment>
  <w:comment w:id="7" w:author="Ernesto Aaron Chavez Ortiz" w:date="2026-01-23T12:00:00Z" w:initials="EACO">
    <w:p w14:paraId="260A595A" w14:textId="442085E4" w:rsidR="00AB048C" w:rsidRDefault="00AB048C">
      <w:pPr>
        <w:pStyle w:val="Textocomentario"/>
      </w:pPr>
      <w:r>
        <w:rPr>
          <w:rStyle w:val="Refdecomentario"/>
        </w:rPr>
        <w:annotationRef/>
      </w:r>
      <w:r>
        <w:t>Please delete the table or the figure. They duplicate the information</w:t>
      </w:r>
    </w:p>
  </w:comment>
  <w:comment w:id="8" w:author="Ernesto Aaron Chavez Ortiz" w:date="2026-01-23T12:01:00Z" w:initials="EACO">
    <w:p w14:paraId="3A9162EB" w14:textId="0F5453FD" w:rsidR="00AB048C" w:rsidRDefault="00AB048C">
      <w:pPr>
        <w:pStyle w:val="Textocomentario"/>
      </w:pPr>
      <w:r>
        <w:rPr>
          <w:rStyle w:val="Refdecomentario"/>
        </w:rPr>
        <w:annotationRef/>
      </w:r>
      <w:r>
        <w:t>Please delete the table or the figure. They duplicate the information</w:t>
      </w:r>
    </w:p>
  </w:comment>
  <w:comment w:id="9" w:author="Ernesto Aaron Chavez Ortiz" w:date="2026-01-23T12:01:00Z" w:initials="EACO">
    <w:p w14:paraId="3126C92F" w14:textId="08145024" w:rsidR="00AB048C" w:rsidRDefault="00AB048C">
      <w:pPr>
        <w:pStyle w:val="Textocomentario"/>
      </w:pPr>
      <w:r>
        <w:rPr>
          <w:rStyle w:val="Refdecomentario"/>
        </w:rPr>
        <w:annotationRef/>
      </w:r>
      <w:r>
        <w:t>Please delete the table or the figure. They duplicate the information</w:t>
      </w:r>
    </w:p>
  </w:comment>
  <w:comment w:id="10" w:author="Ernesto Aaron Chavez Ortiz" w:date="2026-01-23T12:02:00Z" w:initials="EACO">
    <w:p w14:paraId="0E5332AC" w14:textId="2924119B" w:rsidR="00AB048C" w:rsidRDefault="00AB048C">
      <w:pPr>
        <w:pStyle w:val="Textocomentario"/>
      </w:pPr>
      <w:r>
        <w:rPr>
          <w:rStyle w:val="Refdecomentario"/>
        </w:rPr>
        <w:annotationRef/>
      </w:r>
      <w:r>
        <w:t>Please delete the table or the figure. They duplicate the information</w:t>
      </w:r>
    </w:p>
  </w:comment>
  <w:comment w:id="11" w:author="Ernesto Aaron Chavez Ortiz" w:date="2026-01-23T12:02:00Z" w:initials="EACO">
    <w:p w14:paraId="67C441BF" w14:textId="6F6AF79C" w:rsidR="00AB048C" w:rsidRDefault="00AB048C">
      <w:pPr>
        <w:pStyle w:val="Textocomentario"/>
      </w:pPr>
      <w:r>
        <w:rPr>
          <w:rStyle w:val="Refdecomentario"/>
        </w:rPr>
        <w:annotationRef/>
      </w:r>
      <w:r>
        <w:t>Please supress both the table and its figure</w:t>
      </w:r>
    </w:p>
  </w:comment>
  <w:comment w:id="12" w:author="Ernesto Aaron Chavez Ortiz" w:date="2026-01-23T12:04:00Z" w:initials="EACO">
    <w:p w14:paraId="10DE6847" w14:textId="74A0F7B1" w:rsidR="00AB048C" w:rsidRDefault="00AB048C">
      <w:pPr>
        <w:pStyle w:val="Textocomentario"/>
      </w:pPr>
      <w:r>
        <w:rPr>
          <w:rStyle w:val="Refdecomentario"/>
        </w:rPr>
        <w:annotationRef/>
      </w:r>
      <w:r>
        <w:t>Please supress both the table and its figure</w:t>
      </w:r>
    </w:p>
  </w:comment>
  <w:comment w:id="13" w:author="Ernesto Aaron Chavez Ortiz" w:date="2026-01-23T12:05:00Z" w:initials="EACO">
    <w:p w14:paraId="01D1A43D" w14:textId="400539E1" w:rsidR="00D519C3" w:rsidRDefault="00D519C3">
      <w:pPr>
        <w:pStyle w:val="Textocomentario"/>
      </w:pPr>
      <w:r>
        <w:rPr>
          <w:rStyle w:val="Refdecomentario"/>
        </w:rPr>
        <w:annotationRef/>
      </w:r>
      <w:r>
        <w:t>Please supress both the table and its figure</w:t>
      </w:r>
    </w:p>
  </w:comment>
  <w:comment w:id="14" w:author="Ernesto Aaron Chavez Ortiz" w:date="2026-01-23T12:06:00Z" w:initials="EACO">
    <w:p w14:paraId="0F434117" w14:textId="4C4B36E2" w:rsidR="00D519C3" w:rsidRDefault="00D519C3">
      <w:pPr>
        <w:pStyle w:val="Textocomentario"/>
      </w:pPr>
      <w:r>
        <w:rPr>
          <w:rStyle w:val="Refdecomentario"/>
        </w:rPr>
        <w:annotationRef/>
      </w:r>
      <w:r>
        <w:t xml:space="preserve">Please supress the table </w:t>
      </w:r>
      <w:r>
        <w:t xml:space="preserve">or </w:t>
      </w:r>
      <w:r>
        <w:t>its figure</w:t>
      </w:r>
      <w:r>
        <w:t>. They duplicate their content</w:t>
      </w:r>
    </w:p>
  </w:comment>
  <w:comment w:id="15" w:author="Ernesto Aaron Chavez Ortiz" w:date="2026-01-23T12:07:00Z" w:initials="EACO">
    <w:p w14:paraId="2E0B6E18" w14:textId="3E4DB7AD" w:rsidR="00D519C3" w:rsidRDefault="00D519C3">
      <w:pPr>
        <w:pStyle w:val="Textocomentario"/>
      </w:pPr>
      <w:r>
        <w:rPr>
          <w:rStyle w:val="Refdecomentario"/>
        </w:rPr>
        <w:annotationRef/>
      </w:r>
      <w:r>
        <w:t xml:space="preserve">Please supress the table </w:t>
      </w:r>
      <w:r>
        <w:t>or</w:t>
      </w:r>
      <w:r>
        <w:t xml:space="preserve"> its figure</w:t>
      </w:r>
    </w:p>
  </w:comment>
  <w:comment w:id="16" w:author="Ernesto Aaron Chavez Ortiz" w:date="2026-01-23T12:08:00Z" w:initials="EACO">
    <w:p w14:paraId="468C3C84" w14:textId="7FC8859A" w:rsidR="00D519C3" w:rsidRDefault="00D519C3">
      <w:pPr>
        <w:pStyle w:val="Textocomentario"/>
      </w:pPr>
      <w:r>
        <w:rPr>
          <w:rStyle w:val="Refdecomentario"/>
        </w:rPr>
        <w:annotationRef/>
      </w:r>
      <w:r>
        <w:t>Please supress both the table and its figure</w:t>
      </w:r>
    </w:p>
  </w:comment>
  <w:comment w:id="17" w:author="Ernesto Aaron Chavez Ortiz" w:date="2026-01-23T12:09:00Z" w:initials="EACO">
    <w:p w14:paraId="4ABA660C" w14:textId="7F84DC44" w:rsidR="00D519C3" w:rsidRDefault="00D519C3">
      <w:pPr>
        <w:pStyle w:val="Textocomentario"/>
      </w:pPr>
      <w:r>
        <w:rPr>
          <w:rStyle w:val="Refdecomentario"/>
        </w:rPr>
        <w:annotationRef/>
      </w:r>
      <w:r>
        <w:t>Please supress both the table and its figure</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6D105039" w15:done="0"/>
  <w15:commentEx w15:paraId="7AE4A16D" w15:done="0"/>
  <w15:commentEx w15:paraId="02FFD912" w15:done="0"/>
  <w15:commentEx w15:paraId="19643ADC" w15:done="0"/>
  <w15:commentEx w15:paraId="638C765D" w15:done="0"/>
  <w15:commentEx w15:paraId="20CC7C28" w15:done="0"/>
  <w15:commentEx w15:paraId="260A595A" w15:done="0"/>
  <w15:commentEx w15:paraId="3A9162EB" w15:done="0"/>
  <w15:commentEx w15:paraId="3126C92F" w15:done="0"/>
  <w15:commentEx w15:paraId="0E5332AC" w15:done="0"/>
  <w15:commentEx w15:paraId="67C441BF" w15:done="0"/>
  <w15:commentEx w15:paraId="10DE6847" w15:done="0"/>
  <w15:commentEx w15:paraId="01D1A43D" w15:done="0"/>
  <w15:commentEx w15:paraId="0F434117" w15:done="0"/>
  <w15:commentEx w15:paraId="2E0B6E18" w15:done="0"/>
  <w15:commentEx w15:paraId="468C3C84" w15:done="0"/>
  <w15:commentEx w15:paraId="4ABA660C"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6D105039" w16cid:durableId="2D1DDFDD"/>
  <w16cid:commentId w16cid:paraId="7AE4A16D" w16cid:durableId="2D1DE047"/>
  <w16cid:commentId w16cid:paraId="02FFD912" w16cid:durableId="2D1DE079"/>
  <w16cid:commentId w16cid:paraId="19643ADC" w16cid:durableId="2D1DE098"/>
  <w16cid:commentId w16cid:paraId="638C765D" w16cid:durableId="2D1DE0C8"/>
  <w16cid:commentId w16cid:paraId="20CC7C28" w16cid:durableId="2D1DE119"/>
  <w16cid:commentId w16cid:paraId="260A595A" w16cid:durableId="2D1DE156"/>
  <w16cid:commentId w16cid:paraId="3A9162EB" w16cid:durableId="2D1DE17E"/>
  <w16cid:commentId w16cid:paraId="3126C92F" w16cid:durableId="2D1DE19D"/>
  <w16cid:commentId w16cid:paraId="0E5332AC" w16cid:durableId="2D1DE1CB"/>
  <w16cid:commentId w16cid:paraId="67C441BF" w16cid:durableId="2D1DE1F0"/>
  <w16cid:commentId w16cid:paraId="10DE6847" w16cid:durableId="2D1DE268"/>
  <w16cid:commentId w16cid:paraId="01D1A43D" w16cid:durableId="2D1DE2A4"/>
  <w16cid:commentId w16cid:paraId="0F434117" w16cid:durableId="2D1DE2CA"/>
  <w16cid:commentId w16cid:paraId="2E0B6E18" w16cid:durableId="2D1DE31C"/>
  <w16cid:commentId w16cid:paraId="468C3C84" w16cid:durableId="2D1DE33E"/>
  <w16cid:commentId w16cid:paraId="4ABA660C" w16cid:durableId="2D1DE364"/>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3DF560A" w14:textId="77777777" w:rsidR="00CF7DA9" w:rsidRDefault="00CF7DA9" w:rsidP="00BD4D33">
      <w:pPr>
        <w:spacing w:after="0" w:line="240" w:lineRule="auto"/>
      </w:pPr>
      <w:r>
        <w:separator/>
      </w:r>
    </w:p>
  </w:endnote>
  <w:endnote w:type="continuationSeparator" w:id="0">
    <w:p w14:paraId="784CA426" w14:textId="77777777" w:rsidR="00CF7DA9" w:rsidRDefault="00CF7DA9" w:rsidP="00BD4D3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hruti">
    <w:panose1 w:val="02000500000000000000"/>
    <w:charset w:val="00"/>
    <w:family w:val="swiss"/>
    <w:pitch w:val="variable"/>
    <w:sig w:usb0="0004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D57B5F8" w14:textId="77777777" w:rsidR="00B435F6" w:rsidRDefault="00B435F6">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C352E8D" w14:textId="77777777" w:rsidR="00B435F6" w:rsidRDefault="00B435F6">
    <w:pPr>
      <w:pStyle w:val="Piedepgin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0532DBE" w14:textId="77777777" w:rsidR="00B435F6" w:rsidRDefault="00B435F6">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78C86F4" w14:textId="77777777" w:rsidR="00CF7DA9" w:rsidRDefault="00CF7DA9" w:rsidP="00BD4D33">
      <w:pPr>
        <w:spacing w:after="0" w:line="240" w:lineRule="auto"/>
      </w:pPr>
      <w:r>
        <w:separator/>
      </w:r>
    </w:p>
  </w:footnote>
  <w:footnote w:type="continuationSeparator" w:id="0">
    <w:p w14:paraId="716C44EA" w14:textId="77777777" w:rsidR="00CF7DA9" w:rsidRDefault="00CF7DA9" w:rsidP="00BD4D3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FA2178D" w14:textId="350A4F27" w:rsidR="00B435F6" w:rsidRDefault="00B435F6">
    <w:pPr>
      <w:pStyle w:val="Encabezado"/>
    </w:pPr>
    <w:r>
      <w:rPr>
        <w:noProof/>
      </w:rPr>
      <w:pict w14:anchorId="7034CF8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93666657" o:spid="_x0000_s2050" type="#_x0000_t136" style="position:absolute;margin-left:0;margin-top:0;width:535.3pt;height:100.9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7426B07" w14:textId="0CEDBBF3" w:rsidR="00B435F6" w:rsidRDefault="00B435F6">
    <w:pPr>
      <w:pStyle w:val="Encabezado"/>
    </w:pPr>
    <w:r>
      <w:rPr>
        <w:noProof/>
      </w:rPr>
      <w:pict w14:anchorId="73E7567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93666658" o:spid="_x0000_s2051" type="#_x0000_t136" style="position:absolute;margin-left:0;margin-top:0;width:535.3pt;height:100.9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C32868D" w14:textId="738E6B62" w:rsidR="00B435F6" w:rsidRDefault="00B435F6">
    <w:pPr>
      <w:pStyle w:val="Encabezado"/>
    </w:pPr>
    <w:r>
      <w:rPr>
        <w:noProof/>
      </w:rPr>
      <w:pict w14:anchorId="3777373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93666656" o:spid="_x0000_s2049" type="#_x0000_t136" style="position:absolute;margin-left:0;margin-top:0;width:535.3pt;height:100.9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6962285F"/>
    <w:multiLevelType w:val="hybridMultilevel"/>
    <w:tmpl w:val="BF8AA38C"/>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Ernesto Aaron Chavez Ortiz">
    <w15:presenceInfo w15:providerId="AD" w15:userId="S-1-5-21-3847117124-1108994825-3451478948-100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70"/>
  <w:defaultTabStop w:val="720"/>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00F7"/>
    <w:rsid w:val="0000092C"/>
    <w:rsid w:val="000015FE"/>
    <w:rsid w:val="00013895"/>
    <w:rsid w:val="00015425"/>
    <w:rsid w:val="000503A7"/>
    <w:rsid w:val="000678BD"/>
    <w:rsid w:val="000911CE"/>
    <w:rsid w:val="00097FCC"/>
    <w:rsid w:val="000A0FA9"/>
    <w:rsid w:val="000A5484"/>
    <w:rsid w:val="000A705B"/>
    <w:rsid w:val="000B6931"/>
    <w:rsid w:val="000C2F1D"/>
    <w:rsid w:val="000C4681"/>
    <w:rsid w:val="000F2354"/>
    <w:rsid w:val="00104955"/>
    <w:rsid w:val="00115CE1"/>
    <w:rsid w:val="00116611"/>
    <w:rsid w:val="001355F8"/>
    <w:rsid w:val="00135908"/>
    <w:rsid w:val="00141F0A"/>
    <w:rsid w:val="001516EE"/>
    <w:rsid w:val="00157BFC"/>
    <w:rsid w:val="00157D74"/>
    <w:rsid w:val="00161EBC"/>
    <w:rsid w:val="00161FED"/>
    <w:rsid w:val="00172D23"/>
    <w:rsid w:val="00180C4F"/>
    <w:rsid w:val="00187DB6"/>
    <w:rsid w:val="00197C83"/>
    <w:rsid w:val="001A1E19"/>
    <w:rsid w:val="001B5CD5"/>
    <w:rsid w:val="001C62A9"/>
    <w:rsid w:val="00200CC3"/>
    <w:rsid w:val="002040B2"/>
    <w:rsid w:val="00204113"/>
    <w:rsid w:val="00204C53"/>
    <w:rsid w:val="00205702"/>
    <w:rsid w:val="00206E48"/>
    <w:rsid w:val="00216C05"/>
    <w:rsid w:val="00224BC0"/>
    <w:rsid w:val="00225876"/>
    <w:rsid w:val="00230EA3"/>
    <w:rsid w:val="00244FE2"/>
    <w:rsid w:val="00246111"/>
    <w:rsid w:val="00253F69"/>
    <w:rsid w:val="00265574"/>
    <w:rsid w:val="002743E0"/>
    <w:rsid w:val="002904A4"/>
    <w:rsid w:val="002A483B"/>
    <w:rsid w:val="002A70F1"/>
    <w:rsid w:val="002D4FA4"/>
    <w:rsid w:val="002F1B16"/>
    <w:rsid w:val="002F3DF2"/>
    <w:rsid w:val="002F5418"/>
    <w:rsid w:val="003242BD"/>
    <w:rsid w:val="003254EB"/>
    <w:rsid w:val="0033282E"/>
    <w:rsid w:val="0036195F"/>
    <w:rsid w:val="00364AB9"/>
    <w:rsid w:val="00370655"/>
    <w:rsid w:val="00370F86"/>
    <w:rsid w:val="0037130B"/>
    <w:rsid w:val="0037132C"/>
    <w:rsid w:val="0037521C"/>
    <w:rsid w:val="0038138F"/>
    <w:rsid w:val="00384099"/>
    <w:rsid w:val="00394330"/>
    <w:rsid w:val="003B5EFA"/>
    <w:rsid w:val="003C10A2"/>
    <w:rsid w:val="003C4AE4"/>
    <w:rsid w:val="003E42E6"/>
    <w:rsid w:val="003F2D9A"/>
    <w:rsid w:val="003F6A47"/>
    <w:rsid w:val="003F778D"/>
    <w:rsid w:val="00402C91"/>
    <w:rsid w:val="004129D4"/>
    <w:rsid w:val="00421964"/>
    <w:rsid w:val="00424CFD"/>
    <w:rsid w:val="0042579A"/>
    <w:rsid w:val="00431B39"/>
    <w:rsid w:val="00433202"/>
    <w:rsid w:val="00436EF7"/>
    <w:rsid w:val="00440BE3"/>
    <w:rsid w:val="0044175C"/>
    <w:rsid w:val="00446E39"/>
    <w:rsid w:val="00452E4B"/>
    <w:rsid w:val="00456AF3"/>
    <w:rsid w:val="004576C8"/>
    <w:rsid w:val="00461BA1"/>
    <w:rsid w:val="0047629B"/>
    <w:rsid w:val="00484C21"/>
    <w:rsid w:val="00495266"/>
    <w:rsid w:val="004C45C8"/>
    <w:rsid w:val="0052732A"/>
    <w:rsid w:val="0053797F"/>
    <w:rsid w:val="00560687"/>
    <w:rsid w:val="005626F6"/>
    <w:rsid w:val="005660C5"/>
    <w:rsid w:val="005700F7"/>
    <w:rsid w:val="00572D48"/>
    <w:rsid w:val="005766D5"/>
    <w:rsid w:val="0058114C"/>
    <w:rsid w:val="00592D24"/>
    <w:rsid w:val="005B27C1"/>
    <w:rsid w:val="005C0EA1"/>
    <w:rsid w:val="005C3C0A"/>
    <w:rsid w:val="005C6001"/>
    <w:rsid w:val="005C64C0"/>
    <w:rsid w:val="005D1C1E"/>
    <w:rsid w:val="005D5239"/>
    <w:rsid w:val="005D7330"/>
    <w:rsid w:val="005E1806"/>
    <w:rsid w:val="005E763E"/>
    <w:rsid w:val="005F251F"/>
    <w:rsid w:val="00601B3E"/>
    <w:rsid w:val="00606D1B"/>
    <w:rsid w:val="006078DB"/>
    <w:rsid w:val="006079B2"/>
    <w:rsid w:val="00620FBF"/>
    <w:rsid w:val="00621DB8"/>
    <w:rsid w:val="00627F11"/>
    <w:rsid w:val="0063147C"/>
    <w:rsid w:val="006323D9"/>
    <w:rsid w:val="00634588"/>
    <w:rsid w:val="006413AC"/>
    <w:rsid w:val="00647695"/>
    <w:rsid w:val="006609AA"/>
    <w:rsid w:val="00663866"/>
    <w:rsid w:val="00667EF7"/>
    <w:rsid w:val="006772F5"/>
    <w:rsid w:val="00681D54"/>
    <w:rsid w:val="006944CC"/>
    <w:rsid w:val="00697E95"/>
    <w:rsid w:val="006A28CC"/>
    <w:rsid w:val="006A49C2"/>
    <w:rsid w:val="006A637A"/>
    <w:rsid w:val="006B412A"/>
    <w:rsid w:val="006E3BC9"/>
    <w:rsid w:val="006F3070"/>
    <w:rsid w:val="00702619"/>
    <w:rsid w:val="0071004D"/>
    <w:rsid w:val="00717F3A"/>
    <w:rsid w:val="00726987"/>
    <w:rsid w:val="0073335E"/>
    <w:rsid w:val="00741872"/>
    <w:rsid w:val="007421C2"/>
    <w:rsid w:val="0074500D"/>
    <w:rsid w:val="00747AC9"/>
    <w:rsid w:val="00773BEC"/>
    <w:rsid w:val="00774601"/>
    <w:rsid w:val="00775C84"/>
    <w:rsid w:val="00781DC5"/>
    <w:rsid w:val="00790485"/>
    <w:rsid w:val="00791B15"/>
    <w:rsid w:val="007A1C31"/>
    <w:rsid w:val="007A53D2"/>
    <w:rsid w:val="007B15F5"/>
    <w:rsid w:val="007B422C"/>
    <w:rsid w:val="007B6D2D"/>
    <w:rsid w:val="007D5D2A"/>
    <w:rsid w:val="007D652C"/>
    <w:rsid w:val="007E2527"/>
    <w:rsid w:val="007E307C"/>
    <w:rsid w:val="007E4365"/>
    <w:rsid w:val="007E53EB"/>
    <w:rsid w:val="007F16A5"/>
    <w:rsid w:val="007F7727"/>
    <w:rsid w:val="00802CA6"/>
    <w:rsid w:val="008051EB"/>
    <w:rsid w:val="00806EAC"/>
    <w:rsid w:val="008122DC"/>
    <w:rsid w:val="00826CC5"/>
    <w:rsid w:val="008467B0"/>
    <w:rsid w:val="00852786"/>
    <w:rsid w:val="00853F87"/>
    <w:rsid w:val="008630E0"/>
    <w:rsid w:val="00867CE0"/>
    <w:rsid w:val="00884617"/>
    <w:rsid w:val="0089538A"/>
    <w:rsid w:val="008D56B2"/>
    <w:rsid w:val="008F24DA"/>
    <w:rsid w:val="00901D22"/>
    <w:rsid w:val="009066C8"/>
    <w:rsid w:val="00915BCB"/>
    <w:rsid w:val="00923F8F"/>
    <w:rsid w:val="0093059F"/>
    <w:rsid w:val="00931CFE"/>
    <w:rsid w:val="0093582F"/>
    <w:rsid w:val="00943C54"/>
    <w:rsid w:val="00953F46"/>
    <w:rsid w:val="00964D0D"/>
    <w:rsid w:val="00965911"/>
    <w:rsid w:val="0097016E"/>
    <w:rsid w:val="00970A05"/>
    <w:rsid w:val="0097206B"/>
    <w:rsid w:val="00975E26"/>
    <w:rsid w:val="00975F27"/>
    <w:rsid w:val="00993353"/>
    <w:rsid w:val="009A0E66"/>
    <w:rsid w:val="009A3F25"/>
    <w:rsid w:val="009B1C05"/>
    <w:rsid w:val="009B1CDC"/>
    <w:rsid w:val="009B2E24"/>
    <w:rsid w:val="009C2C5B"/>
    <w:rsid w:val="009C6357"/>
    <w:rsid w:val="009C6442"/>
    <w:rsid w:val="009D080D"/>
    <w:rsid w:val="009D7BE6"/>
    <w:rsid w:val="009E30B0"/>
    <w:rsid w:val="009E44F8"/>
    <w:rsid w:val="009E55D2"/>
    <w:rsid w:val="009F6C60"/>
    <w:rsid w:val="00A03874"/>
    <w:rsid w:val="00A131F0"/>
    <w:rsid w:val="00A152F0"/>
    <w:rsid w:val="00A1551A"/>
    <w:rsid w:val="00A21C1E"/>
    <w:rsid w:val="00A30254"/>
    <w:rsid w:val="00A46883"/>
    <w:rsid w:val="00A50A7A"/>
    <w:rsid w:val="00A53A15"/>
    <w:rsid w:val="00A6251D"/>
    <w:rsid w:val="00A67A45"/>
    <w:rsid w:val="00A81981"/>
    <w:rsid w:val="00A96EE9"/>
    <w:rsid w:val="00A97DB0"/>
    <w:rsid w:val="00AA7F9D"/>
    <w:rsid w:val="00AB048C"/>
    <w:rsid w:val="00AB0E34"/>
    <w:rsid w:val="00AB3102"/>
    <w:rsid w:val="00AC6C6B"/>
    <w:rsid w:val="00AE581F"/>
    <w:rsid w:val="00B008BF"/>
    <w:rsid w:val="00B120E7"/>
    <w:rsid w:val="00B435F6"/>
    <w:rsid w:val="00B5265F"/>
    <w:rsid w:val="00B53740"/>
    <w:rsid w:val="00B6512B"/>
    <w:rsid w:val="00B70380"/>
    <w:rsid w:val="00B749A9"/>
    <w:rsid w:val="00B85F44"/>
    <w:rsid w:val="00B865F9"/>
    <w:rsid w:val="00BA2EF3"/>
    <w:rsid w:val="00BA462F"/>
    <w:rsid w:val="00BB3432"/>
    <w:rsid w:val="00BD4D33"/>
    <w:rsid w:val="00BD4F82"/>
    <w:rsid w:val="00BD6E14"/>
    <w:rsid w:val="00BE190E"/>
    <w:rsid w:val="00BE230F"/>
    <w:rsid w:val="00C01C55"/>
    <w:rsid w:val="00C0587E"/>
    <w:rsid w:val="00C13730"/>
    <w:rsid w:val="00C17622"/>
    <w:rsid w:val="00C44332"/>
    <w:rsid w:val="00C5406C"/>
    <w:rsid w:val="00C668C2"/>
    <w:rsid w:val="00C7072A"/>
    <w:rsid w:val="00C707E7"/>
    <w:rsid w:val="00C87332"/>
    <w:rsid w:val="00C93726"/>
    <w:rsid w:val="00C93B3B"/>
    <w:rsid w:val="00C953C0"/>
    <w:rsid w:val="00C97B36"/>
    <w:rsid w:val="00CA6083"/>
    <w:rsid w:val="00CB36FD"/>
    <w:rsid w:val="00CB4450"/>
    <w:rsid w:val="00CC66E2"/>
    <w:rsid w:val="00CD36D4"/>
    <w:rsid w:val="00CE647D"/>
    <w:rsid w:val="00CF2153"/>
    <w:rsid w:val="00CF7DA9"/>
    <w:rsid w:val="00D068C7"/>
    <w:rsid w:val="00D14580"/>
    <w:rsid w:val="00D357C5"/>
    <w:rsid w:val="00D36BD5"/>
    <w:rsid w:val="00D36CCF"/>
    <w:rsid w:val="00D519C3"/>
    <w:rsid w:val="00D609DA"/>
    <w:rsid w:val="00D61039"/>
    <w:rsid w:val="00D81EE8"/>
    <w:rsid w:val="00D859C0"/>
    <w:rsid w:val="00D85E67"/>
    <w:rsid w:val="00D91D58"/>
    <w:rsid w:val="00D92933"/>
    <w:rsid w:val="00DA6F8B"/>
    <w:rsid w:val="00DB376D"/>
    <w:rsid w:val="00DB592E"/>
    <w:rsid w:val="00DC0F1C"/>
    <w:rsid w:val="00DC351E"/>
    <w:rsid w:val="00DE0F1E"/>
    <w:rsid w:val="00E0136D"/>
    <w:rsid w:val="00E04065"/>
    <w:rsid w:val="00E05B72"/>
    <w:rsid w:val="00E07089"/>
    <w:rsid w:val="00E12DEF"/>
    <w:rsid w:val="00E16554"/>
    <w:rsid w:val="00E30DD7"/>
    <w:rsid w:val="00E35B89"/>
    <w:rsid w:val="00E36F46"/>
    <w:rsid w:val="00E536FF"/>
    <w:rsid w:val="00E61B4E"/>
    <w:rsid w:val="00EA44DB"/>
    <w:rsid w:val="00EA4D31"/>
    <w:rsid w:val="00EA74D9"/>
    <w:rsid w:val="00EA7DE5"/>
    <w:rsid w:val="00EB629F"/>
    <w:rsid w:val="00EC0C28"/>
    <w:rsid w:val="00ED0431"/>
    <w:rsid w:val="00ED2DA0"/>
    <w:rsid w:val="00EE400C"/>
    <w:rsid w:val="00F20DC2"/>
    <w:rsid w:val="00F22A46"/>
    <w:rsid w:val="00F2483A"/>
    <w:rsid w:val="00F25303"/>
    <w:rsid w:val="00F258CD"/>
    <w:rsid w:val="00F35C01"/>
    <w:rsid w:val="00F52E27"/>
    <w:rsid w:val="00F62901"/>
    <w:rsid w:val="00F853F2"/>
    <w:rsid w:val="00F92E93"/>
    <w:rsid w:val="00F9371F"/>
    <w:rsid w:val="00FB120A"/>
    <w:rsid w:val="00FC48AB"/>
    <w:rsid w:val="00FD372A"/>
    <w:rsid w:val="00FD4CCC"/>
  </w:rsids>
  <m:mathPr>
    <m:mathFont m:val="Cambria Math"/>
    <m:brkBin m:val="before"/>
    <m:brkBinSub m:val="--"/>
    <m:smallFrac m:val="0"/>
    <m:dispDef/>
    <m:lMargin m:val="0"/>
    <m:rMargin m:val="0"/>
    <m:defJc m:val="centerGroup"/>
    <m:wrapIndent m:val="1440"/>
    <m:intLim m:val="subSup"/>
    <m:naryLim m:val="undOvr"/>
  </m:mathPr>
  <w:themeFontLang w:val="en-IN" w:bidi="gu-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5B472B08"/>
  <w15:chartTrackingRefBased/>
  <w15:docId w15:val="{87234B71-79E0-4961-8C56-F9DB1D4F39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IN" w:eastAsia="en-US" w:bidi="gu-IN"/>
        <w14:ligatures w14:val="standardContextual"/>
      </w:rPr>
    </w:rPrDefault>
    <w:pPrDefault>
      <w:pPr>
        <w:spacing w:after="160" w:line="278"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Ttulo1">
    <w:name w:val="heading 1"/>
    <w:basedOn w:val="Normal"/>
    <w:next w:val="Normal"/>
    <w:link w:val="Ttulo1Car"/>
    <w:uiPriority w:val="9"/>
    <w:qFormat/>
    <w:rsid w:val="005700F7"/>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Ttulo2">
    <w:name w:val="heading 2"/>
    <w:basedOn w:val="Normal"/>
    <w:next w:val="Normal"/>
    <w:link w:val="Ttulo2Car"/>
    <w:uiPriority w:val="9"/>
    <w:unhideWhenUsed/>
    <w:qFormat/>
    <w:rsid w:val="005700F7"/>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tulo3">
    <w:name w:val="heading 3"/>
    <w:basedOn w:val="Normal"/>
    <w:next w:val="Normal"/>
    <w:link w:val="Ttulo3Car"/>
    <w:uiPriority w:val="9"/>
    <w:unhideWhenUsed/>
    <w:qFormat/>
    <w:rsid w:val="005700F7"/>
    <w:pPr>
      <w:keepNext/>
      <w:keepLines/>
      <w:spacing w:before="160" w:after="80"/>
      <w:outlineLvl w:val="2"/>
    </w:pPr>
    <w:rPr>
      <w:rFonts w:eastAsiaTheme="majorEastAsia" w:cstheme="majorBidi"/>
      <w:color w:val="2F5496" w:themeColor="accent1" w:themeShade="BF"/>
      <w:sz w:val="28"/>
      <w:szCs w:val="28"/>
    </w:rPr>
  </w:style>
  <w:style w:type="paragraph" w:styleId="Ttulo4">
    <w:name w:val="heading 4"/>
    <w:basedOn w:val="Normal"/>
    <w:next w:val="Normal"/>
    <w:link w:val="Ttulo4Car"/>
    <w:uiPriority w:val="9"/>
    <w:semiHidden/>
    <w:unhideWhenUsed/>
    <w:qFormat/>
    <w:rsid w:val="005700F7"/>
    <w:pPr>
      <w:keepNext/>
      <w:keepLines/>
      <w:spacing w:before="80" w:after="40"/>
      <w:outlineLvl w:val="3"/>
    </w:pPr>
    <w:rPr>
      <w:rFonts w:eastAsiaTheme="majorEastAsia" w:cstheme="majorBidi"/>
      <w:i/>
      <w:iCs/>
      <w:color w:val="2F5496" w:themeColor="accent1" w:themeShade="BF"/>
    </w:rPr>
  </w:style>
  <w:style w:type="paragraph" w:styleId="Ttulo5">
    <w:name w:val="heading 5"/>
    <w:basedOn w:val="Normal"/>
    <w:next w:val="Normal"/>
    <w:link w:val="Ttulo5Car"/>
    <w:uiPriority w:val="9"/>
    <w:semiHidden/>
    <w:unhideWhenUsed/>
    <w:qFormat/>
    <w:rsid w:val="005700F7"/>
    <w:pPr>
      <w:keepNext/>
      <w:keepLines/>
      <w:spacing w:before="80" w:after="40"/>
      <w:outlineLvl w:val="4"/>
    </w:pPr>
    <w:rPr>
      <w:rFonts w:eastAsiaTheme="majorEastAsia" w:cstheme="majorBidi"/>
      <w:color w:val="2F5496" w:themeColor="accent1" w:themeShade="BF"/>
    </w:rPr>
  </w:style>
  <w:style w:type="paragraph" w:styleId="Ttulo6">
    <w:name w:val="heading 6"/>
    <w:basedOn w:val="Normal"/>
    <w:next w:val="Normal"/>
    <w:link w:val="Ttulo6Car"/>
    <w:uiPriority w:val="9"/>
    <w:semiHidden/>
    <w:unhideWhenUsed/>
    <w:qFormat/>
    <w:rsid w:val="005700F7"/>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5700F7"/>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5700F7"/>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5700F7"/>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5700F7"/>
    <w:rPr>
      <w:rFonts w:asciiTheme="majorHAnsi" w:eastAsiaTheme="majorEastAsia" w:hAnsiTheme="majorHAnsi" w:cstheme="majorBidi"/>
      <w:color w:val="2F5496" w:themeColor="accent1" w:themeShade="BF"/>
      <w:sz w:val="40"/>
      <w:szCs w:val="40"/>
    </w:rPr>
  </w:style>
  <w:style w:type="character" w:customStyle="1" w:styleId="Ttulo2Car">
    <w:name w:val="Título 2 Car"/>
    <w:basedOn w:val="Fuentedeprrafopredeter"/>
    <w:link w:val="Ttulo2"/>
    <w:uiPriority w:val="9"/>
    <w:rsid w:val="005700F7"/>
    <w:rPr>
      <w:rFonts w:asciiTheme="majorHAnsi" w:eastAsiaTheme="majorEastAsia" w:hAnsiTheme="majorHAnsi" w:cstheme="majorBidi"/>
      <w:color w:val="2F5496" w:themeColor="accent1" w:themeShade="BF"/>
      <w:sz w:val="32"/>
      <w:szCs w:val="32"/>
    </w:rPr>
  </w:style>
  <w:style w:type="character" w:customStyle="1" w:styleId="Ttulo3Car">
    <w:name w:val="Título 3 Car"/>
    <w:basedOn w:val="Fuentedeprrafopredeter"/>
    <w:link w:val="Ttulo3"/>
    <w:uiPriority w:val="9"/>
    <w:rsid w:val="005700F7"/>
    <w:rPr>
      <w:rFonts w:eastAsiaTheme="majorEastAsia" w:cstheme="majorBidi"/>
      <w:color w:val="2F5496" w:themeColor="accent1" w:themeShade="BF"/>
      <w:sz w:val="28"/>
      <w:szCs w:val="28"/>
    </w:rPr>
  </w:style>
  <w:style w:type="character" w:customStyle="1" w:styleId="Ttulo4Car">
    <w:name w:val="Título 4 Car"/>
    <w:basedOn w:val="Fuentedeprrafopredeter"/>
    <w:link w:val="Ttulo4"/>
    <w:uiPriority w:val="9"/>
    <w:semiHidden/>
    <w:rsid w:val="005700F7"/>
    <w:rPr>
      <w:rFonts w:eastAsiaTheme="majorEastAsia" w:cstheme="majorBidi"/>
      <w:i/>
      <w:iCs/>
      <w:color w:val="2F5496" w:themeColor="accent1" w:themeShade="BF"/>
    </w:rPr>
  </w:style>
  <w:style w:type="character" w:customStyle="1" w:styleId="Ttulo5Car">
    <w:name w:val="Título 5 Car"/>
    <w:basedOn w:val="Fuentedeprrafopredeter"/>
    <w:link w:val="Ttulo5"/>
    <w:uiPriority w:val="9"/>
    <w:semiHidden/>
    <w:rsid w:val="005700F7"/>
    <w:rPr>
      <w:rFonts w:eastAsiaTheme="majorEastAsia" w:cstheme="majorBidi"/>
      <w:color w:val="2F5496" w:themeColor="accent1" w:themeShade="BF"/>
    </w:rPr>
  </w:style>
  <w:style w:type="character" w:customStyle="1" w:styleId="Ttulo6Car">
    <w:name w:val="Título 6 Car"/>
    <w:basedOn w:val="Fuentedeprrafopredeter"/>
    <w:link w:val="Ttulo6"/>
    <w:uiPriority w:val="9"/>
    <w:semiHidden/>
    <w:rsid w:val="005700F7"/>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5700F7"/>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5700F7"/>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5700F7"/>
    <w:rPr>
      <w:rFonts w:eastAsiaTheme="majorEastAsia" w:cstheme="majorBidi"/>
      <w:color w:val="272727" w:themeColor="text1" w:themeTint="D8"/>
    </w:rPr>
  </w:style>
  <w:style w:type="paragraph" w:styleId="Ttulo">
    <w:name w:val="Title"/>
    <w:basedOn w:val="Normal"/>
    <w:next w:val="Normal"/>
    <w:link w:val="TtuloCar"/>
    <w:uiPriority w:val="10"/>
    <w:qFormat/>
    <w:rsid w:val="005700F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5700F7"/>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5700F7"/>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5700F7"/>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5700F7"/>
    <w:pPr>
      <w:spacing w:before="160"/>
      <w:jc w:val="center"/>
    </w:pPr>
    <w:rPr>
      <w:i/>
      <w:iCs/>
      <w:color w:val="404040" w:themeColor="text1" w:themeTint="BF"/>
    </w:rPr>
  </w:style>
  <w:style w:type="character" w:customStyle="1" w:styleId="CitaCar">
    <w:name w:val="Cita Car"/>
    <w:basedOn w:val="Fuentedeprrafopredeter"/>
    <w:link w:val="Cita"/>
    <w:uiPriority w:val="29"/>
    <w:rsid w:val="005700F7"/>
    <w:rPr>
      <w:i/>
      <w:iCs/>
      <w:color w:val="404040" w:themeColor="text1" w:themeTint="BF"/>
    </w:rPr>
  </w:style>
  <w:style w:type="paragraph" w:styleId="Prrafodelista">
    <w:name w:val="List Paragraph"/>
    <w:basedOn w:val="Normal"/>
    <w:uiPriority w:val="34"/>
    <w:qFormat/>
    <w:rsid w:val="005700F7"/>
    <w:pPr>
      <w:ind w:left="720"/>
      <w:contextualSpacing/>
    </w:pPr>
  </w:style>
  <w:style w:type="character" w:styleId="nfasisintenso">
    <w:name w:val="Intense Emphasis"/>
    <w:basedOn w:val="Fuentedeprrafopredeter"/>
    <w:uiPriority w:val="21"/>
    <w:qFormat/>
    <w:rsid w:val="005700F7"/>
    <w:rPr>
      <w:i/>
      <w:iCs/>
      <w:color w:val="2F5496" w:themeColor="accent1" w:themeShade="BF"/>
    </w:rPr>
  </w:style>
  <w:style w:type="paragraph" w:styleId="Citadestacada">
    <w:name w:val="Intense Quote"/>
    <w:basedOn w:val="Normal"/>
    <w:next w:val="Normal"/>
    <w:link w:val="CitadestacadaCar"/>
    <w:uiPriority w:val="30"/>
    <w:qFormat/>
    <w:rsid w:val="005700F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destacadaCar">
    <w:name w:val="Cita destacada Car"/>
    <w:basedOn w:val="Fuentedeprrafopredeter"/>
    <w:link w:val="Citadestacada"/>
    <w:uiPriority w:val="30"/>
    <w:rsid w:val="005700F7"/>
    <w:rPr>
      <w:i/>
      <w:iCs/>
      <w:color w:val="2F5496" w:themeColor="accent1" w:themeShade="BF"/>
    </w:rPr>
  </w:style>
  <w:style w:type="character" w:styleId="Referenciaintensa">
    <w:name w:val="Intense Reference"/>
    <w:basedOn w:val="Fuentedeprrafopredeter"/>
    <w:uiPriority w:val="32"/>
    <w:qFormat/>
    <w:rsid w:val="005700F7"/>
    <w:rPr>
      <w:b/>
      <w:bCs/>
      <w:smallCaps/>
      <w:color w:val="2F5496" w:themeColor="accent1" w:themeShade="BF"/>
      <w:spacing w:val="5"/>
    </w:rPr>
  </w:style>
  <w:style w:type="paragraph" w:styleId="NormalWeb">
    <w:name w:val="Normal (Web)"/>
    <w:basedOn w:val="Normal"/>
    <w:uiPriority w:val="99"/>
    <w:unhideWhenUsed/>
    <w:rsid w:val="009B2E24"/>
    <w:pPr>
      <w:spacing w:before="100" w:beforeAutospacing="1" w:after="100" w:afterAutospacing="1" w:line="240" w:lineRule="auto"/>
    </w:pPr>
    <w:rPr>
      <w:rFonts w:ascii="Times New Roman" w:eastAsia="Times New Roman" w:hAnsi="Times New Roman" w:cs="Times New Roman"/>
      <w:kern w:val="0"/>
      <w:lang w:eastAsia="en-IN"/>
      <w14:ligatures w14:val="none"/>
    </w:rPr>
  </w:style>
  <w:style w:type="character" w:styleId="Textoennegrita">
    <w:name w:val="Strong"/>
    <w:basedOn w:val="Fuentedeprrafopredeter"/>
    <w:uiPriority w:val="22"/>
    <w:qFormat/>
    <w:rsid w:val="009B2E24"/>
    <w:rPr>
      <w:b/>
      <w:bCs/>
    </w:rPr>
  </w:style>
  <w:style w:type="character" w:styleId="nfasis">
    <w:name w:val="Emphasis"/>
    <w:basedOn w:val="Fuentedeprrafopredeter"/>
    <w:uiPriority w:val="20"/>
    <w:qFormat/>
    <w:rsid w:val="009B2E24"/>
    <w:rPr>
      <w:i/>
      <w:iCs/>
    </w:rPr>
  </w:style>
  <w:style w:type="character" w:customStyle="1" w:styleId="url">
    <w:name w:val="url"/>
    <w:basedOn w:val="Fuentedeprrafopredeter"/>
    <w:rsid w:val="000C4681"/>
  </w:style>
  <w:style w:type="character" w:styleId="Hipervnculo">
    <w:name w:val="Hyperlink"/>
    <w:basedOn w:val="Fuentedeprrafopredeter"/>
    <w:uiPriority w:val="99"/>
    <w:unhideWhenUsed/>
    <w:rsid w:val="00D609DA"/>
    <w:rPr>
      <w:color w:val="0563C1" w:themeColor="hyperlink"/>
      <w:u w:val="single"/>
    </w:rPr>
  </w:style>
  <w:style w:type="character" w:styleId="Mencinsinresolver">
    <w:name w:val="Unresolved Mention"/>
    <w:basedOn w:val="Fuentedeprrafopredeter"/>
    <w:uiPriority w:val="99"/>
    <w:semiHidden/>
    <w:unhideWhenUsed/>
    <w:rsid w:val="00D609DA"/>
    <w:rPr>
      <w:color w:val="605E5C"/>
      <w:shd w:val="clear" w:color="auto" w:fill="E1DFDD"/>
    </w:rPr>
  </w:style>
  <w:style w:type="character" w:styleId="Hipervnculovisitado">
    <w:name w:val="FollowedHyperlink"/>
    <w:basedOn w:val="Fuentedeprrafopredeter"/>
    <w:uiPriority w:val="99"/>
    <w:semiHidden/>
    <w:unhideWhenUsed/>
    <w:rsid w:val="00D859C0"/>
    <w:rPr>
      <w:color w:val="954F72" w:themeColor="followedHyperlink"/>
      <w:u w:val="single"/>
    </w:rPr>
  </w:style>
  <w:style w:type="table" w:styleId="Tablaconcuadrcula">
    <w:name w:val="Table Grid"/>
    <w:basedOn w:val="Tablanormal"/>
    <w:uiPriority w:val="39"/>
    <w:rsid w:val="00BD6E14"/>
    <w:pPr>
      <w:spacing w:after="0" w:line="240" w:lineRule="auto"/>
    </w:pPr>
    <w:rPr>
      <w:sz w:val="22"/>
      <w:szCs w:val="22"/>
      <w:lang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
    <w:uiPriority w:val="99"/>
    <w:unhideWhenUsed/>
    <w:rsid w:val="00BD4D33"/>
    <w:pPr>
      <w:tabs>
        <w:tab w:val="center" w:pos="4513"/>
        <w:tab w:val="right" w:pos="9026"/>
      </w:tabs>
      <w:spacing w:after="0" w:line="240" w:lineRule="auto"/>
    </w:pPr>
  </w:style>
  <w:style w:type="character" w:customStyle="1" w:styleId="EncabezadoCar">
    <w:name w:val="Encabezado Car"/>
    <w:basedOn w:val="Fuentedeprrafopredeter"/>
    <w:link w:val="Encabezado"/>
    <w:uiPriority w:val="99"/>
    <w:rsid w:val="00BD4D33"/>
  </w:style>
  <w:style w:type="paragraph" w:styleId="Piedepgina">
    <w:name w:val="footer"/>
    <w:basedOn w:val="Normal"/>
    <w:link w:val="PiedepginaCar"/>
    <w:uiPriority w:val="99"/>
    <w:unhideWhenUsed/>
    <w:rsid w:val="00BD4D33"/>
    <w:pPr>
      <w:tabs>
        <w:tab w:val="center" w:pos="4513"/>
        <w:tab w:val="right" w:pos="9026"/>
      </w:tabs>
      <w:spacing w:after="0" w:line="240" w:lineRule="auto"/>
    </w:pPr>
  </w:style>
  <w:style w:type="character" w:customStyle="1" w:styleId="PiedepginaCar">
    <w:name w:val="Pie de página Car"/>
    <w:basedOn w:val="Fuentedeprrafopredeter"/>
    <w:link w:val="Piedepgina"/>
    <w:uiPriority w:val="99"/>
    <w:rsid w:val="00BD4D33"/>
  </w:style>
  <w:style w:type="character" w:styleId="Refdecomentario">
    <w:name w:val="annotation reference"/>
    <w:basedOn w:val="Fuentedeprrafopredeter"/>
    <w:uiPriority w:val="99"/>
    <w:semiHidden/>
    <w:unhideWhenUsed/>
    <w:rsid w:val="00B435F6"/>
    <w:rPr>
      <w:sz w:val="16"/>
      <w:szCs w:val="16"/>
    </w:rPr>
  </w:style>
  <w:style w:type="paragraph" w:styleId="Textocomentario">
    <w:name w:val="annotation text"/>
    <w:basedOn w:val="Normal"/>
    <w:link w:val="TextocomentarioCar"/>
    <w:uiPriority w:val="99"/>
    <w:semiHidden/>
    <w:unhideWhenUsed/>
    <w:rsid w:val="00B435F6"/>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B435F6"/>
    <w:rPr>
      <w:sz w:val="20"/>
      <w:szCs w:val="20"/>
    </w:rPr>
  </w:style>
  <w:style w:type="paragraph" w:styleId="Asuntodelcomentario">
    <w:name w:val="annotation subject"/>
    <w:basedOn w:val="Textocomentario"/>
    <w:next w:val="Textocomentario"/>
    <w:link w:val="AsuntodelcomentarioCar"/>
    <w:uiPriority w:val="99"/>
    <w:semiHidden/>
    <w:unhideWhenUsed/>
    <w:rsid w:val="00B435F6"/>
    <w:rPr>
      <w:b/>
      <w:bCs/>
    </w:rPr>
  </w:style>
  <w:style w:type="character" w:customStyle="1" w:styleId="AsuntodelcomentarioCar">
    <w:name w:val="Asunto del comentario Car"/>
    <w:basedOn w:val="TextocomentarioCar"/>
    <w:link w:val="Asuntodelcomentario"/>
    <w:uiPriority w:val="99"/>
    <w:semiHidden/>
    <w:rsid w:val="00B435F6"/>
    <w:rPr>
      <w:b/>
      <w:bCs/>
      <w:sz w:val="20"/>
      <w:szCs w:val="20"/>
    </w:rPr>
  </w:style>
  <w:style w:type="paragraph" w:styleId="Textodeglobo">
    <w:name w:val="Balloon Text"/>
    <w:basedOn w:val="Normal"/>
    <w:link w:val="TextodegloboCar"/>
    <w:uiPriority w:val="99"/>
    <w:semiHidden/>
    <w:unhideWhenUsed/>
    <w:rsid w:val="00B435F6"/>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B435F6"/>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13" Type="http://schemas.openxmlformats.org/officeDocument/2006/relationships/footer" Target="footer3.xml"/><Relationship Id="rId18" Type="http://schemas.openxmlformats.org/officeDocument/2006/relationships/chart" Target="charts/chart2.xml"/><Relationship Id="rId26" Type="http://schemas.openxmlformats.org/officeDocument/2006/relationships/chart" Target="charts/chart10.xml"/><Relationship Id="rId39" Type="http://schemas.openxmlformats.org/officeDocument/2006/relationships/hyperlink" Target="https://doi.org/10.1038/s41598-017-11678-z" TargetMode="External"/><Relationship Id="rId21" Type="http://schemas.openxmlformats.org/officeDocument/2006/relationships/chart" Target="charts/chart5.xml"/><Relationship Id="rId34" Type="http://schemas.openxmlformats.org/officeDocument/2006/relationships/chart" Target="charts/chart18.xml"/><Relationship Id="rId42" Type="http://schemas.openxmlformats.org/officeDocument/2006/relationships/hyperlink" Target="https://doi.org/10.1016/j.scitotenv.2021.146859" TargetMode="External"/><Relationship Id="rId47" Type="http://schemas.openxmlformats.org/officeDocument/2006/relationships/hyperlink" Target="https://doi.org/10.1007/s13165-025-00492-x" TargetMode="External"/><Relationship Id="rId50" Type="http://schemas.openxmlformats.org/officeDocument/2006/relationships/hyperlink" Target="https://doi.org/10.4060/cd0683en" TargetMode="External"/><Relationship Id="rId7" Type="http://schemas.openxmlformats.org/officeDocument/2006/relationships/endnotes" Target="endnotes.xml"/><Relationship Id="rId2" Type="http://schemas.openxmlformats.org/officeDocument/2006/relationships/numbering" Target="numbering.xml"/><Relationship Id="rId16" Type="http://schemas.microsoft.com/office/2016/09/relationships/commentsIds" Target="commentsIds.xml"/><Relationship Id="rId29" Type="http://schemas.openxmlformats.org/officeDocument/2006/relationships/chart" Target="charts/chart13.xml"/><Relationship Id="rId11" Type="http://schemas.openxmlformats.org/officeDocument/2006/relationships/footer" Target="footer2.xml"/><Relationship Id="rId24" Type="http://schemas.openxmlformats.org/officeDocument/2006/relationships/chart" Target="charts/chart8.xml"/><Relationship Id="rId32" Type="http://schemas.openxmlformats.org/officeDocument/2006/relationships/chart" Target="charts/chart16.xml"/><Relationship Id="rId37" Type="http://schemas.openxmlformats.org/officeDocument/2006/relationships/hyperlink" Target="https://www.researchgate.net/publication/371220387_Natural_Farming" TargetMode="External"/><Relationship Id="rId40" Type="http://schemas.openxmlformats.org/officeDocument/2006/relationships/hyperlink" Target="https://www.researchgate.net/publication/383359200" TargetMode="External"/><Relationship Id="rId45" Type="http://schemas.openxmlformats.org/officeDocument/2006/relationships/hyperlink" Target="https://doi.org/10.1007/s42729-025-02500-1" TargetMode="External"/><Relationship Id="rId53" Type="http://schemas.microsoft.com/office/2011/relationships/people" Target="people.xml"/><Relationship Id="rId5" Type="http://schemas.openxmlformats.org/officeDocument/2006/relationships/webSettings" Target="webSettings.xml"/><Relationship Id="rId10" Type="http://schemas.openxmlformats.org/officeDocument/2006/relationships/footer" Target="footer1.xml"/><Relationship Id="rId19" Type="http://schemas.openxmlformats.org/officeDocument/2006/relationships/chart" Target="charts/chart3.xml"/><Relationship Id="rId31" Type="http://schemas.openxmlformats.org/officeDocument/2006/relationships/chart" Target="charts/chart15.xml"/><Relationship Id="rId44" Type="http://schemas.openxmlformats.org/officeDocument/2006/relationships/hyperlink" Target="https://doi.org/10.1007/978-981-99-9482-3_12" TargetMode="External"/><Relationship Id="rId52"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comments" Target="comments.xml"/><Relationship Id="rId22" Type="http://schemas.openxmlformats.org/officeDocument/2006/relationships/chart" Target="charts/chart6.xml"/><Relationship Id="rId27" Type="http://schemas.openxmlformats.org/officeDocument/2006/relationships/chart" Target="charts/chart11.xml"/><Relationship Id="rId30" Type="http://schemas.openxmlformats.org/officeDocument/2006/relationships/chart" Target="charts/chart14.xml"/><Relationship Id="rId35" Type="http://schemas.openxmlformats.org/officeDocument/2006/relationships/hyperlink" Target="https://doi.org/10.1016/j.aqrep.2024.102568" TargetMode="External"/><Relationship Id="rId43" Type="http://schemas.openxmlformats.org/officeDocument/2006/relationships/hyperlink" Target="https://www.researchgate.net/publication/387600705_Scientific_Perspectives_of_Natural_Farming" TargetMode="External"/><Relationship Id="rId48" Type="http://schemas.openxmlformats.org/officeDocument/2006/relationships/hyperlink" Target="https://doi.org/10.18805/ijare.a-6292" TargetMode="External"/><Relationship Id="rId8" Type="http://schemas.openxmlformats.org/officeDocument/2006/relationships/header" Target="header1.xml"/><Relationship Id="rId51" Type="http://schemas.openxmlformats.org/officeDocument/2006/relationships/hyperlink" Target="https://doi.org/10.1016/j.biortech.2021.126233" TargetMode="External"/><Relationship Id="rId3" Type="http://schemas.openxmlformats.org/officeDocument/2006/relationships/styles" Target="styles.xml"/><Relationship Id="rId12" Type="http://schemas.openxmlformats.org/officeDocument/2006/relationships/header" Target="header3.xml"/><Relationship Id="rId17" Type="http://schemas.openxmlformats.org/officeDocument/2006/relationships/chart" Target="charts/chart1.xml"/><Relationship Id="rId25" Type="http://schemas.openxmlformats.org/officeDocument/2006/relationships/chart" Target="charts/chart9.xml"/><Relationship Id="rId33" Type="http://schemas.openxmlformats.org/officeDocument/2006/relationships/chart" Target="charts/chart17.xml"/><Relationship Id="rId38" Type="http://schemas.openxmlformats.org/officeDocument/2006/relationships/hyperlink" Target="https://doi.org/10.1007/s12571-021-01246-9" TargetMode="External"/><Relationship Id="rId46" Type="http://schemas.openxmlformats.org/officeDocument/2006/relationships/hyperlink" Target="https://doi.org/10.1007/s10499-018-0249-z" TargetMode="External"/><Relationship Id="rId20" Type="http://schemas.openxmlformats.org/officeDocument/2006/relationships/chart" Target="charts/chart4.xml"/><Relationship Id="rId41" Type="http://schemas.openxmlformats.org/officeDocument/2006/relationships/hyperlink" Target="https://doi.org/10.1016/j.aquaculture.2015.02.001" TargetMode="External"/><Relationship Id="rId54"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5" Type="http://schemas.microsoft.com/office/2011/relationships/commentsExtended" Target="commentsExtended.xml"/><Relationship Id="rId23" Type="http://schemas.openxmlformats.org/officeDocument/2006/relationships/chart" Target="charts/chart7.xml"/><Relationship Id="rId28" Type="http://schemas.openxmlformats.org/officeDocument/2006/relationships/chart" Target="charts/chart12.xml"/><Relationship Id="rId36" Type="http://schemas.openxmlformats.org/officeDocument/2006/relationships/hyperlink" Target="https://nmnfresearch.in/3_Technical_Manual_on_Natural_Farming.pdf" TargetMode="External"/><Relationship Id="rId49" Type="http://schemas.openxmlformats.org/officeDocument/2006/relationships/hyperlink" Target="http://arccarticles.s3.amazonaws.com/OnlinePublish/Final-article-attachemnt-with-doi-R-2764-6089603e9087340b9bdcbbb1.pdf" TargetMode="External"/></Relationships>
</file>

<file path=word/charts/_rels/chart1.xml.rels><?xml version="1.0" encoding="UTF-8" standalone="yes"?>
<Relationships xmlns="http://schemas.openxmlformats.org/package/2006/relationships"><Relationship Id="rId3" Type="http://schemas.openxmlformats.org/officeDocument/2006/relationships/package" Target="../embeddings/Microsoft_Excel_Worksheet.xlsx"/><Relationship Id="rId2" Type="http://schemas.microsoft.com/office/2011/relationships/chartColorStyle" Target="colors1.xml"/><Relationship Id="rId1" Type="http://schemas.microsoft.com/office/2011/relationships/chartStyle" Target="style1.xml"/></Relationships>
</file>

<file path=word/charts/_rels/chart10.xml.rels><?xml version="1.0" encoding="UTF-8" standalone="yes"?>
<Relationships xmlns="http://schemas.openxmlformats.org/package/2006/relationships"><Relationship Id="rId3" Type="http://schemas.openxmlformats.org/officeDocument/2006/relationships/package" Target="../embeddings/Microsoft_Excel_Worksheet9.xlsx"/><Relationship Id="rId2" Type="http://schemas.microsoft.com/office/2011/relationships/chartColorStyle" Target="colors10.xml"/><Relationship Id="rId1" Type="http://schemas.microsoft.com/office/2011/relationships/chartStyle" Target="style10.xml"/></Relationships>
</file>

<file path=word/charts/_rels/chart11.xml.rels><?xml version="1.0" encoding="UTF-8" standalone="yes"?>
<Relationships xmlns="http://schemas.openxmlformats.org/package/2006/relationships"><Relationship Id="rId3" Type="http://schemas.openxmlformats.org/officeDocument/2006/relationships/package" Target="../embeddings/Microsoft_Excel_Worksheet10.xlsx"/><Relationship Id="rId2" Type="http://schemas.microsoft.com/office/2011/relationships/chartColorStyle" Target="colors11.xml"/><Relationship Id="rId1" Type="http://schemas.microsoft.com/office/2011/relationships/chartStyle" Target="style11.xml"/></Relationships>
</file>

<file path=word/charts/_rels/chart12.xml.rels><?xml version="1.0" encoding="UTF-8" standalone="yes"?>
<Relationships xmlns="http://schemas.openxmlformats.org/package/2006/relationships"><Relationship Id="rId3" Type="http://schemas.openxmlformats.org/officeDocument/2006/relationships/package" Target="../embeddings/Microsoft_Excel_Worksheet11.xlsx"/><Relationship Id="rId2" Type="http://schemas.microsoft.com/office/2011/relationships/chartColorStyle" Target="colors12.xml"/><Relationship Id="rId1" Type="http://schemas.microsoft.com/office/2011/relationships/chartStyle" Target="style12.xml"/></Relationships>
</file>

<file path=word/charts/_rels/chart13.xml.rels><?xml version="1.0" encoding="UTF-8" standalone="yes"?>
<Relationships xmlns="http://schemas.openxmlformats.org/package/2006/relationships"><Relationship Id="rId3" Type="http://schemas.openxmlformats.org/officeDocument/2006/relationships/package" Target="../embeddings/Microsoft_Excel_Worksheet12.xlsx"/><Relationship Id="rId2" Type="http://schemas.microsoft.com/office/2011/relationships/chartColorStyle" Target="colors13.xml"/><Relationship Id="rId1" Type="http://schemas.microsoft.com/office/2011/relationships/chartStyle" Target="style13.xml"/></Relationships>
</file>

<file path=word/charts/_rels/chart14.xml.rels><?xml version="1.0" encoding="UTF-8" standalone="yes"?>
<Relationships xmlns="http://schemas.openxmlformats.org/package/2006/relationships"><Relationship Id="rId3" Type="http://schemas.openxmlformats.org/officeDocument/2006/relationships/package" Target="../embeddings/Microsoft_Excel_Worksheet13.xlsx"/><Relationship Id="rId2" Type="http://schemas.microsoft.com/office/2011/relationships/chartColorStyle" Target="colors14.xml"/><Relationship Id="rId1" Type="http://schemas.microsoft.com/office/2011/relationships/chartStyle" Target="style14.xml"/></Relationships>
</file>

<file path=word/charts/_rels/chart15.xml.rels><?xml version="1.0" encoding="UTF-8" standalone="yes"?>
<Relationships xmlns="http://schemas.openxmlformats.org/package/2006/relationships"><Relationship Id="rId3" Type="http://schemas.openxmlformats.org/officeDocument/2006/relationships/package" Target="../embeddings/Microsoft_Excel_Worksheet14.xlsx"/><Relationship Id="rId2" Type="http://schemas.microsoft.com/office/2011/relationships/chartColorStyle" Target="colors15.xml"/><Relationship Id="rId1" Type="http://schemas.microsoft.com/office/2011/relationships/chartStyle" Target="style15.xml"/></Relationships>
</file>

<file path=word/charts/_rels/chart16.xml.rels><?xml version="1.0" encoding="UTF-8" standalone="yes"?>
<Relationships xmlns="http://schemas.openxmlformats.org/package/2006/relationships"><Relationship Id="rId3" Type="http://schemas.openxmlformats.org/officeDocument/2006/relationships/package" Target="../embeddings/Microsoft_Excel_Worksheet15.xlsx"/><Relationship Id="rId2" Type="http://schemas.microsoft.com/office/2011/relationships/chartColorStyle" Target="colors16.xml"/><Relationship Id="rId1" Type="http://schemas.microsoft.com/office/2011/relationships/chartStyle" Target="style16.xml"/></Relationships>
</file>

<file path=word/charts/_rels/chart17.xml.rels><?xml version="1.0" encoding="UTF-8" standalone="yes"?>
<Relationships xmlns="http://schemas.openxmlformats.org/package/2006/relationships"><Relationship Id="rId3" Type="http://schemas.openxmlformats.org/officeDocument/2006/relationships/package" Target="../embeddings/Microsoft_Excel_Worksheet16.xlsx"/><Relationship Id="rId2" Type="http://schemas.microsoft.com/office/2011/relationships/chartColorStyle" Target="colors17.xml"/><Relationship Id="rId1" Type="http://schemas.microsoft.com/office/2011/relationships/chartStyle" Target="style17.xml"/></Relationships>
</file>

<file path=word/charts/_rels/chart18.xml.rels><?xml version="1.0" encoding="UTF-8" standalone="yes"?>
<Relationships xmlns="http://schemas.openxmlformats.org/package/2006/relationships"><Relationship Id="rId3" Type="http://schemas.openxmlformats.org/officeDocument/2006/relationships/package" Target="../embeddings/Microsoft_Excel_Worksheet17.xlsx"/><Relationship Id="rId2" Type="http://schemas.microsoft.com/office/2011/relationships/chartColorStyle" Target="colors18.xml"/><Relationship Id="rId1" Type="http://schemas.microsoft.com/office/2011/relationships/chartStyle" Target="style18.xml"/></Relationships>
</file>

<file path=word/charts/_rels/chart2.xml.rels><?xml version="1.0" encoding="UTF-8" standalone="yes"?>
<Relationships xmlns="http://schemas.openxmlformats.org/package/2006/relationships"><Relationship Id="rId3" Type="http://schemas.openxmlformats.org/officeDocument/2006/relationships/package" Target="../embeddings/Microsoft_Excel_Worksheet1.xlsx"/><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3" Type="http://schemas.openxmlformats.org/officeDocument/2006/relationships/package" Target="../embeddings/Microsoft_Excel_Worksheet2.xlsx"/><Relationship Id="rId2" Type="http://schemas.microsoft.com/office/2011/relationships/chartColorStyle" Target="colors3.xml"/><Relationship Id="rId1" Type="http://schemas.microsoft.com/office/2011/relationships/chartStyle" Target="style3.xml"/></Relationships>
</file>

<file path=word/charts/_rels/chart4.xml.rels><?xml version="1.0" encoding="UTF-8" standalone="yes"?>
<Relationships xmlns="http://schemas.openxmlformats.org/package/2006/relationships"><Relationship Id="rId3" Type="http://schemas.openxmlformats.org/officeDocument/2006/relationships/package" Target="../embeddings/Microsoft_Excel_Worksheet3.xlsx"/><Relationship Id="rId2" Type="http://schemas.microsoft.com/office/2011/relationships/chartColorStyle" Target="colors4.xml"/><Relationship Id="rId1" Type="http://schemas.microsoft.com/office/2011/relationships/chartStyle" Target="style4.xml"/></Relationships>
</file>

<file path=word/charts/_rels/chart5.xml.rels><?xml version="1.0" encoding="UTF-8" standalone="yes"?>
<Relationships xmlns="http://schemas.openxmlformats.org/package/2006/relationships"><Relationship Id="rId3" Type="http://schemas.openxmlformats.org/officeDocument/2006/relationships/package" Target="../embeddings/Microsoft_Excel_Worksheet4.xlsx"/><Relationship Id="rId2" Type="http://schemas.microsoft.com/office/2011/relationships/chartColorStyle" Target="colors5.xml"/><Relationship Id="rId1" Type="http://schemas.microsoft.com/office/2011/relationships/chartStyle" Target="style5.xml"/></Relationships>
</file>

<file path=word/charts/_rels/chart6.xml.rels><?xml version="1.0" encoding="UTF-8" standalone="yes"?>
<Relationships xmlns="http://schemas.openxmlformats.org/package/2006/relationships"><Relationship Id="rId3" Type="http://schemas.openxmlformats.org/officeDocument/2006/relationships/package" Target="../embeddings/Microsoft_Excel_Worksheet5.xlsx"/><Relationship Id="rId2" Type="http://schemas.microsoft.com/office/2011/relationships/chartColorStyle" Target="colors6.xml"/><Relationship Id="rId1" Type="http://schemas.microsoft.com/office/2011/relationships/chartStyle" Target="style6.xml"/></Relationships>
</file>

<file path=word/charts/_rels/chart7.xml.rels><?xml version="1.0" encoding="UTF-8" standalone="yes"?>
<Relationships xmlns="http://schemas.openxmlformats.org/package/2006/relationships"><Relationship Id="rId3" Type="http://schemas.openxmlformats.org/officeDocument/2006/relationships/package" Target="../embeddings/Microsoft_Excel_Worksheet6.xlsx"/><Relationship Id="rId2" Type="http://schemas.microsoft.com/office/2011/relationships/chartColorStyle" Target="colors7.xml"/><Relationship Id="rId1" Type="http://schemas.microsoft.com/office/2011/relationships/chartStyle" Target="style7.xml"/></Relationships>
</file>

<file path=word/charts/_rels/chart8.xml.rels><?xml version="1.0" encoding="UTF-8" standalone="yes"?>
<Relationships xmlns="http://schemas.openxmlformats.org/package/2006/relationships"><Relationship Id="rId3" Type="http://schemas.openxmlformats.org/officeDocument/2006/relationships/package" Target="../embeddings/Microsoft_Excel_Worksheet7.xlsx"/><Relationship Id="rId2" Type="http://schemas.microsoft.com/office/2011/relationships/chartColorStyle" Target="colors8.xml"/><Relationship Id="rId1" Type="http://schemas.microsoft.com/office/2011/relationships/chartStyle" Target="style8.xml"/></Relationships>
</file>

<file path=word/charts/_rels/chart9.xml.rels><?xml version="1.0" encoding="UTF-8" standalone="yes"?>
<Relationships xmlns="http://schemas.openxmlformats.org/package/2006/relationships"><Relationship Id="rId3" Type="http://schemas.openxmlformats.org/officeDocument/2006/relationships/package" Target="../embeddings/Microsoft_Excel_Worksheet8.xlsx"/><Relationship Id="rId2" Type="http://schemas.microsoft.com/office/2011/relationships/chartColorStyle" Target="colors9.xml"/><Relationship Id="rId1" Type="http://schemas.microsoft.com/office/2011/relationships/chartStyle" Target="style9.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IN"/>
              <a:t>Temperature</a:t>
            </a: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s-MX"/>
        </a:p>
      </c:txPr>
    </c:title>
    <c:autoTitleDeleted val="0"/>
    <c:plotArea>
      <c:layout/>
      <c:lineChart>
        <c:grouping val="standard"/>
        <c:varyColors val="0"/>
        <c:ser>
          <c:idx val="0"/>
          <c:order val="0"/>
          <c:tx>
            <c:strRef>
              <c:f>Sheet1!$B$1</c:f>
              <c:strCache>
                <c:ptCount val="1"/>
                <c:pt idx="0">
                  <c:v>C</c:v>
                </c:pt>
              </c:strCache>
            </c:strRef>
          </c:tx>
          <c:spPr>
            <a:ln w="28575" cap="rnd">
              <a:solidFill>
                <a:schemeClr val="accent1"/>
              </a:solidFill>
              <a:round/>
            </a:ln>
            <a:effectLst/>
          </c:spPr>
          <c:marker>
            <c:symbol val="circle"/>
            <c:size val="5"/>
            <c:spPr>
              <a:solidFill>
                <a:schemeClr val="accent1"/>
              </a:solidFill>
              <a:ln w="9525">
                <a:solidFill>
                  <a:schemeClr val="accent1"/>
                </a:solidFill>
              </a:ln>
              <a:effectLst/>
            </c:spPr>
          </c:marker>
          <c:errBars>
            <c:errDir val="y"/>
            <c:errBarType val="both"/>
            <c:errValType val="cust"/>
            <c:noEndCap val="0"/>
            <c:plus>
              <c:numRef>
                <c:f>Sheet1!$E$2:$E$11</c:f>
                <c:numCache>
                  <c:formatCode>General</c:formatCode>
                  <c:ptCount val="10"/>
                  <c:pt idx="0">
                    <c:v>0.19</c:v>
                  </c:pt>
                  <c:pt idx="1">
                    <c:v>0.55000000000000004</c:v>
                  </c:pt>
                  <c:pt idx="2">
                    <c:v>0.36</c:v>
                  </c:pt>
                  <c:pt idx="3">
                    <c:v>0.7</c:v>
                  </c:pt>
                  <c:pt idx="4">
                    <c:v>0.38</c:v>
                  </c:pt>
                  <c:pt idx="5">
                    <c:v>0.57999999999999996</c:v>
                  </c:pt>
                  <c:pt idx="6">
                    <c:v>0.37</c:v>
                  </c:pt>
                  <c:pt idx="7">
                    <c:v>0.38</c:v>
                  </c:pt>
                  <c:pt idx="8">
                    <c:v>0.4</c:v>
                  </c:pt>
                  <c:pt idx="9">
                    <c:v>0.64</c:v>
                  </c:pt>
                </c:numCache>
              </c:numRef>
            </c:plus>
            <c:minus>
              <c:numRef>
                <c:f>Sheet1!$E$1:$E$11</c:f>
                <c:numCache>
                  <c:formatCode>General</c:formatCode>
                  <c:ptCount val="11"/>
                  <c:pt idx="0">
                    <c:v>0</c:v>
                  </c:pt>
                  <c:pt idx="1">
                    <c:v>0.19</c:v>
                  </c:pt>
                  <c:pt idx="2">
                    <c:v>0.55000000000000004</c:v>
                  </c:pt>
                  <c:pt idx="3">
                    <c:v>0.36</c:v>
                  </c:pt>
                  <c:pt idx="4">
                    <c:v>0.7</c:v>
                  </c:pt>
                  <c:pt idx="5">
                    <c:v>0.38</c:v>
                  </c:pt>
                  <c:pt idx="6">
                    <c:v>0.57999999999999996</c:v>
                  </c:pt>
                  <c:pt idx="7">
                    <c:v>0.37</c:v>
                  </c:pt>
                  <c:pt idx="8">
                    <c:v>0.38</c:v>
                  </c:pt>
                  <c:pt idx="9">
                    <c:v>0.4</c:v>
                  </c:pt>
                  <c:pt idx="10">
                    <c:v>0.64</c:v>
                  </c:pt>
                </c:numCache>
              </c:numRef>
            </c:minus>
            <c:spPr>
              <a:noFill/>
              <a:ln w="9525" cap="flat" cmpd="sng" algn="ctr">
                <a:solidFill>
                  <a:schemeClr val="tx1">
                    <a:lumMod val="65000"/>
                    <a:lumOff val="35000"/>
                  </a:schemeClr>
                </a:solidFill>
                <a:round/>
              </a:ln>
              <a:effectLst/>
            </c:spPr>
          </c:errBars>
          <c:cat>
            <c:strRef>
              <c:f>Sheet1!$A$2:$A$11</c:f>
              <c:strCache>
                <c:ptCount val="10"/>
                <c:pt idx="0">
                  <c:v>0th</c:v>
                </c:pt>
                <c:pt idx="1">
                  <c:v>7th</c:v>
                </c:pt>
                <c:pt idx="2">
                  <c:v>14th</c:v>
                </c:pt>
                <c:pt idx="3">
                  <c:v>21th</c:v>
                </c:pt>
                <c:pt idx="4">
                  <c:v>28th</c:v>
                </c:pt>
                <c:pt idx="5">
                  <c:v>35th</c:v>
                </c:pt>
                <c:pt idx="6">
                  <c:v>42nd</c:v>
                </c:pt>
                <c:pt idx="7">
                  <c:v>49th</c:v>
                </c:pt>
                <c:pt idx="8">
                  <c:v>56th</c:v>
                </c:pt>
                <c:pt idx="9">
                  <c:v>63rd</c:v>
                </c:pt>
              </c:strCache>
            </c:strRef>
          </c:cat>
          <c:val>
            <c:numRef>
              <c:f>Sheet1!$B$2:$B$11</c:f>
              <c:numCache>
                <c:formatCode>General</c:formatCode>
                <c:ptCount val="10"/>
                <c:pt idx="0">
                  <c:v>23.47</c:v>
                </c:pt>
                <c:pt idx="1">
                  <c:v>25.63</c:v>
                </c:pt>
                <c:pt idx="2">
                  <c:v>25.8</c:v>
                </c:pt>
                <c:pt idx="3">
                  <c:v>25.7</c:v>
                </c:pt>
                <c:pt idx="4">
                  <c:v>26.87</c:v>
                </c:pt>
                <c:pt idx="5">
                  <c:v>27</c:v>
                </c:pt>
                <c:pt idx="6">
                  <c:v>26.43</c:v>
                </c:pt>
                <c:pt idx="7">
                  <c:v>26.77</c:v>
                </c:pt>
                <c:pt idx="8">
                  <c:v>26.7</c:v>
                </c:pt>
                <c:pt idx="9">
                  <c:v>26.83</c:v>
                </c:pt>
              </c:numCache>
            </c:numRef>
          </c:val>
          <c:smooth val="0"/>
          <c:extLst>
            <c:ext xmlns:c16="http://schemas.microsoft.com/office/drawing/2014/chart" uri="{C3380CC4-5D6E-409C-BE32-E72D297353CC}">
              <c16:uniqueId val="{00000000-351F-410D-B881-075D6B8A5D2E}"/>
            </c:ext>
          </c:extLst>
        </c:ser>
        <c:ser>
          <c:idx val="1"/>
          <c:order val="1"/>
          <c:tx>
            <c:strRef>
              <c:f>Sheet1!$C$1</c:f>
              <c:strCache>
                <c:ptCount val="1"/>
                <c:pt idx="0">
                  <c:v>T1</c:v>
                </c:pt>
              </c:strCache>
            </c:strRef>
          </c:tx>
          <c:spPr>
            <a:ln w="28575" cap="rnd">
              <a:solidFill>
                <a:schemeClr val="accent2"/>
              </a:solidFill>
              <a:round/>
            </a:ln>
            <a:effectLst/>
          </c:spPr>
          <c:marker>
            <c:symbol val="circle"/>
            <c:size val="5"/>
            <c:spPr>
              <a:solidFill>
                <a:schemeClr val="accent2"/>
              </a:solidFill>
              <a:ln w="9525">
                <a:solidFill>
                  <a:schemeClr val="accent2"/>
                </a:solidFill>
              </a:ln>
              <a:effectLst/>
            </c:spPr>
          </c:marker>
          <c:errBars>
            <c:errDir val="y"/>
            <c:errBarType val="both"/>
            <c:errValType val="cust"/>
            <c:noEndCap val="0"/>
            <c:plus>
              <c:numRef>
                <c:f>Sheet1!$F$2:$F$11</c:f>
                <c:numCache>
                  <c:formatCode>General</c:formatCode>
                  <c:ptCount val="10"/>
                  <c:pt idx="0">
                    <c:v>0.17</c:v>
                  </c:pt>
                  <c:pt idx="1">
                    <c:v>0.03</c:v>
                  </c:pt>
                  <c:pt idx="2">
                    <c:v>0.43</c:v>
                  </c:pt>
                  <c:pt idx="3">
                    <c:v>0.28999999999999998</c:v>
                  </c:pt>
                  <c:pt idx="4">
                    <c:v>0.12</c:v>
                  </c:pt>
                  <c:pt idx="5">
                    <c:v>0.06</c:v>
                  </c:pt>
                  <c:pt idx="6">
                    <c:v>0.26</c:v>
                  </c:pt>
                  <c:pt idx="7">
                    <c:v>0.37</c:v>
                  </c:pt>
                  <c:pt idx="8">
                    <c:v>0.23</c:v>
                  </c:pt>
                  <c:pt idx="9">
                    <c:v>0.32</c:v>
                  </c:pt>
                </c:numCache>
              </c:numRef>
            </c:plus>
            <c:minus>
              <c:numRef>
                <c:f>Sheet1!$F$2:$F$11</c:f>
                <c:numCache>
                  <c:formatCode>General</c:formatCode>
                  <c:ptCount val="10"/>
                  <c:pt idx="0">
                    <c:v>0.17</c:v>
                  </c:pt>
                  <c:pt idx="1">
                    <c:v>0.03</c:v>
                  </c:pt>
                  <c:pt idx="2">
                    <c:v>0.43</c:v>
                  </c:pt>
                  <c:pt idx="3">
                    <c:v>0.28999999999999998</c:v>
                  </c:pt>
                  <c:pt idx="4">
                    <c:v>0.12</c:v>
                  </c:pt>
                  <c:pt idx="5">
                    <c:v>0.06</c:v>
                  </c:pt>
                  <c:pt idx="6">
                    <c:v>0.26</c:v>
                  </c:pt>
                  <c:pt idx="7">
                    <c:v>0.37</c:v>
                  </c:pt>
                  <c:pt idx="8">
                    <c:v>0.23</c:v>
                  </c:pt>
                  <c:pt idx="9">
                    <c:v>0.32</c:v>
                  </c:pt>
                </c:numCache>
              </c:numRef>
            </c:minus>
            <c:spPr>
              <a:noFill/>
              <a:ln w="9525" cap="flat" cmpd="sng" algn="ctr">
                <a:solidFill>
                  <a:schemeClr val="tx1">
                    <a:lumMod val="65000"/>
                    <a:lumOff val="35000"/>
                  </a:schemeClr>
                </a:solidFill>
                <a:round/>
              </a:ln>
              <a:effectLst/>
            </c:spPr>
          </c:errBars>
          <c:cat>
            <c:strRef>
              <c:f>Sheet1!$A$2:$A$11</c:f>
              <c:strCache>
                <c:ptCount val="10"/>
                <c:pt idx="0">
                  <c:v>0th</c:v>
                </c:pt>
                <c:pt idx="1">
                  <c:v>7th</c:v>
                </c:pt>
                <c:pt idx="2">
                  <c:v>14th</c:v>
                </c:pt>
                <c:pt idx="3">
                  <c:v>21th</c:v>
                </c:pt>
                <c:pt idx="4">
                  <c:v>28th</c:v>
                </c:pt>
                <c:pt idx="5">
                  <c:v>35th</c:v>
                </c:pt>
                <c:pt idx="6">
                  <c:v>42nd</c:v>
                </c:pt>
                <c:pt idx="7">
                  <c:v>49th</c:v>
                </c:pt>
                <c:pt idx="8">
                  <c:v>56th</c:v>
                </c:pt>
                <c:pt idx="9">
                  <c:v>63rd</c:v>
                </c:pt>
              </c:strCache>
            </c:strRef>
          </c:cat>
          <c:val>
            <c:numRef>
              <c:f>Sheet1!$C$2:$C$11</c:f>
              <c:numCache>
                <c:formatCode>General</c:formatCode>
                <c:ptCount val="10"/>
                <c:pt idx="0">
                  <c:v>23.07</c:v>
                </c:pt>
                <c:pt idx="1">
                  <c:v>24.97</c:v>
                </c:pt>
                <c:pt idx="2">
                  <c:v>26.57</c:v>
                </c:pt>
                <c:pt idx="3">
                  <c:v>26.47</c:v>
                </c:pt>
                <c:pt idx="4">
                  <c:v>26.6</c:v>
                </c:pt>
                <c:pt idx="5">
                  <c:v>27</c:v>
                </c:pt>
                <c:pt idx="6">
                  <c:v>27.13</c:v>
                </c:pt>
                <c:pt idx="7">
                  <c:v>27.37</c:v>
                </c:pt>
                <c:pt idx="8">
                  <c:v>27.47</c:v>
                </c:pt>
                <c:pt idx="9">
                  <c:v>27.33</c:v>
                </c:pt>
              </c:numCache>
            </c:numRef>
          </c:val>
          <c:smooth val="0"/>
          <c:extLst>
            <c:ext xmlns:c16="http://schemas.microsoft.com/office/drawing/2014/chart" uri="{C3380CC4-5D6E-409C-BE32-E72D297353CC}">
              <c16:uniqueId val="{00000001-351F-410D-B881-075D6B8A5D2E}"/>
            </c:ext>
          </c:extLst>
        </c:ser>
        <c:ser>
          <c:idx val="2"/>
          <c:order val="2"/>
          <c:tx>
            <c:strRef>
              <c:f>Sheet1!$D$1</c:f>
              <c:strCache>
                <c:ptCount val="1"/>
                <c:pt idx="0">
                  <c:v>T2</c:v>
                </c:pt>
              </c:strCache>
            </c:strRef>
          </c:tx>
          <c:spPr>
            <a:ln w="28575" cap="rnd">
              <a:solidFill>
                <a:schemeClr val="accent3"/>
              </a:solidFill>
              <a:round/>
            </a:ln>
            <a:effectLst/>
          </c:spPr>
          <c:marker>
            <c:symbol val="circle"/>
            <c:size val="5"/>
            <c:spPr>
              <a:solidFill>
                <a:schemeClr val="accent3"/>
              </a:solidFill>
              <a:ln w="9525">
                <a:solidFill>
                  <a:schemeClr val="accent3"/>
                </a:solidFill>
              </a:ln>
              <a:effectLst/>
            </c:spPr>
          </c:marker>
          <c:errBars>
            <c:errDir val="y"/>
            <c:errBarType val="both"/>
            <c:errValType val="cust"/>
            <c:noEndCap val="0"/>
            <c:plus>
              <c:numRef>
                <c:f>Sheet1!$G$2:$G$11</c:f>
                <c:numCache>
                  <c:formatCode>General</c:formatCode>
                  <c:ptCount val="10"/>
                  <c:pt idx="0">
                    <c:v>0.09</c:v>
                  </c:pt>
                  <c:pt idx="1">
                    <c:v>0.06</c:v>
                  </c:pt>
                  <c:pt idx="2">
                    <c:v>0.17</c:v>
                  </c:pt>
                  <c:pt idx="3">
                    <c:v>0.19</c:v>
                  </c:pt>
                  <c:pt idx="4">
                    <c:v>0.13</c:v>
                  </c:pt>
                  <c:pt idx="5">
                    <c:v>0.37</c:v>
                  </c:pt>
                  <c:pt idx="6">
                    <c:v>0.52</c:v>
                  </c:pt>
                  <c:pt idx="7">
                    <c:v>0.26</c:v>
                  </c:pt>
                  <c:pt idx="8">
                    <c:v>7.0000000000000007E-2</c:v>
                  </c:pt>
                  <c:pt idx="9">
                    <c:v>0.32</c:v>
                  </c:pt>
                </c:numCache>
              </c:numRef>
            </c:plus>
            <c:minus>
              <c:numRef>
                <c:f>Sheet1!$G$2:$G$11</c:f>
                <c:numCache>
                  <c:formatCode>General</c:formatCode>
                  <c:ptCount val="10"/>
                  <c:pt idx="0">
                    <c:v>0.09</c:v>
                  </c:pt>
                  <c:pt idx="1">
                    <c:v>0.06</c:v>
                  </c:pt>
                  <c:pt idx="2">
                    <c:v>0.17</c:v>
                  </c:pt>
                  <c:pt idx="3">
                    <c:v>0.19</c:v>
                  </c:pt>
                  <c:pt idx="4">
                    <c:v>0.13</c:v>
                  </c:pt>
                  <c:pt idx="5">
                    <c:v>0.37</c:v>
                  </c:pt>
                  <c:pt idx="6">
                    <c:v>0.52</c:v>
                  </c:pt>
                  <c:pt idx="7">
                    <c:v>0.26</c:v>
                  </c:pt>
                  <c:pt idx="8">
                    <c:v>7.0000000000000007E-2</c:v>
                  </c:pt>
                  <c:pt idx="9">
                    <c:v>0.32</c:v>
                  </c:pt>
                </c:numCache>
              </c:numRef>
            </c:minus>
            <c:spPr>
              <a:noFill/>
              <a:ln w="9525" cap="flat" cmpd="sng" algn="ctr">
                <a:solidFill>
                  <a:schemeClr val="tx1">
                    <a:lumMod val="65000"/>
                    <a:lumOff val="35000"/>
                  </a:schemeClr>
                </a:solidFill>
                <a:round/>
              </a:ln>
              <a:effectLst/>
            </c:spPr>
          </c:errBars>
          <c:cat>
            <c:strRef>
              <c:f>Sheet1!$A$2:$A$11</c:f>
              <c:strCache>
                <c:ptCount val="10"/>
                <c:pt idx="0">
                  <c:v>0th</c:v>
                </c:pt>
                <c:pt idx="1">
                  <c:v>7th</c:v>
                </c:pt>
                <c:pt idx="2">
                  <c:v>14th</c:v>
                </c:pt>
                <c:pt idx="3">
                  <c:v>21th</c:v>
                </c:pt>
                <c:pt idx="4">
                  <c:v>28th</c:v>
                </c:pt>
                <c:pt idx="5">
                  <c:v>35th</c:v>
                </c:pt>
                <c:pt idx="6">
                  <c:v>42nd</c:v>
                </c:pt>
                <c:pt idx="7">
                  <c:v>49th</c:v>
                </c:pt>
                <c:pt idx="8">
                  <c:v>56th</c:v>
                </c:pt>
                <c:pt idx="9">
                  <c:v>63rd</c:v>
                </c:pt>
              </c:strCache>
            </c:strRef>
          </c:cat>
          <c:val>
            <c:numRef>
              <c:f>Sheet1!$D$2:$D$11</c:f>
              <c:numCache>
                <c:formatCode>General</c:formatCode>
                <c:ptCount val="10"/>
                <c:pt idx="0">
                  <c:v>23.43</c:v>
                </c:pt>
                <c:pt idx="1">
                  <c:v>25.1</c:v>
                </c:pt>
                <c:pt idx="2">
                  <c:v>27</c:v>
                </c:pt>
                <c:pt idx="3">
                  <c:v>26.97</c:v>
                </c:pt>
                <c:pt idx="4">
                  <c:v>26.57</c:v>
                </c:pt>
                <c:pt idx="5">
                  <c:v>27.27</c:v>
                </c:pt>
                <c:pt idx="6">
                  <c:v>27.33</c:v>
                </c:pt>
                <c:pt idx="7">
                  <c:v>27.33</c:v>
                </c:pt>
                <c:pt idx="8">
                  <c:v>27.47</c:v>
                </c:pt>
                <c:pt idx="9">
                  <c:v>27</c:v>
                </c:pt>
              </c:numCache>
            </c:numRef>
          </c:val>
          <c:smooth val="0"/>
          <c:extLst>
            <c:ext xmlns:c16="http://schemas.microsoft.com/office/drawing/2014/chart" uri="{C3380CC4-5D6E-409C-BE32-E72D297353CC}">
              <c16:uniqueId val="{00000002-351F-410D-B881-075D6B8A5D2E}"/>
            </c:ext>
          </c:extLst>
        </c:ser>
        <c:dLbls>
          <c:showLegendKey val="0"/>
          <c:showVal val="0"/>
          <c:showCatName val="0"/>
          <c:showSerName val="0"/>
          <c:showPercent val="0"/>
          <c:showBubbleSize val="0"/>
        </c:dLbls>
        <c:marker val="1"/>
        <c:smooth val="0"/>
        <c:axId val="1131818064"/>
        <c:axId val="1131827184"/>
      </c:lineChart>
      <c:catAx>
        <c:axId val="1131818064"/>
        <c:scaling>
          <c:orientation val="minMax"/>
        </c:scaling>
        <c:delete val="0"/>
        <c:axPos val="b"/>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IN"/>
                  <a:t>Days</a:t>
                </a:r>
              </a:p>
            </c:rich>
          </c:tx>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s-MX"/>
            </a:p>
          </c:tx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MX"/>
          </a:p>
        </c:txPr>
        <c:crossAx val="1131827184"/>
        <c:crosses val="autoZero"/>
        <c:auto val="1"/>
        <c:lblAlgn val="ctr"/>
        <c:lblOffset val="100"/>
        <c:noMultiLvlLbl val="0"/>
      </c:catAx>
      <c:valAx>
        <c:axId val="1131827184"/>
        <c:scaling>
          <c:orientation val="minMax"/>
          <c:min val="20"/>
        </c:scaling>
        <c:delete val="0"/>
        <c:axPos val="l"/>
        <c:majorGridlines>
          <c:spPr>
            <a:ln w="9525" cap="flat" cmpd="sng" algn="ctr">
              <a:no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IN" sz="1000" b="1" i="0" u="sng" strike="noStrike" baseline="30000">
                    <a:effectLst/>
                  </a:rPr>
                  <a:t>o</a:t>
                </a:r>
                <a:r>
                  <a:rPr lang="en-IN" sz="1000" b="1" i="0" u="sng" strike="noStrike" baseline="0">
                    <a:effectLst/>
                  </a:rPr>
                  <a:t>C</a:t>
                </a:r>
                <a:endParaRPr lang="en-IN" baseline="0"/>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s-MX"/>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MX"/>
          </a:p>
        </c:txPr>
        <c:crossAx val="1131818064"/>
        <c:crosses val="autoZero"/>
        <c:crossBetween val="between"/>
      </c:valAx>
      <c:spPr>
        <a:noFill/>
        <a:ln>
          <a:solidFill>
            <a:schemeClr val="bg1"/>
          </a:solid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noFill/>
      <a:round/>
    </a:ln>
    <a:effectLst/>
  </c:spPr>
  <c:txPr>
    <a:bodyPr/>
    <a:lstStyle/>
    <a:p>
      <a:pPr>
        <a:defRPr/>
      </a:pPr>
      <a:endParaRPr lang="es-MX"/>
    </a:p>
  </c:txPr>
  <c:externalData r:id="rId3">
    <c:autoUpdate val="0"/>
  </c:externalData>
</c:chartSpace>
</file>

<file path=word/charts/chart10.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lang="en-US" sz="1400" b="0" i="0" u="none" strike="noStrike" kern="1200" spc="0" baseline="0">
                <a:solidFill>
                  <a:schemeClr val="tx1">
                    <a:lumMod val="65000"/>
                    <a:lumOff val="35000"/>
                  </a:schemeClr>
                </a:solidFill>
                <a:latin typeface="+mn-lt"/>
                <a:ea typeface="+mn-ea"/>
                <a:cs typeface="+mn-cs"/>
              </a:defRPr>
            </a:pPr>
            <a:r>
              <a:rPr lang="en-IN"/>
              <a:t>Average Weight</a:t>
            </a:r>
          </a:p>
        </c:rich>
      </c:tx>
      <c:overlay val="0"/>
      <c:spPr>
        <a:noFill/>
        <a:ln>
          <a:noFill/>
        </a:ln>
        <a:effectLst/>
      </c:spPr>
      <c:txPr>
        <a:bodyPr rot="0" spcFirstLastPara="1" vertOverflow="ellipsis" vert="horz" wrap="square" anchor="ctr" anchorCtr="1"/>
        <a:lstStyle/>
        <a:p>
          <a:pPr>
            <a:defRPr lang="en-US" sz="1400" b="0" i="0" u="none" strike="noStrike" kern="1200" spc="0" baseline="0">
              <a:solidFill>
                <a:schemeClr val="tx1">
                  <a:lumMod val="65000"/>
                  <a:lumOff val="35000"/>
                </a:schemeClr>
              </a:solidFill>
              <a:latin typeface="+mn-lt"/>
              <a:ea typeface="+mn-ea"/>
              <a:cs typeface="+mn-cs"/>
            </a:defRPr>
          </a:pPr>
          <a:endParaRPr lang="es-MX"/>
        </a:p>
      </c:txPr>
    </c:title>
    <c:autoTitleDeleted val="0"/>
    <c:plotArea>
      <c:layout/>
      <c:barChart>
        <c:barDir val="col"/>
        <c:grouping val="clustered"/>
        <c:varyColors val="0"/>
        <c:ser>
          <c:idx val="0"/>
          <c:order val="0"/>
          <c:tx>
            <c:strRef>
              <c:f>Sheet1!$B$1</c:f>
              <c:strCache>
                <c:ptCount val="1"/>
                <c:pt idx="0">
                  <c:v>C</c:v>
                </c:pt>
              </c:strCache>
            </c:strRef>
          </c:tx>
          <c:spPr>
            <a:solidFill>
              <a:schemeClr val="accent1"/>
            </a:solidFill>
            <a:ln>
              <a:noFill/>
            </a:ln>
            <a:effectLst/>
          </c:spPr>
          <c:invertIfNegative val="0"/>
          <c:errBars>
            <c:errBarType val="both"/>
            <c:errValType val="cust"/>
            <c:noEndCap val="0"/>
            <c:plus>
              <c:numRef>
                <c:f>Sheet1!$E$2:$E$4</c:f>
                <c:numCache>
                  <c:formatCode>General</c:formatCode>
                  <c:ptCount val="3"/>
                  <c:pt idx="0">
                    <c:v>0.19</c:v>
                  </c:pt>
                  <c:pt idx="1">
                    <c:v>0.56999999999999995</c:v>
                  </c:pt>
                  <c:pt idx="2">
                    <c:v>0.21</c:v>
                  </c:pt>
                </c:numCache>
              </c:numRef>
            </c:plus>
            <c:minus>
              <c:numRef>
                <c:f>Sheet1!$E$2:$E$4</c:f>
                <c:numCache>
                  <c:formatCode>General</c:formatCode>
                  <c:ptCount val="3"/>
                  <c:pt idx="0">
                    <c:v>0.19</c:v>
                  </c:pt>
                  <c:pt idx="1">
                    <c:v>0.56999999999999995</c:v>
                  </c:pt>
                  <c:pt idx="2">
                    <c:v>0.21</c:v>
                  </c:pt>
                </c:numCache>
              </c:numRef>
            </c:minus>
            <c:spPr>
              <a:noFill/>
              <a:ln w="9525" cap="flat" cmpd="sng" algn="ctr">
                <a:solidFill>
                  <a:schemeClr val="tx1">
                    <a:lumMod val="65000"/>
                    <a:lumOff val="35000"/>
                  </a:schemeClr>
                </a:solidFill>
                <a:round/>
              </a:ln>
              <a:effectLst/>
            </c:spPr>
          </c:errBars>
          <c:cat>
            <c:strRef>
              <c:f>Sheet1!$A$2:$A$4</c:f>
              <c:strCache>
                <c:ptCount val="3"/>
                <c:pt idx="0">
                  <c:v>20th</c:v>
                </c:pt>
                <c:pt idx="1">
                  <c:v>40th</c:v>
                </c:pt>
                <c:pt idx="2">
                  <c:v>60th</c:v>
                </c:pt>
              </c:strCache>
            </c:strRef>
          </c:cat>
          <c:val>
            <c:numRef>
              <c:f>Sheet1!$B$2:$B$4</c:f>
              <c:numCache>
                <c:formatCode>General</c:formatCode>
                <c:ptCount val="3"/>
                <c:pt idx="0">
                  <c:v>0.94</c:v>
                </c:pt>
                <c:pt idx="1">
                  <c:v>2.41</c:v>
                </c:pt>
                <c:pt idx="2">
                  <c:v>4.5999999999999996</c:v>
                </c:pt>
              </c:numCache>
            </c:numRef>
          </c:val>
          <c:extLst>
            <c:ext xmlns:c16="http://schemas.microsoft.com/office/drawing/2014/chart" uri="{C3380CC4-5D6E-409C-BE32-E72D297353CC}">
              <c16:uniqueId val="{00000000-67F9-47BC-98FA-ADBA6635F5CF}"/>
            </c:ext>
          </c:extLst>
        </c:ser>
        <c:ser>
          <c:idx val="1"/>
          <c:order val="1"/>
          <c:tx>
            <c:strRef>
              <c:f>Sheet1!$C$1</c:f>
              <c:strCache>
                <c:ptCount val="1"/>
                <c:pt idx="0">
                  <c:v>T1</c:v>
                </c:pt>
              </c:strCache>
            </c:strRef>
          </c:tx>
          <c:spPr>
            <a:solidFill>
              <a:schemeClr val="accent2"/>
            </a:solidFill>
            <a:ln>
              <a:noFill/>
            </a:ln>
            <a:effectLst/>
          </c:spPr>
          <c:invertIfNegative val="0"/>
          <c:errBars>
            <c:errBarType val="both"/>
            <c:errValType val="cust"/>
            <c:noEndCap val="0"/>
            <c:plus>
              <c:numRef>
                <c:f>Sheet1!$F$2:$F$4</c:f>
                <c:numCache>
                  <c:formatCode>General</c:formatCode>
                  <c:ptCount val="3"/>
                  <c:pt idx="0">
                    <c:v>0.17</c:v>
                  </c:pt>
                  <c:pt idx="1">
                    <c:v>0.25</c:v>
                  </c:pt>
                  <c:pt idx="2">
                    <c:v>0.23</c:v>
                  </c:pt>
                </c:numCache>
              </c:numRef>
            </c:plus>
            <c:minus>
              <c:numRef>
                <c:f>Sheet1!$F$2:$F$4</c:f>
                <c:numCache>
                  <c:formatCode>General</c:formatCode>
                  <c:ptCount val="3"/>
                  <c:pt idx="0">
                    <c:v>0.17</c:v>
                  </c:pt>
                  <c:pt idx="1">
                    <c:v>0.25</c:v>
                  </c:pt>
                  <c:pt idx="2">
                    <c:v>0.23</c:v>
                  </c:pt>
                </c:numCache>
              </c:numRef>
            </c:minus>
            <c:spPr>
              <a:noFill/>
              <a:ln w="9525" cap="flat" cmpd="sng" algn="ctr">
                <a:solidFill>
                  <a:schemeClr val="tx1">
                    <a:lumMod val="65000"/>
                    <a:lumOff val="35000"/>
                  </a:schemeClr>
                </a:solidFill>
                <a:round/>
              </a:ln>
              <a:effectLst/>
            </c:spPr>
          </c:errBars>
          <c:cat>
            <c:strRef>
              <c:f>Sheet1!$A$2:$A$4</c:f>
              <c:strCache>
                <c:ptCount val="3"/>
                <c:pt idx="0">
                  <c:v>20th</c:v>
                </c:pt>
                <c:pt idx="1">
                  <c:v>40th</c:v>
                </c:pt>
                <c:pt idx="2">
                  <c:v>60th</c:v>
                </c:pt>
              </c:strCache>
            </c:strRef>
          </c:cat>
          <c:val>
            <c:numRef>
              <c:f>Sheet1!$C$2:$C$4</c:f>
              <c:numCache>
                <c:formatCode>General</c:formatCode>
                <c:ptCount val="3"/>
                <c:pt idx="0">
                  <c:v>0.67</c:v>
                </c:pt>
                <c:pt idx="1">
                  <c:v>2.5299999999999998</c:v>
                </c:pt>
                <c:pt idx="2">
                  <c:v>3.81</c:v>
                </c:pt>
              </c:numCache>
            </c:numRef>
          </c:val>
          <c:extLst>
            <c:ext xmlns:c16="http://schemas.microsoft.com/office/drawing/2014/chart" uri="{C3380CC4-5D6E-409C-BE32-E72D297353CC}">
              <c16:uniqueId val="{00000001-67F9-47BC-98FA-ADBA6635F5CF}"/>
            </c:ext>
          </c:extLst>
        </c:ser>
        <c:ser>
          <c:idx val="2"/>
          <c:order val="2"/>
          <c:tx>
            <c:strRef>
              <c:f>Sheet1!$D$1</c:f>
              <c:strCache>
                <c:ptCount val="1"/>
                <c:pt idx="0">
                  <c:v>T2</c:v>
                </c:pt>
              </c:strCache>
            </c:strRef>
          </c:tx>
          <c:spPr>
            <a:solidFill>
              <a:schemeClr val="accent3"/>
            </a:solidFill>
            <a:ln>
              <a:noFill/>
            </a:ln>
            <a:effectLst/>
          </c:spPr>
          <c:invertIfNegative val="0"/>
          <c:errBars>
            <c:errBarType val="both"/>
            <c:errValType val="cust"/>
            <c:noEndCap val="0"/>
            <c:plus>
              <c:numRef>
                <c:f>Sheet1!$G$2:$G$4</c:f>
                <c:numCache>
                  <c:formatCode>General</c:formatCode>
                  <c:ptCount val="3"/>
                  <c:pt idx="0">
                    <c:v>0.14000000000000001</c:v>
                  </c:pt>
                  <c:pt idx="1">
                    <c:v>0.5</c:v>
                  </c:pt>
                  <c:pt idx="2">
                    <c:v>0.52</c:v>
                  </c:pt>
                </c:numCache>
              </c:numRef>
            </c:plus>
            <c:minus>
              <c:numRef>
                <c:f>Sheet1!$G$2:$G$4</c:f>
                <c:numCache>
                  <c:formatCode>General</c:formatCode>
                  <c:ptCount val="3"/>
                  <c:pt idx="0">
                    <c:v>0.14000000000000001</c:v>
                  </c:pt>
                  <c:pt idx="1">
                    <c:v>0.5</c:v>
                  </c:pt>
                  <c:pt idx="2">
                    <c:v>0.52</c:v>
                  </c:pt>
                </c:numCache>
              </c:numRef>
            </c:minus>
            <c:spPr>
              <a:noFill/>
              <a:ln w="9525" cap="flat" cmpd="sng" algn="ctr">
                <a:solidFill>
                  <a:schemeClr val="tx1">
                    <a:lumMod val="65000"/>
                    <a:lumOff val="35000"/>
                  </a:schemeClr>
                </a:solidFill>
                <a:round/>
              </a:ln>
              <a:effectLst/>
            </c:spPr>
          </c:errBars>
          <c:cat>
            <c:strRef>
              <c:f>Sheet1!$A$2:$A$4</c:f>
              <c:strCache>
                <c:ptCount val="3"/>
                <c:pt idx="0">
                  <c:v>20th</c:v>
                </c:pt>
                <c:pt idx="1">
                  <c:v>40th</c:v>
                </c:pt>
                <c:pt idx="2">
                  <c:v>60th</c:v>
                </c:pt>
              </c:strCache>
            </c:strRef>
          </c:cat>
          <c:val>
            <c:numRef>
              <c:f>Sheet1!$D$2:$D$4</c:f>
              <c:numCache>
                <c:formatCode>General</c:formatCode>
                <c:ptCount val="3"/>
                <c:pt idx="0">
                  <c:v>1.38</c:v>
                </c:pt>
                <c:pt idx="1">
                  <c:v>3.46</c:v>
                </c:pt>
                <c:pt idx="2">
                  <c:v>4.7300000000000004</c:v>
                </c:pt>
              </c:numCache>
            </c:numRef>
          </c:val>
          <c:extLst>
            <c:ext xmlns:c16="http://schemas.microsoft.com/office/drawing/2014/chart" uri="{C3380CC4-5D6E-409C-BE32-E72D297353CC}">
              <c16:uniqueId val="{00000002-67F9-47BC-98FA-ADBA6635F5CF}"/>
            </c:ext>
          </c:extLst>
        </c:ser>
        <c:dLbls>
          <c:showLegendKey val="0"/>
          <c:showVal val="0"/>
          <c:showCatName val="0"/>
          <c:showSerName val="0"/>
          <c:showPercent val="0"/>
          <c:showBubbleSize val="0"/>
        </c:dLbls>
        <c:gapWidth val="219"/>
        <c:overlap val="-27"/>
        <c:axId val="224596576"/>
        <c:axId val="224610016"/>
      </c:barChart>
      <c:catAx>
        <c:axId val="224596576"/>
        <c:scaling>
          <c:orientation val="minMax"/>
        </c:scaling>
        <c:delete val="0"/>
        <c:axPos val="b"/>
        <c:title>
          <c:tx>
            <c:rich>
              <a:bodyPr rot="0" spcFirstLastPara="1" vertOverflow="ellipsis" vert="horz" wrap="square" anchor="ctr" anchorCtr="1"/>
              <a:lstStyle/>
              <a:p>
                <a:pPr>
                  <a:defRPr lang="en-US" sz="1000" b="0" i="0" u="none" strike="noStrike" kern="1200" baseline="0">
                    <a:solidFill>
                      <a:schemeClr val="tx1">
                        <a:lumMod val="65000"/>
                        <a:lumOff val="35000"/>
                      </a:schemeClr>
                    </a:solidFill>
                    <a:latin typeface="+mn-lt"/>
                    <a:ea typeface="+mn-ea"/>
                    <a:cs typeface="+mn-cs"/>
                  </a:defRPr>
                </a:pPr>
                <a:r>
                  <a:rPr lang="en-IN"/>
                  <a:t>Days</a:t>
                </a:r>
              </a:p>
            </c:rich>
          </c:tx>
          <c:overlay val="0"/>
          <c:spPr>
            <a:noFill/>
            <a:ln>
              <a:noFill/>
            </a:ln>
            <a:effectLst/>
          </c:spPr>
          <c:txPr>
            <a:bodyPr rot="0" spcFirstLastPara="1" vertOverflow="ellipsis" vert="horz" wrap="square" anchor="ctr" anchorCtr="1"/>
            <a:lstStyle/>
            <a:p>
              <a:pPr>
                <a:defRPr lang="en-US" sz="1000" b="0" i="0" u="none" strike="noStrike" kern="1200" baseline="0">
                  <a:solidFill>
                    <a:schemeClr val="tx1">
                      <a:lumMod val="65000"/>
                      <a:lumOff val="35000"/>
                    </a:schemeClr>
                  </a:solidFill>
                  <a:latin typeface="+mn-lt"/>
                  <a:ea typeface="+mn-ea"/>
                  <a:cs typeface="+mn-cs"/>
                </a:defRPr>
              </a:pPr>
              <a:endParaRPr lang="es-MX"/>
            </a:p>
          </c:tx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lang="en-US" sz="900" b="0" i="0" u="none" strike="noStrike" kern="1200" baseline="0">
                <a:solidFill>
                  <a:schemeClr val="tx1">
                    <a:lumMod val="65000"/>
                    <a:lumOff val="35000"/>
                  </a:schemeClr>
                </a:solidFill>
                <a:latin typeface="+mn-lt"/>
                <a:ea typeface="+mn-ea"/>
                <a:cs typeface="+mn-cs"/>
              </a:defRPr>
            </a:pPr>
            <a:endParaRPr lang="es-MX"/>
          </a:p>
        </c:txPr>
        <c:crossAx val="224610016"/>
        <c:crosses val="autoZero"/>
        <c:auto val="1"/>
        <c:lblAlgn val="ctr"/>
        <c:lblOffset val="100"/>
        <c:noMultiLvlLbl val="0"/>
      </c:catAx>
      <c:valAx>
        <c:axId val="224610016"/>
        <c:scaling>
          <c:orientation val="minMax"/>
        </c:scaling>
        <c:delete val="0"/>
        <c:axPos val="l"/>
        <c:majorGridlines>
          <c:spPr>
            <a:ln w="9525" cap="flat" cmpd="sng" algn="ctr">
              <a:noFill/>
              <a:round/>
            </a:ln>
            <a:effectLst/>
          </c:spPr>
        </c:majorGridlines>
        <c:title>
          <c:tx>
            <c:rich>
              <a:bodyPr rot="-5400000" spcFirstLastPara="1" vertOverflow="ellipsis" vert="horz" wrap="square" anchor="ctr" anchorCtr="1"/>
              <a:lstStyle/>
              <a:p>
                <a:pPr>
                  <a:defRPr lang="en-US" sz="1000" b="0" i="0" u="none" strike="noStrike" kern="1200" baseline="0">
                    <a:solidFill>
                      <a:schemeClr val="tx1">
                        <a:lumMod val="65000"/>
                        <a:lumOff val="35000"/>
                      </a:schemeClr>
                    </a:solidFill>
                    <a:latin typeface="+mn-lt"/>
                    <a:ea typeface="+mn-ea"/>
                    <a:cs typeface="+mn-cs"/>
                  </a:defRPr>
                </a:pPr>
                <a:r>
                  <a:rPr lang="en-IN"/>
                  <a:t>g/day</a:t>
                </a:r>
              </a:p>
            </c:rich>
          </c:tx>
          <c:overlay val="0"/>
          <c:spPr>
            <a:noFill/>
            <a:ln>
              <a:noFill/>
            </a:ln>
            <a:effectLst/>
          </c:spPr>
          <c:txPr>
            <a:bodyPr rot="-5400000" spcFirstLastPara="1" vertOverflow="ellipsis" vert="horz" wrap="square" anchor="ctr" anchorCtr="1"/>
            <a:lstStyle/>
            <a:p>
              <a:pPr>
                <a:defRPr lang="en-US" sz="1000" b="0" i="0" u="none" strike="noStrike" kern="1200" baseline="0">
                  <a:solidFill>
                    <a:schemeClr val="tx1">
                      <a:lumMod val="65000"/>
                      <a:lumOff val="35000"/>
                    </a:schemeClr>
                  </a:solidFill>
                  <a:latin typeface="+mn-lt"/>
                  <a:ea typeface="+mn-ea"/>
                  <a:cs typeface="+mn-cs"/>
                </a:defRPr>
              </a:pPr>
              <a:endParaRPr lang="es-MX"/>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lang="en-US" sz="900" b="0" i="0" u="none" strike="noStrike" kern="1200" baseline="0">
                <a:solidFill>
                  <a:schemeClr val="tx1">
                    <a:lumMod val="65000"/>
                    <a:lumOff val="35000"/>
                  </a:schemeClr>
                </a:solidFill>
                <a:latin typeface="+mn-lt"/>
                <a:ea typeface="+mn-ea"/>
                <a:cs typeface="+mn-cs"/>
              </a:defRPr>
            </a:pPr>
            <a:endParaRPr lang="es-MX"/>
          </a:p>
        </c:txPr>
        <c:crossAx val="224596576"/>
        <c:crosses val="autoZero"/>
        <c:crossBetween val="between"/>
      </c:valAx>
      <c:spPr>
        <a:noFill/>
        <a:ln>
          <a:noFill/>
        </a:ln>
        <a:effectLst/>
      </c:spPr>
    </c:plotArea>
    <c:legend>
      <c:legendPos val="b"/>
      <c:overlay val="0"/>
      <c:spPr>
        <a:noFill/>
        <a:ln>
          <a:solidFill>
            <a:schemeClr val="tx1"/>
          </a:solidFill>
        </a:ln>
        <a:effectLst/>
      </c:spPr>
      <c:txPr>
        <a:bodyPr rot="0" spcFirstLastPara="1" vertOverflow="ellipsis" vert="horz" wrap="square" anchor="ctr" anchorCtr="1"/>
        <a:lstStyle/>
        <a:p>
          <a:pPr>
            <a:defRPr lang="en-US" sz="900" b="0" i="0" u="none" strike="noStrike" kern="1200" baseline="0">
              <a:ln>
                <a:noFill/>
              </a:ln>
              <a:solidFill>
                <a:schemeClr val="tx1">
                  <a:lumMod val="65000"/>
                  <a:lumOff val="35000"/>
                </a:schemeClr>
              </a:solidFill>
              <a:latin typeface="+mn-lt"/>
              <a:ea typeface="+mn-ea"/>
              <a:cs typeface="+mn-cs"/>
            </a:defRPr>
          </a:pPr>
          <a:endParaRPr lang="es-MX"/>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noFill/>
      <a:round/>
    </a:ln>
    <a:effectLst/>
  </c:spPr>
  <c:txPr>
    <a:bodyPr/>
    <a:lstStyle/>
    <a:p>
      <a:pPr>
        <a:defRPr lang="en-US"/>
      </a:pPr>
      <a:endParaRPr lang="es-MX"/>
    </a:p>
  </c:txPr>
  <c:externalData r:id="rId3">
    <c:autoUpdate val="0"/>
  </c:externalData>
</c:chartSpace>
</file>

<file path=word/charts/chart1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lang="en-US" sz="1400" b="0" i="0" u="none" strike="noStrike" kern="1200" spc="0" baseline="0">
                <a:solidFill>
                  <a:schemeClr val="tx1">
                    <a:lumMod val="65000"/>
                    <a:lumOff val="35000"/>
                  </a:schemeClr>
                </a:solidFill>
                <a:latin typeface="+mn-lt"/>
                <a:ea typeface="+mn-ea"/>
                <a:cs typeface="+mn-cs"/>
              </a:defRPr>
            </a:pPr>
            <a:r>
              <a:rPr lang="en-IN"/>
              <a:t>Average Weight</a:t>
            </a:r>
          </a:p>
        </c:rich>
      </c:tx>
      <c:overlay val="0"/>
      <c:spPr>
        <a:noFill/>
        <a:ln>
          <a:noFill/>
        </a:ln>
        <a:effectLst/>
      </c:spPr>
      <c:txPr>
        <a:bodyPr rot="0" spcFirstLastPara="1" vertOverflow="ellipsis" vert="horz" wrap="square" anchor="ctr" anchorCtr="1"/>
        <a:lstStyle/>
        <a:p>
          <a:pPr>
            <a:defRPr lang="en-US" sz="1400" b="0" i="0" u="none" strike="noStrike" kern="1200" spc="0" baseline="0">
              <a:solidFill>
                <a:schemeClr val="tx1">
                  <a:lumMod val="65000"/>
                  <a:lumOff val="35000"/>
                </a:schemeClr>
              </a:solidFill>
              <a:latin typeface="+mn-lt"/>
              <a:ea typeface="+mn-ea"/>
              <a:cs typeface="+mn-cs"/>
            </a:defRPr>
          </a:pPr>
          <a:endParaRPr lang="es-MX"/>
        </a:p>
      </c:txPr>
    </c:title>
    <c:autoTitleDeleted val="0"/>
    <c:plotArea>
      <c:layout/>
      <c:barChart>
        <c:barDir val="col"/>
        <c:grouping val="clustered"/>
        <c:varyColors val="0"/>
        <c:ser>
          <c:idx val="0"/>
          <c:order val="0"/>
          <c:tx>
            <c:strRef>
              <c:f>Sheet1!$B$1</c:f>
              <c:strCache>
                <c:ptCount val="1"/>
                <c:pt idx="0">
                  <c:v>C</c:v>
                </c:pt>
              </c:strCache>
            </c:strRef>
          </c:tx>
          <c:spPr>
            <a:solidFill>
              <a:schemeClr val="accent1"/>
            </a:solidFill>
            <a:ln>
              <a:noFill/>
            </a:ln>
            <a:effectLst/>
          </c:spPr>
          <c:invertIfNegative val="0"/>
          <c:errBars>
            <c:errBarType val="both"/>
            <c:errValType val="cust"/>
            <c:noEndCap val="0"/>
            <c:plus>
              <c:numRef>
                <c:f>Sheet1!$E$2:$E$4</c:f>
                <c:numCache>
                  <c:formatCode>General</c:formatCode>
                  <c:ptCount val="3"/>
                  <c:pt idx="0">
                    <c:v>0.19</c:v>
                  </c:pt>
                  <c:pt idx="1">
                    <c:v>0.56999999999999995</c:v>
                  </c:pt>
                  <c:pt idx="2">
                    <c:v>0.21</c:v>
                  </c:pt>
                </c:numCache>
              </c:numRef>
            </c:plus>
            <c:minus>
              <c:numRef>
                <c:f>Sheet1!$E$2:$E$4</c:f>
                <c:numCache>
                  <c:formatCode>General</c:formatCode>
                  <c:ptCount val="3"/>
                  <c:pt idx="0">
                    <c:v>0.19</c:v>
                  </c:pt>
                  <c:pt idx="1">
                    <c:v>0.56999999999999995</c:v>
                  </c:pt>
                  <c:pt idx="2">
                    <c:v>0.21</c:v>
                  </c:pt>
                </c:numCache>
              </c:numRef>
            </c:minus>
            <c:spPr>
              <a:noFill/>
              <a:ln w="9525" cap="flat" cmpd="sng" algn="ctr">
                <a:solidFill>
                  <a:schemeClr val="tx1">
                    <a:lumMod val="65000"/>
                    <a:lumOff val="35000"/>
                  </a:schemeClr>
                </a:solidFill>
                <a:round/>
              </a:ln>
              <a:effectLst/>
            </c:spPr>
          </c:errBars>
          <c:cat>
            <c:strRef>
              <c:f>Sheet1!$A$2:$A$4</c:f>
              <c:strCache>
                <c:ptCount val="3"/>
                <c:pt idx="0">
                  <c:v>20th</c:v>
                </c:pt>
                <c:pt idx="1">
                  <c:v>40th</c:v>
                </c:pt>
                <c:pt idx="2">
                  <c:v>60th</c:v>
                </c:pt>
              </c:strCache>
            </c:strRef>
          </c:cat>
          <c:val>
            <c:numRef>
              <c:f>Sheet1!$B$2:$B$4</c:f>
              <c:numCache>
                <c:formatCode>General</c:formatCode>
                <c:ptCount val="3"/>
                <c:pt idx="0">
                  <c:v>0.94</c:v>
                </c:pt>
                <c:pt idx="1">
                  <c:v>2.41</c:v>
                </c:pt>
                <c:pt idx="2">
                  <c:v>4.5999999999999996</c:v>
                </c:pt>
              </c:numCache>
            </c:numRef>
          </c:val>
          <c:extLst>
            <c:ext xmlns:c16="http://schemas.microsoft.com/office/drawing/2014/chart" uri="{C3380CC4-5D6E-409C-BE32-E72D297353CC}">
              <c16:uniqueId val="{00000000-7F77-4EB7-B6A9-A7678C76DA41}"/>
            </c:ext>
          </c:extLst>
        </c:ser>
        <c:ser>
          <c:idx val="1"/>
          <c:order val="1"/>
          <c:tx>
            <c:strRef>
              <c:f>Sheet1!$C$1</c:f>
              <c:strCache>
                <c:ptCount val="1"/>
                <c:pt idx="0">
                  <c:v>T1</c:v>
                </c:pt>
              </c:strCache>
            </c:strRef>
          </c:tx>
          <c:spPr>
            <a:solidFill>
              <a:schemeClr val="accent2"/>
            </a:solidFill>
            <a:ln>
              <a:noFill/>
            </a:ln>
            <a:effectLst/>
          </c:spPr>
          <c:invertIfNegative val="0"/>
          <c:errBars>
            <c:errBarType val="both"/>
            <c:errValType val="cust"/>
            <c:noEndCap val="0"/>
            <c:plus>
              <c:numRef>
                <c:f>Sheet1!$F$2:$F$4</c:f>
                <c:numCache>
                  <c:formatCode>General</c:formatCode>
                  <c:ptCount val="3"/>
                  <c:pt idx="0">
                    <c:v>0.17</c:v>
                  </c:pt>
                  <c:pt idx="1">
                    <c:v>0.25</c:v>
                  </c:pt>
                  <c:pt idx="2">
                    <c:v>0.23</c:v>
                  </c:pt>
                </c:numCache>
              </c:numRef>
            </c:plus>
            <c:minus>
              <c:numRef>
                <c:f>Sheet1!$F$2:$F$4</c:f>
                <c:numCache>
                  <c:formatCode>General</c:formatCode>
                  <c:ptCount val="3"/>
                  <c:pt idx="0">
                    <c:v>0.17</c:v>
                  </c:pt>
                  <c:pt idx="1">
                    <c:v>0.25</c:v>
                  </c:pt>
                  <c:pt idx="2">
                    <c:v>0.23</c:v>
                  </c:pt>
                </c:numCache>
              </c:numRef>
            </c:minus>
            <c:spPr>
              <a:noFill/>
              <a:ln w="9525" cap="flat" cmpd="sng" algn="ctr">
                <a:solidFill>
                  <a:schemeClr val="tx1">
                    <a:lumMod val="65000"/>
                    <a:lumOff val="35000"/>
                  </a:schemeClr>
                </a:solidFill>
                <a:round/>
              </a:ln>
              <a:effectLst/>
            </c:spPr>
          </c:errBars>
          <c:cat>
            <c:strRef>
              <c:f>Sheet1!$A$2:$A$4</c:f>
              <c:strCache>
                <c:ptCount val="3"/>
                <c:pt idx="0">
                  <c:v>20th</c:v>
                </c:pt>
                <c:pt idx="1">
                  <c:v>40th</c:v>
                </c:pt>
                <c:pt idx="2">
                  <c:v>60th</c:v>
                </c:pt>
              </c:strCache>
            </c:strRef>
          </c:cat>
          <c:val>
            <c:numRef>
              <c:f>Sheet1!$C$2:$C$4</c:f>
              <c:numCache>
                <c:formatCode>General</c:formatCode>
                <c:ptCount val="3"/>
                <c:pt idx="0">
                  <c:v>0.67</c:v>
                </c:pt>
                <c:pt idx="1">
                  <c:v>2.5299999999999998</c:v>
                </c:pt>
                <c:pt idx="2">
                  <c:v>3.81</c:v>
                </c:pt>
              </c:numCache>
            </c:numRef>
          </c:val>
          <c:extLst>
            <c:ext xmlns:c16="http://schemas.microsoft.com/office/drawing/2014/chart" uri="{C3380CC4-5D6E-409C-BE32-E72D297353CC}">
              <c16:uniqueId val="{00000001-7F77-4EB7-B6A9-A7678C76DA41}"/>
            </c:ext>
          </c:extLst>
        </c:ser>
        <c:ser>
          <c:idx val="2"/>
          <c:order val="2"/>
          <c:tx>
            <c:strRef>
              <c:f>Sheet1!$D$1</c:f>
              <c:strCache>
                <c:ptCount val="1"/>
                <c:pt idx="0">
                  <c:v>T2</c:v>
                </c:pt>
              </c:strCache>
            </c:strRef>
          </c:tx>
          <c:spPr>
            <a:solidFill>
              <a:schemeClr val="accent3"/>
            </a:solidFill>
            <a:ln>
              <a:noFill/>
            </a:ln>
            <a:effectLst/>
          </c:spPr>
          <c:invertIfNegative val="0"/>
          <c:errBars>
            <c:errBarType val="both"/>
            <c:errValType val="cust"/>
            <c:noEndCap val="0"/>
            <c:plus>
              <c:numRef>
                <c:f>Sheet1!$G$2:$G$4</c:f>
                <c:numCache>
                  <c:formatCode>General</c:formatCode>
                  <c:ptCount val="3"/>
                  <c:pt idx="0">
                    <c:v>0.14000000000000001</c:v>
                  </c:pt>
                  <c:pt idx="1">
                    <c:v>0.5</c:v>
                  </c:pt>
                  <c:pt idx="2">
                    <c:v>0.52</c:v>
                  </c:pt>
                </c:numCache>
              </c:numRef>
            </c:plus>
            <c:minus>
              <c:numRef>
                <c:f>Sheet1!$G$2:$G$4</c:f>
                <c:numCache>
                  <c:formatCode>General</c:formatCode>
                  <c:ptCount val="3"/>
                  <c:pt idx="0">
                    <c:v>0.14000000000000001</c:v>
                  </c:pt>
                  <c:pt idx="1">
                    <c:v>0.5</c:v>
                  </c:pt>
                  <c:pt idx="2">
                    <c:v>0.52</c:v>
                  </c:pt>
                </c:numCache>
              </c:numRef>
            </c:minus>
            <c:spPr>
              <a:noFill/>
              <a:ln w="9525" cap="flat" cmpd="sng" algn="ctr">
                <a:solidFill>
                  <a:schemeClr val="tx1">
                    <a:lumMod val="65000"/>
                    <a:lumOff val="35000"/>
                  </a:schemeClr>
                </a:solidFill>
                <a:round/>
              </a:ln>
              <a:effectLst/>
            </c:spPr>
          </c:errBars>
          <c:cat>
            <c:strRef>
              <c:f>Sheet1!$A$2:$A$4</c:f>
              <c:strCache>
                <c:ptCount val="3"/>
                <c:pt idx="0">
                  <c:v>20th</c:v>
                </c:pt>
                <c:pt idx="1">
                  <c:v>40th</c:v>
                </c:pt>
                <c:pt idx="2">
                  <c:v>60th</c:v>
                </c:pt>
              </c:strCache>
            </c:strRef>
          </c:cat>
          <c:val>
            <c:numRef>
              <c:f>Sheet1!$D$2:$D$4</c:f>
              <c:numCache>
                <c:formatCode>General</c:formatCode>
                <c:ptCount val="3"/>
                <c:pt idx="0">
                  <c:v>1.38</c:v>
                </c:pt>
                <c:pt idx="1">
                  <c:v>3.46</c:v>
                </c:pt>
                <c:pt idx="2">
                  <c:v>4.7300000000000004</c:v>
                </c:pt>
              </c:numCache>
            </c:numRef>
          </c:val>
          <c:extLst>
            <c:ext xmlns:c16="http://schemas.microsoft.com/office/drawing/2014/chart" uri="{C3380CC4-5D6E-409C-BE32-E72D297353CC}">
              <c16:uniqueId val="{00000002-7F77-4EB7-B6A9-A7678C76DA41}"/>
            </c:ext>
          </c:extLst>
        </c:ser>
        <c:dLbls>
          <c:showLegendKey val="0"/>
          <c:showVal val="0"/>
          <c:showCatName val="0"/>
          <c:showSerName val="0"/>
          <c:showPercent val="0"/>
          <c:showBubbleSize val="0"/>
        </c:dLbls>
        <c:gapWidth val="219"/>
        <c:overlap val="-27"/>
        <c:axId val="224596576"/>
        <c:axId val="224610016"/>
      </c:barChart>
      <c:catAx>
        <c:axId val="224596576"/>
        <c:scaling>
          <c:orientation val="minMax"/>
        </c:scaling>
        <c:delete val="0"/>
        <c:axPos val="b"/>
        <c:title>
          <c:tx>
            <c:rich>
              <a:bodyPr rot="0" spcFirstLastPara="1" vertOverflow="ellipsis" vert="horz" wrap="square" anchor="ctr" anchorCtr="1"/>
              <a:lstStyle/>
              <a:p>
                <a:pPr>
                  <a:defRPr lang="en-US" sz="1000" b="0" i="0" u="none" strike="noStrike" kern="1200" baseline="0">
                    <a:solidFill>
                      <a:schemeClr val="tx1">
                        <a:lumMod val="65000"/>
                        <a:lumOff val="35000"/>
                      </a:schemeClr>
                    </a:solidFill>
                    <a:latin typeface="+mn-lt"/>
                    <a:ea typeface="+mn-ea"/>
                    <a:cs typeface="+mn-cs"/>
                  </a:defRPr>
                </a:pPr>
                <a:r>
                  <a:rPr lang="en-IN"/>
                  <a:t>Days</a:t>
                </a:r>
              </a:p>
            </c:rich>
          </c:tx>
          <c:overlay val="0"/>
          <c:spPr>
            <a:noFill/>
            <a:ln>
              <a:noFill/>
            </a:ln>
            <a:effectLst/>
          </c:spPr>
          <c:txPr>
            <a:bodyPr rot="0" spcFirstLastPara="1" vertOverflow="ellipsis" vert="horz" wrap="square" anchor="ctr" anchorCtr="1"/>
            <a:lstStyle/>
            <a:p>
              <a:pPr>
                <a:defRPr lang="en-US" sz="1000" b="0" i="0" u="none" strike="noStrike" kern="1200" baseline="0">
                  <a:solidFill>
                    <a:schemeClr val="tx1">
                      <a:lumMod val="65000"/>
                      <a:lumOff val="35000"/>
                    </a:schemeClr>
                  </a:solidFill>
                  <a:latin typeface="+mn-lt"/>
                  <a:ea typeface="+mn-ea"/>
                  <a:cs typeface="+mn-cs"/>
                </a:defRPr>
              </a:pPr>
              <a:endParaRPr lang="es-MX"/>
            </a:p>
          </c:tx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lang="en-US" sz="900" b="0" i="0" u="none" strike="noStrike" kern="1200" baseline="0">
                <a:solidFill>
                  <a:schemeClr val="tx1">
                    <a:lumMod val="65000"/>
                    <a:lumOff val="35000"/>
                  </a:schemeClr>
                </a:solidFill>
                <a:latin typeface="+mn-lt"/>
                <a:ea typeface="+mn-ea"/>
                <a:cs typeface="+mn-cs"/>
              </a:defRPr>
            </a:pPr>
            <a:endParaRPr lang="es-MX"/>
          </a:p>
        </c:txPr>
        <c:crossAx val="224610016"/>
        <c:crosses val="autoZero"/>
        <c:auto val="1"/>
        <c:lblAlgn val="ctr"/>
        <c:lblOffset val="100"/>
        <c:noMultiLvlLbl val="0"/>
      </c:catAx>
      <c:valAx>
        <c:axId val="224610016"/>
        <c:scaling>
          <c:orientation val="minMax"/>
        </c:scaling>
        <c:delete val="0"/>
        <c:axPos val="l"/>
        <c:majorGridlines>
          <c:spPr>
            <a:ln w="9525" cap="flat" cmpd="sng" algn="ctr">
              <a:noFill/>
              <a:round/>
            </a:ln>
            <a:effectLst/>
          </c:spPr>
        </c:majorGridlines>
        <c:title>
          <c:tx>
            <c:rich>
              <a:bodyPr rot="-5400000" spcFirstLastPara="1" vertOverflow="ellipsis" vert="horz" wrap="square" anchor="ctr" anchorCtr="1"/>
              <a:lstStyle/>
              <a:p>
                <a:pPr>
                  <a:defRPr lang="en-US" sz="1000" b="0" i="0" u="none" strike="noStrike" kern="1200" baseline="0">
                    <a:solidFill>
                      <a:schemeClr val="tx1">
                        <a:lumMod val="65000"/>
                        <a:lumOff val="35000"/>
                      </a:schemeClr>
                    </a:solidFill>
                    <a:latin typeface="+mn-lt"/>
                    <a:ea typeface="+mn-ea"/>
                    <a:cs typeface="+mn-cs"/>
                  </a:defRPr>
                </a:pPr>
                <a:r>
                  <a:rPr lang="en-IN"/>
                  <a:t>%</a:t>
                </a:r>
              </a:p>
            </c:rich>
          </c:tx>
          <c:overlay val="0"/>
          <c:spPr>
            <a:noFill/>
            <a:ln>
              <a:noFill/>
            </a:ln>
            <a:effectLst/>
          </c:spPr>
          <c:txPr>
            <a:bodyPr rot="-5400000" spcFirstLastPara="1" vertOverflow="ellipsis" vert="horz" wrap="square" anchor="ctr" anchorCtr="1"/>
            <a:lstStyle/>
            <a:p>
              <a:pPr>
                <a:defRPr lang="en-US" sz="1000" b="0" i="0" u="none" strike="noStrike" kern="1200" baseline="0">
                  <a:solidFill>
                    <a:schemeClr val="tx1">
                      <a:lumMod val="65000"/>
                      <a:lumOff val="35000"/>
                    </a:schemeClr>
                  </a:solidFill>
                  <a:latin typeface="+mn-lt"/>
                  <a:ea typeface="+mn-ea"/>
                  <a:cs typeface="+mn-cs"/>
                </a:defRPr>
              </a:pPr>
              <a:endParaRPr lang="es-MX"/>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lang="en-US" sz="900" b="0" i="0" u="none" strike="noStrike" kern="1200" baseline="0">
                <a:solidFill>
                  <a:schemeClr val="tx1">
                    <a:lumMod val="65000"/>
                    <a:lumOff val="35000"/>
                  </a:schemeClr>
                </a:solidFill>
                <a:latin typeface="+mn-lt"/>
                <a:ea typeface="+mn-ea"/>
                <a:cs typeface="+mn-cs"/>
              </a:defRPr>
            </a:pPr>
            <a:endParaRPr lang="es-MX"/>
          </a:p>
        </c:txPr>
        <c:crossAx val="224596576"/>
        <c:crosses val="autoZero"/>
        <c:crossBetween val="between"/>
      </c:valAx>
      <c:spPr>
        <a:noFill/>
        <a:ln>
          <a:noFill/>
        </a:ln>
        <a:effectLst/>
      </c:spPr>
    </c:plotArea>
    <c:legend>
      <c:legendPos val="b"/>
      <c:overlay val="0"/>
      <c:spPr>
        <a:noFill/>
        <a:ln>
          <a:solidFill>
            <a:schemeClr val="tx1"/>
          </a:solidFill>
        </a:ln>
        <a:effectLst/>
      </c:spPr>
      <c:txPr>
        <a:bodyPr rot="0" spcFirstLastPara="1" vertOverflow="ellipsis" vert="horz" wrap="square" anchor="ctr" anchorCtr="1"/>
        <a:lstStyle/>
        <a:p>
          <a:pPr>
            <a:defRPr lang="en-US" sz="900" b="0" i="0" u="none" strike="noStrike" kern="1200" baseline="0">
              <a:solidFill>
                <a:schemeClr val="tx1">
                  <a:lumMod val="65000"/>
                  <a:lumOff val="35000"/>
                </a:schemeClr>
              </a:solidFill>
              <a:latin typeface="+mn-lt"/>
              <a:ea typeface="+mn-ea"/>
              <a:cs typeface="+mn-cs"/>
            </a:defRPr>
          </a:pPr>
          <a:endParaRPr lang="es-MX"/>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noFill/>
      <a:round/>
    </a:ln>
    <a:effectLst/>
  </c:spPr>
  <c:txPr>
    <a:bodyPr/>
    <a:lstStyle/>
    <a:p>
      <a:pPr>
        <a:defRPr lang="en-US"/>
      </a:pPr>
      <a:endParaRPr lang="es-MX"/>
    </a:p>
  </c:txPr>
  <c:externalData r:id="rId3">
    <c:autoUpdate val="0"/>
  </c:externalData>
</c:chartSpace>
</file>

<file path=word/charts/chart1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lang="en-US" sz="1400" b="0" i="0" u="none" strike="noStrike" kern="1200" spc="0" baseline="0">
                <a:solidFill>
                  <a:schemeClr val="tx1">
                    <a:lumMod val="65000"/>
                    <a:lumOff val="35000"/>
                  </a:schemeClr>
                </a:solidFill>
                <a:latin typeface="+mn-lt"/>
                <a:ea typeface="+mn-ea"/>
                <a:cs typeface="+mn-cs"/>
              </a:defRPr>
            </a:pPr>
            <a:r>
              <a:rPr lang="en-IN" sz="1400" b="0" i="0" u="none" strike="noStrike" baseline="0">
                <a:effectLst/>
              </a:rPr>
              <a:t>Specific growth rate </a:t>
            </a:r>
            <a:endParaRPr lang="en-IN"/>
          </a:p>
        </c:rich>
      </c:tx>
      <c:overlay val="0"/>
      <c:spPr>
        <a:noFill/>
        <a:ln>
          <a:noFill/>
        </a:ln>
        <a:effectLst/>
      </c:spPr>
      <c:txPr>
        <a:bodyPr rot="0" spcFirstLastPara="1" vertOverflow="ellipsis" vert="horz" wrap="square" anchor="ctr" anchorCtr="1"/>
        <a:lstStyle/>
        <a:p>
          <a:pPr>
            <a:defRPr lang="en-US" sz="1400" b="0" i="0" u="none" strike="noStrike" kern="1200" spc="0" baseline="0">
              <a:solidFill>
                <a:schemeClr val="tx1">
                  <a:lumMod val="65000"/>
                  <a:lumOff val="35000"/>
                </a:schemeClr>
              </a:solidFill>
              <a:latin typeface="+mn-lt"/>
              <a:ea typeface="+mn-ea"/>
              <a:cs typeface="+mn-cs"/>
            </a:defRPr>
          </a:pPr>
          <a:endParaRPr lang="es-MX"/>
        </a:p>
      </c:txPr>
    </c:title>
    <c:autoTitleDeleted val="0"/>
    <c:plotArea>
      <c:layout/>
      <c:barChart>
        <c:barDir val="col"/>
        <c:grouping val="clustered"/>
        <c:varyColors val="0"/>
        <c:ser>
          <c:idx val="0"/>
          <c:order val="0"/>
          <c:tx>
            <c:strRef>
              <c:f>Sheet1!$B$1</c:f>
              <c:strCache>
                <c:ptCount val="1"/>
                <c:pt idx="0">
                  <c:v>C</c:v>
                </c:pt>
              </c:strCache>
            </c:strRef>
          </c:tx>
          <c:spPr>
            <a:solidFill>
              <a:schemeClr val="accent1"/>
            </a:solidFill>
            <a:ln>
              <a:noFill/>
            </a:ln>
            <a:effectLst/>
          </c:spPr>
          <c:invertIfNegative val="0"/>
          <c:errBars>
            <c:errBarType val="both"/>
            <c:errValType val="cust"/>
            <c:noEndCap val="0"/>
            <c:plus>
              <c:numRef>
                <c:f>Sheet1!$E$2:$E$4</c:f>
                <c:numCache>
                  <c:formatCode>General</c:formatCode>
                  <c:ptCount val="3"/>
                  <c:pt idx="0">
                    <c:v>0.98</c:v>
                  </c:pt>
                  <c:pt idx="1">
                    <c:v>1.43</c:v>
                  </c:pt>
                  <c:pt idx="2">
                    <c:v>0.35</c:v>
                  </c:pt>
                </c:numCache>
              </c:numRef>
            </c:plus>
            <c:minus>
              <c:numRef>
                <c:f>Sheet1!$E$2:$E$4</c:f>
                <c:numCache>
                  <c:formatCode>General</c:formatCode>
                  <c:ptCount val="3"/>
                  <c:pt idx="0">
                    <c:v>0.98</c:v>
                  </c:pt>
                  <c:pt idx="1">
                    <c:v>1.43</c:v>
                  </c:pt>
                  <c:pt idx="2">
                    <c:v>0.35</c:v>
                  </c:pt>
                </c:numCache>
              </c:numRef>
            </c:minus>
            <c:spPr>
              <a:noFill/>
              <a:ln w="9525" cap="flat" cmpd="sng" algn="ctr">
                <a:solidFill>
                  <a:schemeClr val="tx1">
                    <a:lumMod val="65000"/>
                    <a:lumOff val="35000"/>
                  </a:schemeClr>
                </a:solidFill>
                <a:round/>
              </a:ln>
              <a:effectLst/>
            </c:spPr>
          </c:errBars>
          <c:cat>
            <c:strRef>
              <c:f>Sheet1!$A$2:$A$4</c:f>
              <c:strCache>
                <c:ptCount val="3"/>
                <c:pt idx="0">
                  <c:v>20th</c:v>
                </c:pt>
                <c:pt idx="1">
                  <c:v>40th</c:v>
                </c:pt>
                <c:pt idx="2">
                  <c:v>60th</c:v>
                </c:pt>
              </c:strCache>
            </c:strRef>
          </c:cat>
          <c:val>
            <c:numRef>
              <c:f>Sheet1!$B$2:$B$4</c:f>
              <c:numCache>
                <c:formatCode>General</c:formatCode>
                <c:ptCount val="3"/>
                <c:pt idx="0">
                  <c:v>4.71</c:v>
                </c:pt>
                <c:pt idx="1">
                  <c:v>6.03</c:v>
                </c:pt>
                <c:pt idx="2">
                  <c:v>7.67</c:v>
                </c:pt>
              </c:numCache>
            </c:numRef>
          </c:val>
          <c:extLst>
            <c:ext xmlns:c16="http://schemas.microsoft.com/office/drawing/2014/chart" uri="{C3380CC4-5D6E-409C-BE32-E72D297353CC}">
              <c16:uniqueId val="{00000000-B7A9-4DC6-827B-D2D00F277647}"/>
            </c:ext>
          </c:extLst>
        </c:ser>
        <c:ser>
          <c:idx val="1"/>
          <c:order val="1"/>
          <c:tx>
            <c:strRef>
              <c:f>Sheet1!$C$1</c:f>
              <c:strCache>
                <c:ptCount val="1"/>
                <c:pt idx="0">
                  <c:v>T1</c:v>
                </c:pt>
              </c:strCache>
            </c:strRef>
          </c:tx>
          <c:spPr>
            <a:solidFill>
              <a:schemeClr val="accent2"/>
            </a:solidFill>
            <a:ln>
              <a:noFill/>
            </a:ln>
            <a:effectLst/>
          </c:spPr>
          <c:invertIfNegative val="0"/>
          <c:errBars>
            <c:errBarType val="both"/>
            <c:errValType val="cust"/>
            <c:noEndCap val="0"/>
            <c:plus>
              <c:numRef>
                <c:f>Sheet1!$F$2:$F$4</c:f>
                <c:numCache>
                  <c:formatCode>General</c:formatCode>
                  <c:ptCount val="3"/>
                  <c:pt idx="0">
                    <c:v>0.88</c:v>
                  </c:pt>
                  <c:pt idx="1">
                    <c:v>0.64</c:v>
                  </c:pt>
                  <c:pt idx="2">
                    <c:v>0.38</c:v>
                  </c:pt>
                </c:numCache>
              </c:numRef>
            </c:plus>
            <c:minus>
              <c:numRef>
                <c:f>Sheet1!$F$2:$F$4</c:f>
                <c:numCache>
                  <c:formatCode>General</c:formatCode>
                  <c:ptCount val="3"/>
                  <c:pt idx="0">
                    <c:v>0.88</c:v>
                  </c:pt>
                  <c:pt idx="1">
                    <c:v>0.64</c:v>
                  </c:pt>
                  <c:pt idx="2">
                    <c:v>0.38</c:v>
                  </c:pt>
                </c:numCache>
              </c:numRef>
            </c:minus>
            <c:spPr>
              <a:noFill/>
              <a:ln w="9525" cap="flat" cmpd="sng" algn="ctr">
                <a:solidFill>
                  <a:schemeClr val="tx1">
                    <a:lumMod val="65000"/>
                    <a:lumOff val="35000"/>
                  </a:schemeClr>
                </a:solidFill>
                <a:round/>
              </a:ln>
              <a:effectLst/>
            </c:spPr>
          </c:errBars>
          <c:cat>
            <c:strRef>
              <c:f>Sheet1!$A$2:$A$4</c:f>
              <c:strCache>
                <c:ptCount val="3"/>
                <c:pt idx="0">
                  <c:v>20th</c:v>
                </c:pt>
                <c:pt idx="1">
                  <c:v>40th</c:v>
                </c:pt>
                <c:pt idx="2">
                  <c:v>60th</c:v>
                </c:pt>
              </c:strCache>
            </c:strRef>
          </c:cat>
          <c:val>
            <c:numRef>
              <c:f>Sheet1!$C$2:$C$4</c:f>
              <c:numCache>
                <c:formatCode>General</c:formatCode>
                <c:ptCount val="3"/>
                <c:pt idx="0">
                  <c:v>3.35</c:v>
                </c:pt>
                <c:pt idx="1">
                  <c:v>6.34</c:v>
                </c:pt>
                <c:pt idx="2">
                  <c:v>6.36</c:v>
                </c:pt>
              </c:numCache>
            </c:numRef>
          </c:val>
          <c:extLst>
            <c:ext xmlns:c16="http://schemas.microsoft.com/office/drawing/2014/chart" uri="{C3380CC4-5D6E-409C-BE32-E72D297353CC}">
              <c16:uniqueId val="{00000001-B7A9-4DC6-827B-D2D00F277647}"/>
            </c:ext>
          </c:extLst>
        </c:ser>
        <c:ser>
          <c:idx val="2"/>
          <c:order val="2"/>
          <c:tx>
            <c:strRef>
              <c:f>Sheet1!$D$1</c:f>
              <c:strCache>
                <c:ptCount val="1"/>
                <c:pt idx="0">
                  <c:v>T2</c:v>
                </c:pt>
              </c:strCache>
            </c:strRef>
          </c:tx>
          <c:spPr>
            <a:solidFill>
              <a:schemeClr val="accent3"/>
            </a:solidFill>
            <a:ln>
              <a:noFill/>
            </a:ln>
            <a:effectLst/>
          </c:spPr>
          <c:invertIfNegative val="0"/>
          <c:errBars>
            <c:errBarType val="both"/>
            <c:errValType val="cust"/>
            <c:noEndCap val="0"/>
            <c:plus>
              <c:numRef>
                <c:f>Sheet1!$G$2:$G$4</c:f>
                <c:numCache>
                  <c:formatCode>General</c:formatCode>
                  <c:ptCount val="3"/>
                  <c:pt idx="0">
                    <c:v>0.72</c:v>
                  </c:pt>
                  <c:pt idx="1">
                    <c:v>1.27</c:v>
                  </c:pt>
                  <c:pt idx="2">
                    <c:v>0.88</c:v>
                  </c:pt>
                </c:numCache>
              </c:numRef>
            </c:plus>
            <c:minus>
              <c:numRef>
                <c:f>Sheet1!$G$2:$G$4</c:f>
                <c:numCache>
                  <c:formatCode>General</c:formatCode>
                  <c:ptCount val="3"/>
                  <c:pt idx="0">
                    <c:v>0.72</c:v>
                  </c:pt>
                  <c:pt idx="1">
                    <c:v>1.27</c:v>
                  </c:pt>
                  <c:pt idx="2">
                    <c:v>0.88</c:v>
                  </c:pt>
                </c:numCache>
              </c:numRef>
            </c:minus>
            <c:spPr>
              <a:noFill/>
              <a:ln w="9525" cap="flat" cmpd="sng" algn="ctr">
                <a:solidFill>
                  <a:schemeClr val="tx1">
                    <a:lumMod val="65000"/>
                    <a:lumOff val="35000"/>
                  </a:schemeClr>
                </a:solidFill>
                <a:round/>
              </a:ln>
              <a:effectLst/>
            </c:spPr>
          </c:errBars>
          <c:cat>
            <c:strRef>
              <c:f>Sheet1!$A$2:$A$4</c:f>
              <c:strCache>
                <c:ptCount val="3"/>
                <c:pt idx="0">
                  <c:v>20th</c:v>
                </c:pt>
                <c:pt idx="1">
                  <c:v>40th</c:v>
                </c:pt>
                <c:pt idx="2">
                  <c:v>60th</c:v>
                </c:pt>
              </c:strCache>
            </c:strRef>
          </c:cat>
          <c:val>
            <c:numRef>
              <c:f>Sheet1!$D$2:$D$4</c:f>
              <c:numCache>
                <c:formatCode>General</c:formatCode>
                <c:ptCount val="3"/>
                <c:pt idx="0">
                  <c:v>6.92</c:v>
                </c:pt>
                <c:pt idx="1">
                  <c:v>8.66</c:v>
                </c:pt>
                <c:pt idx="2">
                  <c:v>7.88</c:v>
                </c:pt>
              </c:numCache>
            </c:numRef>
          </c:val>
          <c:extLst>
            <c:ext xmlns:c16="http://schemas.microsoft.com/office/drawing/2014/chart" uri="{C3380CC4-5D6E-409C-BE32-E72D297353CC}">
              <c16:uniqueId val="{00000002-B7A9-4DC6-827B-D2D00F277647}"/>
            </c:ext>
          </c:extLst>
        </c:ser>
        <c:dLbls>
          <c:showLegendKey val="0"/>
          <c:showVal val="0"/>
          <c:showCatName val="0"/>
          <c:showSerName val="0"/>
          <c:showPercent val="0"/>
          <c:showBubbleSize val="0"/>
        </c:dLbls>
        <c:gapWidth val="219"/>
        <c:overlap val="-27"/>
        <c:axId val="224596576"/>
        <c:axId val="224610016"/>
      </c:barChart>
      <c:catAx>
        <c:axId val="224596576"/>
        <c:scaling>
          <c:orientation val="minMax"/>
        </c:scaling>
        <c:delete val="0"/>
        <c:axPos val="b"/>
        <c:title>
          <c:tx>
            <c:rich>
              <a:bodyPr rot="0" spcFirstLastPara="1" vertOverflow="ellipsis" vert="horz" wrap="square" anchor="ctr" anchorCtr="1"/>
              <a:lstStyle/>
              <a:p>
                <a:pPr>
                  <a:defRPr lang="en-US" sz="1000" b="0" i="0" u="none" strike="noStrike" kern="1200" baseline="0">
                    <a:solidFill>
                      <a:schemeClr val="tx1">
                        <a:lumMod val="65000"/>
                        <a:lumOff val="35000"/>
                      </a:schemeClr>
                    </a:solidFill>
                    <a:latin typeface="+mn-lt"/>
                    <a:ea typeface="+mn-ea"/>
                    <a:cs typeface="+mn-cs"/>
                  </a:defRPr>
                </a:pPr>
                <a:r>
                  <a:rPr lang="en-IN"/>
                  <a:t>Days</a:t>
                </a:r>
              </a:p>
            </c:rich>
          </c:tx>
          <c:overlay val="0"/>
          <c:spPr>
            <a:noFill/>
            <a:ln>
              <a:noFill/>
            </a:ln>
            <a:effectLst/>
          </c:spPr>
          <c:txPr>
            <a:bodyPr rot="0" spcFirstLastPara="1" vertOverflow="ellipsis" vert="horz" wrap="square" anchor="ctr" anchorCtr="1"/>
            <a:lstStyle/>
            <a:p>
              <a:pPr>
                <a:defRPr lang="en-US" sz="1000" b="0" i="0" u="none" strike="noStrike" kern="1200" baseline="0">
                  <a:solidFill>
                    <a:schemeClr val="tx1">
                      <a:lumMod val="65000"/>
                      <a:lumOff val="35000"/>
                    </a:schemeClr>
                  </a:solidFill>
                  <a:latin typeface="+mn-lt"/>
                  <a:ea typeface="+mn-ea"/>
                  <a:cs typeface="+mn-cs"/>
                </a:defRPr>
              </a:pPr>
              <a:endParaRPr lang="es-MX"/>
            </a:p>
          </c:tx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lang="en-US" sz="900" b="0" i="0" u="none" strike="noStrike" kern="1200" baseline="0">
                <a:solidFill>
                  <a:schemeClr val="tx1">
                    <a:lumMod val="65000"/>
                    <a:lumOff val="35000"/>
                  </a:schemeClr>
                </a:solidFill>
                <a:latin typeface="+mn-lt"/>
                <a:ea typeface="+mn-ea"/>
                <a:cs typeface="+mn-cs"/>
              </a:defRPr>
            </a:pPr>
            <a:endParaRPr lang="es-MX"/>
          </a:p>
        </c:txPr>
        <c:crossAx val="224610016"/>
        <c:crosses val="autoZero"/>
        <c:auto val="1"/>
        <c:lblAlgn val="ctr"/>
        <c:lblOffset val="100"/>
        <c:noMultiLvlLbl val="0"/>
      </c:catAx>
      <c:valAx>
        <c:axId val="224610016"/>
        <c:scaling>
          <c:orientation val="minMax"/>
        </c:scaling>
        <c:delete val="0"/>
        <c:axPos val="l"/>
        <c:majorGridlines>
          <c:spPr>
            <a:ln w="9525" cap="flat" cmpd="sng" algn="ctr">
              <a:noFill/>
              <a:round/>
            </a:ln>
            <a:effectLst/>
          </c:spPr>
        </c:majorGridlines>
        <c:title>
          <c:tx>
            <c:rich>
              <a:bodyPr rot="-5400000" spcFirstLastPara="1" vertOverflow="ellipsis" vert="horz" wrap="square" anchor="ctr" anchorCtr="1"/>
              <a:lstStyle/>
              <a:p>
                <a:pPr>
                  <a:defRPr lang="en-US" sz="1000" b="0" i="0" u="none" strike="noStrike" kern="1200" baseline="0">
                    <a:solidFill>
                      <a:schemeClr val="tx1">
                        <a:lumMod val="65000"/>
                        <a:lumOff val="35000"/>
                      </a:schemeClr>
                    </a:solidFill>
                    <a:latin typeface="+mn-lt"/>
                    <a:ea typeface="+mn-ea"/>
                    <a:cs typeface="+mn-cs"/>
                  </a:defRPr>
                </a:pPr>
                <a:r>
                  <a:rPr lang="en-IN"/>
                  <a:t>%</a:t>
                </a:r>
              </a:p>
            </c:rich>
          </c:tx>
          <c:overlay val="0"/>
          <c:spPr>
            <a:noFill/>
            <a:ln>
              <a:noFill/>
            </a:ln>
            <a:effectLst/>
          </c:spPr>
          <c:txPr>
            <a:bodyPr rot="-5400000" spcFirstLastPara="1" vertOverflow="ellipsis" vert="horz" wrap="square" anchor="ctr" anchorCtr="1"/>
            <a:lstStyle/>
            <a:p>
              <a:pPr>
                <a:defRPr lang="en-US" sz="1000" b="0" i="0" u="none" strike="noStrike" kern="1200" baseline="0">
                  <a:solidFill>
                    <a:schemeClr val="tx1">
                      <a:lumMod val="65000"/>
                      <a:lumOff val="35000"/>
                    </a:schemeClr>
                  </a:solidFill>
                  <a:latin typeface="+mn-lt"/>
                  <a:ea typeface="+mn-ea"/>
                  <a:cs typeface="+mn-cs"/>
                </a:defRPr>
              </a:pPr>
              <a:endParaRPr lang="es-MX"/>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lang="en-US" sz="900" b="0" i="0" u="none" strike="noStrike" kern="1200" baseline="0">
                <a:solidFill>
                  <a:schemeClr val="tx1">
                    <a:lumMod val="65000"/>
                    <a:lumOff val="35000"/>
                  </a:schemeClr>
                </a:solidFill>
                <a:latin typeface="+mn-lt"/>
                <a:ea typeface="+mn-ea"/>
                <a:cs typeface="+mn-cs"/>
              </a:defRPr>
            </a:pPr>
            <a:endParaRPr lang="es-MX"/>
          </a:p>
        </c:txPr>
        <c:crossAx val="224596576"/>
        <c:crosses val="autoZero"/>
        <c:crossBetween val="between"/>
      </c:valAx>
      <c:spPr>
        <a:noFill/>
        <a:ln>
          <a:noFill/>
        </a:ln>
        <a:effectLst/>
      </c:spPr>
    </c:plotArea>
    <c:legend>
      <c:legendPos val="b"/>
      <c:overlay val="0"/>
      <c:spPr>
        <a:noFill/>
        <a:ln>
          <a:solidFill>
            <a:schemeClr val="tx1"/>
          </a:solidFill>
        </a:ln>
        <a:effectLst/>
      </c:spPr>
      <c:txPr>
        <a:bodyPr rot="0" spcFirstLastPara="1" vertOverflow="ellipsis" vert="horz" wrap="square" anchor="ctr" anchorCtr="1"/>
        <a:lstStyle/>
        <a:p>
          <a:pPr>
            <a:defRPr lang="en-US" sz="900" b="0" i="0" u="none" strike="noStrike" kern="1200" baseline="0">
              <a:solidFill>
                <a:schemeClr val="tx1">
                  <a:lumMod val="65000"/>
                  <a:lumOff val="35000"/>
                </a:schemeClr>
              </a:solidFill>
              <a:latin typeface="+mn-lt"/>
              <a:ea typeface="+mn-ea"/>
              <a:cs typeface="+mn-cs"/>
            </a:defRPr>
          </a:pPr>
          <a:endParaRPr lang="es-MX"/>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noFill/>
      <a:round/>
    </a:ln>
    <a:effectLst/>
  </c:spPr>
  <c:txPr>
    <a:bodyPr/>
    <a:lstStyle/>
    <a:p>
      <a:pPr>
        <a:defRPr lang="en-US"/>
      </a:pPr>
      <a:endParaRPr lang="es-MX"/>
    </a:p>
  </c:txPr>
  <c:externalData r:id="rId3">
    <c:autoUpdate val="0"/>
  </c:externalData>
</c:chartSpace>
</file>

<file path=word/charts/chart1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lang="en-US" sz="1400" b="0" i="0" u="none" strike="noStrike" kern="1200" spc="0" baseline="0">
                <a:solidFill>
                  <a:schemeClr val="tx1">
                    <a:lumMod val="65000"/>
                    <a:lumOff val="35000"/>
                  </a:schemeClr>
                </a:solidFill>
                <a:latin typeface="+mn-lt"/>
                <a:ea typeface="+mn-ea"/>
                <a:cs typeface="+mn-cs"/>
              </a:defRPr>
            </a:pPr>
            <a:r>
              <a:rPr lang="en-IN" sz="1400" b="0" i="0" u="none" strike="noStrike" baseline="0">
                <a:effectLst/>
              </a:rPr>
              <a:t>Feed conversion Efficiency </a:t>
            </a:r>
            <a:endParaRPr lang="en-IN"/>
          </a:p>
        </c:rich>
      </c:tx>
      <c:overlay val="0"/>
      <c:spPr>
        <a:noFill/>
        <a:ln>
          <a:noFill/>
        </a:ln>
        <a:effectLst/>
      </c:spPr>
      <c:txPr>
        <a:bodyPr rot="0" spcFirstLastPara="1" vertOverflow="ellipsis" vert="horz" wrap="square" anchor="ctr" anchorCtr="1"/>
        <a:lstStyle/>
        <a:p>
          <a:pPr>
            <a:defRPr lang="en-US" sz="1400" b="0" i="0" u="none" strike="noStrike" kern="1200" spc="0" baseline="0">
              <a:solidFill>
                <a:schemeClr val="tx1">
                  <a:lumMod val="65000"/>
                  <a:lumOff val="35000"/>
                </a:schemeClr>
              </a:solidFill>
              <a:latin typeface="+mn-lt"/>
              <a:ea typeface="+mn-ea"/>
              <a:cs typeface="+mn-cs"/>
            </a:defRPr>
          </a:pPr>
          <a:endParaRPr lang="es-MX"/>
        </a:p>
      </c:txPr>
    </c:title>
    <c:autoTitleDeleted val="0"/>
    <c:plotArea>
      <c:layout/>
      <c:barChart>
        <c:barDir val="col"/>
        <c:grouping val="clustered"/>
        <c:varyColors val="0"/>
        <c:ser>
          <c:idx val="0"/>
          <c:order val="0"/>
          <c:tx>
            <c:strRef>
              <c:f>Sheet1!$B$1</c:f>
              <c:strCache>
                <c:ptCount val="1"/>
                <c:pt idx="0">
                  <c:v>C</c:v>
                </c:pt>
              </c:strCache>
            </c:strRef>
          </c:tx>
          <c:spPr>
            <a:solidFill>
              <a:schemeClr val="accent1"/>
            </a:solidFill>
            <a:ln>
              <a:noFill/>
            </a:ln>
            <a:effectLst/>
          </c:spPr>
          <c:invertIfNegative val="0"/>
          <c:errBars>
            <c:errBarType val="both"/>
            <c:errValType val="cust"/>
            <c:noEndCap val="0"/>
            <c:plus>
              <c:numRef>
                <c:f>Sheet1!$E$2:$E$4</c:f>
                <c:numCache>
                  <c:formatCode>General</c:formatCode>
                  <c:ptCount val="3"/>
                  <c:pt idx="0">
                    <c:v>8.0000000000000002E-3</c:v>
                  </c:pt>
                  <c:pt idx="1">
                    <c:v>2.3E-2</c:v>
                  </c:pt>
                  <c:pt idx="2">
                    <c:v>8.0000000000000002E-3</c:v>
                  </c:pt>
                </c:numCache>
              </c:numRef>
            </c:plus>
            <c:minus>
              <c:numRef>
                <c:f>Sheet1!$E$2:$E$4</c:f>
                <c:numCache>
                  <c:formatCode>General</c:formatCode>
                  <c:ptCount val="3"/>
                  <c:pt idx="0">
                    <c:v>8.0000000000000002E-3</c:v>
                  </c:pt>
                  <c:pt idx="1">
                    <c:v>2.3E-2</c:v>
                  </c:pt>
                  <c:pt idx="2">
                    <c:v>8.0000000000000002E-3</c:v>
                  </c:pt>
                </c:numCache>
              </c:numRef>
            </c:minus>
            <c:spPr>
              <a:noFill/>
              <a:ln w="9525" cap="flat" cmpd="sng" algn="ctr">
                <a:solidFill>
                  <a:schemeClr val="tx1">
                    <a:lumMod val="65000"/>
                    <a:lumOff val="35000"/>
                  </a:schemeClr>
                </a:solidFill>
                <a:round/>
              </a:ln>
              <a:effectLst/>
            </c:spPr>
          </c:errBars>
          <c:cat>
            <c:strRef>
              <c:f>Sheet1!$A$2:$A$4</c:f>
              <c:strCache>
                <c:ptCount val="3"/>
                <c:pt idx="0">
                  <c:v>20th</c:v>
                </c:pt>
                <c:pt idx="1">
                  <c:v>40th</c:v>
                </c:pt>
                <c:pt idx="2">
                  <c:v>60th</c:v>
                </c:pt>
              </c:strCache>
            </c:strRef>
          </c:cat>
          <c:val>
            <c:numRef>
              <c:f>Sheet1!$B$2:$B$4</c:f>
              <c:numCache>
                <c:formatCode>General</c:formatCode>
                <c:ptCount val="3"/>
                <c:pt idx="0">
                  <c:v>0.03</c:v>
                </c:pt>
                <c:pt idx="1">
                  <c:v>0.13</c:v>
                </c:pt>
                <c:pt idx="2">
                  <c:v>0.18</c:v>
                </c:pt>
              </c:numCache>
            </c:numRef>
          </c:val>
          <c:extLst>
            <c:ext xmlns:c16="http://schemas.microsoft.com/office/drawing/2014/chart" uri="{C3380CC4-5D6E-409C-BE32-E72D297353CC}">
              <c16:uniqueId val="{00000000-F8C5-4867-842B-1ECBB386BC82}"/>
            </c:ext>
          </c:extLst>
        </c:ser>
        <c:ser>
          <c:idx val="1"/>
          <c:order val="1"/>
          <c:tx>
            <c:strRef>
              <c:f>Sheet1!$C$1</c:f>
              <c:strCache>
                <c:ptCount val="1"/>
                <c:pt idx="0">
                  <c:v>T1</c:v>
                </c:pt>
              </c:strCache>
            </c:strRef>
          </c:tx>
          <c:spPr>
            <a:solidFill>
              <a:schemeClr val="accent2"/>
            </a:solidFill>
            <a:ln>
              <a:noFill/>
            </a:ln>
            <a:effectLst/>
          </c:spPr>
          <c:invertIfNegative val="0"/>
          <c:errBars>
            <c:errBarType val="both"/>
            <c:errValType val="cust"/>
            <c:noEndCap val="0"/>
            <c:plus>
              <c:numRef>
                <c:f>Sheet1!$F$2:$F$4</c:f>
                <c:numCache>
                  <c:formatCode>General</c:formatCode>
                  <c:ptCount val="3"/>
                  <c:pt idx="0">
                    <c:v>8.0000000000000002E-3</c:v>
                  </c:pt>
                  <c:pt idx="1">
                    <c:v>1.0999999999999999E-2</c:v>
                  </c:pt>
                  <c:pt idx="2">
                    <c:v>8.0000000000000002E-3</c:v>
                  </c:pt>
                </c:numCache>
              </c:numRef>
            </c:plus>
            <c:minus>
              <c:numRef>
                <c:f>Sheet1!$F$2:$F$4</c:f>
                <c:numCache>
                  <c:formatCode>General</c:formatCode>
                  <c:ptCount val="3"/>
                  <c:pt idx="0">
                    <c:v>8.0000000000000002E-3</c:v>
                  </c:pt>
                  <c:pt idx="1">
                    <c:v>1.0999999999999999E-2</c:v>
                  </c:pt>
                  <c:pt idx="2">
                    <c:v>8.0000000000000002E-3</c:v>
                  </c:pt>
                </c:numCache>
              </c:numRef>
            </c:minus>
            <c:spPr>
              <a:noFill/>
              <a:ln w="9525" cap="flat" cmpd="sng" algn="ctr">
                <a:solidFill>
                  <a:schemeClr val="tx1">
                    <a:lumMod val="65000"/>
                    <a:lumOff val="35000"/>
                  </a:schemeClr>
                </a:solidFill>
                <a:round/>
              </a:ln>
              <a:effectLst/>
            </c:spPr>
          </c:errBars>
          <c:cat>
            <c:strRef>
              <c:f>Sheet1!$A$2:$A$4</c:f>
              <c:strCache>
                <c:ptCount val="3"/>
                <c:pt idx="0">
                  <c:v>20th</c:v>
                </c:pt>
                <c:pt idx="1">
                  <c:v>40th</c:v>
                </c:pt>
                <c:pt idx="2">
                  <c:v>60th</c:v>
                </c:pt>
              </c:strCache>
            </c:strRef>
          </c:cat>
          <c:val>
            <c:numRef>
              <c:f>Sheet1!$C$2:$C$4</c:f>
              <c:numCache>
                <c:formatCode>General</c:formatCode>
                <c:ptCount val="3"/>
                <c:pt idx="0">
                  <c:v>0.02</c:v>
                </c:pt>
                <c:pt idx="1">
                  <c:v>0.1</c:v>
                </c:pt>
                <c:pt idx="2">
                  <c:v>0.15</c:v>
                </c:pt>
              </c:numCache>
            </c:numRef>
          </c:val>
          <c:extLst>
            <c:ext xmlns:c16="http://schemas.microsoft.com/office/drawing/2014/chart" uri="{C3380CC4-5D6E-409C-BE32-E72D297353CC}">
              <c16:uniqueId val="{00000001-F8C5-4867-842B-1ECBB386BC82}"/>
            </c:ext>
          </c:extLst>
        </c:ser>
        <c:ser>
          <c:idx val="2"/>
          <c:order val="2"/>
          <c:tx>
            <c:strRef>
              <c:f>Sheet1!$D$1</c:f>
              <c:strCache>
                <c:ptCount val="1"/>
                <c:pt idx="0">
                  <c:v>T2</c:v>
                </c:pt>
              </c:strCache>
            </c:strRef>
          </c:tx>
          <c:spPr>
            <a:solidFill>
              <a:schemeClr val="accent3"/>
            </a:solidFill>
            <a:ln>
              <a:noFill/>
            </a:ln>
            <a:effectLst/>
          </c:spPr>
          <c:invertIfNegative val="0"/>
          <c:errBars>
            <c:errBarType val="both"/>
            <c:errValType val="cust"/>
            <c:noEndCap val="0"/>
            <c:plus>
              <c:numRef>
                <c:f>Sheet1!$G$2:$G$4</c:f>
                <c:numCache>
                  <c:formatCode>General</c:formatCode>
                  <c:ptCount val="3"/>
                  <c:pt idx="0">
                    <c:v>6.0000000000000001E-3</c:v>
                  </c:pt>
                  <c:pt idx="1">
                    <c:v>2.1000000000000001E-2</c:v>
                  </c:pt>
                  <c:pt idx="2">
                    <c:v>2.0799999999999999E-2</c:v>
                  </c:pt>
                </c:numCache>
              </c:numRef>
            </c:plus>
            <c:minus>
              <c:numRef>
                <c:f>Sheet1!$G$2:$G$4</c:f>
                <c:numCache>
                  <c:formatCode>General</c:formatCode>
                  <c:ptCount val="3"/>
                  <c:pt idx="0">
                    <c:v>6.0000000000000001E-3</c:v>
                  </c:pt>
                  <c:pt idx="1">
                    <c:v>2.1000000000000001E-2</c:v>
                  </c:pt>
                  <c:pt idx="2">
                    <c:v>2.0799999999999999E-2</c:v>
                  </c:pt>
                </c:numCache>
              </c:numRef>
            </c:minus>
            <c:spPr>
              <a:noFill/>
              <a:ln w="9525" cap="flat" cmpd="sng" algn="ctr">
                <a:solidFill>
                  <a:schemeClr val="tx1">
                    <a:lumMod val="65000"/>
                    <a:lumOff val="35000"/>
                  </a:schemeClr>
                </a:solidFill>
                <a:round/>
              </a:ln>
              <a:effectLst/>
            </c:spPr>
          </c:errBars>
          <c:cat>
            <c:strRef>
              <c:f>Sheet1!$A$2:$A$4</c:f>
              <c:strCache>
                <c:ptCount val="3"/>
                <c:pt idx="0">
                  <c:v>20th</c:v>
                </c:pt>
                <c:pt idx="1">
                  <c:v>40th</c:v>
                </c:pt>
                <c:pt idx="2">
                  <c:v>60th</c:v>
                </c:pt>
              </c:strCache>
            </c:strRef>
          </c:cat>
          <c:val>
            <c:numRef>
              <c:f>Sheet1!$D$2:$D$4</c:f>
              <c:numCache>
                <c:formatCode>General</c:formatCode>
                <c:ptCount val="3"/>
                <c:pt idx="0">
                  <c:v>0.05</c:v>
                </c:pt>
                <c:pt idx="1">
                  <c:v>0.13</c:v>
                </c:pt>
                <c:pt idx="2">
                  <c:v>0.19</c:v>
                </c:pt>
              </c:numCache>
            </c:numRef>
          </c:val>
          <c:extLst>
            <c:ext xmlns:c16="http://schemas.microsoft.com/office/drawing/2014/chart" uri="{C3380CC4-5D6E-409C-BE32-E72D297353CC}">
              <c16:uniqueId val="{00000002-F8C5-4867-842B-1ECBB386BC82}"/>
            </c:ext>
          </c:extLst>
        </c:ser>
        <c:dLbls>
          <c:showLegendKey val="0"/>
          <c:showVal val="0"/>
          <c:showCatName val="0"/>
          <c:showSerName val="0"/>
          <c:showPercent val="0"/>
          <c:showBubbleSize val="0"/>
        </c:dLbls>
        <c:gapWidth val="219"/>
        <c:overlap val="-27"/>
        <c:axId val="224596576"/>
        <c:axId val="224610016"/>
      </c:barChart>
      <c:catAx>
        <c:axId val="224596576"/>
        <c:scaling>
          <c:orientation val="minMax"/>
        </c:scaling>
        <c:delete val="0"/>
        <c:axPos val="b"/>
        <c:title>
          <c:tx>
            <c:rich>
              <a:bodyPr rot="0" spcFirstLastPara="1" vertOverflow="ellipsis" vert="horz" wrap="square" anchor="ctr" anchorCtr="1"/>
              <a:lstStyle/>
              <a:p>
                <a:pPr>
                  <a:defRPr lang="en-US" sz="1000" b="0" i="0" u="none" strike="noStrike" kern="1200" baseline="0">
                    <a:solidFill>
                      <a:schemeClr val="tx1">
                        <a:lumMod val="65000"/>
                        <a:lumOff val="35000"/>
                      </a:schemeClr>
                    </a:solidFill>
                    <a:latin typeface="+mn-lt"/>
                    <a:ea typeface="+mn-ea"/>
                    <a:cs typeface="+mn-cs"/>
                  </a:defRPr>
                </a:pPr>
                <a:r>
                  <a:rPr lang="en-IN"/>
                  <a:t>Days</a:t>
                </a:r>
              </a:p>
            </c:rich>
          </c:tx>
          <c:overlay val="0"/>
          <c:spPr>
            <a:noFill/>
            <a:ln>
              <a:noFill/>
            </a:ln>
            <a:effectLst/>
          </c:spPr>
          <c:txPr>
            <a:bodyPr rot="0" spcFirstLastPara="1" vertOverflow="ellipsis" vert="horz" wrap="square" anchor="ctr" anchorCtr="1"/>
            <a:lstStyle/>
            <a:p>
              <a:pPr>
                <a:defRPr lang="en-US" sz="1000" b="0" i="0" u="none" strike="noStrike" kern="1200" baseline="0">
                  <a:solidFill>
                    <a:schemeClr val="tx1">
                      <a:lumMod val="65000"/>
                      <a:lumOff val="35000"/>
                    </a:schemeClr>
                  </a:solidFill>
                  <a:latin typeface="+mn-lt"/>
                  <a:ea typeface="+mn-ea"/>
                  <a:cs typeface="+mn-cs"/>
                </a:defRPr>
              </a:pPr>
              <a:endParaRPr lang="es-MX"/>
            </a:p>
          </c:tx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lang="en-US" sz="900" b="0" i="0" u="none" strike="noStrike" kern="1200" baseline="0">
                <a:solidFill>
                  <a:schemeClr val="tx1">
                    <a:lumMod val="65000"/>
                    <a:lumOff val="35000"/>
                  </a:schemeClr>
                </a:solidFill>
                <a:latin typeface="+mn-lt"/>
                <a:ea typeface="+mn-ea"/>
                <a:cs typeface="+mn-cs"/>
              </a:defRPr>
            </a:pPr>
            <a:endParaRPr lang="es-MX"/>
          </a:p>
        </c:txPr>
        <c:crossAx val="224610016"/>
        <c:crosses val="autoZero"/>
        <c:auto val="1"/>
        <c:lblAlgn val="ctr"/>
        <c:lblOffset val="100"/>
        <c:noMultiLvlLbl val="0"/>
      </c:catAx>
      <c:valAx>
        <c:axId val="224610016"/>
        <c:scaling>
          <c:orientation val="minMax"/>
        </c:scaling>
        <c:delete val="0"/>
        <c:axPos val="l"/>
        <c:majorGridlines>
          <c:spPr>
            <a:ln w="9525" cap="flat" cmpd="sng" algn="ctr">
              <a:no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lang="en-US" sz="900" b="0" i="0" u="none" strike="noStrike" kern="1200" baseline="0">
                <a:solidFill>
                  <a:schemeClr val="tx1">
                    <a:lumMod val="65000"/>
                    <a:lumOff val="35000"/>
                  </a:schemeClr>
                </a:solidFill>
                <a:latin typeface="+mn-lt"/>
                <a:ea typeface="+mn-ea"/>
                <a:cs typeface="+mn-cs"/>
              </a:defRPr>
            </a:pPr>
            <a:endParaRPr lang="es-MX"/>
          </a:p>
        </c:txPr>
        <c:crossAx val="224596576"/>
        <c:crosses val="autoZero"/>
        <c:crossBetween val="between"/>
      </c:valAx>
      <c:spPr>
        <a:noFill/>
        <a:ln>
          <a:noFill/>
        </a:ln>
        <a:effectLst/>
      </c:spPr>
    </c:plotArea>
    <c:legend>
      <c:legendPos val="b"/>
      <c:overlay val="0"/>
      <c:spPr>
        <a:noFill/>
        <a:ln>
          <a:solidFill>
            <a:schemeClr val="tx1"/>
          </a:solidFill>
        </a:ln>
        <a:effectLst/>
      </c:spPr>
      <c:txPr>
        <a:bodyPr rot="0" spcFirstLastPara="1" vertOverflow="ellipsis" vert="horz" wrap="square" anchor="ctr" anchorCtr="1"/>
        <a:lstStyle/>
        <a:p>
          <a:pPr>
            <a:defRPr lang="en-US" sz="900" b="0" i="0" u="none" strike="noStrike" kern="1200" baseline="0">
              <a:solidFill>
                <a:schemeClr val="tx1">
                  <a:lumMod val="65000"/>
                  <a:lumOff val="35000"/>
                </a:schemeClr>
              </a:solidFill>
              <a:latin typeface="+mn-lt"/>
              <a:ea typeface="+mn-ea"/>
              <a:cs typeface="+mn-cs"/>
            </a:defRPr>
          </a:pPr>
          <a:endParaRPr lang="es-MX"/>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noFill/>
      <a:round/>
    </a:ln>
    <a:effectLst/>
  </c:spPr>
  <c:txPr>
    <a:bodyPr/>
    <a:lstStyle/>
    <a:p>
      <a:pPr>
        <a:defRPr lang="en-US"/>
      </a:pPr>
      <a:endParaRPr lang="es-MX"/>
    </a:p>
  </c:txPr>
  <c:externalData r:id="rId3">
    <c:autoUpdate val="0"/>
  </c:externalData>
</c:chartSpace>
</file>

<file path=word/charts/chart1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lang="en-US" sz="1400" b="0" i="0" u="none" strike="noStrike" kern="1200" spc="0" baseline="0">
                <a:solidFill>
                  <a:schemeClr val="tx1">
                    <a:lumMod val="65000"/>
                    <a:lumOff val="35000"/>
                  </a:schemeClr>
                </a:solidFill>
                <a:latin typeface="+mn-lt"/>
                <a:ea typeface="+mn-ea"/>
                <a:cs typeface="+mn-cs"/>
              </a:defRPr>
            </a:pPr>
            <a:r>
              <a:rPr lang="en-IN" sz="1400" b="0" i="0" u="none" strike="noStrike" baseline="0">
                <a:effectLst/>
              </a:rPr>
              <a:t>Protein efficiency ratio </a:t>
            </a:r>
            <a:endParaRPr lang="en-IN"/>
          </a:p>
        </c:rich>
      </c:tx>
      <c:overlay val="0"/>
      <c:spPr>
        <a:noFill/>
        <a:ln>
          <a:noFill/>
        </a:ln>
        <a:effectLst/>
      </c:spPr>
      <c:txPr>
        <a:bodyPr rot="0" spcFirstLastPara="1" vertOverflow="ellipsis" vert="horz" wrap="square" anchor="ctr" anchorCtr="1"/>
        <a:lstStyle/>
        <a:p>
          <a:pPr>
            <a:defRPr lang="en-US" sz="1400" b="0" i="0" u="none" strike="noStrike" kern="1200" spc="0" baseline="0">
              <a:solidFill>
                <a:schemeClr val="tx1">
                  <a:lumMod val="65000"/>
                  <a:lumOff val="35000"/>
                </a:schemeClr>
              </a:solidFill>
              <a:latin typeface="+mn-lt"/>
              <a:ea typeface="+mn-ea"/>
              <a:cs typeface="+mn-cs"/>
            </a:defRPr>
          </a:pPr>
          <a:endParaRPr lang="es-MX"/>
        </a:p>
      </c:txPr>
    </c:title>
    <c:autoTitleDeleted val="0"/>
    <c:plotArea>
      <c:layout/>
      <c:barChart>
        <c:barDir val="col"/>
        <c:grouping val="clustered"/>
        <c:varyColors val="0"/>
        <c:ser>
          <c:idx val="0"/>
          <c:order val="0"/>
          <c:tx>
            <c:strRef>
              <c:f>Sheet1!$B$1</c:f>
              <c:strCache>
                <c:ptCount val="1"/>
                <c:pt idx="0">
                  <c:v>C</c:v>
                </c:pt>
              </c:strCache>
            </c:strRef>
          </c:tx>
          <c:spPr>
            <a:solidFill>
              <a:schemeClr val="accent1"/>
            </a:solidFill>
            <a:ln>
              <a:noFill/>
            </a:ln>
            <a:effectLst/>
          </c:spPr>
          <c:invertIfNegative val="0"/>
          <c:errBars>
            <c:errBarType val="both"/>
            <c:errValType val="cust"/>
            <c:noEndCap val="0"/>
            <c:plus>
              <c:numRef>
                <c:f>Sheet1!$E$2:$E$4</c:f>
                <c:numCache>
                  <c:formatCode>General</c:formatCode>
                  <c:ptCount val="3"/>
                  <c:pt idx="0">
                    <c:v>0.02</c:v>
                  </c:pt>
                  <c:pt idx="1">
                    <c:v>7.0000000000000007E-2</c:v>
                  </c:pt>
                  <c:pt idx="2">
                    <c:v>0.04</c:v>
                  </c:pt>
                </c:numCache>
              </c:numRef>
            </c:plus>
            <c:minus>
              <c:numRef>
                <c:f>Sheet1!$E$2:$E$4</c:f>
                <c:numCache>
                  <c:formatCode>General</c:formatCode>
                  <c:ptCount val="3"/>
                  <c:pt idx="0">
                    <c:v>0.02</c:v>
                  </c:pt>
                  <c:pt idx="1">
                    <c:v>7.0000000000000007E-2</c:v>
                  </c:pt>
                  <c:pt idx="2">
                    <c:v>0.04</c:v>
                  </c:pt>
                </c:numCache>
              </c:numRef>
            </c:minus>
            <c:spPr>
              <a:noFill/>
              <a:ln w="9525" cap="flat" cmpd="sng" algn="ctr">
                <a:solidFill>
                  <a:schemeClr val="tx1">
                    <a:lumMod val="65000"/>
                    <a:lumOff val="35000"/>
                  </a:schemeClr>
                </a:solidFill>
                <a:round/>
              </a:ln>
              <a:effectLst/>
            </c:spPr>
          </c:errBars>
          <c:cat>
            <c:strRef>
              <c:f>Sheet1!$A$2:$A$4</c:f>
              <c:strCache>
                <c:ptCount val="3"/>
                <c:pt idx="0">
                  <c:v>20th</c:v>
                </c:pt>
                <c:pt idx="1">
                  <c:v>40th</c:v>
                </c:pt>
                <c:pt idx="2">
                  <c:v>60th</c:v>
                </c:pt>
              </c:strCache>
            </c:strRef>
          </c:cat>
          <c:val>
            <c:numRef>
              <c:f>Sheet1!$B$2:$B$4</c:f>
              <c:numCache>
                <c:formatCode>General</c:formatCode>
                <c:ptCount val="3"/>
                <c:pt idx="0">
                  <c:v>0.11</c:v>
                </c:pt>
                <c:pt idx="1">
                  <c:v>0.3</c:v>
                </c:pt>
                <c:pt idx="2">
                  <c:v>0.56999999999999995</c:v>
                </c:pt>
              </c:numCache>
            </c:numRef>
          </c:val>
          <c:extLst>
            <c:ext xmlns:c16="http://schemas.microsoft.com/office/drawing/2014/chart" uri="{C3380CC4-5D6E-409C-BE32-E72D297353CC}">
              <c16:uniqueId val="{00000000-C6B6-43E0-95FD-9A6924CA05F4}"/>
            </c:ext>
          </c:extLst>
        </c:ser>
        <c:ser>
          <c:idx val="1"/>
          <c:order val="1"/>
          <c:tx>
            <c:strRef>
              <c:f>Sheet1!$C$1</c:f>
              <c:strCache>
                <c:ptCount val="1"/>
                <c:pt idx="0">
                  <c:v>T1</c:v>
                </c:pt>
              </c:strCache>
            </c:strRef>
          </c:tx>
          <c:spPr>
            <a:solidFill>
              <a:schemeClr val="accent2"/>
            </a:solidFill>
            <a:ln>
              <a:noFill/>
            </a:ln>
            <a:effectLst/>
          </c:spPr>
          <c:invertIfNegative val="0"/>
          <c:errBars>
            <c:errBarType val="both"/>
            <c:errValType val="cust"/>
            <c:noEndCap val="0"/>
            <c:plus>
              <c:numRef>
                <c:f>Sheet1!$F$2:$F$4</c:f>
                <c:numCache>
                  <c:formatCode>General</c:formatCode>
                  <c:ptCount val="3"/>
                  <c:pt idx="0">
                    <c:v>8.0000000000000002E-3</c:v>
                  </c:pt>
                  <c:pt idx="1">
                    <c:v>0.03</c:v>
                  </c:pt>
                  <c:pt idx="2">
                    <c:v>0.05</c:v>
                  </c:pt>
                </c:numCache>
              </c:numRef>
            </c:plus>
            <c:minus>
              <c:numRef>
                <c:f>Sheet1!$F$2:$F$4</c:f>
                <c:numCache>
                  <c:formatCode>General</c:formatCode>
                  <c:ptCount val="3"/>
                  <c:pt idx="0">
                    <c:v>8.0000000000000002E-3</c:v>
                  </c:pt>
                  <c:pt idx="1">
                    <c:v>0.03</c:v>
                  </c:pt>
                  <c:pt idx="2">
                    <c:v>0.05</c:v>
                  </c:pt>
                </c:numCache>
              </c:numRef>
            </c:minus>
            <c:spPr>
              <a:noFill/>
              <a:ln w="9525" cap="flat" cmpd="sng" algn="ctr">
                <a:solidFill>
                  <a:schemeClr val="tx1">
                    <a:lumMod val="65000"/>
                    <a:lumOff val="35000"/>
                  </a:schemeClr>
                </a:solidFill>
                <a:round/>
              </a:ln>
              <a:effectLst/>
            </c:spPr>
          </c:errBars>
          <c:cat>
            <c:strRef>
              <c:f>Sheet1!$A$2:$A$4</c:f>
              <c:strCache>
                <c:ptCount val="3"/>
                <c:pt idx="0">
                  <c:v>20th</c:v>
                </c:pt>
                <c:pt idx="1">
                  <c:v>40th</c:v>
                </c:pt>
                <c:pt idx="2">
                  <c:v>60th</c:v>
                </c:pt>
              </c:strCache>
            </c:strRef>
          </c:cat>
          <c:val>
            <c:numRef>
              <c:f>Sheet1!$C$2:$C$4</c:f>
              <c:numCache>
                <c:formatCode>General</c:formatCode>
                <c:ptCount val="3"/>
                <c:pt idx="0">
                  <c:v>0.08</c:v>
                </c:pt>
                <c:pt idx="1">
                  <c:v>0.31</c:v>
                </c:pt>
                <c:pt idx="2">
                  <c:v>0.48</c:v>
                </c:pt>
              </c:numCache>
            </c:numRef>
          </c:val>
          <c:extLst>
            <c:ext xmlns:c16="http://schemas.microsoft.com/office/drawing/2014/chart" uri="{C3380CC4-5D6E-409C-BE32-E72D297353CC}">
              <c16:uniqueId val="{00000001-C6B6-43E0-95FD-9A6924CA05F4}"/>
            </c:ext>
          </c:extLst>
        </c:ser>
        <c:ser>
          <c:idx val="2"/>
          <c:order val="2"/>
          <c:tx>
            <c:strRef>
              <c:f>Sheet1!$D$1</c:f>
              <c:strCache>
                <c:ptCount val="1"/>
                <c:pt idx="0">
                  <c:v>T2</c:v>
                </c:pt>
              </c:strCache>
            </c:strRef>
          </c:tx>
          <c:spPr>
            <a:solidFill>
              <a:schemeClr val="accent3"/>
            </a:solidFill>
            <a:ln>
              <a:noFill/>
            </a:ln>
            <a:effectLst/>
          </c:spPr>
          <c:invertIfNegative val="0"/>
          <c:errBars>
            <c:errBarType val="both"/>
            <c:errValType val="cust"/>
            <c:noEndCap val="0"/>
            <c:plus>
              <c:numRef>
                <c:f>Sheet1!$G$2:$G$4</c:f>
                <c:numCache>
                  <c:formatCode>General</c:formatCode>
                  <c:ptCount val="3"/>
                  <c:pt idx="0">
                    <c:v>0.01</c:v>
                  </c:pt>
                  <c:pt idx="1">
                    <c:v>0.06</c:v>
                  </c:pt>
                  <c:pt idx="2">
                    <c:v>0.11</c:v>
                  </c:pt>
                </c:numCache>
              </c:numRef>
            </c:plus>
            <c:minus>
              <c:numRef>
                <c:f>Sheet1!$G$2:$G$4</c:f>
                <c:numCache>
                  <c:formatCode>General</c:formatCode>
                  <c:ptCount val="3"/>
                  <c:pt idx="0">
                    <c:v>0.01</c:v>
                  </c:pt>
                  <c:pt idx="1">
                    <c:v>0.06</c:v>
                  </c:pt>
                  <c:pt idx="2">
                    <c:v>0.11</c:v>
                  </c:pt>
                </c:numCache>
              </c:numRef>
            </c:minus>
            <c:spPr>
              <a:noFill/>
              <a:ln w="9525" cap="flat" cmpd="sng" algn="ctr">
                <a:solidFill>
                  <a:schemeClr val="tx1">
                    <a:lumMod val="65000"/>
                    <a:lumOff val="35000"/>
                  </a:schemeClr>
                </a:solidFill>
                <a:round/>
              </a:ln>
              <a:effectLst/>
            </c:spPr>
          </c:errBars>
          <c:cat>
            <c:strRef>
              <c:f>Sheet1!$A$2:$A$4</c:f>
              <c:strCache>
                <c:ptCount val="3"/>
                <c:pt idx="0">
                  <c:v>20th</c:v>
                </c:pt>
                <c:pt idx="1">
                  <c:v>40th</c:v>
                </c:pt>
                <c:pt idx="2">
                  <c:v>60th</c:v>
                </c:pt>
              </c:strCache>
            </c:strRef>
          </c:cat>
          <c:val>
            <c:numRef>
              <c:f>Sheet1!$D$2:$D$4</c:f>
              <c:numCache>
                <c:formatCode>General</c:formatCode>
                <c:ptCount val="3"/>
                <c:pt idx="0">
                  <c:v>0.17</c:v>
                </c:pt>
                <c:pt idx="1">
                  <c:v>0.43</c:v>
                </c:pt>
                <c:pt idx="2">
                  <c:v>0.59</c:v>
                </c:pt>
              </c:numCache>
            </c:numRef>
          </c:val>
          <c:extLst>
            <c:ext xmlns:c16="http://schemas.microsoft.com/office/drawing/2014/chart" uri="{C3380CC4-5D6E-409C-BE32-E72D297353CC}">
              <c16:uniqueId val="{00000002-C6B6-43E0-95FD-9A6924CA05F4}"/>
            </c:ext>
          </c:extLst>
        </c:ser>
        <c:dLbls>
          <c:showLegendKey val="0"/>
          <c:showVal val="0"/>
          <c:showCatName val="0"/>
          <c:showSerName val="0"/>
          <c:showPercent val="0"/>
          <c:showBubbleSize val="0"/>
        </c:dLbls>
        <c:gapWidth val="219"/>
        <c:overlap val="-27"/>
        <c:axId val="224596576"/>
        <c:axId val="224610016"/>
      </c:barChart>
      <c:catAx>
        <c:axId val="224596576"/>
        <c:scaling>
          <c:orientation val="minMax"/>
        </c:scaling>
        <c:delete val="0"/>
        <c:axPos val="b"/>
        <c:title>
          <c:tx>
            <c:rich>
              <a:bodyPr rot="0" spcFirstLastPara="1" vertOverflow="ellipsis" vert="horz" wrap="square" anchor="ctr" anchorCtr="1"/>
              <a:lstStyle/>
              <a:p>
                <a:pPr>
                  <a:defRPr lang="en-US" sz="1000" b="0" i="0" u="none" strike="noStrike" kern="1200" baseline="0">
                    <a:solidFill>
                      <a:schemeClr val="tx1">
                        <a:lumMod val="65000"/>
                        <a:lumOff val="35000"/>
                      </a:schemeClr>
                    </a:solidFill>
                    <a:latin typeface="+mn-lt"/>
                    <a:ea typeface="+mn-ea"/>
                    <a:cs typeface="+mn-cs"/>
                  </a:defRPr>
                </a:pPr>
                <a:r>
                  <a:rPr lang="en-IN"/>
                  <a:t>Days</a:t>
                </a:r>
              </a:p>
            </c:rich>
          </c:tx>
          <c:overlay val="0"/>
          <c:spPr>
            <a:noFill/>
            <a:ln>
              <a:noFill/>
            </a:ln>
            <a:effectLst/>
          </c:spPr>
          <c:txPr>
            <a:bodyPr rot="0" spcFirstLastPara="1" vertOverflow="ellipsis" vert="horz" wrap="square" anchor="ctr" anchorCtr="1"/>
            <a:lstStyle/>
            <a:p>
              <a:pPr>
                <a:defRPr lang="en-US" sz="1000" b="0" i="0" u="none" strike="noStrike" kern="1200" baseline="0">
                  <a:solidFill>
                    <a:schemeClr val="tx1">
                      <a:lumMod val="65000"/>
                      <a:lumOff val="35000"/>
                    </a:schemeClr>
                  </a:solidFill>
                  <a:latin typeface="+mn-lt"/>
                  <a:ea typeface="+mn-ea"/>
                  <a:cs typeface="+mn-cs"/>
                </a:defRPr>
              </a:pPr>
              <a:endParaRPr lang="es-MX"/>
            </a:p>
          </c:tx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lang="en-US" sz="900" b="0" i="0" u="none" strike="noStrike" kern="1200" baseline="0">
                <a:solidFill>
                  <a:schemeClr val="tx1">
                    <a:lumMod val="65000"/>
                    <a:lumOff val="35000"/>
                  </a:schemeClr>
                </a:solidFill>
                <a:latin typeface="+mn-lt"/>
                <a:ea typeface="+mn-ea"/>
                <a:cs typeface="+mn-cs"/>
              </a:defRPr>
            </a:pPr>
            <a:endParaRPr lang="es-MX"/>
          </a:p>
        </c:txPr>
        <c:crossAx val="224610016"/>
        <c:crosses val="autoZero"/>
        <c:auto val="1"/>
        <c:lblAlgn val="ctr"/>
        <c:lblOffset val="100"/>
        <c:noMultiLvlLbl val="0"/>
      </c:catAx>
      <c:valAx>
        <c:axId val="224610016"/>
        <c:scaling>
          <c:orientation val="minMax"/>
        </c:scaling>
        <c:delete val="0"/>
        <c:axPos val="l"/>
        <c:majorGridlines>
          <c:spPr>
            <a:ln w="9525" cap="flat" cmpd="sng" algn="ctr">
              <a:no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lang="en-US" sz="900" b="0" i="0" u="none" strike="noStrike" kern="1200" baseline="0">
                <a:solidFill>
                  <a:schemeClr val="tx1">
                    <a:lumMod val="65000"/>
                    <a:lumOff val="35000"/>
                  </a:schemeClr>
                </a:solidFill>
                <a:latin typeface="+mn-lt"/>
                <a:ea typeface="+mn-ea"/>
                <a:cs typeface="+mn-cs"/>
              </a:defRPr>
            </a:pPr>
            <a:endParaRPr lang="es-MX"/>
          </a:p>
        </c:txPr>
        <c:crossAx val="224596576"/>
        <c:crosses val="autoZero"/>
        <c:crossBetween val="between"/>
      </c:valAx>
      <c:spPr>
        <a:noFill/>
        <a:ln>
          <a:noFill/>
        </a:ln>
        <a:effectLst/>
      </c:spPr>
    </c:plotArea>
    <c:legend>
      <c:legendPos val="b"/>
      <c:overlay val="0"/>
      <c:spPr>
        <a:noFill/>
        <a:ln>
          <a:solidFill>
            <a:schemeClr val="tx1"/>
          </a:solidFill>
        </a:ln>
        <a:effectLst/>
      </c:spPr>
      <c:txPr>
        <a:bodyPr rot="0" spcFirstLastPara="1" vertOverflow="ellipsis" vert="horz" wrap="square" anchor="ctr" anchorCtr="1"/>
        <a:lstStyle/>
        <a:p>
          <a:pPr>
            <a:defRPr lang="en-US" sz="900" b="0" i="0" u="none" strike="noStrike" kern="1200" baseline="0">
              <a:solidFill>
                <a:schemeClr val="tx1">
                  <a:lumMod val="65000"/>
                  <a:lumOff val="35000"/>
                </a:schemeClr>
              </a:solidFill>
              <a:latin typeface="+mn-lt"/>
              <a:ea typeface="+mn-ea"/>
              <a:cs typeface="+mn-cs"/>
            </a:defRPr>
          </a:pPr>
          <a:endParaRPr lang="es-MX"/>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noFill/>
      <a:round/>
    </a:ln>
    <a:effectLst/>
  </c:spPr>
  <c:txPr>
    <a:bodyPr/>
    <a:lstStyle/>
    <a:p>
      <a:pPr>
        <a:defRPr lang="en-US"/>
      </a:pPr>
      <a:endParaRPr lang="es-MX"/>
    </a:p>
  </c:txPr>
  <c:externalData r:id="rId3">
    <c:autoUpdate val="0"/>
  </c:externalData>
</c:chartSpace>
</file>

<file path=word/charts/chart1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lang="en-US" sz="1400" b="0" i="0" u="none" strike="noStrike" kern="1200" spc="0" baseline="0">
                <a:solidFill>
                  <a:schemeClr val="tx1">
                    <a:lumMod val="65000"/>
                    <a:lumOff val="35000"/>
                  </a:schemeClr>
                </a:solidFill>
                <a:latin typeface="+mn-lt"/>
                <a:ea typeface="+mn-ea"/>
                <a:cs typeface="+mn-cs"/>
              </a:defRPr>
            </a:pPr>
            <a:r>
              <a:rPr lang="en-IN" sz="1400" b="0" i="0" u="none" strike="noStrike" baseline="0">
                <a:effectLst/>
              </a:rPr>
              <a:t>Lipid efficiency ratio </a:t>
            </a:r>
            <a:endParaRPr lang="en-IN"/>
          </a:p>
        </c:rich>
      </c:tx>
      <c:overlay val="0"/>
      <c:spPr>
        <a:noFill/>
        <a:ln>
          <a:noFill/>
        </a:ln>
        <a:effectLst/>
      </c:spPr>
      <c:txPr>
        <a:bodyPr rot="0" spcFirstLastPara="1" vertOverflow="ellipsis" vert="horz" wrap="square" anchor="ctr" anchorCtr="1"/>
        <a:lstStyle/>
        <a:p>
          <a:pPr>
            <a:defRPr lang="en-US" sz="1400" b="0" i="0" u="none" strike="noStrike" kern="1200" spc="0" baseline="0">
              <a:solidFill>
                <a:schemeClr val="tx1">
                  <a:lumMod val="65000"/>
                  <a:lumOff val="35000"/>
                </a:schemeClr>
              </a:solidFill>
              <a:latin typeface="+mn-lt"/>
              <a:ea typeface="+mn-ea"/>
              <a:cs typeface="+mn-cs"/>
            </a:defRPr>
          </a:pPr>
          <a:endParaRPr lang="es-MX"/>
        </a:p>
      </c:txPr>
    </c:title>
    <c:autoTitleDeleted val="0"/>
    <c:plotArea>
      <c:layout/>
      <c:barChart>
        <c:barDir val="col"/>
        <c:grouping val="clustered"/>
        <c:varyColors val="0"/>
        <c:ser>
          <c:idx val="0"/>
          <c:order val="0"/>
          <c:tx>
            <c:strRef>
              <c:f>Sheet1!$B$1</c:f>
              <c:strCache>
                <c:ptCount val="1"/>
                <c:pt idx="0">
                  <c:v>C</c:v>
                </c:pt>
              </c:strCache>
            </c:strRef>
          </c:tx>
          <c:spPr>
            <a:solidFill>
              <a:schemeClr val="accent1"/>
            </a:solidFill>
            <a:ln>
              <a:noFill/>
            </a:ln>
            <a:effectLst/>
          </c:spPr>
          <c:invertIfNegative val="0"/>
          <c:errBars>
            <c:errBarType val="both"/>
            <c:errValType val="cust"/>
            <c:noEndCap val="0"/>
            <c:plus>
              <c:numRef>
                <c:f>Sheet1!$E$2:$E$4</c:f>
                <c:numCache>
                  <c:formatCode>General</c:formatCode>
                  <c:ptCount val="3"/>
                  <c:pt idx="0">
                    <c:v>0.15</c:v>
                  </c:pt>
                  <c:pt idx="1">
                    <c:v>0.45</c:v>
                  </c:pt>
                  <c:pt idx="2">
                    <c:v>0.17</c:v>
                  </c:pt>
                </c:numCache>
              </c:numRef>
            </c:plus>
            <c:minus>
              <c:numRef>
                <c:f>Sheet1!$E$2:$E$4</c:f>
                <c:numCache>
                  <c:formatCode>General</c:formatCode>
                  <c:ptCount val="3"/>
                  <c:pt idx="0">
                    <c:v>0.15</c:v>
                  </c:pt>
                  <c:pt idx="1">
                    <c:v>0.45</c:v>
                  </c:pt>
                  <c:pt idx="2">
                    <c:v>0.17</c:v>
                  </c:pt>
                </c:numCache>
              </c:numRef>
            </c:minus>
            <c:spPr>
              <a:noFill/>
              <a:ln w="9525" cap="flat" cmpd="sng" algn="ctr">
                <a:solidFill>
                  <a:schemeClr val="tx1">
                    <a:lumMod val="65000"/>
                    <a:lumOff val="35000"/>
                  </a:schemeClr>
                </a:solidFill>
                <a:round/>
              </a:ln>
              <a:effectLst/>
            </c:spPr>
          </c:errBars>
          <c:cat>
            <c:strRef>
              <c:f>Sheet1!$A$2:$A$4</c:f>
              <c:strCache>
                <c:ptCount val="3"/>
                <c:pt idx="0">
                  <c:v>20th</c:v>
                </c:pt>
                <c:pt idx="1">
                  <c:v>40th</c:v>
                </c:pt>
                <c:pt idx="2">
                  <c:v>60th</c:v>
                </c:pt>
              </c:strCache>
            </c:strRef>
          </c:cat>
          <c:val>
            <c:numRef>
              <c:f>Sheet1!$B$2:$B$4</c:f>
              <c:numCache>
                <c:formatCode>General</c:formatCode>
                <c:ptCount val="3"/>
                <c:pt idx="0">
                  <c:v>0.75</c:v>
                </c:pt>
                <c:pt idx="1">
                  <c:v>1.92</c:v>
                </c:pt>
                <c:pt idx="2">
                  <c:v>3.68</c:v>
                </c:pt>
              </c:numCache>
            </c:numRef>
          </c:val>
          <c:extLst>
            <c:ext xmlns:c16="http://schemas.microsoft.com/office/drawing/2014/chart" uri="{C3380CC4-5D6E-409C-BE32-E72D297353CC}">
              <c16:uniqueId val="{00000000-F2C7-4D4E-ABB2-7DC9D658B611}"/>
            </c:ext>
          </c:extLst>
        </c:ser>
        <c:ser>
          <c:idx val="1"/>
          <c:order val="1"/>
          <c:tx>
            <c:strRef>
              <c:f>Sheet1!$C$1</c:f>
              <c:strCache>
                <c:ptCount val="1"/>
                <c:pt idx="0">
                  <c:v>T1</c:v>
                </c:pt>
              </c:strCache>
            </c:strRef>
          </c:tx>
          <c:spPr>
            <a:solidFill>
              <a:schemeClr val="accent2"/>
            </a:solidFill>
            <a:ln>
              <a:noFill/>
            </a:ln>
            <a:effectLst/>
          </c:spPr>
          <c:invertIfNegative val="0"/>
          <c:errBars>
            <c:errBarType val="both"/>
            <c:errValType val="cust"/>
            <c:noEndCap val="0"/>
            <c:plus>
              <c:numRef>
                <c:f>Sheet1!$F$2:$F$4</c:f>
                <c:numCache>
                  <c:formatCode>General</c:formatCode>
                  <c:ptCount val="3"/>
                  <c:pt idx="0">
                    <c:v>0.14000000000000001</c:v>
                  </c:pt>
                  <c:pt idx="1">
                    <c:v>0.2</c:v>
                  </c:pt>
                  <c:pt idx="2">
                    <c:v>0.18</c:v>
                  </c:pt>
                </c:numCache>
              </c:numRef>
            </c:plus>
            <c:minus>
              <c:numRef>
                <c:f>Sheet1!$F$2:$F$4</c:f>
                <c:numCache>
                  <c:formatCode>General</c:formatCode>
                  <c:ptCount val="3"/>
                  <c:pt idx="0">
                    <c:v>0.14000000000000001</c:v>
                  </c:pt>
                  <c:pt idx="1">
                    <c:v>0.2</c:v>
                  </c:pt>
                  <c:pt idx="2">
                    <c:v>0.18</c:v>
                  </c:pt>
                </c:numCache>
              </c:numRef>
            </c:minus>
            <c:spPr>
              <a:noFill/>
              <a:ln w="9525" cap="flat" cmpd="sng" algn="ctr">
                <a:solidFill>
                  <a:schemeClr val="tx1">
                    <a:lumMod val="65000"/>
                    <a:lumOff val="35000"/>
                  </a:schemeClr>
                </a:solidFill>
                <a:round/>
              </a:ln>
              <a:effectLst/>
            </c:spPr>
          </c:errBars>
          <c:cat>
            <c:strRef>
              <c:f>Sheet1!$A$2:$A$4</c:f>
              <c:strCache>
                <c:ptCount val="3"/>
                <c:pt idx="0">
                  <c:v>20th</c:v>
                </c:pt>
                <c:pt idx="1">
                  <c:v>40th</c:v>
                </c:pt>
                <c:pt idx="2">
                  <c:v>60th</c:v>
                </c:pt>
              </c:strCache>
            </c:strRef>
          </c:cat>
          <c:val>
            <c:numRef>
              <c:f>Sheet1!$C$2:$C$4</c:f>
              <c:numCache>
                <c:formatCode>General</c:formatCode>
                <c:ptCount val="3"/>
                <c:pt idx="0">
                  <c:v>0.53</c:v>
                </c:pt>
                <c:pt idx="1">
                  <c:v>2.0299999999999998</c:v>
                </c:pt>
                <c:pt idx="2">
                  <c:v>3.05</c:v>
                </c:pt>
              </c:numCache>
            </c:numRef>
          </c:val>
          <c:extLst>
            <c:ext xmlns:c16="http://schemas.microsoft.com/office/drawing/2014/chart" uri="{C3380CC4-5D6E-409C-BE32-E72D297353CC}">
              <c16:uniqueId val="{00000001-F2C7-4D4E-ABB2-7DC9D658B611}"/>
            </c:ext>
          </c:extLst>
        </c:ser>
        <c:ser>
          <c:idx val="2"/>
          <c:order val="2"/>
          <c:tx>
            <c:strRef>
              <c:f>Sheet1!$D$1</c:f>
              <c:strCache>
                <c:ptCount val="1"/>
                <c:pt idx="0">
                  <c:v>T2</c:v>
                </c:pt>
              </c:strCache>
            </c:strRef>
          </c:tx>
          <c:spPr>
            <a:solidFill>
              <a:schemeClr val="accent3"/>
            </a:solidFill>
            <a:ln>
              <a:noFill/>
            </a:ln>
            <a:effectLst/>
          </c:spPr>
          <c:invertIfNegative val="0"/>
          <c:errBars>
            <c:errBarType val="both"/>
            <c:errValType val="cust"/>
            <c:noEndCap val="0"/>
            <c:plus>
              <c:numRef>
                <c:f>Sheet1!$G$2:$G$4</c:f>
                <c:numCache>
                  <c:formatCode>General</c:formatCode>
                  <c:ptCount val="3"/>
                  <c:pt idx="0">
                    <c:v>0.64</c:v>
                  </c:pt>
                  <c:pt idx="1">
                    <c:v>0.4</c:v>
                  </c:pt>
                  <c:pt idx="2">
                    <c:v>0.42</c:v>
                  </c:pt>
                </c:numCache>
              </c:numRef>
            </c:plus>
            <c:minus>
              <c:numRef>
                <c:f>Sheet1!$G$2:$G$4</c:f>
                <c:numCache>
                  <c:formatCode>General</c:formatCode>
                  <c:ptCount val="3"/>
                  <c:pt idx="0">
                    <c:v>0.64</c:v>
                  </c:pt>
                  <c:pt idx="1">
                    <c:v>0.4</c:v>
                  </c:pt>
                  <c:pt idx="2">
                    <c:v>0.42</c:v>
                  </c:pt>
                </c:numCache>
              </c:numRef>
            </c:minus>
            <c:spPr>
              <a:noFill/>
              <a:ln w="9525" cap="flat" cmpd="sng" algn="ctr">
                <a:solidFill>
                  <a:schemeClr val="tx1">
                    <a:lumMod val="65000"/>
                    <a:lumOff val="35000"/>
                  </a:schemeClr>
                </a:solidFill>
                <a:round/>
              </a:ln>
              <a:effectLst/>
            </c:spPr>
          </c:errBars>
          <c:cat>
            <c:strRef>
              <c:f>Sheet1!$A$2:$A$4</c:f>
              <c:strCache>
                <c:ptCount val="3"/>
                <c:pt idx="0">
                  <c:v>20th</c:v>
                </c:pt>
                <c:pt idx="1">
                  <c:v>40th</c:v>
                </c:pt>
                <c:pt idx="2">
                  <c:v>60th</c:v>
                </c:pt>
              </c:strCache>
            </c:strRef>
          </c:cat>
          <c:val>
            <c:numRef>
              <c:f>Sheet1!$D$2:$D$4</c:f>
              <c:numCache>
                <c:formatCode>General</c:formatCode>
                <c:ptCount val="3"/>
                <c:pt idx="0">
                  <c:v>1.1000000000000001</c:v>
                </c:pt>
                <c:pt idx="1">
                  <c:v>2.77</c:v>
                </c:pt>
                <c:pt idx="2">
                  <c:v>3.78</c:v>
                </c:pt>
              </c:numCache>
            </c:numRef>
          </c:val>
          <c:extLst>
            <c:ext xmlns:c16="http://schemas.microsoft.com/office/drawing/2014/chart" uri="{C3380CC4-5D6E-409C-BE32-E72D297353CC}">
              <c16:uniqueId val="{00000002-F2C7-4D4E-ABB2-7DC9D658B611}"/>
            </c:ext>
          </c:extLst>
        </c:ser>
        <c:dLbls>
          <c:showLegendKey val="0"/>
          <c:showVal val="0"/>
          <c:showCatName val="0"/>
          <c:showSerName val="0"/>
          <c:showPercent val="0"/>
          <c:showBubbleSize val="0"/>
        </c:dLbls>
        <c:gapWidth val="219"/>
        <c:overlap val="-27"/>
        <c:axId val="224596576"/>
        <c:axId val="224610016"/>
      </c:barChart>
      <c:catAx>
        <c:axId val="224596576"/>
        <c:scaling>
          <c:orientation val="minMax"/>
        </c:scaling>
        <c:delete val="0"/>
        <c:axPos val="b"/>
        <c:title>
          <c:tx>
            <c:rich>
              <a:bodyPr rot="0" spcFirstLastPara="1" vertOverflow="ellipsis" vert="horz" wrap="square" anchor="ctr" anchorCtr="1"/>
              <a:lstStyle/>
              <a:p>
                <a:pPr>
                  <a:defRPr lang="en-US" sz="1000" b="0" i="0" u="none" strike="noStrike" kern="1200" baseline="0">
                    <a:solidFill>
                      <a:schemeClr val="tx1">
                        <a:lumMod val="65000"/>
                        <a:lumOff val="35000"/>
                      </a:schemeClr>
                    </a:solidFill>
                    <a:latin typeface="+mn-lt"/>
                    <a:ea typeface="+mn-ea"/>
                    <a:cs typeface="+mn-cs"/>
                  </a:defRPr>
                </a:pPr>
                <a:r>
                  <a:rPr lang="en-IN"/>
                  <a:t>Days</a:t>
                </a:r>
              </a:p>
            </c:rich>
          </c:tx>
          <c:overlay val="0"/>
          <c:spPr>
            <a:noFill/>
            <a:ln>
              <a:noFill/>
            </a:ln>
            <a:effectLst/>
          </c:spPr>
          <c:txPr>
            <a:bodyPr rot="0" spcFirstLastPara="1" vertOverflow="ellipsis" vert="horz" wrap="square" anchor="ctr" anchorCtr="1"/>
            <a:lstStyle/>
            <a:p>
              <a:pPr>
                <a:defRPr lang="en-US" sz="1000" b="0" i="0" u="none" strike="noStrike" kern="1200" baseline="0">
                  <a:solidFill>
                    <a:schemeClr val="tx1">
                      <a:lumMod val="65000"/>
                      <a:lumOff val="35000"/>
                    </a:schemeClr>
                  </a:solidFill>
                  <a:latin typeface="+mn-lt"/>
                  <a:ea typeface="+mn-ea"/>
                  <a:cs typeface="+mn-cs"/>
                </a:defRPr>
              </a:pPr>
              <a:endParaRPr lang="es-MX"/>
            </a:p>
          </c:tx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lang="en-US" sz="900" b="0" i="0" u="none" strike="noStrike" kern="1200" baseline="0">
                <a:solidFill>
                  <a:schemeClr val="tx1">
                    <a:lumMod val="65000"/>
                    <a:lumOff val="35000"/>
                  </a:schemeClr>
                </a:solidFill>
                <a:latin typeface="+mn-lt"/>
                <a:ea typeface="+mn-ea"/>
                <a:cs typeface="+mn-cs"/>
              </a:defRPr>
            </a:pPr>
            <a:endParaRPr lang="es-MX"/>
          </a:p>
        </c:txPr>
        <c:crossAx val="224610016"/>
        <c:crosses val="autoZero"/>
        <c:auto val="1"/>
        <c:lblAlgn val="ctr"/>
        <c:lblOffset val="100"/>
        <c:noMultiLvlLbl val="0"/>
      </c:catAx>
      <c:valAx>
        <c:axId val="224610016"/>
        <c:scaling>
          <c:orientation val="minMax"/>
        </c:scaling>
        <c:delete val="0"/>
        <c:axPos val="l"/>
        <c:majorGridlines>
          <c:spPr>
            <a:ln w="9525" cap="flat" cmpd="sng" algn="ctr">
              <a:no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lang="en-US" sz="900" b="0" i="0" u="none" strike="noStrike" kern="1200" baseline="0">
                <a:solidFill>
                  <a:schemeClr val="tx1">
                    <a:lumMod val="65000"/>
                    <a:lumOff val="35000"/>
                  </a:schemeClr>
                </a:solidFill>
                <a:latin typeface="+mn-lt"/>
                <a:ea typeface="+mn-ea"/>
                <a:cs typeface="+mn-cs"/>
              </a:defRPr>
            </a:pPr>
            <a:endParaRPr lang="es-MX"/>
          </a:p>
        </c:txPr>
        <c:crossAx val="224596576"/>
        <c:crosses val="autoZero"/>
        <c:crossBetween val="between"/>
      </c:valAx>
      <c:spPr>
        <a:noFill/>
        <a:ln>
          <a:noFill/>
        </a:ln>
        <a:effectLst/>
      </c:spPr>
    </c:plotArea>
    <c:legend>
      <c:legendPos val="b"/>
      <c:overlay val="0"/>
      <c:spPr>
        <a:noFill/>
        <a:ln>
          <a:solidFill>
            <a:schemeClr val="tx1"/>
          </a:solidFill>
        </a:ln>
        <a:effectLst/>
      </c:spPr>
      <c:txPr>
        <a:bodyPr rot="0" spcFirstLastPara="1" vertOverflow="ellipsis" vert="horz" wrap="square" anchor="ctr" anchorCtr="1"/>
        <a:lstStyle/>
        <a:p>
          <a:pPr>
            <a:defRPr lang="en-US" sz="900" b="0" i="0" u="none" strike="noStrike" kern="1200" baseline="0">
              <a:solidFill>
                <a:schemeClr val="tx1">
                  <a:lumMod val="65000"/>
                  <a:lumOff val="35000"/>
                </a:schemeClr>
              </a:solidFill>
              <a:latin typeface="+mn-lt"/>
              <a:ea typeface="+mn-ea"/>
              <a:cs typeface="+mn-cs"/>
            </a:defRPr>
          </a:pPr>
          <a:endParaRPr lang="es-MX"/>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noFill/>
      <a:round/>
    </a:ln>
    <a:effectLst/>
  </c:spPr>
  <c:txPr>
    <a:bodyPr/>
    <a:lstStyle/>
    <a:p>
      <a:pPr>
        <a:defRPr lang="en-US"/>
      </a:pPr>
      <a:endParaRPr lang="es-MX"/>
    </a:p>
  </c:txPr>
  <c:externalData r:id="rId3">
    <c:autoUpdate val="0"/>
  </c:externalData>
</c:chartSpace>
</file>

<file path=word/charts/chart1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lang="en-US" sz="1400" b="0" i="0" u="none" strike="noStrike" kern="1200" spc="0" baseline="0">
                <a:solidFill>
                  <a:schemeClr val="tx1">
                    <a:lumMod val="65000"/>
                    <a:lumOff val="35000"/>
                  </a:schemeClr>
                </a:solidFill>
                <a:latin typeface="+mn-lt"/>
                <a:ea typeface="+mn-ea"/>
                <a:cs typeface="+mn-cs"/>
              </a:defRPr>
            </a:pPr>
            <a:r>
              <a:rPr lang="en-IN" sz="1400" b="0" i="0" u="none" strike="noStrike" baseline="0">
                <a:effectLst/>
              </a:rPr>
              <a:t>Average Plant Length </a:t>
            </a:r>
            <a:endParaRPr lang="en-IN"/>
          </a:p>
        </c:rich>
      </c:tx>
      <c:overlay val="0"/>
      <c:spPr>
        <a:noFill/>
        <a:ln>
          <a:noFill/>
        </a:ln>
        <a:effectLst/>
      </c:spPr>
      <c:txPr>
        <a:bodyPr rot="0" spcFirstLastPara="1" vertOverflow="ellipsis" vert="horz" wrap="square" anchor="ctr" anchorCtr="1"/>
        <a:lstStyle/>
        <a:p>
          <a:pPr>
            <a:defRPr lang="en-US" sz="1400" b="0" i="0" u="none" strike="noStrike" kern="1200" spc="0" baseline="0">
              <a:solidFill>
                <a:schemeClr val="tx1">
                  <a:lumMod val="65000"/>
                  <a:lumOff val="35000"/>
                </a:schemeClr>
              </a:solidFill>
              <a:latin typeface="+mn-lt"/>
              <a:ea typeface="+mn-ea"/>
              <a:cs typeface="+mn-cs"/>
            </a:defRPr>
          </a:pPr>
          <a:endParaRPr lang="es-MX"/>
        </a:p>
      </c:txPr>
    </c:title>
    <c:autoTitleDeleted val="0"/>
    <c:plotArea>
      <c:layout/>
      <c:barChart>
        <c:barDir val="col"/>
        <c:grouping val="clustered"/>
        <c:varyColors val="0"/>
        <c:ser>
          <c:idx val="0"/>
          <c:order val="0"/>
          <c:tx>
            <c:strRef>
              <c:f>Sheet1!$B$1</c:f>
              <c:strCache>
                <c:ptCount val="1"/>
                <c:pt idx="0">
                  <c:v>C</c:v>
                </c:pt>
              </c:strCache>
            </c:strRef>
          </c:tx>
          <c:spPr>
            <a:solidFill>
              <a:schemeClr val="accent1"/>
            </a:solidFill>
            <a:ln>
              <a:noFill/>
            </a:ln>
            <a:effectLst/>
          </c:spPr>
          <c:invertIfNegative val="0"/>
          <c:errBars>
            <c:errBarType val="both"/>
            <c:errValType val="cust"/>
            <c:noEndCap val="0"/>
            <c:plus>
              <c:numRef>
                <c:f>Sheet1!$E$2:$E$4</c:f>
                <c:numCache>
                  <c:formatCode>General</c:formatCode>
                  <c:ptCount val="3"/>
                  <c:pt idx="0">
                    <c:v>0.37</c:v>
                  </c:pt>
                  <c:pt idx="1">
                    <c:v>0.57999999999999996</c:v>
                  </c:pt>
                  <c:pt idx="2">
                    <c:v>1.44</c:v>
                  </c:pt>
                </c:numCache>
              </c:numRef>
            </c:plus>
            <c:minus>
              <c:numRef>
                <c:f>Sheet1!$E$2:$E$4</c:f>
                <c:numCache>
                  <c:formatCode>General</c:formatCode>
                  <c:ptCount val="3"/>
                  <c:pt idx="0">
                    <c:v>0.37</c:v>
                  </c:pt>
                  <c:pt idx="1">
                    <c:v>0.57999999999999996</c:v>
                  </c:pt>
                  <c:pt idx="2">
                    <c:v>1.44</c:v>
                  </c:pt>
                </c:numCache>
              </c:numRef>
            </c:minus>
            <c:spPr>
              <a:noFill/>
              <a:ln w="9525" cap="flat" cmpd="sng" algn="ctr">
                <a:solidFill>
                  <a:schemeClr val="tx1">
                    <a:lumMod val="65000"/>
                    <a:lumOff val="35000"/>
                  </a:schemeClr>
                </a:solidFill>
                <a:round/>
              </a:ln>
              <a:effectLst/>
            </c:spPr>
          </c:errBars>
          <c:cat>
            <c:strRef>
              <c:f>Sheet1!$A$2:$A$4</c:f>
              <c:strCache>
                <c:ptCount val="3"/>
                <c:pt idx="0">
                  <c:v>20th</c:v>
                </c:pt>
                <c:pt idx="1">
                  <c:v>40th</c:v>
                </c:pt>
                <c:pt idx="2">
                  <c:v>60th</c:v>
                </c:pt>
              </c:strCache>
            </c:strRef>
          </c:cat>
          <c:val>
            <c:numRef>
              <c:f>Sheet1!$B$2:$B$4</c:f>
              <c:numCache>
                <c:formatCode>General</c:formatCode>
                <c:ptCount val="3"/>
                <c:pt idx="0">
                  <c:v>11.9</c:v>
                </c:pt>
                <c:pt idx="1">
                  <c:v>20.100000000000001</c:v>
                </c:pt>
                <c:pt idx="2">
                  <c:v>35.5</c:v>
                </c:pt>
              </c:numCache>
            </c:numRef>
          </c:val>
          <c:extLst>
            <c:ext xmlns:c16="http://schemas.microsoft.com/office/drawing/2014/chart" uri="{C3380CC4-5D6E-409C-BE32-E72D297353CC}">
              <c16:uniqueId val="{00000000-0AFB-4EF3-A6F8-AD56D567C49A}"/>
            </c:ext>
          </c:extLst>
        </c:ser>
        <c:ser>
          <c:idx val="1"/>
          <c:order val="1"/>
          <c:tx>
            <c:strRef>
              <c:f>Sheet1!$C$1</c:f>
              <c:strCache>
                <c:ptCount val="1"/>
                <c:pt idx="0">
                  <c:v>T1</c:v>
                </c:pt>
              </c:strCache>
            </c:strRef>
          </c:tx>
          <c:spPr>
            <a:solidFill>
              <a:schemeClr val="accent2"/>
            </a:solidFill>
            <a:ln>
              <a:noFill/>
            </a:ln>
            <a:effectLst/>
          </c:spPr>
          <c:invertIfNegative val="0"/>
          <c:errBars>
            <c:errBarType val="both"/>
            <c:errValType val="cust"/>
            <c:noEndCap val="0"/>
            <c:plus>
              <c:numRef>
                <c:f>Sheet1!$F$2:$F$4</c:f>
                <c:numCache>
                  <c:formatCode>General</c:formatCode>
                  <c:ptCount val="3"/>
                  <c:pt idx="0">
                    <c:v>0.98</c:v>
                  </c:pt>
                  <c:pt idx="1">
                    <c:v>1.36</c:v>
                  </c:pt>
                  <c:pt idx="2">
                    <c:v>0.69</c:v>
                  </c:pt>
                </c:numCache>
              </c:numRef>
            </c:plus>
            <c:minus>
              <c:numRef>
                <c:f>Sheet1!$F$2:$F$4</c:f>
                <c:numCache>
                  <c:formatCode>General</c:formatCode>
                  <c:ptCount val="3"/>
                  <c:pt idx="0">
                    <c:v>0.98</c:v>
                  </c:pt>
                  <c:pt idx="1">
                    <c:v>1.36</c:v>
                  </c:pt>
                  <c:pt idx="2">
                    <c:v>0.69</c:v>
                  </c:pt>
                </c:numCache>
              </c:numRef>
            </c:minus>
            <c:spPr>
              <a:noFill/>
              <a:ln w="9525" cap="flat" cmpd="sng" algn="ctr">
                <a:solidFill>
                  <a:schemeClr val="tx1">
                    <a:lumMod val="65000"/>
                    <a:lumOff val="35000"/>
                  </a:schemeClr>
                </a:solidFill>
                <a:round/>
              </a:ln>
              <a:effectLst/>
            </c:spPr>
          </c:errBars>
          <c:cat>
            <c:strRef>
              <c:f>Sheet1!$A$2:$A$4</c:f>
              <c:strCache>
                <c:ptCount val="3"/>
                <c:pt idx="0">
                  <c:v>20th</c:v>
                </c:pt>
                <c:pt idx="1">
                  <c:v>40th</c:v>
                </c:pt>
                <c:pt idx="2">
                  <c:v>60th</c:v>
                </c:pt>
              </c:strCache>
            </c:strRef>
          </c:cat>
          <c:val>
            <c:numRef>
              <c:f>Sheet1!$C$2:$C$4</c:f>
              <c:numCache>
                <c:formatCode>General</c:formatCode>
                <c:ptCount val="3"/>
                <c:pt idx="0">
                  <c:v>16.36</c:v>
                </c:pt>
                <c:pt idx="1">
                  <c:v>29.26</c:v>
                </c:pt>
                <c:pt idx="2">
                  <c:v>37.86</c:v>
                </c:pt>
              </c:numCache>
            </c:numRef>
          </c:val>
          <c:extLst>
            <c:ext xmlns:c16="http://schemas.microsoft.com/office/drawing/2014/chart" uri="{C3380CC4-5D6E-409C-BE32-E72D297353CC}">
              <c16:uniqueId val="{00000001-0AFB-4EF3-A6F8-AD56D567C49A}"/>
            </c:ext>
          </c:extLst>
        </c:ser>
        <c:ser>
          <c:idx val="2"/>
          <c:order val="2"/>
          <c:tx>
            <c:strRef>
              <c:f>Sheet1!$D$1</c:f>
              <c:strCache>
                <c:ptCount val="1"/>
                <c:pt idx="0">
                  <c:v>T2</c:v>
                </c:pt>
              </c:strCache>
            </c:strRef>
          </c:tx>
          <c:spPr>
            <a:solidFill>
              <a:schemeClr val="accent3"/>
            </a:solidFill>
            <a:ln>
              <a:noFill/>
            </a:ln>
            <a:effectLst/>
          </c:spPr>
          <c:invertIfNegative val="0"/>
          <c:errBars>
            <c:errBarType val="both"/>
            <c:errValType val="cust"/>
            <c:noEndCap val="0"/>
            <c:plus>
              <c:numRef>
                <c:f>Sheet1!$G$2:$G$4</c:f>
                <c:numCache>
                  <c:formatCode>General</c:formatCode>
                  <c:ptCount val="3"/>
                  <c:pt idx="0">
                    <c:v>0.49</c:v>
                  </c:pt>
                  <c:pt idx="1">
                    <c:v>1</c:v>
                  </c:pt>
                  <c:pt idx="2">
                    <c:v>2.06</c:v>
                  </c:pt>
                </c:numCache>
              </c:numRef>
            </c:plus>
            <c:minus>
              <c:numRef>
                <c:f>Sheet1!$G$2:$G$4</c:f>
                <c:numCache>
                  <c:formatCode>General</c:formatCode>
                  <c:ptCount val="3"/>
                  <c:pt idx="0">
                    <c:v>0.49</c:v>
                  </c:pt>
                  <c:pt idx="1">
                    <c:v>1</c:v>
                  </c:pt>
                  <c:pt idx="2">
                    <c:v>2.06</c:v>
                  </c:pt>
                </c:numCache>
              </c:numRef>
            </c:minus>
            <c:spPr>
              <a:noFill/>
              <a:ln w="9525" cap="flat" cmpd="sng" algn="ctr">
                <a:solidFill>
                  <a:schemeClr val="tx1">
                    <a:lumMod val="65000"/>
                    <a:lumOff val="35000"/>
                  </a:schemeClr>
                </a:solidFill>
                <a:round/>
              </a:ln>
              <a:effectLst/>
            </c:spPr>
          </c:errBars>
          <c:cat>
            <c:strRef>
              <c:f>Sheet1!$A$2:$A$4</c:f>
              <c:strCache>
                <c:ptCount val="3"/>
                <c:pt idx="0">
                  <c:v>20th</c:v>
                </c:pt>
                <c:pt idx="1">
                  <c:v>40th</c:v>
                </c:pt>
                <c:pt idx="2">
                  <c:v>60th</c:v>
                </c:pt>
              </c:strCache>
            </c:strRef>
          </c:cat>
          <c:val>
            <c:numRef>
              <c:f>Sheet1!$D$2:$D$4</c:f>
              <c:numCache>
                <c:formatCode>General</c:formatCode>
                <c:ptCount val="3"/>
                <c:pt idx="0">
                  <c:v>14.96</c:v>
                </c:pt>
                <c:pt idx="1">
                  <c:v>32</c:v>
                </c:pt>
                <c:pt idx="2">
                  <c:v>46.03</c:v>
                </c:pt>
              </c:numCache>
            </c:numRef>
          </c:val>
          <c:extLst>
            <c:ext xmlns:c16="http://schemas.microsoft.com/office/drawing/2014/chart" uri="{C3380CC4-5D6E-409C-BE32-E72D297353CC}">
              <c16:uniqueId val="{00000002-0AFB-4EF3-A6F8-AD56D567C49A}"/>
            </c:ext>
          </c:extLst>
        </c:ser>
        <c:dLbls>
          <c:showLegendKey val="0"/>
          <c:showVal val="0"/>
          <c:showCatName val="0"/>
          <c:showSerName val="0"/>
          <c:showPercent val="0"/>
          <c:showBubbleSize val="0"/>
        </c:dLbls>
        <c:gapWidth val="219"/>
        <c:overlap val="-27"/>
        <c:axId val="224596576"/>
        <c:axId val="224610016"/>
      </c:barChart>
      <c:catAx>
        <c:axId val="224596576"/>
        <c:scaling>
          <c:orientation val="minMax"/>
        </c:scaling>
        <c:delete val="0"/>
        <c:axPos val="b"/>
        <c:title>
          <c:tx>
            <c:rich>
              <a:bodyPr rot="0" spcFirstLastPara="1" vertOverflow="ellipsis" vert="horz" wrap="square" anchor="ctr" anchorCtr="1"/>
              <a:lstStyle/>
              <a:p>
                <a:pPr>
                  <a:defRPr lang="en-US" sz="1000" b="0" i="0" u="none" strike="noStrike" kern="1200" baseline="0">
                    <a:solidFill>
                      <a:schemeClr val="tx1">
                        <a:lumMod val="65000"/>
                        <a:lumOff val="35000"/>
                      </a:schemeClr>
                    </a:solidFill>
                    <a:latin typeface="+mn-lt"/>
                    <a:ea typeface="+mn-ea"/>
                    <a:cs typeface="+mn-cs"/>
                  </a:defRPr>
                </a:pPr>
                <a:r>
                  <a:rPr lang="en-IN"/>
                  <a:t>Days</a:t>
                </a:r>
              </a:p>
            </c:rich>
          </c:tx>
          <c:overlay val="0"/>
          <c:spPr>
            <a:noFill/>
            <a:ln>
              <a:noFill/>
            </a:ln>
            <a:effectLst/>
          </c:spPr>
          <c:txPr>
            <a:bodyPr rot="0" spcFirstLastPara="1" vertOverflow="ellipsis" vert="horz" wrap="square" anchor="ctr" anchorCtr="1"/>
            <a:lstStyle/>
            <a:p>
              <a:pPr>
                <a:defRPr lang="en-US" sz="1000" b="0" i="0" u="none" strike="noStrike" kern="1200" baseline="0">
                  <a:solidFill>
                    <a:schemeClr val="tx1">
                      <a:lumMod val="65000"/>
                      <a:lumOff val="35000"/>
                    </a:schemeClr>
                  </a:solidFill>
                  <a:latin typeface="+mn-lt"/>
                  <a:ea typeface="+mn-ea"/>
                  <a:cs typeface="+mn-cs"/>
                </a:defRPr>
              </a:pPr>
              <a:endParaRPr lang="es-MX"/>
            </a:p>
          </c:tx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lang="en-US" sz="900" b="0" i="0" u="none" strike="noStrike" kern="1200" baseline="0">
                <a:solidFill>
                  <a:schemeClr val="tx1">
                    <a:lumMod val="65000"/>
                    <a:lumOff val="35000"/>
                  </a:schemeClr>
                </a:solidFill>
                <a:latin typeface="+mn-lt"/>
                <a:ea typeface="+mn-ea"/>
                <a:cs typeface="+mn-cs"/>
              </a:defRPr>
            </a:pPr>
            <a:endParaRPr lang="es-MX"/>
          </a:p>
        </c:txPr>
        <c:crossAx val="224610016"/>
        <c:crosses val="autoZero"/>
        <c:auto val="1"/>
        <c:lblAlgn val="ctr"/>
        <c:lblOffset val="100"/>
        <c:noMultiLvlLbl val="0"/>
      </c:catAx>
      <c:valAx>
        <c:axId val="224610016"/>
        <c:scaling>
          <c:orientation val="minMax"/>
        </c:scaling>
        <c:delete val="0"/>
        <c:axPos val="l"/>
        <c:majorGridlines>
          <c:spPr>
            <a:ln w="9525" cap="flat" cmpd="sng" algn="ctr">
              <a:noFill/>
              <a:round/>
            </a:ln>
            <a:effectLst/>
          </c:spPr>
        </c:majorGridlines>
        <c:title>
          <c:tx>
            <c:rich>
              <a:bodyPr rot="-5400000" spcFirstLastPara="1" vertOverflow="ellipsis" vert="horz" wrap="square" anchor="ctr" anchorCtr="1"/>
              <a:lstStyle/>
              <a:p>
                <a:pPr>
                  <a:defRPr lang="en-US" sz="1000" b="0" i="0" u="none" strike="noStrike" kern="1200" baseline="0">
                    <a:solidFill>
                      <a:schemeClr val="tx1">
                        <a:lumMod val="65000"/>
                        <a:lumOff val="35000"/>
                      </a:schemeClr>
                    </a:solidFill>
                    <a:latin typeface="+mn-lt"/>
                    <a:ea typeface="+mn-ea"/>
                    <a:cs typeface="+mn-cs"/>
                  </a:defRPr>
                </a:pPr>
                <a:r>
                  <a:rPr lang="en-IN"/>
                  <a:t>Cm</a:t>
                </a:r>
              </a:p>
            </c:rich>
          </c:tx>
          <c:overlay val="0"/>
          <c:spPr>
            <a:noFill/>
            <a:ln>
              <a:noFill/>
            </a:ln>
            <a:effectLst/>
          </c:spPr>
          <c:txPr>
            <a:bodyPr rot="-5400000" spcFirstLastPara="1" vertOverflow="ellipsis" vert="horz" wrap="square" anchor="ctr" anchorCtr="1"/>
            <a:lstStyle/>
            <a:p>
              <a:pPr>
                <a:defRPr lang="en-US" sz="1000" b="0" i="0" u="none" strike="noStrike" kern="1200" baseline="0">
                  <a:solidFill>
                    <a:schemeClr val="tx1">
                      <a:lumMod val="65000"/>
                      <a:lumOff val="35000"/>
                    </a:schemeClr>
                  </a:solidFill>
                  <a:latin typeface="+mn-lt"/>
                  <a:ea typeface="+mn-ea"/>
                  <a:cs typeface="+mn-cs"/>
                </a:defRPr>
              </a:pPr>
              <a:endParaRPr lang="es-MX"/>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lang="en-US" sz="900" b="0" i="0" u="none" strike="noStrike" kern="1200" baseline="0">
                <a:solidFill>
                  <a:schemeClr val="tx1">
                    <a:lumMod val="65000"/>
                    <a:lumOff val="35000"/>
                  </a:schemeClr>
                </a:solidFill>
                <a:latin typeface="+mn-lt"/>
                <a:ea typeface="+mn-ea"/>
                <a:cs typeface="+mn-cs"/>
              </a:defRPr>
            </a:pPr>
            <a:endParaRPr lang="es-MX"/>
          </a:p>
        </c:txPr>
        <c:crossAx val="224596576"/>
        <c:crosses val="autoZero"/>
        <c:crossBetween val="between"/>
      </c:valAx>
      <c:spPr>
        <a:noFill/>
        <a:ln>
          <a:noFill/>
        </a:ln>
        <a:effectLst/>
      </c:spPr>
    </c:plotArea>
    <c:legend>
      <c:legendPos val="b"/>
      <c:overlay val="0"/>
      <c:spPr>
        <a:noFill/>
        <a:ln>
          <a:solidFill>
            <a:schemeClr val="tx1"/>
          </a:solidFill>
        </a:ln>
        <a:effectLst/>
      </c:spPr>
      <c:txPr>
        <a:bodyPr rot="0" spcFirstLastPara="1" vertOverflow="ellipsis" vert="horz" wrap="square" anchor="ctr" anchorCtr="1"/>
        <a:lstStyle/>
        <a:p>
          <a:pPr>
            <a:defRPr lang="en-US" sz="900" b="0" i="0" u="none" strike="noStrike" kern="1200" baseline="0">
              <a:solidFill>
                <a:schemeClr val="tx1">
                  <a:lumMod val="65000"/>
                  <a:lumOff val="35000"/>
                </a:schemeClr>
              </a:solidFill>
              <a:latin typeface="+mn-lt"/>
              <a:ea typeface="+mn-ea"/>
              <a:cs typeface="+mn-cs"/>
            </a:defRPr>
          </a:pPr>
          <a:endParaRPr lang="es-MX"/>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noFill/>
      <a:round/>
    </a:ln>
    <a:effectLst/>
  </c:spPr>
  <c:txPr>
    <a:bodyPr/>
    <a:lstStyle/>
    <a:p>
      <a:pPr>
        <a:defRPr lang="en-US"/>
      </a:pPr>
      <a:endParaRPr lang="es-MX"/>
    </a:p>
  </c:txPr>
  <c:externalData r:id="rId3">
    <c:autoUpdate val="0"/>
  </c:externalData>
</c:chartSpace>
</file>

<file path=word/charts/chart1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lang="en-US" sz="1400" b="0" i="0" u="none" strike="noStrike" kern="1200" spc="0" baseline="0">
                <a:solidFill>
                  <a:schemeClr val="tx1">
                    <a:lumMod val="65000"/>
                    <a:lumOff val="35000"/>
                  </a:schemeClr>
                </a:solidFill>
                <a:latin typeface="+mn-lt"/>
                <a:ea typeface="+mn-ea"/>
                <a:cs typeface="+mn-cs"/>
              </a:defRPr>
            </a:pPr>
            <a:r>
              <a:rPr lang="en-IN" sz="1400" b="0" i="0" u="none" strike="noStrike" baseline="0">
                <a:effectLst/>
              </a:rPr>
              <a:t>Average growth rate </a:t>
            </a:r>
            <a:endParaRPr lang="en-IN"/>
          </a:p>
        </c:rich>
      </c:tx>
      <c:overlay val="0"/>
      <c:spPr>
        <a:noFill/>
        <a:ln>
          <a:noFill/>
        </a:ln>
        <a:effectLst/>
      </c:spPr>
      <c:txPr>
        <a:bodyPr rot="0" spcFirstLastPara="1" vertOverflow="ellipsis" vert="horz" wrap="square" anchor="ctr" anchorCtr="1"/>
        <a:lstStyle/>
        <a:p>
          <a:pPr>
            <a:defRPr lang="en-US" sz="1400" b="0" i="0" u="none" strike="noStrike" kern="1200" spc="0" baseline="0">
              <a:solidFill>
                <a:schemeClr val="tx1">
                  <a:lumMod val="65000"/>
                  <a:lumOff val="35000"/>
                </a:schemeClr>
              </a:solidFill>
              <a:latin typeface="+mn-lt"/>
              <a:ea typeface="+mn-ea"/>
              <a:cs typeface="+mn-cs"/>
            </a:defRPr>
          </a:pPr>
          <a:endParaRPr lang="es-MX"/>
        </a:p>
      </c:txPr>
    </c:title>
    <c:autoTitleDeleted val="0"/>
    <c:plotArea>
      <c:layout/>
      <c:barChart>
        <c:barDir val="col"/>
        <c:grouping val="clustered"/>
        <c:varyColors val="0"/>
        <c:ser>
          <c:idx val="0"/>
          <c:order val="0"/>
          <c:tx>
            <c:strRef>
              <c:f>Sheet1!$B$1</c:f>
              <c:strCache>
                <c:ptCount val="1"/>
                <c:pt idx="0">
                  <c:v>C</c:v>
                </c:pt>
              </c:strCache>
            </c:strRef>
          </c:tx>
          <c:spPr>
            <a:solidFill>
              <a:schemeClr val="accent1"/>
            </a:solidFill>
            <a:ln>
              <a:noFill/>
            </a:ln>
            <a:effectLst/>
          </c:spPr>
          <c:invertIfNegative val="0"/>
          <c:errBars>
            <c:errBarType val="both"/>
            <c:errValType val="cust"/>
            <c:noEndCap val="0"/>
            <c:plus>
              <c:numRef>
                <c:f>Sheet1!$E$2:$E$4</c:f>
                <c:numCache>
                  <c:formatCode>General</c:formatCode>
                  <c:ptCount val="3"/>
                  <c:pt idx="0">
                    <c:v>0.01</c:v>
                  </c:pt>
                  <c:pt idx="1">
                    <c:v>0.02</c:v>
                  </c:pt>
                  <c:pt idx="2">
                    <c:v>0.04</c:v>
                  </c:pt>
                </c:numCache>
              </c:numRef>
            </c:plus>
            <c:minus>
              <c:numRef>
                <c:f>Sheet1!$E$2:$E$4</c:f>
                <c:numCache>
                  <c:formatCode>General</c:formatCode>
                  <c:ptCount val="3"/>
                  <c:pt idx="0">
                    <c:v>0.01</c:v>
                  </c:pt>
                  <c:pt idx="1">
                    <c:v>0.02</c:v>
                  </c:pt>
                  <c:pt idx="2">
                    <c:v>0.04</c:v>
                  </c:pt>
                </c:numCache>
              </c:numRef>
            </c:minus>
            <c:spPr>
              <a:noFill/>
              <a:ln w="9525" cap="flat" cmpd="sng" algn="ctr">
                <a:solidFill>
                  <a:schemeClr val="tx1">
                    <a:lumMod val="65000"/>
                    <a:lumOff val="35000"/>
                  </a:schemeClr>
                </a:solidFill>
                <a:round/>
              </a:ln>
              <a:effectLst/>
            </c:spPr>
          </c:errBars>
          <c:cat>
            <c:strRef>
              <c:f>Sheet1!$A$2:$A$4</c:f>
              <c:strCache>
                <c:ptCount val="3"/>
                <c:pt idx="0">
                  <c:v>20th</c:v>
                </c:pt>
                <c:pt idx="1">
                  <c:v>40th</c:v>
                </c:pt>
                <c:pt idx="2">
                  <c:v>60th</c:v>
                </c:pt>
              </c:strCache>
            </c:strRef>
          </c:cat>
          <c:val>
            <c:numRef>
              <c:f>Sheet1!$B$2:$B$4</c:f>
              <c:numCache>
                <c:formatCode>General</c:formatCode>
                <c:ptCount val="3"/>
                <c:pt idx="0">
                  <c:v>0.59</c:v>
                </c:pt>
                <c:pt idx="1">
                  <c:v>0.76</c:v>
                </c:pt>
                <c:pt idx="2">
                  <c:v>0.42</c:v>
                </c:pt>
              </c:numCache>
            </c:numRef>
          </c:val>
          <c:extLst>
            <c:ext xmlns:c16="http://schemas.microsoft.com/office/drawing/2014/chart" uri="{C3380CC4-5D6E-409C-BE32-E72D297353CC}">
              <c16:uniqueId val="{00000000-F671-464E-A67B-1C287D9120EC}"/>
            </c:ext>
          </c:extLst>
        </c:ser>
        <c:ser>
          <c:idx val="1"/>
          <c:order val="1"/>
          <c:tx>
            <c:strRef>
              <c:f>Sheet1!$C$1</c:f>
              <c:strCache>
                <c:ptCount val="1"/>
                <c:pt idx="0">
                  <c:v>T1</c:v>
                </c:pt>
              </c:strCache>
            </c:strRef>
          </c:tx>
          <c:spPr>
            <a:solidFill>
              <a:schemeClr val="accent2"/>
            </a:solidFill>
            <a:ln>
              <a:noFill/>
            </a:ln>
            <a:effectLst/>
          </c:spPr>
          <c:invertIfNegative val="0"/>
          <c:errBars>
            <c:errBarType val="both"/>
            <c:errValType val="cust"/>
            <c:noEndCap val="0"/>
            <c:plus>
              <c:numRef>
                <c:f>Sheet1!$F$2:$F$4</c:f>
                <c:numCache>
                  <c:formatCode>General</c:formatCode>
                  <c:ptCount val="3"/>
                  <c:pt idx="0">
                    <c:v>0.04</c:v>
                  </c:pt>
                  <c:pt idx="1">
                    <c:v>0.03</c:v>
                  </c:pt>
                  <c:pt idx="2">
                    <c:v>0.05</c:v>
                  </c:pt>
                </c:numCache>
              </c:numRef>
            </c:plus>
            <c:minus>
              <c:numRef>
                <c:f>Sheet1!$F$2:$F$4</c:f>
                <c:numCache>
                  <c:formatCode>General</c:formatCode>
                  <c:ptCount val="3"/>
                  <c:pt idx="0">
                    <c:v>0.04</c:v>
                  </c:pt>
                  <c:pt idx="1">
                    <c:v>0.03</c:v>
                  </c:pt>
                  <c:pt idx="2">
                    <c:v>0.05</c:v>
                  </c:pt>
                </c:numCache>
              </c:numRef>
            </c:minus>
            <c:spPr>
              <a:noFill/>
              <a:ln w="9525" cap="flat" cmpd="sng" algn="ctr">
                <a:solidFill>
                  <a:schemeClr val="tx1">
                    <a:lumMod val="65000"/>
                    <a:lumOff val="35000"/>
                  </a:schemeClr>
                </a:solidFill>
                <a:round/>
              </a:ln>
              <a:effectLst/>
            </c:spPr>
          </c:errBars>
          <c:cat>
            <c:strRef>
              <c:f>Sheet1!$A$2:$A$4</c:f>
              <c:strCache>
                <c:ptCount val="3"/>
                <c:pt idx="0">
                  <c:v>20th</c:v>
                </c:pt>
                <c:pt idx="1">
                  <c:v>40th</c:v>
                </c:pt>
                <c:pt idx="2">
                  <c:v>60th</c:v>
                </c:pt>
              </c:strCache>
            </c:strRef>
          </c:cat>
          <c:val>
            <c:numRef>
              <c:f>Sheet1!$C$2:$C$4</c:f>
              <c:numCache>
                <c:formatCode>General</c:formatCode>
                <c:ptCount val="3"/>
                <c:pt idx="0">
                  <c:v>0.81</c:v>
                </c:pt>
                <c:pt idx="1">
                  <c:v>0.64</c:v>
                </c:pt>
                <c:pt idx="2">
                  <c:v>0.43</c:v>
                </c:pt>
              </c:numCache>
            </c:numRef>
          </c:val>
          <c:extLst>
            <c:ext xmlns:c16="http://schemas.microsoft.com/office/drawing/2014/chart" uri="{C3380CC4-5D6E-409C-BE32-E72D297353CC}">
              <c16:uniqueId val="{00000001-F671-464E-A67B-1C287D9120EC}"/>
            </c:ext>
          </c:extLst>
        </c:ser>
        <c:ser>
          <c:idx val="2"/>
          <c:order val="2"/>
          <c:tx>
            <c:strRef>
              <c:f>Sheet1!$D$1</c:f>
              <c:strCache>
                <c:ptCount val="1"/>
                <c:pt idx="0">
                  <c:v>T2</c:v>
                </c:pt>
              </c:strCache>
            </c:strRef>
          </c:tx>
          <c:spPr>
            <a:solidFill>
              <a:schemeClr val="accent3"/>
            </a:solidFill>
            <a:ln>
              <a:noFill/>
            </a:ln>
            <a:effectLst/>
          </c:spPr>
          <c:invertIfNegative val="0"/>
          <c:errBars>
            <c:errBarType val="both"/>
            <c:errValType val="cust"/>
            <c:noEndCap val="0"/>
            <c:plus>
              <c:numRef>
                <c:f>Sheet1!$G$2:$G$4</c:f>
                <c:numCache>
                  <c:formatCode>General</c:formatCode>
                  <c:ptCount val="3"/>
                  <c:pt idx="0">
                    <c:v>0.02</c:v>
                  </c:pt>
                  <c:pt idx="1">
                    <c:v>0.03</c:v>
                  </c:pt>
                  <c:pt idx="2">
                    <c:v>0.05</c:v>
                  </c:pt>
                </c:numCache>
              </c:numRef>
            </c:plus>
            <c:minus>
              <c:numRef>
                <c:f>Sheet1!$G$2:$G$4</c:f>
                <c:numCache>
                  <c:formatCode>General</c:formatCode>
                  <c:ptCount val="3"/>
                  <c:pt idx="0">
                    <c:v>0.02</c:v>
                  </c:pt>
                  <c:pt idx="1">
                    <c:v>0.03</c:v>
                  </c:pt>
                  <c:pt idx="2">
                    <c:v>0.05</c:v>
                  </c:pt>
                </c:numCache>
              </c:numRef>
            </c:minus>
            <c:spPr>
              <a:noFill/>
              <a:ln w="9525" cap="flat" cmpd="sng" algn="ctr">
                <a:solidFill>
                  <a:schemeClr val="tx1">
                    <a:lumMod val="65000"/>
                    <a:lumOff val="35000"/>
                  </a:schemeClr>
                </a:solidFill>
                <a:round/>
              </a:ln>
              <a:effectLst/>
            </c:spPr>
          </c:errBars>
          <c:cat>
            <c:strRef>
              <c:f>Sheet1!$A$2:$A$4</c:f>
              <c:strCache>
                <c:ptCount val="3"/>
                <c:pt idx="0">
                  <c:v>20th</c:v>
                </c:pt>
                <c:pt idx="1">
                  <c:v>40th</c:v>
                </c:pt>
                <c:pt idx="2">
                  <c:v>60th</c:v>
                </c:pt>
              </c:strCache>
            </c:strRef>
          </c:cat>
          <c:val>
            <c:numRef>
              <c:f>Sheet1!$D$2:$D$4</c:f>
              <c:numCache>
                <c:formatCode>General</c:formatCode>
                <c:ptCount val="3"/>
                <c:pt idx="0">
                  <c:v>0.74</c:v>
                </c:pt>
                <c:pt idx="1">
                  <c:v>0.85</c:v>
                </c:pt>
                <c:pt idx="2">
                  <c:v>0.7</c:v>
                </c:pt>
              </c:numCache>
            </c:numRef>
          </c:val>
          <c:extLst>
            <c:ext xmlns:c16="http://schemas.microsoft.com/office/drawing/2014/chart" uri="{C3380CC4-5D6E-409C-BE32-E72D297353CC}">
              <c16:uniqueId val="{00000002-F671-464E-A67B-1C287D9120EC}"/>
            </c:ext>
          </c:extLst>
        </c:ser>
        <c:dLbls>
          <c:showLegendKey val="0"/>
          <c:showVal val="0"/>
          <c:showCatName val="0"/>
          <c:showSerName val="0"/>
          <c:showPercent val="0"/>
          <c:showBubbleSize val="0"/>
        </c:dLbls>
        <c:gapWidth val="219"/>
        <c:overlap val="-27"/>
        <c:axId val="224596576"/>
        <c:axId val="224610016"/>
      </c:barChart>
      <c:catAx>
        <c:axId val="224596576"/>
        <c:scaling>
          <c:orientation val="minMax"/>
        </c:scaling>
        <c:delete val="0"/>
        <c:axPos val="b"/>
        <c:title>
          <c:tx>
            <c:rich>
              <a:bodyPr rot="0" spcFirstLastPara="1" vertOverflow="ellipsis" vert="horz" wrap="square" anchor="ctr" anchorCtr="1"/>
              <a:lstStyle/>
              <a:p>
                <a:pPr>
                  <a:defRPr lang="en-US" sz="1000" b="0" i="0" u="none" strike="noStrike" kern="1200" baseline="0">
                    <a:solidFill>
                      <a:schemeClr val="tx1">
                        <a:lumMod val="65000"/>
                        <a:lumOff val="35000"/>
                      </a:schemeClr>
                    </a:solidFill>
                    <a:latin typeface="+mn-lt"/>
                    <a:ea typeface="+mn-ea"/>
                    <a:cs typeface="+mn-cs"/>
                  </a:defRPr>
                </a:pPr>
                <a:r>
                  <a:rPr lang="en-IN"/>
                  <a:t>Days</a:t>
                </a:r>
              </a:p>
            </c:rich>
          </c:tx>
          <c:overlay val="0"/>
          <c:spPr>
            <a:noFill/>
            <a:ln>
              <a:noFill/>
            </a:ln>
            <a:effectLst/>
          </c:spPr>
          <c:txPr>
            <a:bodyPr rot="0" spcFirstLastPara="1" vertOverflow="ellipsis" vert="horz" wrap="square" anchor="ctr" anchorCtr="1"/>
            <a:lstStyle/>
            <a:p>
              <a:pPr>
                <a:defRPr lang="en-US" sz="1000" b="0" i="0" u="none" strike="noStrike" kern="1200" baseline="0">
                  <a:solidFill>
                    <a:schemeClr val="tx1">
                      <a:lumMod val="65000"/>
                      <a:lumOff val="35000"/>
                    </a:schemeClr>
                  </a:solidFill>
                  <a:latin typeface="+mn-lt"/>
                  <a:ea typeface="+mn-ea"/>
                  <a:cs typeface="+mn-cs"/>
                </a:defRPr>
              </a:pPr>
              <a:endParaRPr lang="es-MX"/>
            </a:p>
          </c:tx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lang="en-US" sz="900" b="0" i="0" u="none" strike="noStrike" kern="1200" baseline="0">
                <a:solidFill>
                  <a:schemeClr val="tx1">
                    <a:lumMod val="65000"/>
                    <a:lumOff val="35000"/>
                  </a:schemeClr>
                </a:solidFill>
                <a:latin typeface="+mn-lt"/>
                <a:ea typeface="+mn-ea"/>
                <a:cs typeface="+mn-cs"/>
              </a:defRPr>
            </a:pPr>
            <a:endParaRPr lang="es-MX"/>
          </a:p>
        </c:txPr>
        <c:crossAx val="224610016"/>
        <c:crosses val="autoZero"/>
        <c:auto val="1"/>
        <c:lblAlgn val="ctr"/>
        <c:lblOffset val="100"/>
        <c:noMultiLvlLbl val="0"/>
      </c:catAx>
      <c:valAx>
        <c:axId val="224610016"/>
        <c:scaling>
          <c:orientation val="minMax"/>
        </c:scaling>
        <c:delete val="0"/>
        <c:axPos val="l"/>
        <c:majorGridlines>
          <c:spPr>
            <a:ln w="9525" cap="flat" cmpd="sng" algn="ctr">
              <a:noFill/>
              <a:round/>
            </a:ln>
            <a:effectLst/>
          </c:spPr>
        </c:majorGridlines>
        <c:title>
          <c:tx>
            <c:rich>
              <a:bodyPr rot="-5400000" spcFirstLastPara="1" vertOverflow="ellipsis" vert="horz" wrap="square" anchor="ctr" anchorCtr="1"/>
              <a:lstStyle/>
              <a:p>
                <a:pPr>
                  <a:defRPr lang="en-US" sz="1000" b="0" i="0" u="none" strike="noStrike" kern="1200" baseline="0">
                    <a:solidFill>
                      <a:schemeClr val="tx1">
                        <a:lumMod val="65000"/>
                        <a:lumOff val="35000"/>
                      </a:schemeClr>
                    </a:solidFill>
                    <a:latin typeface="+mn-lt"/>
                    <a:ea typeface="+mn-ea"/>
                    <a:cs typeface="+mn-cs"/>
                  </a:defRPr>
                </a:pPr>
                <a:r>
                  <a:rPr lang="en-IN" sz="1000" b="0" i="0" u="none" strike="noStrike" baseline="0">
                    <a:effectLst/>
                  </a:rPr>
                  <a:t>cm/day</a:t>
                </a:r>
                <a:endParaRPr lang="en-IN"/>
              </a:p>
            </c:rich>
          </c:tx>
          <c:overlay val="0"/>
          <c:spPr>
            <a:noFill/>
            <a:ln>
              <a:noFill/>
            </a:ln>
            <a:effectLst/>
          </c:spPr>
          <c:txPr>
            <a:bodyPr rot="-5400000" spcFirstLastPara="1" vertOverflow="ellipsis" vert="horz" wrap="square" anchor="ctr" anchorCtr="1"/>
            <a:lstStyle/>
            <a:p>
              <a:pPr>
                <a:defRPr lang="en-US" sz="1000" b="0" i="0" u="none" strike="noStrike" kern="1200" baseline="0">
                  <a:solidFill>
                    <a:schemeClr val="tx1">
                      <a:lumMod val="65000"/>
                      <a:lumOff val="35000"/>
                    </a:schemeClr>
                  </a:solidFill>
                  <a:latin typeface="+mn-lt"/>
                  <a:ea typeface="+mn-ea"/>
                  <a:cs typeface="+mn-cs"/>
                </a:defRPr>
              </a:pPr>
              <a:endParaRPr lang="es-MX"/>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lang="en-US" sz="900" b="0" i="0" u="none" strike="noStrike" kern="1200" baseline="0">
                <a:solidFill>
                  <a:schemeClr val="tx1">
                    <a:lumMod val="65000"/>
                    <a:lumOff val="35000"/>
                  </a:schemeClr>
                </a:solidFill>
                <a:latin typeface="+mn-lt"/>
                <a:ea typeface="+mn-ea"/>
                <a:cs typeface="+mn-cs"/>
              </a:defRPr>
            </a:pPr>
            <a:endParaRPr lang="es-MX"/>
          </a:p>
        </c:txPr>
        <c:crossAx val="224596576"/>
        <c:crosses val="autoZero"/>
        <c:crossBetween val="between"/>
      </c:valAx>
      <c:spPr>
        <a:noFill/>
        <a:ln>
          <a:noFill/>
        </a:ln>
        <a:effectLst/>
      </c:spPr>
    </c:plotArea>
    <c:legend>
      <c:legendPos val="b"/>
      <c:overlay val="0"/>
      <c:spPr>
        <a:noFill/>
        <a:ln>
          <a:solidFill>
            <a:schemeClr val="tx1"/>
          </a:solidFill>
        </a:ln>
        <a:effectLst/>
      </c:spPr>
      <c:txPr>
        <a:bodyPr rot="0" spcFirstLastPara="1" vertOverflow="ellipsis" vert="horz" wrap="square" anchor="ctr" anchorCtr="1"/>
        <a:lstStyle/>
        <a:p>
          <a:pPr>
            <a:defRPr lang="en-US" sz="900" b="0" i="0" u="none" strike="noStrike" kern="1200" baseline="0">
              <a:solidFill>
                <a:schemeClr val="tx1">
                  <a:lumMod val="65000"/>
                  <a:lumOff val="35000"/>
                </a:schemeClr>
              </a:solidFill>
              <a:latin typeface="+mn-lt"/>
              <a:ea typeface="+mn-ea"/>
              <a:cs typeface="+mn-cs"/>
            </a:defRPr>
          </a:pPr>
          <a:endParaRPr lang="es-MX"/>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noFill/>
      <a:round/>
    </a:ln>
    <a:effectLst/>
  </c:spPr>
  <c:txPr>
    <a:bodyPr/>
    <a:lstStyle/>
    <a:p>
      <a:pPr>
        <a:defRPr lang="en-US"/>
      </a:pPr>
      <a:endParaRPr lang="es-MX"/>
    </a:p>
  </c:txPr>
  <c:externalData r:id="rId3">
    <c:autoUpdate val="0"/>
  </c:externalData>
</c:chartSpace>
</file>

<file path=word/charts/chart18.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lang="en-US" sz="1400" b="0" i="0" u="none" strike="noStrike" kern="1200" spc="0" baseline="0">
                <a:solidFill>
                  <a:schemeClr val="tx1">
                    <a:lumMod val="65000"/>
                    <a:lumOff val="35000"/>
                  </a:schemeClr>
                </a:solidFill>
                <a:latin typeface="+mn-lt"/>
                <a:ea typeface="+mn-ea"/>
                <a:cs typeface="+mn-cs"/>
              </a:defRPr>
            </a:pPr>
            <a:r>
              <a:rPr lang="en-IN" sz="1400" b="0" i="0" u="none" strike="noStrike" baseline="0">
                <a:effectLst/>
              </a:rPr>
              <a:t>Average Plant Biomass </a:t>
            </a:r>
            <a:endParaRPr lang="en-IN"/>
          </a:p>
        </c:rich>
      </c:tx>
      <c:overlay val="0"/>
      <c:spPr>
        <a:noFill/>
        <a:ln>
          <a:noFill/>
        </a:ln>
        <a:effectLst/>
      </c:spPr>
      <c:txPr>
        <a:bodyPr rot="0" spcFirstLastPara="1" vertOverflow="ellipsis" vert="horz" wrap="square" anchor="ctr" anchorCtr="1"/>
        <a:lstStyle/>
        <a:p>
          <a:pPr>
            <a:defRPr lang="en-US" sz="1400" b="0" i="0" u="none" strike="noStrike" kern="1200" spc="0" baseline="0">
              <a:solidFill>
                <a:schemeClr val="tx1">
                  <a:lumMod val="65000"/>
                  <a:lumOff val="35000"/>
                </a:schemeClr>
              </a:solidFill>
              <a:latin typeface="+mn-lt"/>
              <a:ea typeface="+mn-ea"/>
              <a:cs typeface="+mn-cs"/>
            </a:defRPr>
          </a:pPr>
          <a:endParaRPr lang="es-MX"/>
        </a:p>
      </c:txPr>
    </c:title>
    <c:autoTitleDeleted val="0"/>
    <c:plotArea>
      <c:layout/>
      <c:barChart>
        <c:barDir val="col"/>
        <c:grouping val="clustered"/>
        <c:varyColors val="0"/>
        <c:ser>
          <c:idx val="0"/>
          <c:order val="0"/>
          <c:tx>
            <c:strRef>
              <c:f>Sheet1!$B$1</c:f>
              <c:strCache>
                <c:ptCount val="1"/>
                <c:pt idx="0">
                  <c:v>C</c:v>
                </c:pt>
              </c:strCache>
            </c:strRef>
          </c:tx>
          <c:spPr>
            <a:solidFill>
              <a:schemeClr val="accent1"/>
            </a:solidFill>
            <a:ln>
              <a:noFill/>
            </a:ln>
            <a:effectLst/>
          </c:spPr>
          <c:invertIfNegative val="0"/>
          <c:errBars>
            <c:errBarType val="both"/>
            <c:errValType val="cust"/>
            <c:noEndCap val="0"/>
            <c:plus>
              <c:numRef>
                <c:f>Sheet1!$E$2</c:f>
                <c:numCache>
                  <c:formatCode>General</c:formatCode>
                  <c:ptCount val="1"/>
                  <c:pt idx="0">
                    <c:v>0.22</c:v>
                  </c:pt>
                </c:numCache>
              </c:numRef>
            </c:plus>
            <c:minus>
              <c:numRef>
                <c:f>Sheet1!$E$2</c:f>
                <c:numCache>
                  <c:formatCode>General</c:formatCode>
                  <c:ptCount val="1"/>
                  <c:pt idx="0">
                    <c:v>0.22</c:v>
                  </c:pt>
                </c:numCache>
              </c:numRef>
            </c:minus>
            <c:spPr>
              <a:noFill/>
              <a:ln w="9525" cap="flat" cmpd="sng" algn="ctr">
                <a:solidFill>
                  <a:schemeClr val="tx1">
                    <a:lumMod val="65000"/>
                    <a:lumOff val="35000"/>
                  </a:schemeClr>
                </a:solidFill>
                <a:round/>
              </a:ln>
              <a:effectLst/>
            </c:spPr>
          </c:errBars>
          <c:cat>
            <c:strRef>
              <c:f>Sheet1!$A$2</c:f>
              <c:strCache>
                <c:ptCount val="1"/>
                <c:pt idx="0">
                  <c:v>Biomass</c:v>
                </c:pt>
              </c:strCache>
            </c:strRef>
          </c:cat>
          <c:val>
            <c:numRef>
              <c:f>Sheet1!$B$2</c:f>
              <c:numCache>
                <c:formatCode>General</c:formatCode>
                <c:ptCount val="1"/>
                <c:pt idx="0">
                  <c:v>5.33</c:v>
                </c:pt>
              </c:numCache>
            </c:numRef>
          </c:val>
          <c:extLst>
            <c:ext xmlns:c16="http://schemas.microsoft.com/office/drawing/2014/chart" uri="{C3380CC4-5D6E-409C-BE32-E72D297353CC}">
              <c16:uniqueId val="{00000000-77F8-4954-8B0C-4F40235252FA}"/>
            </c:ext>
          </c:extLst>
        </c:ser>
        <c:ser>
          <c:idx val="1"/>
          <c:order val="1"/>
          <c:tx>
            <c:strRef>
              <c:f>Sheet1!$C$1</c:f>
              <c:strCache>
                <c:ptCount val="1"/>
                <c:pt idx="0">
                  <c:v>T1</c:v>
                </c:pt>
              </c:strCache>
            </c:strRef>
          </c:tx>
          <c:spPr>
            <a:solidFill>
              <a:schemeClr val="accent2"/>
            </a:solidFill>
            <a:ln>
              <a:noFill/>
            </a:ln>
            <a:effectLst/>
          </c:spPr>
          <c:invertIfNegative val="0"/>
          <c:errBars>
            <c:errBarType val="both"/>
            <c:errValType val="cust"/>
            <c:noEndCap val="0"/>
            <c:plus>
              <c:numRef>
                <c:f>Sheet1!$F$2</c:f>
                <c:numCache>
                  <c:formatCode>General</c:formatCode>
                  <c:ptCount val="1"/>
                  <c:pt idx="0">
                    <c:v>0.1</c:v>
                  </c:pt>
                </c:numCache>
              </c:numRef>
            </c:plus>
            <c:minus>
              <c:numRef>
                <c:f>Sheet1!$F$2</c:f>
                <c:numCache>
                  <c:formatCode>General</c:formatCode>
                  <c:ptCount val="1"/>
                  <c:pt idx="0">
                    <c:v>0.1</c:v>
                  </c:pt>
                </c:numCache>
              </c:numRef>
            </c:minus>
            <c:spPr>
              <a:noFill/>
              <a:ln w="9525" cap="flat" cmpd="sng" algn="ctr">
                <a:solidFill>
                  <a:schemeClr val="tx1">
                    <a:lumMod val="65000"/>
                    <a:lumOff val="35000"/>
                  </a:schemeClr>
                </a:solidFill>
                <a:round/>
              </a:ln>
              <a:effectLst/>
            </c:spPr>
          </c:errBars>
          <c:cat>
            <c:strRef>
              <c:f>Sheet1!$A$2</c:f>
              <c:strCache>
                <c:ptCount val="1"/>
                <c:pt idx="0">
                  <c:v>Biomass</c:v>
                </c:pt>
              </c:strCache>
            </c:strRef>
          </c:cat>
          <c:val>
            <c:numRef>
              <c:f>Sheet1!$C$2</c:f>
              <c:numCache>
                <c:formatCode>General</c:formatCode>
                <c:ptCount val="1"/>
                <c:pt idx="0">
                  <c:v>5.68</c:v>
                </c:pt>
              </c:numCache>
            </c:numRef>
          </c:val>
          <c:extLst>
            <c:ext xmlns:c16="http://schemas.microsoft.com/office/drawing/2014/chart" uri="{C3380CC4-5D6E-409C-BE32-E72D297353CC}">
              <c16:uniqueId val="{00000001-77F8-4954-8B0C-4F40235252FA}"/>
            </c:ext>
          </c:extLst>
        </c:ser>
        <c:ser>
          <c:idx val="2"/>
          <c:order val="2"/>
          <c:tx>
            <c:strRef>
              <c:f>Sheet1!$D$1</c:f>
              <c:strCache>
                <c:ptCount val="1"/>
                <c:pt idx="0">
                  <c:v>T2</c:v>
                </c:pt>
              </c:strCache>
            </c:strRef>
          </c:tx>
          <c:spPr>
            <a:solidFill>
              <a:schemeClr val="accent3"/>
            </a:solidFill>
            <a:ln>
              <a:noFill/>
            </a:ln>
            <a:effectLst/>
          </c:spPr>
          <c:invertIfNegative val="0"/>
          <c:errBars>
            <c:errBarType val="both"/>
            <c:errValType val="cust"/>
            <c:noEndCap val="0"/>
            <c:plus>
              <c:numRef>
                <c:f>Sheet1!$G$2</c:f>
                <c:numCache>
                  <c:formatCode>General</c:formatCode>
                  <c:ptCount val="1"/>
                  <c:pt idx="0">
                    <c:v>0.31</c:v>
                  </c:pt>
                </c:numCache>
              </c:numRef>
            </c:plus>
            <c:minus>
              <c:numRef>
                <c:f>Sheet1!$G$2</c:f>
                <c:numCache>
                  <c:formatCode>General</c:formatCode>
                  <c:ptCount val="1"/>
                  <c:pt idx="0">
                    <c:v>0.31</c:v>
                  </c:pt>
                </c:numCache>
              </c:numRef>
            </c:minus>
            <c:spPr>
              <a:noFill/>
              <a:ln w="9525" cap="flat" cmpd="sng" algn="ctr">
                <a:solidFill>
                  <a:schemeClr val="tx1">
                    <a:lumMod val="65000"/>
                    <a:lumOff val="35000"/>
                  </a:schemeClr>
                </a:solidFill>
                <a:round/>
              </a:ln>
              <a:effectLst/>
            </c:spPr>
          </c:errBars>
          <c:cat>
            <c:strRef>
              <c:f>Sheet1!$A$2</c:f>
              <c:strCache>
                <c:ptCount val="1"/>
                <c:pt idx="0">
                  <c:v>Biomass</c:v>
                </c:pt>
              </c:strCache>
            </c:strRef>
          </c:cat>
          <c:val>
            <c:numRef>
              <c:f>Sheet1!$D$2</c:f>
              <c:numCache>
                <c:formatCode>General</c:formatCode>
                <c:ptCount val="1"/>
                <c:pt idx="0">
                  <c:v>6.9</c:v>
                </c:pt>
              </c:numCache>
            </c:numRef>
          </c:val>
          <c:extLst>
            <c:ext xmlns:c16="http://schemas.microsoft.com/office/drawing/2014/chart" uri="{C3380CC4-5D6E-409C-BE32-E72D297353CC}">
              <c16:uniqueId val="{00000002-77F8-4954-8B0C-4F40235252FA}"/>
            </c:ext>
          </c:extLst>
        </c:ser>
        <c:dLbls>
          <c:showLegendKey val="0"/>
          <c:showVal val="0"/>
          <c:showCatName val="0"/>
          <c:showSerName val="0"/>
          <c:showPercent val="0"/>
          <c:showBubbleSize val="0"/>
        </c:dLbls>
        <c:gapWidth val="219"/>
        <c:overlap val="-27"/>
        <c:axId val="224596576"/>
        <c:axId val="224610016"/>
      </c:barChart>
      <c:catAx>
        <c:axId val="224596576"/>
        <c:scaling>
          <c:orientation val="minMax"/>
        </c:scaling>
        <c:delete val="0"/>
        <c:axPos val="b"/>
        <c:title>
          <c:tx>
            <c:rich>
              <a:bodyPr rot="0" spcFirstLastPara="1" vertOverflow="ellipsis" vert="horz" wrap="square" anchor="ctr" anchorCtr="1"/>
              <a:lstStyle/>
              <a:p>
                <a:pPr>
                  <a:defRPr lang="en-US" sz="1000" b="0" i="0" u="none" strike="noStrike" kern="1200" baseline="0">
                    <a:solidFill>
                      <a:schemeClr val="tx1">
                        <a:lumMod val="65000"/>
                        <a:lumOff val="35000"/>
                      </a:schemeClr>
                    </a:solidFill>
                    <a:latin typeface="+mn-lt"/>
                    <a:ea typeface="+mn-ea"/>
                    <a:cs typeface="+mn-cs"/>
                  </a:defRPr>
                </a:pPr>
                <a:r>
                  <a:rPr lang="en-IN"/>
                  <a:t>Plant Biomass</a:t>
                </a:r>
              </a:p>
            </c:rich>
          </c:tx>
          <c:overlay val="0"/>
          <c:spPr>
            <a:noFill/>
            <a:ln>
              <a:noFill/>
            </a:ln>
            <a:effectLst/>
          </c:spPr>
          <c:txPr>
            <a:bodyPr rot="0" spcFirstLastPara="1" vertOverflow="ellipsis" vert="horz" wrap="square" anchor="ctr" anchorCtr="1"/>
            <a:lstStyle/>
            <a:p>
              <a:pPr>
                <a:defRPr lang="en-US" sz="1000" b="0" i="0" u="none" strike="noStrike" kern="1200" baseline="0">
                  <a:solidFill>
                    <a:schemeClr val="tx1">
                      <a:lumMod val="65000"/>
                      <a:lumOff val="35000"/>
                    </a:schemeClr>
                  </a:solidFill>
                  <a:latin typeface="+mn-lt"/>
                  <a:ea typeface="+mn-ea"/>
                  <a:cs typeface="+mn-cs"/>
                </a:defRPr>
              </a:pPr>
              <a:endParaRPr lang="es-MX"/>
            </a:p>
          </c:tx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lang="en-US" sz="900" b="0" i="0" u="none" strike="noStrike" kern="1200" baseline="0">
                <a:solidFill>
                  <a:schemeClr val="tx1">
                    <a:lumMod val="65000"/>
                    <a:lumOff val="35000"/>
                  </a:schemeClr>
                </a:solidFill>
                <a:latin typeface="+mn-lt"/>
                <a:ea typeface="+mn-ea"/>
                <a:cs typeface="+mn-cs"/>
              </a:defRPr>
            </a:pPr>
            <a:endParaRPr lang="es-MX"/>
          </a:p>
        </c:txPr>
        <c:crossAx val="224610016"/>
        <c:crosses val="autoZero"/>
        <c:auto val="1"/>
        <c:lblAlgn val="ctr"/>
        <c:lblOffset val="100"/>
        <c:noMultiLvlLbl val="0"/>
      </c:catAx>
      <c:valAx>
        <c:axId val="224610016"/>
        <c:scaling>
          <c:orientation val="minMax"/>
        </c:scaling>
        <c:delete val="0"/>
        <c:axPos val="l"/>
        <c:majorGridlines>
          <c:spPr>
            <a:ln w="9525" cap="flat" cmpd="sng" algn="ctr">
              <a:noFill/>
              <a:round/>
            </a:ln>
            <a:effectLst/>
          </c:spPr>
        </c:majorGridlines>
        <c:title>
          <c:tx>
            <c:rich>
              <a:bodyPr rot="-5400000" spcFirstLastPara="1" vertOverflow="ellipsis" vert="horz" wrap="square" anchor="ctr" anchorCtr="1"/>
              <a:lstStyle/>
              <a:p>
                <a:pPr>
                  <a:defRPr lang="en-US" sz="1000" b="0" i="0" u="none" strike="noStrike" kern="1200" baseline="0">
                    <a:solidFill>
                      <a:schemeClr val="tx1">
                        <a:lumMod val="65000"/>
                        <a:lumOff val="35000"/>
                      </a:schemeClr>
                    </a:solidFill>
                    <a:latin typeface="+mn-lt"/>
                    <a:ea typeface="+mn-ea"/>
                    <a:cs typeface="+mn-cs"/>
                  </a:defRPr>
                </a:pPr>
                <a:r>
                  <a:rPr lang="en-IN"/>
                  <a:t>gram</a:t>
                </a:r>
              </a:p>
            </c:rich>
          </c:tx>
          <c:overlay val="0"/>
          <c:spPr>
            <a:noFill/>
            <a:ln>
              <a:noFill/>
            </a:ln>
            <a:effectLst/>
          </c:spPr>
          <c:txPr>
            <a:bodyPr rot="-5400000" spcFirstLastPara="1" vertOverflow="ellipsis" vert="horz" wrap="square" anchor="ctr" anchorCtr="1"/>
            <a:lstStyle/>
            <a:p>
              <a:pPr>
                <a:defRPr lang="en-US" sz="1000" b="0" i="0" u="none" strike="noStrike" kern="1200" baseline="0">
                  <a:solidFill>
                    <a:schemeClr val="tx1">
                      <a:lumMod val="65000"/>
                      <a:lumOff val="35000"/>
                    </a:schemeClr>
                  </a:solidFill>
                  <a:latin typeface="+mn-lt"/>
                  <a:ea typeface="+mn-ea"/>
                  <a:cs typeface="+mn-cs"/>
                </a:defRPr>
              </a:pPr>
              <a:endParaRPr lang="es-MX"/>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lang="en-US" sz="900" b="0" i="0" u="none" strike="noStrike" kern="1200" baseline="0">
                <a:solidFill>
                  <a:schemeClr val="tx1">
                    <a:lumMod val="65000"/>
                    <a:lumOff val="35000"/>
                  </a:schemeClr>
                </a:solidFill>
                <a:latin typeface="+mn-lt"/>
                <a:ea typeface="+mn-ea"/>
                <a:cs typeface="+mn-cs"/>
              </a:defRPr>
            </a:pPr>
            <a:endParaRPr lang="es-MX"/>
          </a:p>
        </c:txPr>
        <c:crossAx val="224596576"/>
        <c:crosses val="autoZero"/>
        <c:crossBetween val="between"/>
      </c:valAx>
      <c:spPr>
        <a:noFill/>
        <a:ln>
          <a:noFill/>
        </a:ln>
        <a:effectLst/>
      </c:spPr>
    </c:plotArea>
    <c:legend>
      <c:legendPos val="b"/>
      <c:overlay val="0"/>
      <c:spPr>
        <a:noFill/>
        <a:ln>
          <a:solidFill>
            <a:schemeClr val="tx1"/>
          </a:solidFill>
        </a:ln>
        <a:effectLst/>
      </c:spPr>
      <c:txPr>
        <a:bodyPr rot="0" spcFirstLastPara="1" vertOverflow="ellipsis" vert="horz" wrap="square" anchor="ctr" anchorCtr="1"/>
        <a:lstStyle/>
        <a:p>
          <a:pPr>
            <a:defRPr lang="en-US" sz="900" b="0" i="0" u="none" strike="noStrike" kern="1200" baseline="0">
              <a:solidFill>
                <a:schemeClr val="tx1">
                  <a:lumMod val="65000"/>
                  <a:lumOff val="35000"/>
                </a:schemeClr>
              </a:solidFill>
              <a:latin typeface="+mn-lt"/>
              <a:ea typeface="+mn-ea"/>
              <a:cs typeface="+mn-cs"/>
            </a:defRPr>
          </a:pPr>
          <a:endParaRPr lang="es-MX"/>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noFill/>
      <a:round/>
    </a:ln>
    <a:effectLst/>
  </c:spPr>
  <c:txPr>
    <a:bodyPr/>
    <a:lstStyle/>
    <a:p>
      <a:pPr>
        <a:defRPr lang="en-US"/>
      </a:pPr>
      <a:endParaRPr lang="es-MX"/>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IN"/>
              <a:t>pH</a:t>
            </a: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s-MX"/>
        </a:p>
      </c:txPr>
    </c:title>
    <c:autoTitleDeleted val="0"/>
    <c:plotArea>
      <c:layout/>
      <c:lineChart>
        <c:grouping val="standard"/>
        <c:varyColors val="0"/>
        <c:ser>
          <c:idx val="0"/>
          <c:order val="0"/>
          <c:tx>
            <c:strRef>
              <c:f>Sheet1!$B$1</c:f>
              <c:strCache>
                <c:ptCount val="1"/>
                <c:pt idx="0">
                  <c:v>C</c:v>
                </c:pt>
              </c:strCache>
            </c:strRef>
          </c:tx>
          <c:spPr>
            <a:ln w="28575" cap="rnd">
              <a:solidFill>
                <a:schemeClr val="accent1"/>
              </a:solidFill>
              <a:round/>
            </a:ln>
            <a:effectLst/>
          </c:spPr>
          <c:marker>
            <c:symbol val="circle"/>
            <c:size val="5"/>
            <c:spPr>
              <a:solidFill>
                <a:schemeClr val="accent1"/>
              </a:solidFill>
              <a:ln w="9525">
                <a:solidFill>
                  <a:schemeClr val="accent1"/>
                </a:solidFill>
              </a:ln>
              <a:effectLst/>
            </c:spPr>
          </c:marker>
          <c:errBars>
            <c:errDir val="y"/>
            <c:errBarType val="both"/>
            <c:errValType val="cust"/>
            <c:noEndCap val="0"/>
            <c:plus>
              <c:numRef>
                <c:f>Sheet1!$E$2:$E$11</c:f>
                <c:numCache>
                  <c:formatCode>General</c:formatCode>
                  <c:ptCount val="10"/>
                  <c:pt idx="0">
                    <c:v>0.01</c:v>
                  </c:pt>
                  <c:pt idx="1">
                    <c:v>0.04</c:v>
                  </c:pt>
                  <c:pt idx="2">
                    <c:v>0.09</c:v>
                  </c:pt>
                  <c:pt idx="3">
                    <c:v>7.0000000000000007E-2</c:v>
                  </c:pt>
                  <c:pt idx="4">
                    <c:v>0.05</c:v>
                  </c:pt>
                  <c:pt idx="5">
                    <c:v>0.02</c:v>
                  </c:pt>
                  <c:pt idx="6">
                    <c:v>0.02</c:v>
                  </c:pt>
                  <c:pt idx="7">
                    <c:v>0.02</c:v>
                  </c:pt>
                  <c:pt idx="8">
                    <c:v>0.02</c:v>
                  </c:pt>
                  <c:pt idx="9">
                    <c:v>0.02</c:v>
                  </c:pt>
                </c:numCache>
              </c:numRef>
            </c:plus>
            <c:minus>
              <c:numRef>
                <c:f>Sheet1!$E$2:$E$11</c:f>
                <c:numCache>
                  <c:formatCode>General</c:formatCode>
                  <c:ptCount val="10"/>
                  <c:pt idx="0">
                    <c:v>0.01</c:v>
                  </c:pt>
                  <c:pt idx="1">
                    <c:v>0.04</c:v>
                  </c:pt>
                  <c:pt idx="2">
                    <c:v>0.09</c:v>
                  </c:pt>
                  <c:pt idx="3">
                    <c:v>7.0000000000000007E-2</c:v>
                  </c:pt>
                  <c:pt idx="4">
                    <c:v>0.05</c:v>
                  </c:pt>
                  <c:pt idx="5">
                    <c:v>0.02</c:v>
                  </c:pt>
                  <c:pt idx="6">
                    <c:v>0.02</c:v>
                  </c:pt>
                  <c:pt idx="7">
                    <c:v>0.02</c:v>
                  </c:pt>
                  <c:pt idx="8">
                    <c:v>0.02</c:v>
                  </c:pt>
                  <c:pt idx="9">
                    <c:v>0.02</c:v>
                  </c:pt>
                </c:numCache>
              </c:numRef>
            </c:minus>
            <c:spPr>
              <a:noFill/>
              <a:ln w="9525" cap="flat" cmpd="sng" algn="ctr">
                <a:solidFill>
                  <a:schemeClr val="tx1">
                    <a:lumMod val="65000"/>
                    <a:lumOff val="35000"/>
                  </a:schemeClr>
                </a:solidFill>
                <a:round/>
              </a:ln>
              <a:effectLst/>
            </c:spPr>
          </c:errBars>
          <c:cat>
            <c:strRef>
              <c:f>Sheet1!$A$2:$A$11</c:f>
              <c:strCache>
                <c:ptCount val="10"/>
                <c:pt idx="0">
                  <c:v>0th</c:v>
                </c:pt>
                <c:pt idx="1">
                  <c:v>7th</c:v>
                </c:pt>
                <c:pt idx="2">
                  <c:v>14th</c:v>
                </c:pt>
                <c:pt idx="3">
                  <c:v>21st</c:v>
                </c:pt>
                <c:pt idx="4">
                  <c:v>28th</c:v>
                </c:pt>
                <c:pt idx="5">
                  <c:v>35th</c:v>
                </c:pt>
                <c:pt idx="6">
                  <c:v>42nd</c:v>
                </c:pt>
                <c:pt idx="7">
                  <c:v>49th</c:v>
                </c:pt>
                <c:pt idx="8">
                  <c:v>56th</c:v>
                </c:pt>
                <c:pt idx="9">
                  <c:v>63rd</c:v>
                </c:pt>
              </c:strCache>
            </c:strRef>
          </c:cat>
          <c:val>
            <c:numRef>
              <c:f>Sheet1!$B$2:$B$11</c:f>
              <c:numCache>
                <c:formatCode>General</c:formatCode>
                <c:ptCount val="10"/>
                <c:pt idx="0">
                  <c:v>8.3800000000000008</c:v>
                </c:pt>
                <c:pt idx="1">
                  <c:v>8.49</c:v>
                </c:pt>
                <c:pt idx="2">
                  <c:v>8.73</c:v>
                </c:pt>
                <c:pt idx="3">
                  <c:v>8.73</c:v>
                </c:pt>
                <c:pt idx="4">
                  <c:v>8.68</c:v>
                </c:pt>
                <c:pt idx="5">
                  <c:v>8.6</c:v>
                </c:pt>
                <c:pt idx="6">
                  <c:v>8.57</c:v>
                </c:pt>
                <c:pt idx="7">
                  <c:v>8.5399999999999991</c:v>
                </c:pt>
                <c:pt idx="8">
                  <c:v>8.51</c:v>
                </c:pt>
                <c:pt idx="9">
                  <c:v>8.49</c:v>
                </c:pt>
              </c:numCache>
            </c:numRef>
          </c:val>
          <c:smooth val="0"/>
          <c:extLst>
            <c:ext xmlns:c16="http://schemas.microsoft.com/office/drawing/2014/chart" uri="{C3380CC4-5D6E-409C-BE32-E72D297353CC}">
              <c16:uniqueId val="{00000000-9885-4889-975E-142C0B6AF08B}"/>
            </c:ext>
          </c:extLst>
        </c:ser>
        <c:ser>
          <c:idx val="1"/>
          <c:order val="1"/>
          <c:tx>
            <c:strRef>
              <c:f>Sheet1!$C$1</c:f>
              <c:strCache>
                <c:ptCount val="1"/>
                <c:pt idx="0">
                  <c:v>T1</c:v>
                </c:pt>
              </c:strCache>
            </c:strRef>
          </c:tx>
          <c:spPr>
            <a:ln w="28575" cap="rnd">
              <a:solidFill>
                <a:schemeClr val="accent2"/>
              </a:solidFill>
              <a:round/>
            </a:ln>
            <a:effectLst/>
          </c:spPr>
          <c:marker>
            <c:symbol val="circle"/>
            <c:size val="5"/>
            <c:spPr>
              <a:solidFill>
                <a:schemeClr val="accent2"/>
              </a:solidFill>
              <a:ln w="9525">
                <a:solidFill>
                  <a:schemeClr val="accent2"/>
                </a:solidFill>
              </a:ln>
              <a:effectLst/>
            </c:spPr>
          </c:marker>
          <c:errBars>
            <c:errDir val="y"/>
            <c:errBarType val="both"/>
            <c:errValType val="cust"/>
            <c:noEndCap val="0"/>
            <c:plus>
              <c:numRef>
                <c:f>Sheet1!$F$2:$F$11</c:f>
                <c:numCache>
                  <c:formatCode>General</c:formatCode>
                  <c:ptCount val="10"/>
                  <c:pt idx="0">
                    <c:v>0.04</c:v>
                  </c:pt>
                  <c:pt idx="1">
                    <c:v>0.05</c:v>
                  </c:pt>
                  <c:pt idx="2">
                    <c:v>0</c:v>
                  </c:pt>
                  <c:pt idx="3">
                    <c:v>0.03</c:v>
                  </c:pt>
                  <c:pt idx="4">
                    <c:v>0.01</c:v>
                  </c:pt>
                  <c:pt idx="5">
                    <c:v>0.02</c:v>
                  </c:pt>
                  <c:pt idx="6">
                    <c:v>0.02</c:v>
                  </c:pt>
                  <c:pt idx="7">
                    <c:v>0.03</c:v>
                  </c:pt>
                  <c:pt idx="8">
                    <c:v>0.03</c:v>
                  </c:pt>
                  <c:pt idx="9">
                    <c:v>0.03</c:v>
                  </c:pt>
                </c:numCache>
              </c:numRef>
            </c:plus>
            <c:minus>
              <c:numRef>
                <c:f>Sheet1!$F$2:$F$11</c:f>
                <c:numCache>
                  <c:formatCode>General</c:formatCode>
                  <c:ptCount val="10"/>
                  <c:pt idx="0">
                    <c:v>0.04</c:v>
                  </c:pt>
                  <c:pt idx="1">
                    <c:v>0.05</c:v>
                  </c:pt>
                  <c:pt idx="2">
                    <c:v>0</c:v>
                  </c:pt>
                  <c:pt idx="3">
                    <c:v>0.03</c:v>
                  </c:pt>
                  <c:pt idx="4">
                    <c:v>0.01</c:v>
                  </c:pt>
                  <c:pt idx="5">
                    <c:v>0.02</c:v>
                  </c:pt>
                  <c:pt idx="6">
                    <c:v>0.02</c:v>
                  </c:pt>
                  <c:pt idx="7">
                    <c:v>0.03</c:v>
                  </c:pt>
                  <c:pt idx="8">
                    <c:v>0.03</c:v>
                  </c:pt>
                  <c:pt idx="9">
                    <c:v>0.03</c:v>
                  </c:pt>
                </c:numCache>
              </c:numRef>
            </c:minus>
            <c:spPr>
              <a:noFill/>
              <a:ln w="9525" cap="flat" cmpd="sng" algn="ctr">
                <a:solidFill>
                  <a:schemeClr val="tx1">
                    <a:lumMod val="65000"/>
                    <a:lumOff val="35000"/>
                  </a:schemeClr>
                </a:solidFill>
                <a:round/>
              </a:ln>
              <a:effectLst/>
            </c:spPr>
          </c:errBars>
          <c:cat>
            <c:strRef>
              <c:f>Sheet1!$A$2:$A$11</c:f>
              <c:strCache>
                <c:ptCount val="10"/>
                <c:pt idx="0">
                  <c:v>0th</c:v>
                </c:pt>
                <c:pt idx="1">
                  <c:v>7th</c:v>
                </c:pt>
                <c:pt idx="2">
                  <c:v>14th</c:v>
                </c:pt>
                <c:pt idx="3">
                  <c:v>21st</c:v>
                </c:pt>
                <c:pt idx="4">
                  <c:v>28th</c:v>
                </c:pt>
                <c:pt idx="5">
                  <c:v>35th</c:v>
                </c:pt>
                <c:pt idx="6">
                  <c:v>42nd</c:v>
                </c:pt>
                <c:pt idx="7">
                  <c:v>49th</c:v>
                </c:pt>
                <c:pt idx="8">
                  <c:v>56th</c:v>
                </c:pt>
                <c:pt idx="9">
                  <c:v>63rd</c:v>
                </c:pt>
              </c:strCache>
            </c:strRef>
          </c:cat>
          <c:val>
            <c:numRef>
              <c:f>Sheet1!$C$2:$C$11</c:f>
              <c:numCache>
                <c:formatCode>General</c:formatCode>
                <c:ptCount val="10"/>
                <c:pt idx="0">
                  <c:v>8.3699999999999992</c:v>
                </c:pt>
                <c:pt idx="1">
                  <c:v>8.5399999999999991</c:v>
                </c:pt>
                <c:pt idx="2">
                  <c:v>8.8000000000000007</c:v>
                </c:pt>
                <c:pt idx="3">
                  <c:v>8.91</c:v>
                </c:pt>
                <c:pt idx="4">
                  <c:v>8.93</c:v>
                </c:pt>
                <c:pt idx="5">
                  <c:v>8.8800000000000008</c:v>
                </c:pt>
                <c:pt idx="6">
                  <c:v>8.83</c:v>
                </c:pt>
                <c:pt idx="7">
                  <c:v>8.8000000000000007</c:v>
                </c:pt>
                <c:pt idx="8">
                  <c:v>8.7799999999999994</c:v>
                </c:pt>
                <c:pt idx="9">
                  <c:v>8.75</c:v>
                </c:pt>
              </c:numCache>
            </c:numRef>
          </c:val>
          <c:smooth val="0"/>
          <c:extLst>
            <c:ext xmlns:c16="http://schemas.microsoft.com/office/drawing/2014/chart" uri="{C3380CC4-5D6E-409C-BE32-E72D297353CC}">
              <c16:uniqueId val="{00000001-9885-4889-975E-142C0B6AF08B}"/>
            </c:ext>
          </c:extLst>
        </c:ser>
        <c:ser>
          <c:idx val="2"/>
          <c:order val="2"/>
          <c:tx>
            <c:strRef>
              <c:f>Sheet1!$D$1</c:f>
              <c:strCache>
                <c:ptCount val="1"/>
                <c:pt idx="0">
                  <c:v>T2</c:v>
                </c:pt>
              </c:strCache>
            </c:strRef>
          </c:tx>
          <c:spPr>
            <a:ln w="28575" cap="rnd">
              <a:solidFill>
                <a:schemeClr val="accent3"/>
              </a:solidFill>
              <a:round/>
            </a:ln>
            <a:effectLst/>
          </c:spPr>
          <c:marker>
            <c:symbol val="circle"/>
            <c:size val="5"/>
            <c:spPr>
              <a:solidFill>
                <a:schemeClr val="accent3"/>
              </a:solidFill>
              <a:ln w="9525">
                <a:solidFill>
                  <a:schemeClr val="accent3"/>
                </a:solidFill>
              </a:ln>
              <a:effectLst/>
            </c:spPr>
          </c:marker>
          <c:errBars>
            <c:errDir val="y"/>
            <c:errBarType val="both"/>
            <c:errValType val="cust"/>
            <c:noEndCap val="0"/>
            <c:plus>
              <c:numRef>
                <c:f>Sheet1!$G$2:$G$11</c:f>
                <c:numCache>
                  <c:formatCode>General</c:formatCode>
                  <c:ptCount val="10"/>
                  <c:pt idx="0">
                    <c:v>0.09</c:v>
                  </c:pt>
                  <c:pt idx="1">
                    <c:v>0.04</c:v>
                  </c:pt>
                  <c:pt idx="2">
                    <c:v>0.03</c:v>
                  </c:pt>
                  <c:pt idx="3">
                    <c:v>0.03</c:v>
                  </c:pt>
                  <c:pt idx="4">
                    <c:v>0.04</c:v>
                  </c:pt>
                  <c:pt idx="5">
                    <c:v>0.04</c:v>
                  </c:pt>
                  <c:pt idx="6">
                    <c:v>0.03</c:v>
                  </c:pt>
                  <c:pt idx="7">
                    <c:v>0.03</c:v>
                  </c:pt>
                  <c:pt idx="8">
                    <c:v>0.03</c:v>
                  </c:pt>
                  <c:pt idx="9">
                    <c:v>0.03</c:v>
                  </c:pt>
                </c:numCache>
              </c:numRef>
            </c:plus>
            <c:minus>
              <c:numRef>
                <c:f>Sheet1!$G$2:$G$11</c:f>
                <c:numCache>
                  <c:formatCode>General</c:formatCode>
                  <c:ptCount val="10"/>
                  <c:pt idx="0">
                    <c:v>0.09</c:v>
                  </c:pt>
                  <c:pt idx="1">
                    <c:v>0.04</c:v>
                  </c:pt>
                  <c:pt idx="2">
                    <c:v>0.03</c:v>
                  </c:pt>
                  <c:pt idx="3">
                    <c:v>0.03</c:v>
                  </c:pt>
                  <c:pt idx="4">
                    <c:v>0.04</c:v>
                  </c:pt>
                  <c:pt idx="5">
                    <c:v>0.04</c:v>
                  </c:pt>
                  <c:pt idx="6">
                    <c:v>0.03</c:v>
                  </c:pt>
                  <c:pt idx="7">
                    <c:v>0.03</c:v>
                  </c:pt>
                  <c:pt idx="8">
                    <c:v>0.03</c:v>
                  </c:pt>
                  <c:pt idx="9">
                    <c:v>0.03</c:v>
                  </c:pt>
                </c:numCache>
              </c:numRef>
            </c:minus>
            <c:spPr>
              <a:noFill/>
              <a:ln w="9525" cap="flat" cmpd="sng" algn="ctr">
                <a:solidFill>
                  <a:schemeClr val="tx1">
                    <a:lumMod val="65000"/>
                    <a:lumOff val="35000"/>
                  </a:schemeClr>
                </a:solidFill>
                <a:round/>
              </a:ln>
              <a:effectLst/>
            </c:spPr>
          </c:errBars>
          <c:cat>
            <c:strRef>
              <c:f>Sheet1!$A$2:$A$11</c:f>
              <c:strCache>
                <c:ptCount val="10"/>
                <c:pt idx="0">
                  <c:v>0th</c:v>
                </c:pt>
                <c:pt idx="1">
                  <c:v>7th</c:v>
                </c:pt>
                <c:pt idx="2">
                  <c:v>14th</c:v>
                </c:pt>
                <c:pt idx="3">
                  <c:v>21st</c:v>
                </c:pt>
                <c:pt idx="4">
                  <c:v>28th</c:v>
                </c:pt>
                <c:pt idx="5">
                  <c:v>35th</c:v>
                </c:pt>
                <c:pt idx="6">
                  <c:v>42nd</c:v>
                </c:pt>
                <c:pt idx="7">
                  <c:v>49th</c:v>
                </c:pt>
                <c:pt idx="8">
                  <c:v>56th</c:v>
                </c:pt>
                <c:pt idx="9">
                  <c:v>63rd</c:v>
                </c:pt>
              </c:strCache>
            </c:strRef>
          </c:cat>
          <c:val>
            <c:numRef>
              <c:f>Sheet1!$D$2:$D$11</c:f>
              <c:numCache>
                <c:formatCode>General</c:formatCode>
                <c:ptCount val="10"/>
                <c:pt idx="0">
                  <c:v>7.99</c:v>
                </c:pt>
                <c:pt idx="1">
                  <c:v>8.4600000000000009</c:v>
                </c:pt>
                <c:pt idx="2">
                  <c:v>8.93</c:v>
                </c:pt>
                <c:pt idx="3">
                  <c:v>8.8000000000000007</c:v>
                </c:pt>
                <c:pt idx="4">
                  <c:v>8.7899999999999991</c:v>
                </c:pt>
                <c:pt idx="5">
                  <c:v>8.77</c:v>
                </c:pt>
                <c:pt idx="6">
                  <c:v>8.74</c:v>
                </c:pt>
                <c:pt idx="7">
                  <c:v>8.7200000000000006</c:v>
                </c:pt>
                <c:pt idx="8">
                  <c:v>8.69</c:v>
                </c:pt>
                <c:pt idx="9">
                  <c:v>8.67</c:v>
                </c:pt>
              </c:numCache>
            </c:numRef>
          </c:val>
          <c:smooth val="0"/>
          <c:extLst>
            <c:ext xmlns:c16="http://schemas.microsoft.com/office/drawing/2014/chart" uri="{C3380CC4-5D6E-409C-BE32-E72D297353CC}">
              <c16:uniqueId val="{00000002-9885-4889-975E-142C0B6AF08B}"/>
            </c:ext>
          </c:extLst>
        </c:ser>
        <c:dLbls>
          <c:showLegendKey val="0"/>
          <c:showVal val="0"/>
          <c:showCatName val="0"/>
          <c:showSerName val="0"/>
          <c:showPercent val="0"/>
          <c:showBubbleSize val="0"/>
        </c:dLbls>
        <c:marker val="1"/>
        <c:smooth val="0"/>
        <c:axId val="1285654480"/>
        <c:axId val="1285663120"/>
      </c:lineChart>
      <c:catAx>
        <c:axId val="1285654480"/>
        <c:scaling>
          <c:orientation val="minMax"/>
        </c:scaling>
        <c:delete val="0"/>
        <c:axPos val="b"/>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IN"/>
                  <a:t>Days</a:t>
                </a:r>
              </a:p>
            </c:rich>
          </c:tx>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s-MX"/>
            </a:p>
          </c:tx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MX"/>
          </a:p>
        </c:txPr>
        <c:crossAx val="1285663120"/>
        <c:crosses val="autoZero"/>
        <c:auto val="1"/>
        <c:lblAlgn val="ctr"/>
        <c:lblOffset val="100"/>
        <c:noMultiLvlLbl val="0"/>
      </c:catAx>
      <c:valAx>
        <c:axId val="1285663120"/>
        <c:scaling>
          <c:orientation val="minMax"/>
        </c:scaling>
        <c:delete val="0"/>
        <c:axPos val="l"/>
        <c:majorGridlines>
          <c:spPr>
            <a:ln w="9525" cap="flat" cmpd="sng" algn="ctr">
              <a:no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IN"/>
                  <a:t>pH</a:t>
                </a:r>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s-MX"/>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MX"/>
          </a:p>
        </c:txPr>
        <c:crossAx val="1285654480"/>
        <c:crosses val="autoZero"/>
        <c:crossBetween val="between"/>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noFill/>
      <a:round/>
    </a:ln>
    <a:effectLst/>
  </c:spPr>
  <c:txPr>
    <a:bodyPr/>
    <a:lstStyle/>
    <a:p>
      <a:pPr>
        <a:defRPr/>
      </a:pPr>
      <a:endParaRPr lang="es-MX"/>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IN"/>
              <a:t>Total</a:t>
            </a:r>
            <a:r>
              <a:rPr lang="en-IN" baseline="0"/>
              <a:t> Dissolved Solids</a:t>
            </a:r>
            <a:endParaRPr lang="en-IN"/>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s-MX"/>
        </a:p>
      </c:txPr>
    </c:title>
    <c:autoTitleDeleted val="0"/>
    <c:plotArea>
      <c:layout/>
      <c:lineChart>
        <c:grouping val="standard"/>
        <c:varyColors val="0"/>
        <c:ser>
          <c:idx val="0"/>
          <c:order val="0"/>
          <c:tx>
            <c:strRef>
              <c:f>Sheet1!$B$1</c:f>
              <c:strCache>
                <c:ptCount val="1"/>
                <c:pt idx="0">
                  <c:v>C</c:v>
                </c:pt>
              </c:strCache>
            </c:strRef>
          </c:tx>
          <c:spPr>
            <a:ln w="28575" cap="rnd">
              <a:solidFill>
                <a:schemeClr val="accent1"/>
              </a:solidFill>
              <a:round/>
            </a:ln>
            <a:effectLst/>
          </c:spPr>
          <c:marker>
            <c:symbol val="circle"/>
            <c:size val="5"/>
            <c:spPr>
              <a:solidFill>
                <a:schemeClr val="accent1"/>
              </a:solidFill>
              <a:ln w="9525">
                <a:solidFill>
                  <a:schemeClr val="accent1"/>
                </a:solidFill>
              </a:ln>
              <a:effectLst/>
            </c:spPr>
          </c:marker>
          <c:errBars>
            <c:errDir val="y"/>
            <c:errBarType val="both"/>
            <c:errValType val="cust"/>
            <c:noEndCap val="0"/>
            <c:plus>
              <c:numRef>
                <c:f>Sheet1!$E$2:$E$11</c:f>
                <c:numCache>
                  <c:formatCode>General</c:formatCode>
                  <c:ptCount val="10"/>
                  <c:pt idx="0">
                    <c:v>59.67</c:v>
                  </c:pt>
                  <c:pt idx="1">
                    <c:v>27.11</c:v>
                  </c:pt>
                  <c:pt idx="2">
                    <c:v>34.64</c:v>
                  </c:pt>
                  <c:pt idx="3">
                    <c:v>36.380000000000003</c:v>
                  </c:pt>
                  <c:pt idx="4">
                    <c:v>33.92</c:v>
                  </c:pt>
                  <c:pt idx="5">
                    <c:v>34.380000000000003</c:v>
                  </c:pt>
                  <c:pt idx="6">
                    <c:v>20.57</c:v>
                  </c:pt>
                  <c:pt idx="7">
                    <c:v>9.58</c:v>
                  </c:pt>
                  <c:pt idx="8">
                    <c:v>13.68</c:v>
                  </c:pt>
                  <c:pt idx="9">
                    <c:v>22.89</c:v>
                  </c:pt>
                </c:numCache>
              </c:numRef>
            </c:plus>
            <c:minus>
              <c:numRef>
                <c:f>Sheet1!$E$2:$E$11</c:f>
                <c:numCache>
                  <c:formatCode>General</c:formatCode>
                  <c:ptCount val="10"/>
                  <c:pt idx="0">
                    <c:v>59.67</c:v>
                  </c:pt>
                  <c:pt idx="1">
                    <c:v>27.11</c:v>
                  </c:pt>
                  <c:pt idx="2">
                    <c:v>34.64</c:v>
                  </c:pt>
                  <c:pt idx="3">
                    <c:v>36.380000000000003</c:v>
                  </c:pt>
                  <c:pt idx="4">
                    <c:v>33.92</c:v>
                  </c:pt>
                  <c:pt idx="5">
                    <c:v>34.380000000000003</c:v>
                  </c:pt>
                  <c:pt idx="6">
                    <c:v>20.57</c:v>
                  </c:pt>
                  <c:pt idx="7">
                    <c:v>9.58</c:v>
                  </c:pt>
                  <c:pt idx="8">
                    <c:v>13.68</c:v>
                  </c:pt>
                  <c:pt idx="9">
                    <c:v>22.89</c:v>
                  </c:pt>
                </c:numCache>
              </c:numRef>
            </c:minus>
            <c:spPr>
              <a:noFill/>
              <a:ln w="9525" cap="flat" cmpd="sng" algn="ctr">
                <a:solidFill>
                  <a:schemeClr val="tx1">
                    <a:lumMod val="65000"/>
                    <a:lumOff val="35000"/>
                  </a:schemeClr>
                </a:solidFill>
                <a:round/>
              </a:ln>
              <a:effectLst/>
            </c:spPr>
          </c:errBars>
          <c:cat>
            <c:strRef>
              <c:f>Sheet1!$A$2:$A$11</c:f>
              <c:strCache>
                <c:ptCount val="10"/>
                <c:pt idx="0">
                  <c:v>0th</c:v>
                </c:pt>
                <c:pt idx="1">
                  <c:v>7th</c:v>
                </c:pt>
                <c:pt idx="2">
                  <c:v>14th</c:v>
                </c:pt>
                <c:pt idx="3">
                  <c:v>21st</c:v>
                </c:pt>
                <c:pt idx="4">
                  <c:v>28th</c:v>
                </c:pt>
                <c:pt idx="5">
                  <c:v>35th</c:v>
                </c:pt>
                <c:pt idx="6">
                  <c:v>42nd</c:v>
                </c:pt>
                <c:pt idx="7">
                  <c:v>49th</c:v>
                </c:pt>
                <c:pt idx="8">
                  <c:v>56th</c:v>
                </c:pt>
                <c:pt idx="9">
                  <c:v>63rd</c:v>
                </c:pt>
              </c:strCache>
            </c:strRef>
          </c:cat>
          <c:val>
            <c:numRef>
              <c:f>Sheet1!$B$2:$B$11</c:f>
              <c:numCache>
                <c:formatCode>General</c:formatCode>
                <c:ptCount val="10"/>
                <c:pt idx="0">
                  <c:v>363.08</c:v>
                </c:pt>
                <c:pt idx="1">
                  <c:v>392.18</c:v>
                </c:pt>
                <c:pt idx="2">
                  <c:v>339.16</c:v>
                </c:pt>
                <c:pt idx="3">
                  <c:v>416.86</c:v>
                </c:pt>
                <c:pt idx="4">
                  <c:v>391.5</c:v>
                </c:pt>
                <c:pt idx="5">
                  <c:v>357.85</c:v>
                </c:pt>
                <c:pt idx="6">
                  <c:v>392.32</c:v>
                </c:pt>
                <c:pt idx="7">
                  <c:v>358.68</c:v>
                </c:pt>
                <c:pt idx="8">
                  <c:v>321.2</c:v>
                </c:pt>
                <c:pt idx="9">
                  <c:v>320.42</c:v>
                </c:pt>
              </c:numCache>
            </c:numRef>
          </c:val>
          <c:smooth val="0"/>
          <c:extLst>
            <c:ext xmlns:c16="http://schemas.microsoft.com/office/drawing/2014/chart" uri="{C3380CC4-5D6E-409C-BE32-E72D297353CC}">
              <c16:uniqueId val="{00000000-D3F4-472B-9266-92998C2F275C}"/>
            </c:ext>
          </c:extLst>
        </c:ser>
        <c:ser>
          <c:idx val="1"/>
          <c:order val="1"/>
          <c:tx>
            <c:strRef>
              <c:f>Sheet1!$C$1</c:f>
              <c:strCache>
                <c:ptCount val="1"/>
                <c:pt idx="0">
                  <c:v>T1</c:v>
                </c:pt>
              </c:strCache>
            </c:strRef>
          </c:tx>
          <c:spPr>
            <a:ln w="28575" cap="rnd">
              <a:solidFill>
                <a:schemeClr val="accent2"/>
              </a:solidFill>
              <a:round/>
            </a:ln>
            <a:effectLst/>
          </c:spPr>
          <c:marker>
            <c:symbol val="circle"/>
            <c:size val="5"/>
            <c:spPr>
              <a:solidFill>
                <a:schemeClr val="accent2"/>
              </a:solidFill>
              <a:ln w="9525">
                <a:solidFill>
                  <a:schemeClr val="accent2"/>
                </a:solidFill>
              </a:ln>
              <a:effectLst/>
            </c:spPr>
          </c:marker>
          <c:errBars>
            <c:errDir val="y"/>
            <c:errBarType val="both"/>
            <c:errValType val="cust"/>
            <c:noEndCap val="0"/>
            <c:plus>
              <c:numRef>
                <c:f>Sheet1!$F$2:$F$11</c:f>
                <c:numCache>
                  <c:formatCode>General</c:formatCode>
                  <c:ptCount val="10"/>
                  <c:pt idx="0">
                    <c:v>4.6399999999999997</c:v>
                  </c:pt>
                  <c:pt idx="1">
                    <c:v>1.5</c:v>
                  </c:pt>
                  <c:pt idx="2">
                    <c:v>1.86</c:v>
                  </c:pt>
                  <c:pt idx="3">
                    <c:v>10.72</c:v>
                  </c:pt>
                  <c:pt idx="4">
                    <c:v>5.29</c:v>
                  </c:pt>
                  <c:pt idx="5">
                    <c:v>4.1399999999999997</c:v>
                  </c:pt>
                  <c:pt idx="6">
                    <c:v>5.75</c:v>
                  </c:pt>
                  <c:pt idx="7">
                    <c:v>5.29</c:v>
                  </c:pt>
                  <c:pt idx="8">
                    <c:v>9.1</c:v>
                  </c:pt>
                  <c:pt idx="9">
                    <c:v>3.79</c:v>
                  </c:pt>
                </c:numCache>
              </c:numRef>
            </c:plus>
            <c:minus>
              <c:numRef>
                <c:f>Sheet1!$F$2:$F$11</c:f>
                <c:numCache>
                  <c:formatCode>General</c:formatCode>
                  <c:ptCount val="10"/>
                  <c:pt idx="0">
                    <c:v>4.6399999999999997</c:v>
                  </c:pt>
                  <c:pt idx="1">
                    <c:v>1.5</c:v>
                  </c:pt>
                  <c:pt idx="2">
                    <c:v>1.86</c:v>
                  </c:pt>
                  <c:pt idx="3">
                    <c:v>10.72</c:v>
                  </c:pt>
                  <c:pt idx="4">
                    <c:v>5.29</c:v>
                  </c:pt>
                  <c:pt idx="5">
                    <c:v>4.1399999999999997</c:v>
                  </c:pt>
                  <c:pt idx="6">
                    <c:v>5.75</c:v>
                  </c:pt>
                  <c:pt idx="7">
                    <c:v>5.29</c:v>
                  </c:pt>
                  <c:pt idx="8">
                    <c:v>9.1</c:v>
                  </c:pt>
                  <c:pt idx="9">
                    <c:v>3.79</c:v>
                  </c:pt>
                </c:numCache>
              </c:numRef>
            </c:minus>
            <c:spPr>
              <a:noFill/>
              <a:ln w="9525" cap="flat" cmpd="sng" algn="ctr">
                <a:solidFill>
                  <a:schemeClr val="tx1">
                    <a:lumMod val="65000"/>
                    <a:lumOff val="35000"/>
                  </a:schemeClr>
                </a:solidFill>
                <a:round/>
              </a:ln>
              <a:effectLst/>
            </c:spPr>
          </c:errBars>
          <c:cat>
            <c:strRef>
              <c:f>Sheet1!$A$2:$A$11</c:f>
              <c:strCache>
                <c:ptCount val="10"/>
                <c:pt idx="0">
                  <c:v>0th</c:v>
                </c:pt>
                <c:pt idx="1">
                  <c:v>7th</c:v>
                </c:pt>
                <c:pt idx="2">
                  <c:v>14th</c:v>
                </c:pt>
                <c:pt idx="3">
                  <c:v>21st</c:v>
                </c:pt>
                <c:pt idx="4">
                  <c:v>28th</c:v>
                </c:pt>
                <c:pt idx="5">
                  <c:v>35th</c:v>
                </c:pt>
                <c:pt idx="6">
                  <c:v>42nd</c:v>
                </c:pt>
                <c:pt idx="7">
                  <c:v>49th</c:v>
                </c:pt>
                <c:pt idx="8">
                  <c:v>56th</c:v>
                </c:pt>
                <c:pt idx="9">
                  <c:v>63rd</c:v>
                </c:pt>
              </c:strCache>
            </c:strRef>
          </c:cat>
          <c:val>
            <c:numRef>
              <c:f>Sheet1!$C$2:$C$11</c:f>
              <c:numCache>
                <c:formatCode>General</c:formatCode>
                <c:ptCount val="10"/>
                <c:pt idx="0">
                  <c:v>514.46</c:v>
                </c:pt>
                <c:pt idx="1">
                  <c:v>629.73</c:v>
                </c:pt>
                <c:pt idx="2">
                  <c:v>691.33</c:v>
                </c:pt>
                <c:pt idx="3">
                  <c:v>659.23</c:v>
                </c:pt>
                <c:pt idx="4">
                  <c:v>653</c:v>
                </c:pt>
                <c:pt idx="5">
                  <c:v>627.03</c:v>
                </c:pt>
                <c:pt idx="6">
                  <c:v>665.96</c:v>
                </c:pt>
                <c:pt idx="7">
                  <c:v>643.53</c:v>
                </c:pt>
                <c:pt idx="8">
                  <c:v>619.9</c:v>
                </c:pt>
                <c:pt idx="9">
                  <c:v>597.13</c:v>
                </c:pt>
              </c:numCache>
            </c:numRef>
          </c:val>
          <c:smooth val="0"/>
          <c:extLst>
            <c:ext xmlns:c16="http://schemas.microsoft.com/office/drawing/2014/chart" uri="{C3380CC4-5D6E-409C-BE32-E72D297353CC}">
              <c16:uniqueId val="{00000001-D3F4-472B-9266-92998C2F275C}"/>
            </c:ext>
          </c:extLst>
        </c:ser>
        <c:ser>
          <c:idx val="2"/>
          <c:order val="2"/>
          <c:tx>
            <c:strRef>
              <c:f>Sheet1!$D$1</c:f>
              <c:strCache>
                <c:ptCount val="1"/>
                <c:pt idx="0">
                  <c:v>T2</c:v>
                </c:pt>
              </c:strCache>
            </c:strRef>
          </c:tx>
          <c:spPr>
            <a:ln w="28575" cap="rnd">
              <a:solidFill>
                <a:schemeClr val="accent3"/>
              </a:solidFill>
              <a:round/>
            </a:ln>
            <a:effectLst/>
          </c:spPr>
          <c:marker>
            <c:symbol val="circle"/>
            <c:size val="5"/>
            <c:spPr>
              <a:solidFill>
                <a:schemeClr val="accent3"/>
              </a:solidFill>
              <a:ln w="9525">
                <a:solidFill>
                  <a:schemeClr val="accent3"/>
                </a:solidFill>
              </a:ln>
              <a:effectLst/>
            </c:spPr>
          </c:marker>
          <c:errBars>
            <c:errDir val="y"/>
            <c:errBarType val="both"/>
            <c:errValType val="cust"/>
            <c:noEndCap val="0"/>
            <c:plus>
              <c:numRef>
                <c:f>Sheet1!$G$2:$G$11</c:f>
                <c:numCache>
                  <c:formatCode>General</c:formatCode>
                  <c:ptCount val="10"/>
                  <c:pt idx="0">
                    <c:v>5.36</c:v>
                  </c:pt>
                  <c:pt idx="1">
                    <c:v>2.79</c:v>
                  </c:pt>
                  <c:pt idx="2">
                    <c:v>5.04</c:v>
                  </c:pt>
                  <c:pt idx="3">
                    <c:v>6.15</c:v>
                  </c:pt>
                  <c:pt idx="4">
                    <c:v>5.45</c:v>
                  </c:pt>
                  <c:pt idx="5">
                    <c:v>5.71</c:v>
                  </c:pt>
                  <c:pt idx="6">
                    <c:v>4.18</c:v>
                  </c:pt>
                  <c:pt idx="7">
                    <c:v>10.31</c:v>
                  </c:pt>
                  <c:pt idx="8">
                    <c:v>7.91</c:v>
                  </c:pt>
                  <c:pt idx="9">
                    <c:v>5.72</c:v>
                  </c:pt>
                </c:numCache>
              </c:numRef>
            </c:plus>
            <c:minus>
              <c:numRef>
                <c:f>Sheet1!$G$2:$G$11</c:f>
                <c:numCache>
                  <c:formatCode>General</c:formatCode>
                  <c:ptCount val="10"/>
                  <c:pt idx="0">
                    <c:v>5.36</c:v>
                  </c:pt>
                  <c:pt idx="1">
                    <c:v>2.79</c:v>
                  </c:pt>
                  <c:pt idx="2">
                    <c:v>5.04</c:v>
                  </c:pt>
                  <c:pt idx="3">
                    <c:v>6.15</c:v>
                  </c:pt>
                  <c:pt idx="4">
                    <c:v>5.45</c:v>
                  </c:pt>
                  <c:pt idx="5">
                    <c:v>5.71</c:v>
                  </c:pt>
                  <c:pt idx="6">
                    <c:v>4.18</c:v>
                  </c:pt>
                  <c:pt idx="7">
                    <c:v>10.31</c:v>
                  </c:pt>
                  <c:pt idx="8">
                    <c:v>7.91</c:v>
                  </c:pt>
                  <c:pt idx="9">
                    <c:v>5.72</c:v>
                  </c:pt>
                </c:numCache>
              </c:numRef>
            </c:minus>
            <c:spPr>
              <a:noFill/>
              <a:ln w="9525" cap="flat" cmpd="sng" algn="ctr">
                <a:solidFill>
                  <a:schemeClr val="tx1">
                    <a:lumMod val="65000"/>
                    <a:lumOff val="35000"/>
                  </a:schemeClr>
                </a:solidFill>
                <a:round/>
              </a:ln>
              <a:effectLst/>
            </c:spPr>
          </c:errBars>
          <c:cat>
            <c:strRef>
              <c:f>Sheet1!$A$2:$A$11</c:f>
              <c:strCache>
                <c:ptCount val="10"/>
                <c:pt idx="0">
                  <c:v>0th</c:v>
                </c:pt>
                <c:pt idx="1">
                  <c:v>7th</c:v>
                </c:pt>
                <c:pt idx="2">
                  <c:v>14th</c:v>
                </c:pt>
                <c:pt idx="3">
                  <c:v>21st</c:v>
                </c:pt>
                <c:pt idx="4">
                  <c:v>28th</c:v>
                </c:pt>
                <c:pt idx="5">
                  <c:v>35th</c:v>
                </c:pt>
                <c:pt idx="6">
                  <c:v>42nd</c:v>
                </c:pt>
                <c:pt idx="7">
                  <c:v>49th</c:v>
                </c:pt>
                <c:pt idx="8">
                  <c:v>56th</c:v>
                </c:pt>
                <c:pt idx="9">
                  <c:v>63rd</c:v>
                </c:pt>
              </c:strCache>
            </c:strRef>
          </c:cat>
          <c:val>
            <c:numRef>
              <c:f>Sheet1!$D$2:$D$11</c:f>
              <c:numCache>
                <c:formatCode>General</c:formatCode>
                <c:ptCount val="10"/>
                <c:pt idx="0">
                  <c:v>532.20000000000005</c:v>
                </c:pt>
                <c:pt idx="1">
                  <c:v>516.42999999999995</c:v>
                </c:pt>
                <c:pt idx="2">
                  <c:v>700.66</c:v>
                </c:pt>
                <c:pt idx="3">
                  <c:v>691.16</c:v>
                </c:pt>
                <c:pt idx="4">
                  <c:v>696.96</c:v>
                </c:pt>
                <c:pt idx="5">
                  <c:v>703.8</c:v>
                </c:pt>
                <c:pt idx="6">
                  <c:v>727.86</c:v>
                </c:pt>
                <c:pt idx="7">
                  <c:v>720.5</c:v>
                </c:pt>
                <c:pt idx="8">
                  <c:v>705.56</c:v>
                </c:pt>
                <c:pt idx="9">
                  <c:v>685.56</c:v>
                </c:pt>
              </c:numCache>
            </c:numRef>
          </c:val>
          <c:smooth val="0"/>
          <c:extLst>
            <c:ext xmlns:c16="http://schemas.microsoft.com/office/drawing/2014/chart" uri="{C3380CC4-5D6E-409C-BE32-E72D297353CC}">
              <c16:uniqueId val="{00000002-D3F4-472B-9266-92998C2F275C}"/>
            </c:ext>
          </c:extLst>
        </c:ser>
        <c:dLbls>
          <c:showLegendKey val="0"/>
          <c:showVal val="0"/>
          <c:showCatName val="0"/>
          <c:showSerName val="0"/>
          <c:showPercent val="0"/>
          <c:showBubbleSize val="0"/>
        </c:dLbls>
        <c:marker val="1"/>
        <c:smooth val="0"/>
        <c:axId val="1418621808"/>
        <c:axId val="1418598288"/>
      </c:lineChart>
      <c:catAx>
        <c:axId val="1418621808"/>
        <c:scaling>
          <c:orientation val="minMax"/>
        </c:scaling>
        <c:delete val="0"/>
        <c:axPos val="b"/>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IN"/>
                  <a:t>Days</a:t>
                </a:r>
              </a:p>
            </c:rich>
          </c:tx>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s-MX"/>
            </a:p>
          </c:tx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MX"/>
          </a:p>
        </c:txPr>
        <c:crossAx val="1418598288"/>
        <c:crosses val="autoZero"/>
        <c:auto val="1"/>
        <c:lblAlgn val="ctr"/>
        <c:lblOffset val="100"/>
        <c:noMultiLvlLbl val="0"/>
      </c:catAx>
      <c:valAx>
        <c:axId val="1418598288"/>
        <c:scaling>
          <c:orientation val="minMax"/>
          <c:max val="800"/>
          <c:min val="250"/>
        </c:scaling>
        <c:delete val="0"/>
        <c:axPos val="l"/>
        <c:majorGridlines>
          <c:spPr>
            <a:ln w="9525" cap="flat" cmpd="sng" algn="ctr">
              <a:no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IN"/>
                  <a:t>ppm</a:t>
                </a:r>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s-MX"/>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MX"/>
          </a:p>
        </c:txPr>
        <c:crossAx val="1418621808"/>
        <c:crosses val="autoZero"/>
        <c:crossBetween val="between"/>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noFill/>
      <a:round/>
    </a:ln>
    <a:effectLst/>
  </c:spPr>
  <c:txPr>
    <a:bodyPr/>
    <a:lstStyle/>
    <a:p>
      <a:pPr>
        <a:defRPr/>
      </a:pPr>
      <a:endParaRPr lang="es-MX"/>
    </a:p>
  </c:txPr>
  <c:externalData r:id="rId3">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IN" sz="1400" b="0" i="0" u="none" strike="noStrike" baseline="0">
                <a:effectLst/>
              </a:rPr>
              <a:t>Salinity</a:t>
            </a:r>
            <a:endParaRPr lang="en-IN"/>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s-MX"/>
        </a:p>
      </c:txPr>
    </c:title>
    <c:autoTitleDeleted val="0"/>
    <c:plotArea>
      <c:layout/>
      <c:lineChart>
        <c:grouping val="standard"/>
        <c:varyColors val="0"/>
        <c:ser>
          <c:idx val="0"/>
          <c:order val="0"/>
          <c:tx>
            <c:strRef>
              <c:f>Sheet1!$B$1</c:f>
              <c:strCache>
                <c:ptCount val="1"/>
                <c:pt idx="0">
                  <c:v>C</c:v>
                </c:pt>
              </c:strCache>
            </c:strRef>
          </c:tx>
          <c:spPr>
            <a:ln w="28575" cap="rnd">
              <a:solidFill>
                <a:schemeClr val="accent1"/>
              </a:solidFill>
              <a:round/>
            </a:ln>
            <a:effectLst/>
          </c:spPr>
          <c:marker>
            <c:symbol val="circle"/>
            <c:size val="5"/>
            <c:spPr>
              <a:solidFill>
                <a:schemeClr val="accent1"/>
              </a:solidFill>
              <a:ln w="9525">
                <a:solidFill>
                  <a:schemeClr val="accent1"/>
                </a:solidFill>
              </a:ln>
              <a:effectLst/>
            </c:spPr>
          </c:marker>
          <c:errBars>
            <c:errDir val="y"/>
            <c:errBarType val="both"/>
            <c:errValType val="cust"/>
            <c:noEndCap val="0"/>
            <c:plus>
              <c:numRef>
                <c:f>Sheet1!$E$2:$E$11</c:f>
                <c:numCache>
                  <c:formatCode>General</c:formatCode>
                  <c:ptCount val="10"/>
                  <c:pt idx="0">
                    <c:v>4.0000000000000001E-3</c:v>
                  </c:pt>
                  <c:pt idx="1">
                    <c:v>3.0000000000000001E-3</c:v>
                  </c:pt>
                  <c:pt idx="2">
                    <c:v>3.0000000000000001E-3</c:v>
                  </c:pt>
                  <c:pt idx="3">
                    <c:v>7.0000000000000001E-3</c:v>
                  </c:pt>
                  <c:pt idx="4">
                    <c:v>6.0000000000000001E-3</c:v>
                  </c:pt>
                  <c:pt idx="5">
                    <c:v>8.9999999999999993E-3</c:v>
                  </c:pt>
                  <c:pt idx="6">
                    <c:v>6.0000000000000001E-3</c:v>
                  </c:pt>
                  <c:pt idx="7">
                    <c:v>6.0000000000000001E-3</c:v>
                  </c:pt>
                  <c:pt idx="8">
                    <c:v>6.0000000000000001E-3</c:v>
                  </c:pt>
                  <c:pt idx="9">
                    <c:v>3.0000000000000001E-3</c:v>
                  </c:pt>
                </c:numCache>
              </c:numRef>
            </c:plus>
            <c:minus>
              <c:numRef>
                <c:f>Sheet1!$E$2:$E$11</c:f>
                <c:numCache>
                  <c:formatCode>General</c:formatCode>
                  <c:ptCount val="10"/>
                  <c:pt idx="0">
                    <c:v>4.0000000000000001E-3</c:v>
                  </c:pt>
                  <c:pt idx="1">
                    <c:v>3.0000000000000001E-3</c:v>
                  </c:pt>
                  <c:pt idx="2">
                    <c:v>3.0000000000000001E-3</c:v>
                  </c:pt>
                  <c:pt idx="3">
                    <c:v>7.0000000000000001E-3</c:v>
                  </c:pt>
                  <c:pt idx="4">
                    <c:v>6.0000000000000001E-3</c:v>
                  </c:pt>
                  <c:pt idx="5">
                    <c:v>8.9999999999999993E-3</c:v>
                  </c:pt>
                  <c:pt idx="6">
                    <c:v>6.0000000000000001E-3</c:v>
                  </c:pt>
                  <c:pt idx="7">
                    <c:v>6.0000000000000001E-3</c:v>
                  </c:pt>
                  <c:pt idx="8">
                    <c:v>6.0000000000000001E-3</c:v>
                  </c:pt>
                  <c:pt idx="9">
                    <c:v>3.0000000000000001E-3</c:v>
                  </c:pt>
                </c:numCache>
              </c:numRef>
            </c:minus>
            <c:spPr>
              <a:noFill/>
              <a:ln w="9525" cap="flat" cmpd="sng" algn="ctr">
                <a:solidFill>
                  <a:schemeClr val="tx1">
                    <a:lumMod val="65000"/>
                    <a:lumOff val="35000"/>
                  </a:schemeClr>
                </a:solidFill>
                <a:round/>
              </a:ln>
              <a:effectLst/>
            </c:spPr>
          </c:errBars>
          <c:cat>
            <c:strRef>
              <c:f>Sheet1!$A$2:$A$11</c:f>
              <c:strCache>
                <c:ptCount val="10"/>
                <c:pt idx="0">
                  <c:v>0th</c:v>
                </c:pt>
                <c:pt idx="1">
                  <c:v>7th</c:v>
                </c:pt>
                <c:pt idx="2">
                  <c:v>14th</c:v>
                </c:pt>
                <c:pt idx="3">
                  <c:v>21st</c:v>
                </c:pt>
                <c:pt idx="4">
                  <c:v>28th</c:v>
                </c:pt>
                <c:pt idx="5">
                  <c:v>35th</c:v>
                </c:pt>
                <c:pt idx="6">
                  <c:v>42nd</c:v>
                </c:pt>
                <c:pt idx="7">
                  <c:v>49th</c:v>
                </c:pt>
                <c:pt idx="8">
                  <c:v>56th</c:v>
                </c:pt>
                <c:pt idx="9">
                  <c:v>63rd</c:v>
                </c:pt>
              </c:strCache>
            </c:strRef>
          </c:cat>
          <c:val>
            <c:numRef>
              <c:f>Sheet1!$B$2:$B$11</c:f>
              <c:numCache>
                <c:formatCode>General</c:formatCode>
                <c:ptCount val="10"/>
                <c:pt idx="0">
                  <c:v>0.3</c:v>
                </c:pt>
                <c:pt idx="1">
                  <c:v>0.46</c:v>
                </c:pt>
                <c:pt idx="2">
                  <c:v>0.48</c:v>
                </c:pt>
                <c:pt idx="3">
                  <c:v>0.46</c:v>
                </c:pt>
                <c:pt idx="4">
                  <c:v>0.45</c:v>
                </c:pt>
                <c:pt idx="5">
                  <c:v>0.44</c:v>
                </c:pt>
                <c:pt idx="6">
                  <c:v>0.45</c:v>
                </c:pt>
                <c:pt idx="7">
                  <c:v>0.43</c:v>
                </c:pt>
                <c:pt idx="8">
                  <c:v>0.42</c:v>
                </c:pt>
                <c:pt idx="9">
                  <c:v>0.45</c:v>
                </c:pt>
              </c:numCache>
            </c:numRef>
          </c:val>
          <c:smooth val="0"/>
          <c:extLst>
            <c:ext xmlns:c16="http://schemas.microsoft.com/office/drawing/2014/chart" uri="{C3380CC4-5D6E-409C-BE32-E72D297353CC}">
              <c16:uniqueId val="{00000000-F030-49BD-B01C-D7453C822E72}"/>
            </c:ext>
          </c:extLst>
        </c:ser>
        <c:ser>
          <c:idx val="1"/>
          <c:order val="1"/>
          <c:tx>
            <c:strRef>
              <c:f>Sheet1!$C$1</c:f>
              <c:strCache>
                <c:ptCount val="1"/>
                <c:pt idx="0">
                  <c:v>T1</c:v>
                </c:pt>
              </c:strCache>
            </c:strRef>
          </c:tx>
          <c:spPr>
            <a:ln w="28575" cap="rnd">
              <a:solidFill>
                <a:schemeClr val="accent2"/>
              </a:solidFill>
              <a:round/>
            </a:ln>
            <a:effectLst/>
          </c:spPr>
          <c:marker>
            <c:symbol val="circle"/>
            <c:size val="5"/>
            <c:spPr>
              <a:solidFill>
                <a:schemeClr val="accent2"/>
              </a:solidFill>
              <a:ln w="9525">
                <a:solidFill>
                  <a:schemeClr val="accent2"/>
                </a:solidFill>
              </a:ln>
              <a:effectLst/>
            </c:spPr>
          </c:marker>
          <c:errBars>
            <c:errDir val="y"/>
            <c:errBarType val="both"/>
            <c:errValType val="cust"/>
            <c:noEndCap val="0"/>
            <c:plus>
              <c:numRef>
                <c:f>Sheet1!$F$2:$F$11</c:f>
                <c:numCache>
                  <c:formatCode>General</c:formatCode>
                  <c:ptCount val="10"/>
                  <c:pt idx="0">
                    <c:v>6.0000000000000001E-3</c:v>
                  </c:pt>
                  <c:pt idx="1">
                    <c:v>3.0000000000000001E-3</c:v>
                  </c:pt>
                  <c:pt idx="2">
                    <c:v>3.0000000000000001E-3</c:v>
                  </c:pt>
                  <c:pt idx="3">
                    <c:v>3.0000000000000001E-3</c:v>
                  </c:pt>
                  <c:pt idx="4">
                    <c:v>3.0000000000000001E-3</c:v>
                  </c:pt>
                  <c:pt idx="5">
                    <c:v>3.0000000000000001E-3</c:v>
                  </c:pt>
                  <c:pt idx="6">
                    <c:v>6.0000000000000001E-3</c:v>
                  </c:pt>
                  <c:pt idx="7">
                    <c:v>7.0000000000000001E-3</c:v>
                  </c:pt>
                  <c:pt idx="8">
                    <c:v>6.0000000000000001E-3</c:v>
                  </c:pt>
                  <c:pt idx="9">
                    <c:v>3.0000000000000001E-3</c:v>
                  </c:pt>
                </c:numCache>
              </c:numRef>
            </c:plus>
            <c:minus>
              <c:numRef>
                <c:f>Sheet1!$F$2:$F$11</c:f>
                <c:numCache>
                  <c:formatCode>General</c:formatCode>
                  <c:ptCount val="10"/>
                  <c:pt idx="0">
                    <c:v>6.0000000000000001E-3</c:v>
                  </c:pt>
                  <c:pt idx="1">
                    <c:v>3.0000000000000001E-3</c:v>
                  </c:pt>
                  <c:pt idx="2">
                    <c:v>3.0000000000000001E-3</c:v>
                  </c:pt>
                  <c:pt idx="3">
                    <c:v>3.0000000000000001E-3</c:v>
                  </c:pt>
                  <c:pt idx="4">
                    <c:v>3.0000000000000001E-3</c:v>
                  </c:pt>
                  <c:pt idx="5">
                    <c:v>3.0000000000000001E-3</c:v>
                  </c:pt>
                  <c:pt idx="6">
                    <c:v>6.0000000000000001E-3</c:v>
                  </c:pt>
                  <c:pt idx="7">
                    <c:v>7.0000000000000001E-3</c:v>
                  </c:pt>
                  <c:pt idx="8">
                    <c:v>6.0000000000000001E-3</c:v>
                  </c:pt>
                  <c:pt idx="9">
                    <c:v>3.0000000000000001E-3</c:v>
                  </c:pt>
                </c:numCache>
              </c:numRef>
            </c:minus>
            <c:spPr>
              <a:noFill/>
              <a:ln w="9525" cap="flat" cmpd="sng" algn="ctr">
                <a:solidFill>
                  <a:schemeClr val="tx1">
                    <a:lumMod val="65000"/>
                    <a:lumOff val="35000"/>
                  </a:schemeClr>
                </a:solidFill>
                <a:round/>
              </a:ln>
              <a:effectLst/>
            </c:spPr>
          </c:errBars>
          <c:cat>
            <c:strRef>
              <c:f>Sheet1!$A$2:$A$11</c:f>
              <c:strCache>
                <c:ptCount val="10"/>
                <c:pt idx="0">
                  <c:v>0th</c:v>
                </c:pt>
                <c:pt idx="1">
                  <c:v>7th</c:v>
                </c:pt>
                <c:pt idx="2">
                  <c:v>14th</c:v>
                </c:pt>
                <c:pt idx="3">
                  <c:v>21st</c:v>
                </c:pt>
                <c:pt idx="4">
                  <c:v>28th</c:v>
                </c:pt>
                <c:pt idx="5">
                  <c:v>35th</c:v>
                </c:pt>
                <c:pt idx="6">
                  <c:v>42nd</c:v>
                </c:pt>
                <c:pt idx="7">
                  <c:v>49th</c:v>
                </c:pt>
                <c:pt idx="8">
                  <c:v>56th</c:v>
                </c:pt>
                <c:pt idx="9">
                  <c:v>63rd</c:v>
                </c:pt>
              </c:strCache>
            </c:strRef>
          </c:cat>
          <c:val>
            <c:numRef>
              <c:f>Sheet1!$C$2:$C$11</c:f>
              <c:numCache>
                <c:formatCode>General</c:formatCode>
                <c:ptCount val="10"/>
                <c:pt idx="0">
                  <c:v>0.46</c:v>
                </c:pt>
                <c:pt idx="1">
                  <c:v>0.46</c:v>
                </c:pt>
                <c:pt idx="2">
                  <c:v>0.49</c:v>
                </c:pt>
                <c:pt idx="3">
                  <c:v>0.49</c:v>
                </c:pt>
                <c:pt idx="4">
                  <c:v>0.5</c:v>
                </c:pt>
                <c:pt idx="5">
                  <c:v>0.48</c:v>
                </c:pt>
                <c:pt idx="6">
                  <c:v>0.49</c:v>
                </c:pt>
                <c:pt idx="7">
                  <c:v>0.48</c:v>
                </c:pt>
                <c:pt idx="8">
                  <c:v>0.47</c:v>
                </c:pt>
                <c:pt idx="9">
                  <c:v>0.47</c:v>
                </c:pt>
              </c:numCache>
            </c:numRef>
          </c:val>
          <c:smooth val="0"/>
          <c:extLst>
            <c:ext xmlns:c16="http://schemas.microsoft.com/office/drawing/2014/chart" uri="{C3380CC4-5D6E-409C-BE32-E72D297353CC}">
              <c16:uniqueId val="{00000001-F030-49BD-B01C-D7453C822E72}"/>
            </c:ext>
          </c:extLst>
        </c:ser>
        <c:ser>
          <c:idx val="2"/>
          <c:order val="2"/>
          <c:tx>
            <c:strRef>
              <c:f>Sheet1!$D$1</c:f>
              <c:strCache>
                <c:ptCount val="1"/>
                <c:pt idx="0">
                  <c:v>T2</c:v>
                </c:pt>
              </c:strCache>
            </c:strRef>
          </c:tx>
          <c:spPr>
            <a:ln w="28575" cap="rnd">
              <a:solidFill>
                <a:schemeClr val="accent3"/>
              </a:solidFill>
              <a:round/>
            </a:ln>
            <a:effectLst/>
          </c:spPr>
          <c:marker>
            <c:symbol val="circle"/>
            <c:size val="5"/>
            <c:spPr>
              <a:solidFill>
                <a:schemeClr val="accent3"/>
              </a:solidFill>
              <a:ln w="9525">
                <a:solidFill>
                  <a:schemeClr val="accent3"/>
                </a:solidFill>
              </a:ln>
              <a:effectLst/>
            </c:spPr>
          </c:marker>
          <c:errBars>
            <c:errDir val="y"/>
            <c:errBarType val="both"/>
            <c:errValType val="cust"/>
            <c:noEndCap val="0"/>
            <c:plus>
              <c:numRef>
                <c:f>Sheet1!$G$2:$G$11</c:f>
                <c:numCache>
                  <c:formatCode>General</c:formatCode>
                  <c:ptCount val="10"/>
                  <c:pt idx="0">
                    <c:v>3.0000000000000001E-3</c:v>
                  </c:pt>
                  <c:pt idx="1">
                    <c:v>3.0000000000000001E-3</c:v>
                  </c:pt>
                  <c:pt idx="2">
                    <c:v>3.0000000000000001E-3</c:v>
                  </c:pt>
                  <c:pt idx="3">
                    <c:v>3.0000000000000001E-3</c:v>
                  </c:pt>
                  <c:pt idx="4">
                    <c:v>6.0000000000000001E-3</c:v>
                  </c:pt>
                  <c:pt idx="5">
                    <c:v>3.0000000000000001E-3</c:v>
                  </c:pt>
                  <c:pt idx="6">
                    <c:v>3.0000000000000001E-3</c:v>
                  </c:pt>
                  <c:pt idx="7">
                    <c:v>3.0000000000000001E-3</c:v>
                  </c:pt>
                  <c:pt idx="8">
                    <c:v>3.0000000000000001E-3</c:v>
                  </c:pt>
                  <c:pt idx="9">
                    <c:v>3.0000000000000001E-3</c:v>
                  </c:pt>
                </c:numCache>
              </c:numRef>
            </c:plus>
            <c:minus>
              <c:numRef>
                <c:f>Sheet1!$G$2:$G$11</c:f>
                <c:numCache>
                  <c:formatCode>General</c:formatCode>
                  <c:ptCount val="10"/>
                  <c:pt idx="0">
                    <c:v>3.0000000000000001E-3</c:v>
                  </c:pt>
                  <c:pt idx="1">
                    <c:v>3.0000000000000001E-3</c:v>
                  </c:pt>
                  <c:pt idx="2">
                    <c:v>3.0000000000000001E-3</c:v>
                  </c:pt>
                  <c:pt idx="3">
                    <c:v>3.0000000000000001E-3</c:v>
                  </c:pt>
                  <c:pt idx="4">
                    <c:v>6.0000000000000001E-3</c:v>
                  </c:pt>
                  <c:pt idx="5">
                    <c:v>3.0000000000000001E-3</c:v>
                  </c:pt>
                  <c:pt idx="6">
                    <c:v>3.0000000000000001E-3</c:v>
                  </c:pt>
                  <c:pt idx="7">
                    <c:v>3.0000000000000001E-3</c:v>
                  </c:pt>
                  <c:pt idx="8">
                    <c:v>3.0000000000000001E-3</c:v>
                  </c:pt>
                  <c:pt idx="9">
                    <c:v>3.0000000000000001E-3</c:v>
                  </c:pt>
                </c:numCache>
              </c:numRef>
            </c:minus>
            <c:spPr>
              <a:noFill/>
              <a:ln w="9525" cap="flat" cmpd="sng" algn="ctr">
                <a:solidFill>
                  <a:schemeClr val="tx1">
                    <a:lumMod val="65000"/>
                    <a:lumOff val="35000"/>
                  </a:schemeClr>
                </a:solidFill>
                <a:round/>
              </a:ln>
              <a:effectLst/>
            </c:spPr>
          </c:errBars>
          <c:cat>
            <c:strRef>
              <c:f>Sheet1!$A$2:$A$11</c:f>
              <c:strCache>
                <c:ptCount val="10"/>
                <c:pt idx="0">
                  <c:v>0th</c:v>
                </c:pt>
                <c:pt idx="1">
                  <c:v>7th</c:v>
                </c:pt>
                <c:pt idx="2">
                  <c:v>14th</c:v>
                </c:pt>
                <c:pt idx="3">
                  <c:v>21st</c:v>
                </c:pt>
                <c:pt idx="4">
                  <c:v>28th</c:v>
                </c:pt>
                <c:pt idx="5">
                  <c:v>35th</c:v>
                </c:pt>
                <c:pt idx="6">
                  <c:v>42nd</c:v>
                </c:pt>
                <c:pt idx="7">
                  <c:v>49th</c:v>
                </c:pt>
                <c:pt idx="8">
                  <c:v>56th</c:v>
                </c:pt>
                <c:pt idx="9">
                  <c:v>63rd</c:v>
                </c:pt>
              </c:strCache>
            </c:strRef>
          </c:cat>
          <c:val>
            <c:numRef>
              <c:f>Sheet1!$D$2:$D$11</c:f>
              <c:numCache>
                <c:formatCode>General</c:formatCode>
                <c:ptCount val="10"/>
                <c:pt idx="0">
                  <c:v>0.48</c:v>
                </c:pt>
                <c:pt idx="1">
                  <c:v>0.48</c:v>
                </c:pt>
                <c:pt idx="2">
                  <c:v>0.5</c:v>
                </c:pt>
                <c:pt idx="3">
                  <c:v>0.5</c:v>
                </c:pt>
                <c:pt idx="4">
                  <c:v>0.49</c:v>
                </c:pt>
                <c:pt idx="5">
                  <c:v>0.49</c:v>
                </c:pt>
                <c:pt idx="6">
                  <c:v>0.49</c:v>
                </c:pt>
                <c:pt idx="7">
                  <c:v>0.48</c:v>
                </c:pt>
                <c:pt idx="8">
                  <c:v>0.47</c:v>
                </c:pt>
                <c:pt idx="9">
                  <c:v>0.47</c:v>
                </c:pt>
              </c:numCache>
            </c:numRef>
          </c:val>
          <c:smooth val="0"/>
          <c:extLst>
            <c:ext xmlns:c16="http://schemas.microsoft.com/office/drawing/2014/chart" uri="{C3380CC4-5D6E-409C-BE32-E72D297353CC}">
              <c16:uniqueId val="{00000002-F030-49BD-B01C-D7453C822E72}"/>
            </c:ext>
          </c:extLst>
        </c:ser>
        <c:dLbls>
          <c:showLegendKey val="0"/>
          <c:showVal val="0"/>
          <c:showCatName val="0"/>
          <c:showSerName val="0"/>
          <c:showPercent val="0"/>
          <c:showBubbleSize val="0"/>
        </c:dLbls>
        <c:marker val="1"/>
        <c:smooth val="0"/>
        <c:axId val="1257818368"/>
        <c:axId val="1257839008"/>
      </c:lineChart>
      <c:catAx>
        <c:axId val="1257818368"/>
        <c:scaling>
          <c:orientation val="minMax"/>
        </c:scaling>
        <c:delete val="0"/>
        <c:axPos val="b"/>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IN"/>
                  <a:t>Days</a:t>
                </a:r>
              </a:p>
            </c:rich>
          </c:tx>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s-MX"/>
            </a:p>
          </c:tx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MX"/>
          </a:p>
        </c:txPr>
        <c:crossAx val="1257839008"/>
        <c:crosses val="autoZero"/>
        <c:auto val="1"/>
        <c:lblAlgn val="ctr"/>
        <c:lblOffset val="100"/>
        <c:noMultiLvlLbl val="0"/>
      </c:catAx>
      <c:valAx>
        <c:axId val="1257839008"/>
        <c:scaling>
          <c:orientation val="minMax"/>
          <c:max val="0.60000000000000009"/>
          <c:min val="0.2"/>
        </c:scaling>
        <c:delete val="0"/>
        <c:axPos val="l"/>
        <c:majorGridlines>
          <c:spPr>
            <a:ln w="9525" cap="flat" cmpd="sng" algn="ctr">
              <a:no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IN"/>
                  <a:t>ppt</a:t>
                </a:r>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s-MX"/>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MX"/>
          </a:p>
        </c:txPr>
        <c:crossAx val="1257818368"/>
        <c:crosses val="autoZero"/>
        <c:crossBetween val="between"/>
        <c:majorUnit val="5.000000000000001E-2"/>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noFill/>
      <a:round/>
    </a:ln>
    <a:effectLst/>
  </c:spPr>
  <c:txPr>
    <a:bodyPr/>
    <a:lstStyle/>
    <a:p>
      <a:pPr>
        <a:defRPr/>
      </a:pPr>
      <a:endParaRPr lang="es-MX"/>
    </a:p>
  </c:txPr>
  <c:externalData r:id="rId3">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IN"/>
              <a:t>Conductivity</a:t>
            </a: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s-MX"/>
        </a:p>
      </c:txPr>
    </c:title>
    <c:autoTitleDeleted val="0"/>
    <c:plotArea>
      <c:layout/>
      <c:lineChart>
        <c:grouping val="standard"/>
        <c:varyColors val="0"/>
        <c:ser>
          <c:idx val="0"/>
          <c:order val="0"/>
          <c:tx>
            <c:strRef>
              <c:f>Sheet1!$B$1</c:f>
              <c:strCache>
                <c:ptCount val="1"/>
                <c:pt idx="0">
                  <c:v>C</c:v>
                </c:pt>
              </c:strCache>
            </c:strRef>
          </c:tx>
          <c:spPr>
            <a:ln w="28575" cap="rnd">
              <a:solidFill>
                <a:schemeClr val="accent1"/>
              </a:solidFill>
              <a:round/>
            </a:ln>
            <a:effectLst/>
          </c:spPr>
          <c:marker>
            <c:symbol val="circle"/>
            <c:size val="5"/>
            <c:spPr>
              <a:solidFill>
                <a:schemeClr val="accent1"/>
              </a:solidFill>
              <a:ln w="9525">
                <a:solidFill>
                  <a:schemeClr val="accent1"/>
                </a:solidFill>
              </a:ln>
              <a:effectLst/>
            </c:spPr>
          </c:marker>
          <c:errBars>
            <c:errDir val="y"/>
            <c:errBarType val="both"/>
            <c:errValType val="cust"/>
            <c:noEndCap val="0"/>
            <c:plus>
              <c:numRef>
                <c:f>Sheet1!$E$2:$E$11</c:f>
                <c:numCache>
                  <c:formatCode>General</c:formatCode>
                  <c:ptCount val="10"/>
                  <c:pt idx="0">
                    <c:v>0.03</c:v>
                  </c:pt>
                  <c:pt idx="1">
                    <c:v>4.0000000000000001E-3</c:v>
                  </c:pt>
                  <c:pt idx="2">
                    <c:v>0</c:v>
                  </c:pt>
                  <c:pt idx="3">
                    <c:v>4.0000000000000001E-3</c:v>
                  </c:pt>
                  <c:pt idx="4">
                    <c:v>0.01</c:v>
                  </c:pt>
                  <c:pt idx="5">
                    <c:v>0.01</c:v>
                  </c:pt>
                  <c:pt idx="6">
                    <c:v>8.0000000000000002E-3</c:v>
                  </c:pt>
                  <c:pt idx="7">
                    <c:v>6.0000000000000001E-3</c:v>
                  </c:pt>
                  <c:pt idx="8">
                    <c:v>7.0000000000000001E-3</c:v>
                  </c:pt>
                  <c:pt idx="9">
                    <c:v>8.0000000000000002E-3</c:v>
                  </c:pt>
                </c:numCache>
              </c:numRef>
            </c:plus>
            <c:minus>
              <c:numRef>
                <c:f>Sheet1!$E$2:$E$11</c:f>
                <c:numCache>
                  <c:formatCode>General</c:formatCode>
                  <c:ptCount val="10"/>
                  <c:pt idx="0">
                    <c:v>0.03</c:v>
                  </c:pt>
                  <c:pt idx="1">
                    <c:v>4.0000000000000001E-3</c:v>
                  </c:pt>
                  <c:pt idx="2">
                    <c:v>0</c:v>
                  </c:pt>
                  <c:pt idx="3">
                    <c:v>4.0000000000000001E-3</c:v>
                  </c:pt>
                  <c:pt idx="4">
                    <c:v>0.01</c:v>
                  </c:pt>
                  <c:pt idx="5">
                    <c:v>0.01</c:v>
                  </c:pt>
                  <c:pt idx="6">
                    <c:v>8.0000000000000002E-3</c:v>
                  </c:pt>
                  <c:pt idx="7">
                    <c:v>6.0000000000000001E-3</c:v>
                  </c:pt>
                  <c:pt idx="8">
                    <c:v>7.0000000000000001E-3</c:v>
                  </c:pt>
                  <c:pt idx="9">
                    <c:v>8.0000000000000002E-3</c:v>
                  </c:pt>
                </c:numCache>
              </c:numRef>
            </c:minus>
            <c:spPr>
              <a:noFill/>
              <a:ln w="9525" cap="flat" cmpd="sng" algn="ctr">
                <a:solidFill>
                  <a:schemeClr val="tx1">
                    <a:lumMod val="65000"/>
                    <a:lumOff val="35000"/>
                  </a:schemeClr>
                </a:solidFill>
                <a:round/>
              </a:ln>
              <a:effectLst/>
            </c:spPr>
          </c:errBars>
          <c:cat>
            <c:strRef>
              <c:f>Sheet1!$A$2:$A$11</c:f>
              <c:strCache>
                <c:ptCount val="10"/>
                <c:pt idx="0">
                  <c:v>0th</c:v>
                </c:pt>
                <c:pt idx="1">
                  <c:v>7th</c:v>
                </c:pt>
                <c:pt idx="2">
                  <c:v>14th</c:v>
                </c:pt>
                <c:pt idx="3">
                  <c:v>21st</c:v>
                </c:pt>
                <c:pt idx="4">
                  <c:v>28th</c:v>
                </c:pt>
                <c:pt idx="5">
                  <c:v>35th</c:v>
                </c:pt>
                <c:pt idx="6">
                  <c:v>42nd</c:v>
                </c:pt>
                <c:pt idx="7">
                  <c:v>49th</c:v>
                </c:pt>
                <c:pt idx="8">
                  <c:v>56th</c:v>
                </c:pt>
                <c:pt idx="9">
                  <c:v>63d</c:v>
                </c:pt>
              </c:strCache>
            </c:strRef>
          </c:cat>
          <c:val>
            <c:numRef>
              <c:f>Sheet1!$B$2:$B$11</c:f>
              <c:numCache>
                <c:formatCode>General</c:formatCode>
                <c:ptCount val="10"/>
                <c:pt idx="0">
                  <c:v>0.56999999999999995</c:v>
                </c:pt>
                <c:pt idx="1">
                  <c:v>0.59</c:v>
                </c:pt>
                <c:pt idx="2">
                  <c:v>0.59</c:v>
                </c:pt>
                <c:pt idx="3">
                  <c:v>0.59</c:v>
                </c:pt>
                <c:pt idx="4">
                  <c:v>0.57999999999999996</c:v>
                </c:pt>
                <c:pt idx="5">
                  <c:v>0.54</c:v>
                </c:pt>
                <c:pt idx="6">
                  <c:v>0.55000000000000004</c:v>
                </c:pt>
                <c:pt idx="7">
                  <c:v>0.56999999999999995</c:v>
                </c:pt>
                <c:pt idx="8">
                  <c:v>0.54</c:v>
                </c:pt>
                <c:pt idx="9">
                  <c:v>0.55000000000000004</c:v>
                </c:pt>
              </c:numCache>
            </c:numRef>
          </c:val>
          <c:smooth val="0"/>
          <c:extLst>
            <c:ext xmlns:c16="http://schemas.microsoft.com/office/drawing/2014/chart" uri="{C3380CC4-5D6E-409C-BE32-E72D297353CC}">
              <c16:uniqueId val="{00000000-48CD-4ADF-9107-0A33E5919F59}"/>
            </c:ext>
          </c:extLst>
        </c:ser>
        <c:ser>
          <c:idx val="1"/>
          <c:order val="1"/>
          <c:tx>
            <c:strRef>
              <c:f>Sheet1!$C$1</c:f>
              <c:strCache>
                <c:ptCount val="1"/>
                <c:pt idx="0">
                  <c:v>T1</c:v>
                </c:pt>
              </c:strCache>
            </c:strRef>
          </c:tx>
          <c:spPr>
            <a:ln w="28575" cap="rnd">
              <a:solidFill>
                <a:schemeClr val="accent2"/>
              </a:solidFill>
              <a:round/>
            </a:ln>
            <a:effectLst/>
          </c:spPr>
          <c:marker>
            <c:symbol val="circle"/>
            <c:size val="5"/>
            <c:spPr>
              <a:solidFill>
                <a:schemeClr val="accent2"/>
              </a:solidFill>
              <a:ln w="9525">
                <a:solidFill>
                  <a:schemeClr val="accent2"/>
                </a:solidFill>
              </a:ln>
              <a:effectLst/>
            </c:spPr>
          </c:marker>
          <c:errBars>
            <c:errDir val="y"/>
            <c:errBarType val="both"/>
            <c:errValType val="cust"/>
            <c:noEndCap val="0"/>
            <c:plus>
              <c:numRef>
                <c:f>Sheet1!$F$2:$F$11</c:f>
                <c:numCache>
                  <c:formatCode>General</c:formatCode>
                  <c:ptCount val="10"/>
                  <c:pt idx="0">
                    <c:v>0.01</c:v>
                  </c:pt>
                  <c:pt idx="1">
                    <c:v>3.0000000000000001E-3</c:v>
                  </c:pt>
                  <c:pt idx="2">
                    <c:v>3.0000000000000001E-3</c:v>
                  </c:pt>
                  <c:pt idx="3">
                    <c:v>0.01</c:v>
                  </c:pt>
                  <c:pt idx="4">
                    <c:v>4.0000000000000001E-3</c:v>
                  </c:pt>
                  <c:pt idx="5">
                    <c:v>4.0000000000000001E-3</c:v>
                  </c:pt>
                  <c:pt idx="6">
                    <c:v>4.0000000000000001E-3</c:v>
                  </c:pt>
                  <c:pt idx="7">
                    <c:v>3.0000000000000001E-3</c:v>
                  </c:pt>
                  <c:pt idx="8">
                    <c:v>5.0000000000000001E-3</c:v>
                  </c:pt>
                  <c:pt idx="9">
                    <c:v>4.0000000000000001E-3</c:v>
                  </c:pt>
                </c:numCache>
              </c:numRef>
            </c:plus>
            <c:minus>
              <c:numRef>
                <c:f>Sheet1!$F$2:$F$11</c:f>
                <c:numCache>
                  <c:formatCode>General</c:formatCode>
                  <c:ptCount val="10"/>
                  <c:pt idx="0">
                    <c:v>0.01</c:v>
                  </c:pt>
                  <c:pt idx="1">
                    <c:v>3.0000000000000001E-3</c:v>
                  </c:pt>
                  <c:pt idx="2">
                    <c:v>3.0000000000000001E-3</c:v>
                  </c:pt>
                  <c:pt idx="3">
                    <c:v>0.01</c:v>
                  </c:pt>
                  <c:pt idx="4">
                    <c:v>4.0000000000000001E-3</c:v>
                  </c:pt>
                  <c:pt idx="5">
                    <c:v>4.0000000000000001E-3</c:v>
                  </c:pt>
                  <c:pt idx="6">
                    <c:v>4.0000000000000001E-3</c:v>
                  </c:pt>
                  <c:pt idx="7">
                    <c:v>3.0000000000000001E-3</c:v>
                  </c:pt>
                  <c:pt idx="8">
                    <c:v>5.0000000000000001E-3</c:v>
                  </c:pt>
                  <c:pt idx="9">
                    <c:v>4.0000000000000001E-3</c:v>
                  </c:pt>
                </c:numCache>
              </c:numRef>
            </c:minus>
            <c:spPr>
              <a:noFill/>
              <a:ln w="9525" cap="flat" cmpd="sng" algn="ctr">
                <a:solidFill>
                  <a:schemeClr val="tx1">
                    <a:lumMod val="65000"/>
                    <a:lumOff val="35000"/>
                  </a:schemeClr>
                </a:solidFill>
                <a:round/>
              </a:ln>
              <a:effectLst/>
            </c:spPr>
          </c:errBars>
          <c:cat>
            <c:strRef>
              <c:f>Sheet1!$A$2:$A$11</c:f>
              <c:strCache>
                <c:ptCount val="10"/>
                <c:pt idx="0">
                  <c:v>0th</c:v>
                </c:pt>
                <c:pt idx="1">
                  <c:v>7th</c:v>
                </c:pt>
                <c:pt idx="2">
                  <c:v>14th</c:v>
                </c:pt>
                <c:pt idx="3">
                  <c:v>21st</c:v>
                </c:pt>
                <c:pt idx="4">
                  <c:v>28th</c:v>
                </c:pt>
                <c:pt idx="5">
                  <c:v>35th</c:v>
                </c:pt>
                <c:pt idx="6">
                  <c:v>42nd</c:v>
                </c:pt>
                <c:pt idx="7">
                  <c:v>49th</c:v>
                </c:pt>
                <c:pt idx="8">
                  <c:v>56th</c:v>
                </c:pt>
                <c:pt idx="9">
                  <c:v>63d</c:v>
                </c:pt>
              </c:strCache>
            </c:strRef>
          </c:cat>
          <c:val>
            <c:numRef>
              <c:f>Sheet1!$C$2:$C$11</c:f>
              <c:numCache>
                <c:formatCode>General</c:formatCode>
                <c:ptCount val="10"/>
                <c:pt idx="0">
                  <c:v>1.02</c:v>
                </c:pt>
                <c:pt idx="1">
                  <c:v>1.03</c:v>
                </c:pt>
                <c:pt idx="2">
                  <c:v>1.05</c:v>
                </c:pt>
                <c:pt idx="3">
                  <c:v>1.05</c:v>
                </c:pt>
                <c:pt idx="4">
                  <c:v>1.05</c:v>
                </c:pt>
                <c:pt idx="5">
                  <c:v>1.02</c:v>
                </c:pt>
                <c:pt idx="6">
                  <c:v>1.04</c:v>
                </c:pt>
                <c:pt idx="7">
                  <c:v>1.05</c:v>
                </c:pt>
                <c:pt idx="8">
                  <c:v>1.01</c:v>
                </c:pt>
                <c:pt idx="9">
                  <c:v>1.03</c:v>
                </c:pt>
              </c:numCache>
            </c:numRef>
          </c:val>
          <c:smooth val="0"/>
          <c:extLst>
            <c:ext xmlns:c16="http://schemas.microsoft.com/office/drawing/2014/chart" uri="{C3380CC4-5D6E-409C-BE32-E72D297353CC}">
              <c16:uniqueId val="{00000001-48CD-4ADF-9107-0A33E5919F59}"/>
            </c:ext>
          </c:extLst>
        </c:ser>
        <c:ser>
          <c:idx val="2"/>
          <c:order val="2"/>
          <c:tx>
            <c:strRef>
              <c:f>Sheet1!$D$1</c:f>
              <c:strCache>
                <c:ptCount val="1"/>
                <c:pt idx="0">
                  <c:v>T2</c:v>
                </c:pt>
              </c:strCache>
            </c:strRef>
          </c:tx>
          <c:spPr>
            <a:ln w="28575" cap="rnd">
              <a:solidFill>
                <a:schemeClr val="accent3"/>
              </a:solidFill>
              <a:round/>
            </a:ln>
            <a:effectLst/>
          </c:spPr>
          <c:marker>
            <c:symbol val="circle"/>
            <c:size val="5"/>
            <c:spPr>
              <a:solidFill>
                <a:schemeClr val="accent3"/>
              </a:solidFill>
              <a:ln w="9525">
                <a:solidFill>
                  <a:schemeClr val="accent3"/>
                </a:solidFill>
              </a:ln>
              <a:effectLst/>
            </c:spPr>
          </c:marker>
          <c:errBars>
            <c:errDir val="y"/>
            <c:errBarType val="both"/>
            <c:errValType val="cust"/>
            <c:noEndCap val="0"/>
            <c:plus>
              <c:numRef>
                <c:f>Sheet1!$G$2:$G$11</c:f>
                <c:numCache>
                  <c:formatCode>General</c:formatCode>
                  <c:ptCount val="10"/>
                  <c:pt idx="0">
                    <c:v>0.01</c:v>
                  </c:pt>
                  <c:pt idx="1">
                    <c:v>3.0000000000000001E-3</c:v>
                  </c:pt>
                  <c:pt idx="2">
                    <c:v>4.0000000000000001E-3</c:v>
                  </c:pt>
                  <c:pt idx="3">
                    <c:v>5.0000000000000001E-3</c:v>
                  </c:pt>
                  <c:pt idx="4">
                    <c:v>4.0000000000000001E-3</c:v>
                  </c:pt>
                  <c:pt idx="5">
                    <c:v>5.0000000000000001E-3</c:v>
                  </c:pt>
                  <c:pt idx="6">
                    <c:v>5.0000000000000001E-3</c:v>
                  </c:pt>
                  <c:pt idx="7">
                    <c:v>4.0000000000000001E-3</c:v>
                  </c:pt>
                  <c:pt idx="8">
                    <c:v>5.0000000000000001E-3</c:v>
                  </c:pt>
                  <c:pt idx="9">
                    <c:v>5.0000000000000001E-3</c:v>
                  </c:pt>
                </c:numCache>
              </c:numRef>
            </c:plus>
            <c:minus>
              <c:numRef>
                <c:f>Sheet1!$G$2:$G$11</c:f>
                <c:numCache>
                  <c:formatCode>General</c:formatCode>
                  <c:ptCount val="10"/>
                  <c:pt idx="0">
                    <c:v>0.01</c:v>
                  </c:pt>
                  <c:pt idx="1">
                    <c:v>3.0000000000000001E-3</c:v>
                  </c:pt>
                  <c:pt idx="2">
                    <c:v>4.0000000000000001E-3</c:v>
                  </c:pt>
                  <c:pt idx="3">
                    <c:v>5.0000000000000001E-3</c:v>
                  </c:pt>
                  <c:pt idx="4">
                    <c:v>4.0000000000000001E-3</c:v>
                  </c:pt>
                  <c:pt idx="5">
                    <c:v>5.0000000000000001E-3</c:v>
                  </c:pt>
                  <c:pt idx="6">
                    <c:v>5.0000000000000001E-3</c:v>
                  </c:pt>
                  <c:pt idx="7">
                    <c:v>4.0000000000000001E-3</c:v>
                  </c:pt>
                  <c:pt idx="8">
                    <c:v>5.0000000000000001E-3</c:v>
                  </c:pt>
                  <c:pt idx="9">
                    <c:v>5.0000000000000001E-3</c:v>
                  </c:pt>
                </c:numCache>
              </c:numRef>
            </c:minus>
            <c:spPr>
              <a:noFill/>
              <a:ln w="9525" cap="flat" cmpd="sng" algn="ctr">
                <a:solidFill>
                  <a:schemeClr val="tx1">
                    <a:lumMod val="65000"/>
                    <a:lumOff val="35000"/>
                  </a:schemeClr>
                </a:solidFill>
                <a:round/>
              </a:ln>
              <a:effectLst/>
            </c:spPr>
          </c:errBars>
          <c:cat>
            <c:strRef>
              <c:f>Sheet1!$A$2:$A$11</c:f>
              <c:strCache>
                <c:ptCount val="10"/>
                <c:pt idx="0">
                  <c:v>0th</c:v>
                </c:pt>
                <c:pt idx="1">
                  <c:v>7th</c:v>
                </c:pt>
                <c:pt idx="2">
                  <c:v>14th</c:v>
                </c:pt>
                <c:pt idx="3">
                  <c:v>21st</c:v>
                </c:pt>
                <c:pt idx="4">
                  <c:v>28th</c:v>
                </c:pt>
                <c:pt idx="5">
                  <c:v>35th</c:v>
                </c:pt>
                <c:pt idx="6">
                  <c:v>42nd</c:v>
                </c:pt>
                <c:pt idx="7">
                  <c:v>49th</c:v>
                </c:pt>
                <c:pt idx="8">
                  <c:v>56th</c:v>
                </c:pt>
                <c:pt idx="9">
                  <c:v>63d</c:v>
                </c:pt>
              </c:strCache>
            </c:strRef>
          </c:cat>
          <c:val>
            <c:numRef>
              <c:f>Sheet1!$D$2:$D$11</c:f>
              <c:numCache>
                <c:formatCode>General</c:formatCode>
                <c:ptCount val="10"/>
                <c:pt idx="0">
                  <c:v>1.05</c:v>
                </c:pt>
                <c:pt idx="1">
                  <c:v>1.05</c:v>
                </c:pt>
                <c:pt idx="2">
                  <c:v>1.07</c:v>
                </c:pt>
                <c:pt idx="3">
                  <c:v>1.08</c:v>
                </c:pt>
                <c:pt idx="4">
                  <c:v>1.0900000000000001</c:v>
                </c:pt>
                <c:pt idx="5">
                  <c:v>1.06</c:v>
                </c:pt>
                <c:pt idx="6">
                  <c:v>1.07</c:v>
                </c:pt>
                <c:pt idx="7">
                  <c:v>1.08</c:v>
                </c:pt>
                <c:pt idx="8">
                  <c:v>1.06</c:v>
                </c:pt>
                <c:pt idx="9">
                  <c:v>1.07</c:v>
                </c:pt>
              </c:numCache>
            </c:numRef>
          </c:val>
          <c:smooth val="0"/>
          <c:extLst>
            <c:ext xmlns:c16="http://schemas.microsoft.com/office/drawing/2014/chart" uri="{C3380CC4-5D6E-409C-BE32-E72D297353CC}">
              <c16:uniqueId val="{00000002-48CD-4ADF-9107-0A33E5919F59}"/>
            </c:ext>
          </c:extLst>
        </c:ser>
        <c:dLbls>
          <c:showLegendKey val="0"/>
          <c:showVal val="0"/>
          <c:showCatName val="0"/>
          <c:showSerName val="0"/>
          <c:showPercent val="0"/>
          <c:showBubbleSize val="0"/>
        </c:dLbls>
        <c:marker val="1"/>
        <c:smooth val="0"/>
        <c:axId val="1417834880"/>
        <c:axId val="1417866080"/>
      </c:lineChart>
      <c:catAx>
        <c:axId val="1417834880"/>
        <c:scaling>
          <c:orientation val="minMax"/>
        </c:scaling>
        <c:delete val="0"/>
        <c:axPos val="b"/>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IN"/>
                  <a:t>Days</a:t>
                </a:r>
              </a:p>
            </c:rich>
          </c:tx>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s-MX"/>
            </a:p>
          </c:tx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MX"/>
          </a:p>
        </c:txPr>
        <c:crossAx val="1417866080"/>
        <c:crosses val="autoZero"/>
        <c:auto val="1"/>
        <c:lblAlgn val="ctr"/>
        <c:lblOffset val="100"/>
        <c:noMultiLvlLbl val="0"/>
      </c:catAx>
      <c:valAx>
        <c:axId val="1417866080"/>
        <c:scaling>
          <c:orientation val="minMax"/>
          <c:min val="0.4"/>
        </c:scaling>
        <c:delete val="0"/>
        <c:axPos val="l"/>
        <c:majorGridlines>
          <c:spPr>
            <a:ln w="9525" cap="flat" cmpd="sng" algn="ctr">
              <a:no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IN"/>
                  <a:t>S/cm</a:t>
                </a:r>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s-MX"/>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MX"/>
          </a:p>
        </c:txPr>
        <c:crossAx val="1417834880"/>
        <c:crosses val="autoZero"/>
        <c:crossBetween val="between"/>
        <c:majorUnit val="0.1"/>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noFill/>
      <a:round/>
    </a:ln>
    <a:effectLst/>
  </c:spPr>
  <c:txPr>
    <a:bodyPr/>
    <a:lstStyle/>
    <a:p>
      <a:pPr>
        <a:defRPr/>
      </a:pPr>
      <a:endParaRPr lang="es-MX"/>
    </a:p>
  </c:txPr>
  <c:externalData r:id="rId3">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IN"/>
              <a:t>D.O.</a:t>
            </a: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s-MX"/>
        </a:p>
      </c:txPr>
    </c:title>
    <c:autoTitleDeleted val="0"/>
    <c:plotArea>
      <c:layout/>
      <c:lineChart>
        <c:grouping val="standard"/>
        <c:varyColors val="0"/>
        <c:ser>
          <c:idx val="0"/>
          <c:order val="0"/>
          <c:tx>
            <c:strRef>
              <c:f>Sheet1!$B$1</c:f>
              <c:strCache>
                <c:ptCount val="1"/>
                <c:pt idx="0">
                  <c:v>C</c:v>
                </c:pt>
              </c:strCache>
            </c:strRef>
          </c:tx>
          <c:spPr>
            <a:ln w="28575" cap="rnd">
              <a:solidFill>
                <a:schemeClr val="accent1"/>
              </a:solidFill>
              <a:round/>
            </a:ln>
            <a:effectLst/>
          </c:spPr>
          <c:marker>
            <c:symbol val="circle"/>
            <c:size val="5"/>
            <c:spPr>
              <a:solidFill>
                <a:schemeClr val="accent1"/>
              </a:solidFill>
              <a:ln w="9525">
                <a:solidFill>
                  <a:schemeClr val="accent1"/>
                </a:solidFill>
              </a:ln>
              <a:effectLst/>
            </c:spPr>
          </c:marker>
          <c:errBars>
            <c:errDir val="y"/>
            <c:errBarType val="both"/>
            <c:errValType val="cust"/>
            <c:noEndCap val="0"/>
            <c:plus>
              <c:numRef>
                <c:f>Sheet1!$E$2:$E$11</c:f>
                <c:numCache>
                  <c:formatCode>General</c:formatCode>
                  <c:ptCount val="10"/>
                  <c:pt idx="0">
                    <c:v>0.02</c:v>
                  </c:pt>
                  <c:pt idx="1">
                    <c:v>0.02</c:v>
                  </c:pt>
                  <c:pt idx="2">
                    <c:v>0.06</c:v>
                  </c:pt>
                  <c:pt idx="3">
                    <c:v>0.06</c:v>
                  </c:pt>
                  <c:pt idx="4">
                    <c:v>0.06</c:v>
                  </c:pt>
                  <c:pt idx="5">
                    <c:v>0.06</c:v>
                  </c:pt>
                  <c:pt idx="6">
                    <c:v>0.03</c:v>
                  </c:pt>
                  <c:pt idx="7">
                    <c:v>0.09</c:v>
                  </c:pt>
                  <c:pt idx="8">
                    <c:v>0.12</c:v>
                  </c:pt>
                  <c:pt idx="9">
                    <c:v>0.12</c:v>
                  </c:pt>
                </c:numCache>
              </c:numRef>
            </c:plus>
            <c:minus>
              <c:numRef>
                <c:f>Sheet1!$E$2:$E$11</c:f>
                <c:numCache>
                  <c:formatCode>General</c:formatCode>
                  <c:ptCount val="10"/>
                  <c:pt idx="0">
                    <c:v>0.02</c:v>
                  </c:pt>
                  <c:pt idx="1">
                    <c:v>0.02</c:v>
                  </c:pt>
                  <c:pt idx="2">
                    <c:v>0.06</c:v>
                  </c:pt>
                  <c:pt idx="3">
                    <c:v>0.06</c:v>
                  </c:pt>
                  <c:pt idx="4">
                    <c:v>0.06</c:v>
                  </c:pt>
                  <c:pt idx="5">
                    <c:v>0.06</c:v>
                  </c:pt>
                  <c:pt idx="6">
                    <c:v>0.03</c:v>
                  </c:pt>
                  <c:pt idx="7">
                    <c:v>0.09</c:v>
                  </c:pt>
                  <c:pt idx="8">
                    <c:v>0.12</c:v>
                  </c:pt>
                  <c:pt idx="9">
                    <c:v>0.12</c:v>
                  </c:pt>
                </c:numCache>
              </c:numRef>
            </c:minus>
            <c:spPr>
              <a:noFill/>
              <a:ln w="9525" cap="flat" cmpd="sng" algn="ctr">
                <a:solidFill>
                  <a:schemeClr val="tx1">
                    <a:lumMod val="65000"/>
                    <a:lumOff val="35000"/>
                  </a:schemeClr>
                </a:solidFill>
                <a:round/>
              </a:ln>
              <a:effectLst/>
            </c:spPr>
          </c:errBars>
          <c:cat>
            <c:strRef>
              <c:f>Sheet1!$A$2:$A$11</c:f>
              <c:strCache>
                <c:ptCount val="10"/>
                <c:pt idx="0">
                  <c:v>0th</c:v>
                </c:pt>
                <c:pt idx="1">
                  <c:v>7th</c:v>
                </c:pt>
                <c:pt idx="2">
                  <c:v>14th</c:v>
                </c:pt>
                <c:pt idx="3">
                  <c:v>21st</c:v>
                </c:pt>
                <c:pt idx="4">
                  <c:v>28th</c:v>
                </c:pt>
                <c:pt idx="5">
                  <c:v>35th</c:v>
                </c:pt>
                <c:pt idx="6">
                  <c:v>42nd</c:v>
                </c:pt>
                <c:pt idx="7">
                  <c:v>49th</c:v>
                </c:pt>
                <c:pt idx="8">
                  <c:v>56th</c:v>
                </c:pt>
                <c:pt idx="9">
                  <c:v>63rd</c:v>
                </c:pt>
              </c:strCache>
            </c:strRef>
          </c:cat>
          <c:val>
            <c:numRef>
              <c:f>Sheet1!$B$2:$B$11</c:f>
              <c:numCache>
                <c:formatCode>General</c:formatCode>
                <c:ptCount val="10"/>
                <c:pt idx="0">
                  <c:v>5.83</c:v>
                </c:pt>
                <c:pt idx="1">
                  <c:v>5.8</c:v>
                </c:pt>
                <c:pt idx="2">
                  <c:v>5.8</c:v>
                </c:pt>
                <c:pt idx="3">
                  <c:v>5.8</c:v>
                </c:pt>
                <c:pt idx="4">
                  <c:v>5.7</c:v>
                </c:pt>
                <c:pt idx="5">
                  <c:v>5.8</c:v>
                </c:pt>
                <c:pt idx="6">
                  <c:v>5.83</c:v>
                </c:pt>
                <c:pt idx="7">
                  <c:v>5.67</c:v>
                </c:pt>
                <c:pt idx="8">
                  <c:v>5.43</c:v>
                </c:pt>
                <c:pt idx="9">
                  <c:v>5.53</c:v>
                </c:pt>
              </c:numCache>
            </c:numRef>
          </c:val>
          <c:smooth val="0"/>
          <c:extLst>
            <c:ext xmlns:c16="http://schemas.microsoft.com/office/drawing/2014/chart" uri="{C3380CC4-5D6E-409C-BE32-E72D297353CC}">
              <c16:uniqueId val="{00000000-5E5D-4BE8-A750-7176AAC53DDC}"/>
            </c:ext>
          </c:extLst>
        </c:ser>
        <c:ser>
          <c:idx val="1"/>
          <c:order val="1"/>
          <c:tx>
            <c:strRef>
              <c:f>Sheet1!$C$1</c:f>
              <c:strCache>
                <c:ptCount val="1"/>
                <c:pt idx="0">
                  <c:v>T1</c:v>
                </c:pt>
              </c:strCache>
            </c:strRef>
          </c:tx>
          <c:spPr>
            <a:ln w="28575" cap="rnd">
              <a:solidFill>
                <a:schemeClr val="accent2"/>
              </a:solidFill>
              <a:round/>
            </a:ln>
            <a:effectLst/>
          </c:spPr>
          <c:marker>
            <c:symbol val="circle"/>
            <c:size val="5"/>
            <c:spPr>
              <a:solidFill>
                <a:schemeClr val="accent2"/>
              </a:solidFill>
              <a:ln w="9525">
                <a:solidFill>
                  <a:schemeClr val="accent2"/>
                </a:solidFill>
              </a:ln>
              <a:effectLst/>
            </c:spPr>
          </c:marker>
          <c:errBars>
            <c:errDir val="y"/>
            <c:errBarType val="both"/>
            <c:errValType val="cust"/>
            <c:noEndCap val="0"/>
            <c:plus>
              <c:numRef>
                <c:f>Sheet1!$F$2:$F$11</c:f>
                <c:numCache>
                  <c:formatCode>General</c:formatCode>
                  <c:ptCount val="10"/>
                  <c:pt idx="0">
                    <c:v>7.0000000000000007E-2</c:v>
                  </c:pt>
                  <c:pt idx="1">
                    <c:v>7.0000000000000007E-2</c:v>
                  </c:pt>
                  <c:pt idx="2">
                    <c:v>0.18</c:v>
                  </c:pt>
                  <c:pt idx="3">
                    <c:v>0.12</c:v>
                  </c:pt>
                  <c:pt idx="4">
                    <c:v>0.09</c:v>
                  </c:pt>
                  <c:pt idx="5">
                    <c:v>0.06</c:v>
                  </c:pt>
                  <c:pt idx="6">
                    <c:v>0.12</c:v>
                  </c:pt>
                  <c:pt idx="7">
                    <c:v>0.09</c:v>
                  </c:pt>
                  <c:pt idx="8">
                    <c:v>0.06</c:v>
                  </c:pt>
                  <c:pt idx="9">
                    <c:v>0.06</c:v>
                  </c:pt>
                </c:numCache>
              </c:numRef>
            </c:plus>
            <c:minus>
              <c:numRef>
                <c:f>Sheet1!$F$2:$F$11</c:f>
                <c:numCache>
                  <c:formatCode>General</c:formatCode>
                  <c:ptCount val="10"/>
                  <c:pt idx="0">
                    <c:v>7.0000000000000007E-2</c:v>
                  </c:pt>
                  <c:pt idx="1">
                    <c:v>7.0000000000000007E-2</c:v>
                  </c:pt>
                  <c:pt idx="2">
                    <c:v>0.18</c:v>
                  </c:pt>
                  <c:pt idx="3">
                    <c:v>0.12</c:v>
                  </c:pt>
                  <c:pt idx="4">
                    <c:v>0.09</c:v>
                  </c:pt>
                  <c:pt idx="5">
                    <c:v>0.06</c:v>
                  </c:pt>
                  <c:pt idx="6">
                    <c:v>0.12</c:v>
                  </c:pt>
                  <c:pt idx="7">
                    <c:v>0.09</c:v>
                  </c:pt>
                  <c:pt idx="8">
                    <c:v>0.06</c:v>
                  </c:pt>
                  <c:pt idx="9">
                    <c:v>0.06</c:v>
                  </c:pt>
                </c:numCache>
              </c:numRef>
            </c:minus>
            <c:spPr>
              <a:noFill/>
              <a:ln w="9525" cap="flat" cmpd="sng" algn="ctr">
                <a:solidFill>
                  <a:schemeClr val="tx1">
                    <a:lumMod val="65000"/>
                    <a:lumOff val="35000"/>
                  </a:schemeClr>
                </a:solidFill>
                <a:round/>
              </a:ln>
              <a:effectLst/>
            </c:spPr>
          </c:errBars>
          <c:cat>
            <c:strRef>
              <c:f>Sheet1!$A$2:$A$11</c:f>
              <c:strCache>
                <c:ptCount val="10"/>
                <c:pt idx="0">
                  <c:v>0th</c:v>
                </c:pt>
                <c:pt idx="1">
                  <c:v>7th</c:v>
                </c:pt>
                <c:pt idx="2">
                  <c:v>14th</c:v>
                </c:pt>
                <c:pt idx="3">
                  <c:v>21st</c:v>
                </c:pt>
                <c:pt idx="4">
                  <c:v>28th</c:v>
                </c:pt>
                <c:pt idx="5">
                  <c:v>35th</c:v>
                </c:pt>
                <c:pt idx="6">
                  <c:v>42nd</c:v>
                </c:pt>
                <c:pt idx="7">
                  <c:v>49th</c:v>
                </c:pt>
                <c:pt idx="8">
                  <c:v>56th</c:v>
                </c:pt>
                <c:pt idx="9">
                  <c:v>63rd</c:v>
                </c:pt>
              </c:strCache>
            </c:strRef>
          </c:cat>
          <c:val>
            <c:numRef>
              <c:f>Sheet1!$C$2:$C$11</c:f>
              <c:numCache>
                <c:formatCode>General</c:formatCode>
                <c:ptCount val="10"/>
                <c:pt idx="0">
                  <c:v>5.03</c:v>
                </c:pt>
                <c:pt idx="1">
                  <c:v>5.23</c:v>
                </c:pt>
                <c:pt idx="2">
                  <c:v>5.23</c:v>
                </c:pt>
                <c:pt idx="3">
                  <c:v>5.2</c:v>
                </c:pt>
                <c:pt idx="4">
                  <c:v>5.07</c:v>
                </c:pt>
                <c:pt idx="5">
                  <c:v>5.2</c:v>
                </c:pt>
                <c:pt idx="6">
                  <c:v>5.03</c:v>
                </c:pt>
                <c:pt idx="7">
                  <c:v>5.17</c:v>
                </c:pt>
                <c:pt idx="8">
                  <c:v>4.9000000000000004</c:v>
                </c:pt>
                <c:pt idx="9">
                  <c:v>5</c:v>
                </c:pt>
              </c:numCache>
            </c:numRef>
          </c:val>
          <c:smooth val="0"/>
          <c:extLst>
            <c:ext xmlns:c16="http://schemas.microsoft.com/office/drawing/2014/chart" uri="{C3380CC4-5D6E-409C-BE32-E72D297353CC}">
              <c16:uniqueId val="{00000001-5E5D-4BE8-A750-7176AAC53DDC}"/>
            </c:ext>
          </c:extLst>
        </c:ser>
        <c:ser>
          <c:idx val="2"/>
          <c:order val="2"/>
          <c:tx>
            <c:strRef>
              <c:f>Sheet1!$D$1</c:f>
              <c:strCache>
                <c:ptCount val="1"/>
                <c:pt idx="0">
                  <c:v>T2</c:v>
                </c:pt>
              </c:strCache>
            </c:strRef>
          </c:tx>
          <c:spPr>
            <a:ln w="28575" cap="rnd">
              <a:solidFill>
                <a:schemeClr val="accent3"/>
              </a:solidFill>
              <a:round/>
            </a:ln>
            <a:effectLst/>
          </c:spPr>
          <c:marker>
            <c:symbol val="circle"/>
            <c:size val="5"/>
            <c:spPr>
              <a:solidFill>
                <a:schemeClr val="accent3"/>
              </a:solidFill>
              <a:ln w="9525">
                <a:solidFill>
                  <a:schemeClr val="accent3"/>
                </a:solidFill>
              </a:ln>
              <a:effectLst/>
            </c:spPr>
          </c:marker>
          <c:errBars>
            <c:errDir val="y"/>
            <c:errBarType val="both"/>
            <c:errValType val="cust"/>
            <c:noEndCap val="0"/>
            <c:plus>
              <c:numRef>
                <c:f>Sheet1!$G$2:$G$11</c:f>
                <c:numCache>
                  <c:formatCode>General</c:formatCode>
                  <c:ptCount val="10"/>
                  <c:pt idx="0">
                    <c:v>7.0000000000000007E-2</c:v>
                  </c:pt>
                  <c:pt idx="1">
                    <c:v>7.0000000000000007E-2</c:v>
                  </c:pt>
                  <c:pt idx="2">
                    <c:v>0.09</c:v>
                  </c:pt>
                  <c:pt idx="3">
                    <c:v>0.22</c:v>
                  </c:pt>
                  <c:pt idx="4">
                    <c:v>0.25</c:v>
                  </c:pt>
                  <c:pt idx="5">
                    <c:v>0.19</c:v>
                  </c:pt>
                  <c:pt idx="6">
                    <c:v>0.13</c:v>
                  </c:pt>
                  <c:pt idx="7">
                    <c:v>0.12</c:v>
                  </c:pt>
                  <c:pt idx="8">
                    <c:v>0.12</c:v>
                  </c:pt>
                  <c:pt idx="9">
                    <c:v>0.12</c:v>
                  </c:pt>
                </c:numCache>
              </c:numRef>
            </c:plus>
            <c:minus>
              <c:numRef>
                <c:f>Sheet1!$G$2:$G$11</c:f>
                <c:numCache>
                  <c:formatCode>General</c:formatCode>
                  <c:ptCount val="10"/>
                  <c:pt idx="0">
                    <c:v>7.0000000000000007E-2</c:v>
                  </c:pt>
                  <c:pt idx="1">
                    <c:v>7.0000000000000007E-2</c:v>
                  </c:pt>
                  <c:pt idx="2">
                    <c:v>0.09</c:v>
                  </c:pt>
                  <c:pt idx="3">
                    <c:v>0.22</c:v>
                  </c:pt>
                  <c:pt idx="4">
                    <c:v>0.25</c:v>
                  </c:pt>
                  <c:pt idx="5">
                    <c:v>0.19</c:v>
                  </c:pt>
                  <c:pt idx="6">
                    <c:v>0.13</c:v>
                  </c:pt>
                  <c:pt idx="7">
                    <c:v>0.12</c:v>
                  </c:pt>
                  <c:pt idx="8">
                    <c:v>0.12</c:v>
                  </c:pt>
                  <c:pt idx="9">
                    <c:v>0.12</c:v>
                  </c:pt>
                </c:numCache>
              </c:numRef>
            </c:minus>
            <c:spPr>
              <a:noFill/>
              <a:ln w="9525" cap="flat" cmpd="sng" algn="ctr">
                <a:solidFill>
                  <a:schemeClr val="tx1">
                    <a:lumMod val="65000"/>
                    <a:lumOff val="35000"/>
                  </a:schemeClr>
                </a:solidFill>
                <a:round/>
              </a:ln>
              <a:effectLst/>
            </c:spPr>
          </c:errBars>
          <c:cat>
            <c:strRef>
              <c:f>Sheet1!$A$2:$A$11</c:f>
              <c:strCache>
                <c:ptCount val="10"/>
                <c:pt idx="0">
                  <c:v>0th</c:v>
                </c:pt>
                <c:pt idx="1">
                  <c:v>7th</c:v>
                </c:pt>
                <c:pt idx="2">
                  <c:v>14th</c:v>
                </c:pt>
                <c:pt idx="3">
                  <c:v>21st</c:v>
                </c:pt>
                <c:pt idx="4">
                  <c:v>28th</c:v>
                </c:pt>
                <c:pt idx="5">
                  <c:v>35th</c:v>
                </c:pt>
                <c:pt idx="6">
                  <c:v>42nd</c:v>
                </c:pt>
                <c:pt idx="7">
                  <c:v>49th</c:v>
                </c:pt>
                <c:pt idx="8">
                  <c:v>56th</c:v>
                </c:pt>
                <c:pt idx="9">
                  <c:v>63rd</c:v>
                </c:pt>
              </c:strCache>
            </c:strRef>
          </c:cat>
          <c:val>
            <c:numRef>
              <c:f>Sheet1!$D$2:$D$11</c:f>
              <c:numCache>
                <c:formatCode>General</c:formatCode>
                <c:ptCount val="10"/>
                <c:pt idx="0">
                  <c:v>5.53</c:v>
                </c:pt>
                <c:pt idx="1">
                  <c:v>5.67</c:v>
                </c:pt>
                <c:pt idx="2">
                  <c:v>5.67</c:v>
                </c:pt>
                <c:pt idx="3">
                  <c:v>5.63</c:v>
                </c:pt>
                <c:pt idx="4">
                  <c:v>5.5</c:v>
                </c:pt>
                <c:pt idx="5">
                  <c:v>5.47</c:v>
                </c:pt>
                <c:pt idx="6">
                  <c:v>5.33</c:v>
                </c:pt>
                <c:pt idx="7">
                  <c:v>5.4</c:v>
                </c:pt>
                <c:pt idx="8">
                  <c:v>5.23</c:v>
                </c:pt>
                <c:pt idx="9">
                  <c:v>5.33</c:v>
                </c:pt>
              </c:numCache>
            </c:numRef>
          </c:val>
          <c:smooth val="0"/>
          <c:extLst>
            <c:ext xmlns:c16="http://schemas.microsoft.com/office/drawing/2014/chart" uri="{C3380CC4-5D6E-409C-BE32-E72D297353CC}">
              <c16:uniqueId val="{00000002-5E5D-4BE8-A750-7176AAC53DDC}"/>
            </c:ext>
          </c:extLst>
        </c:ser>
        <c:dLbls>
          <c:showLegendKey val="0"/>
          <c:showVal val="0"/>
          <c:showCatName val="0"/>
          <c:showSerName val="0"/>
          <c:showPercent val="0"/>
          <c:showBubbleSize val="0"/>
        </c:dLbls>
        <c:marker val="1"/>
        <c:smooth val="0"/>
        <c:axId val="1481591808"/>
        <c:axId val="1481578368"/>
      </c:lineChart>
      <c:catAx>
        <c:axId val="1481591808"/>
        <c:scaling>
          <c:orientation val="minMax"/>
        </c:scaling>
        <c:delete val="0"/>
        <c:axPos val="b"/>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IN"/>
                  <a:t>Days</a:t>
                </a:r>
              </a:p>
            </c:rich>
          </c:tx>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s-MX"/>
            </a:p>
          </c:tx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MX"/>
          </a:p>
        </c:txPr>
        <c:crossAx val="1481578368"/>
        <c:crosses val="autoZero"/>
        <c:auto val="1"/>
        <c:lblAlgn val="ctr"/>
        <c:lblOffset val="100"/>
        <c:noMultiLvlLbl val="0"/>
      </c:catAx>
      <c:valAx>
        <c:axId val="1481578368"/>
        <c:scaling>
          <c:orientation val="minMax"/>
          <c:min val="4"/>
        </c:scaling>
        <c:delete val="0"/>
        <c:axPos val="l"/>
        <c:majorGridlines>
          <c:spPr>
            <a:ln w="9525" cap="flat" cmpd="sng" algn="ctr">
              <a:no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IN"/>
                  <a:t>ppm</a:t>
                </a:r>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s-MX"/>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MX"/>
          </a:p>
        </c:txPr>
        <c:crossAx val="1481591808"/>
        <c:crosses val="autoZero"/>
        <c:crossBetween val="between"/>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noFill/>
      <a:round/>
    </a:ln>
    <a:effectLst/>
  </c:spPr>
  <c:txPr>
    <a:bodyPr/>
    <a:lstStyle/>
    <a:p>
      <a:pPr>
        <a:defRPr/>
      </a:pPr>
      <a:endParaRPr lang="es-MX"/>
    </a:p>
  </c:txPr>
  <c:externalData r:id="rId3">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IN" sz="1400" b="0" i="0" u="none" strike="noStrike" baseline="0">
                <a:effectLst/>
              </a:rPr>
              <a:t>Ammonia</a:t>
            </a:r>
            <a:endParaRPr lang="en-IN"/>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s-MX"/>
        </a:p>
      </c:txPr>
    </c:title>
    <c:autoTitleDeleted val="0"/>
    <c:plotArea>
      <c:layout/>
      <c:lineChart>
        <c:grouping val="standard"/>
        <c:varyColors val="0"/>
        <c:ser>
          <c:idx val="0"/>
          <c:order val="0"/>
          <c:tx>
            <c:strRef>
              <c:f>Sheet1!$B$1</c:f>
              <c:strCache>
                <c:ptCount val="1"/>
                <c:pt idx="0">
                  <c:v>C</c:v>
                </c:pt>
              </c:strCache>
            </c:strRef>
          </c:tx>
          <c:spPr>
            <a:ln w="28575" cap="rnd">
              <a:solidFill>
                <a:schemeClr val="accent1"/>
              </a:solidFill>
              <a:round/>
            </a:ln>
            <a:effectLst/>
          </c:spPr>
          <c:marker>
            <c:symbol val="circle"/>
            <c:size val="5"/>
            <c:spPr>
              <a:solidFill>
                <a:schemeClr val="accent1"/>
              </a:solidFill>
              <a:ln w="9525">
                <a:solidFill>
                  <a:schemeClr val="accent1"/>
                </a:solidFill>
              </a:ln>
              <a:effectLst/>
            </c:spPr>
          </c:marker>
          <c:errBars>
            <c:errDir val="y"/>
            <c:errBarType val="both"/>
            <c:errValType val="cust"/>
            <c:noEndCap val="0"/>
            <c:plus>
              <c:numRef>
                <c:f>Sheet1!$E$2:$E$11</c:f>
                <c:numCache>
                  <c:formatCode>General</c:formatCode>
                  <c:ptCount val="10"/>
                  <c:pt idx="0">
                    <c:v>0.08</c:v>
                  </c:pt>
                  <c:pt idx="1">
                    <c:v>0.01</c:v>
                  </c:pt>
                  <c:pt idx="2">
                    <c:v>0.02</c:v>
                  </c:pt>
                  <c:pt idx="3">
                    <c:v>1.4E-2</c:v>
                  </c:pt>
                  <c:pt idx="4">
                    <c:v>0.08</c:v>
                  </c:pt>
                  <c:pt idx="5">
                    <c:v>0.02</c:v>
                  </c:pt>
                  <c:pt idx="6">
                    <c:v>0.03</c:v>
                  </c:pt>
                  <c:pt idx="7">
                    <c:v>0.02</c:v>
                  </c:pt>
                  <c:pt idx="8">
                    <c:v>0.1</c:v>
                  </c:pt>
                  <c:pt idx="9">
                    <c:v>0.11</c:v>
                  </c:pt>
                </c:numCache>
              </c:numRef>
            </c:plus>
            <c:minus>
              <c:numRef>
                <c:f>Sheet1!$E$2:$E$11</c:f>
                <c:numCache>
                  <c:formatCode>General</c:formatCode>
                  <c:ptCount val="10"/>
                  <c:pt idx="0">
                    <c:v>0.08</c:v>
                  </c:pt>
                  <c:pt idx="1">
                    <c:v>0.01</c:v>
                  </c:pt>
                  <c:pt idx="2">
                    <c:v>0.02</c:v>
                  </c:pt>
                  <c:pt idx="3">
                    <c:v>1.4E-2</c:v>
                  </c:pt>
                  <c:pt idx="4">
                    <c:v>0.08</c:v>
                  </c:pt>
                  <c:pt idx="5">
                    <c:v>0.02</c:v>
                  </c:pt>
                  <c:pt idx="6">
                    <c:v>0.03</c:v>
                  </c:pt>
                  <c:pt idx="7">
                    <c:v>0.02</c:v>
                  </c:pt>
                  <c:pt idx="8">
                    <c:v>0.1</c:v>
                  </c:pt>
                  <c:pt idx="9">
                    <c:v>0.11</c:v>
                  </c:pt>
                </c:numCache>
              </c:numRef>
            </c:minus>
            <c:spPr>
              <a:noFill/>
              <a:ln w="9525" cap="flat" cmpd="sng" algn="ctr">
                <a:solidFill>
                  <a:schemeClr val="tx1">
                    <a:lumMod val="65000"/>
                    <a:lumOff val="35000"/>
                  </a:schemeClr>
                </a:solidFill>
                <a:round/>
              </a:ln>
              <a:effectLst/>
            </c:spPr>
          </c:errBars>
          <c:cat>
            <c:strRef>
              <c:f>Sheet1!$A$2:$A$11</c:f>
              <c:strCache>
                <c:ptCount val="10"/>
                <c:pt idx="0">
                  <c:v>0th</c:v>
                </c:pt>
                <c:pt idx="1">
                  <c:v>7th</c:v>
                </c:pt>
                <c:pt idx="2">
                  <c:v>14th</c:v>
                </c:pt>
                <c:pt idx="3">
                  <c:v>21st</c:v>
                </c:pt>
                <c:pt idx="4">
                  <c:v>28th</c:v>
                </c:pt>
                <c:pt idx="5">
                  <c:v>35th</c:v>
                </c:pt>
                <c:pt idx="6">
                  <c:v>42nd</c:v>
                </c:pt>
                <c:pt idx="7">
                  <c:v>49th</c:v>
                </c:pt>
                <c:pt idx="8">
                  <c:v>56th</c:v>
                </c:pt>
                <c:pt idx="9">
                  <c:v>63rd</c:v>
                </c:pt>
              </c:strCache>
            </c:strRef>
          </c:cat>
          <c:val>
            <c:numRef>
              <c:f>Sheet1!$B$2:$B$11</c:f>
              <c:numCache>
                <c:formatCode>General</c:formatCode>
                <c:ptCount val="10"/>
                <c:pt idx="0">
                  <c:v>0.48</c:v>
                </c:pt>
                <c:pt idx="1">
                  <c:v>0.69</c:v>
                </c:pt>
                <c:pt idx="2">
                  <c:v>0.63</c:v>
                </c:pt>
                <c:pt idx="3">
                  <c:v>0.52</c:v>
                </c:pt>
                <c:pt idx="4">
                  <c:v>0.24</c:v>
                </c:pt>
                <c:pt idx="5">
                  <c:v>7.0000000000000007E-2</c:v>
                </c:pt>
                <c:pt idx="6">
                  <c:v>0.23</c:v>
                </c:pt>
                <c:pt idx="7">
                  <c:v>0.3</c:v>
                </c:pt>
                <c:pt idx="8">
                  <c:v>0.34</c:v>
                </c:pt>
                <c:pt idx="9">
                  <c:v>0.42</c:v>
                </c:pt>
              </c:numCache>
            </c:numRef>
          </c:val>
          <c:smooth val="0"/>
          <c:extLst>
            <c:ext xmlns:c16="http://schemas.microsoft.com/office/drawing/2014/chart" uri="{C3380CC4-5D6E-409C-BE32-E72D297353CC}">
              <c16:uniqueId val="{00000000-EC5C-474A-927F-B66B8255ED3B}"/>
            </c:ext>
          </c:extLst>
        </c:ser>
        <c:ser>
          <c:idx val="1"/>
          <c:order val="1"/>
          <c:tx>
            <c:strRef>
              <c:f>Sheet1!$C$1</c:f>
              <c:strCache>
                <c:ptCount val="1"/>
                <c:pt idx="0">
                  <c:v>T1</c:v>
                </c:pt>
              </c:strCache>
            </c:strRef>
          </c:tx>
          <c:spPr>
            <a:ln w="28575" cap="rnd">
              <a:solidFill>
                <a:schemeClr val="accent2"/>
              </a:solidFill>
              <a:round/>
            </a:ln>
            <a:effectLst/>
          </c:spPr>
          <c:marker>
            <c:symbol val="circle"/>
            <c:size val="5"/>
            <c:spPr>
              <a:solidFill>
                <a:schemeClr val="accent2"/>
              </a:solidFill>
              <a:ln w="9525">
                <a:solidFill>
                  <a:schemeClr val="accent2"/>
                </a:solidFill>
              </a:ln>
              <a:effectLst/>
            </c:spPr>
          </c:marker>
          <c:errBars>
            <c:errDir val="y"/>
            <c:errBarType val="both"/>
            <c:errValType val="cust"/>
            <c:noEndCap val="0"/>
            <c:plus>
              <c:numRef>
                <c:f>Sheet1!$F$2:$F$11</c:f>
                <c:numCache>
                  <c:formatCode>General</c:formatCode>
                  <c:ptCount val="10"/>
                  <c:pt idx="0">
                    <c:v>0.11</c:v>
                  </c:pt>
                  <c:pt idx="1">
                    <c:v>0.05</c:v>
                  </c:pt>
                  <c:pt idx="2">
                    <c:v>0.13</c:v>
                  </c:pt>
                  <c:pt idx="3">
                    <c:v>0.06</c:v>
                  </c:pt>
                  <c:pt idx="4">
                    <c:v>7.0000000000000007E-2</c:v>
                  </c:pt>
                  <c:pt idx="5">
                    <c:v>0.12</c:v>
                  </c:pt>
                  <c:pt idx="6">
                    <c:v>3.5999999999999997E-2</c:v>
                  </c:pt>
                  <c:pt idx="7">
                    <c:v>0.09</c:v>
                  </c:pt>
                  <c:pt idx="8">
                    <c:v>0.05</c:v>
                  </c:pt>
                  <c:pt idx="9">
                    <c:v>0.16</c:v>
                  </c:pt>
                </c:numCache>
              </c:numRef>
            </c:plus>
            <c:minus>
              <c:numRef>
                <c:f>Sheet1!$F$2:$F$11</c:f>
                <c:numCache>
                  <c:formatCode>General</c:formatCode>
                  <c:ptCount val="10"/>
                  <c:pt idx="0">
                    <c:v>0.11</c:v>
                  </c:pt>
                  <c:pt idx="1">
                    <c:v>0.05</c:v>
                  </c:pt>
                  <c:pt idx="2">
                    <c:v>0.13</c:v>
                  </c:pt>
                  <c:pt idx="3">
                    <c:v>0.06</c:v>
                  </c:pt>
                  <c:pt idx="4">
                    <c:v>7.0000000000000007E-2</c:v>
                  </c:pt>
                  <c:pt idx="5">
                    <c:v>0.12</c:v>
                  </c:pt>
                  <c:pt idx="6">
                    <c:v>3.5999999999999997E-2</c:v>
                  </c:pt>
                  <c:pt idx="7">
                    <c:v>0.09</c:v>
                  </c:pt>
                  <c:pt idx="8">
                    <c:v>0.05</c:v>
                  </c:pt>
                  <c:pt idx="9">
                    <c:v>0.16</c:v>
                  </c:pt>
                </c:numCache>
              </c:numRef>
            </c:minus>
            <c:spPr>
              <a:noFill/>
              <a:ln w="9525" cap="flat" cmpd="sng" algn="ctr">
                <a:solidFill>
                  <a:schemeClr val="tx1">
                    <a:lumMod val="65000"/>
                    <a:lumOff val="35000"/>
                  </a:schemeClr>
                </a:solidFill>
                <a:round/>
              </a:ln>
              <a:effectLst/>
            </c:spPr>
          </c:errBars>
          <c:cat>
            <c:strRef>
              <c:f>Sheet1!$A$2:$A$11</c:f>
              <c:strCache>
                <c:ptCount val="10"/>
                <c:pt idx="0">
                  <c:v>0th</c:v>
                </c:pt>
                <c:pt idx="1">
                  <c:v>7th</c:v>
                </c:pt>
                <c:pt idx="2">
                  <c:v>14th</c:v>
                </c:pt>
                <c:pt idx="3">
                  <c:v>21st</c:v>
                </c:pt>
                <c:pt idx="4">
                  <c:v>28th</c:v>
                </c:pt>
                <c:pt idx="5">
                  <c:v>35th</c:v>
                </c:pt>
                <c:pt idx="6">
                  <c:v>42nd</c:v>
                </c:pt>
                <c:pt idx="7">
                  <c:v>49th</c:v>
                </c:pt>
                <c:pt idx="8">
                  <c:v>56th</c:v>
                </c:pt>
                <c:pt idx="9">
                  <c:v>63rd</c:v>
                </c:pt>
              </c:strCache>
            </c:strRef>
          </c:cat>
          <c:val>
            <c:numRef>
              <c:f>Sheet1!$C$2:$C$11</c:f>
              <c:numCache>
                <c:formatCode>General</c:formatCode>
                <c:ptCount val="10"/>
                <c:pt idx="0">
                  <c:v>0.4</c:v>
                </c:pt>
                <c:pt idx="1">
                  <c:v>0.36</c:v>
                </c:pt>
                <c:pt idx="2">
                  <c:v>0.49</c:v>
                </c:pt>
                <c:pt idx="3">
                  <c:v>0.33</c:v>
                </c:pt>
                <c:pt idx="4">
                  <c:v>0.42</c:v>
                </c:pt>
                <c:pt idx="5">
                  <c:v>0.49</c:v>
                </c:pt>
                <c:pt idx="6">
                  <c:v>0.61</c:v>
                </c:pt>
                <c:pt idx="7">
                  <c:v>0.54</c:v>
                </c:pt>
                <c:pt idx="8">
                  <c:v>0.5</c:v>
                </c:pt>
                <c:pt idx="9">
                  <c:v>0.47</c:v>
                </c:pt>
              </c:numCache>
            </c:numRef>
          </c:val>
          <c:smooth val="0"/>
          <c:extLst>
            <c:ext xmlns:c16="http://schemas.microsoft.com/office/drawing/2014/chart" uri="{C3380CC4-5D6E-409C-BE32-E72D297353CC}">
              <c16:uniqueId val="{00000001-EC5C-474A-927F-B66B8255ED3B}"/>
            </c:ext>
          </c:extLst>
        </c:ser>
        <c:ser>
          <c:idx val="2"/>
          <c:order val="2"/>
          <c:tx>
            <c:strRef>
              <c:f>Sheet1!$D$1</c:f>
              <c:strCache>
                <c:ptCount val="1"/>
                <c:pt idx="0">
                  <c:v>T2</c:v>
                </c:pt>
              </c:strCache>
            </c:strRef>
          </c:tx>
          <c:spPr>
            <a:ln w="28575" cap="rnd">
              <a:solidFill>
                <a:schemeClr val="accent3"/>
              </a:solidFill>
              <a:round/>
            </a:ln>
            <a:effectLst/>
          </c:spPr>
          <c:marker>
            <c:symbol val="circle"/>
            <c:size val="5"/>
            <c:spPr>
              <a:solidFill>
                <a:schemeClr val="accent3"/>
              </a:solidFill>
              <a:ln w="9525">
                <a:solidFill>
                  <a:schemeClr val="accent3"/>
                </a:solidFill>
              </a:ln>
              <a:effectLst/>
            </c:spPr>
          </c:marker>
          <c:errBars>
            <c:errDir val="y"/>
            <c:errBarType val="both"/>
            <c:errValType val="cust"/>
            <c:noEndCap val="0"/>
            <c:plus>
              <c:numRef>
                <c:f>Sheet1!$G$2:$G$11</c:f>
                <c:numCache>
                  <c:formatCode>General</c:formatCode>
                  <c:ptCount val="10"/>
                  <c:pt idx="0">
                    <c:v>0.02</c:v>
                  </c:pt>
                  <c:pt idx="1">
                    <c:v>0.02</c:v>
                  </c:pt>
                  <c:pt idx="2">
                    <c:v>0.03</c:v>
                  </c:pt>
                  <c:pt idx="3">
                    <c:v>1.4E-2</c:v>
                  </c:pt>
                  <c:pt idx="4">
                    <c:v>0.08</c:v>
                  </c:pt>
                  <c:pt idx="5">
                    <c:v>0.1</c:v>
                  </c:pt>
                  <c:pt idx="6">
                    <c:v>0.14000000000000001</c:v>
                  </c:pt>
                  <c:pt idx="7">
                    <c:v>0.06</c:v>
                  </c:pt>
                  <c:pt idx="8">
                    <c:v>0.08</c:v>
                  </c:pt>
                  <c:pt idx="9">
                    <c:v>0.01</c:v>
                  </c:pt>
                </c:numCache>
              </c:numRef>
            </c:plus>
            <c:minus>
              <c:numRef>
                <c:f>Sheet1!$G$2:$G$11</c:f>
                <c:numCache>
                  <c:formatCode>General</c:formatCode>
                  <c:ptCount val="10"/>
                  <c:pt idx="0">
                    <c:v>0.02</c:v>
                  </c:pt>
                  <c:pt idx="1">
                    <c:v>0.02</c:v>
                  </c:pt>
                  <c:pt idx="2">
                    <c:v>0.03</c:v>
                  </c:pt>
                  <c:pt idx="3">
                    <c:v>1.4E-2</c:v>
                  </c:pt>
                  <c:pt idx="4">
                    <c:v>0.08</c:v>
                  </c:pt>
                  <c:pt idx="5">
                    <c:v>0.1</c:v>
                  </c:pt>
                  <c:pt idx="6">
                    <c:v>0.14000000000000001</c:v>
                  </c:pt>
                  <c:pt idx="7">
                    <c:v>0.06</c:v>
                  </c:pt>
                  <c:pt idx="8">
                    <c:v>0.08</c:v>
                  </c:pt>
                  <c:pt idx="9">
                    <c:v>0.01</c:v>
                  </c:pt>
                </c:numCache>
              </c:numRef>
            </c:minus>
            <c:spPr>
              <a:noFill/>
              <a:ln w="9525" cap="flat" cmpd="sng" algn="ctr">
                <a:solidFill>
                  <a:schemeClr val="tx1">
                    <a:lumMod val="65000"/>
                    <a:lumOff val="35000"/>
                  </a:schemeClr>
                </a:solidFill>
                <a:round/>
              </a:ln>
              <a:effectLst/>
            </c:spPr>
          </c:errBars>
          <c:cat>
            <c:strRef>
              <c:f>Sheet1!$A$2:$A$11</c:f>
              <c:strCache>
                <c:ptCount val="10"/>
                <c:pt idx="0">
                  <c:v>0th</c:v>
                </c:pt>
                <c:pt idx="1">
                  <c:v>7th</c:v>
                </c:pt>
                <c:pt idx="2">
                  <c:v>14th</c:v>
                </c:pt>
                <c:pt idx="3">
                  <c:v>21st</c:v>
                </c:pt>
                <c:pt idx="4">
                  <c:v>28th</c:v>
                </c:pt>
                <c:pt idx="5">
                  <c:v>35th</c:v>
                </c:pt>
                <c:pt idx="6">
                  <c:v>42nd</c:v>
                </c:pt>
                <c:pt idx="7">
                  <c:v>49th</c:v>
                </c:pt>
                <c:pt idx="8">
                  <c:v>56th</c:v>
                </c:pt>
                <c:pt idx="9">
                  <c:v>63rd</c:v>
                </c:pt>
              </c:strCache>
            </c:strRef>
          </c:cat>
          <c:val>
            <c:numRef>
              <c:f>Sheet1!$D$2:$D$11</c:f>
              <c:numCache>
                <c:formatCode>General</c:formatCode>
                <c:ptCount val="10"/>
                <c:pt idx="0">
                  <c:v>0.66</c:v>
                </c:pt>
                <c:pt idx="1">
                  <c:v>0.82</c:v>
                </c:pt>
                <c:pt idx="2">
                  <c:v>0.43</c:v>
                </c:pt>
                <c:pt idx="3">
                  <c:v>0.27</c:v>
                </c:pt>
                <c:pt idx="4">
                  <c:v>0.36</c:v>
                </c:pt>
                <c:pt idx="5">
                  <c:v>0.45</c:v>
                </c:pt>
                <c:pt idx="6">
                  <c:v>0.55000000000000004</c:v>
                </c:pt>
                <c:pt idx="7">
                  <c:v>0.45</c:v>
                </c:pt>
                <c:pt idx="8">
                  <c:v>0.7</c:v>
                </c:pt>
                <c:pt idx="9">
                  <c:v>0.65</c:v>
                </c:pt>
              </c:numCache>
            </c:numRef>
          </c:val>
          <c:smooth val="0"/>
          <c:extLst>
            <c:ext xmlns:c16="http://schemas.microsoft.com/office/drawing/2014/chart" uri="{C3380CC4-5D6E-409C-BE32-E72D297353CC}">
              <c16:uniqueId val="{00000002-EC5C-474A-927F-B66B8255ED3B}"/>
            </c:ext>
          </c:extLst>
        </c:ser>
        <c:dLbls>
          <c:showLegendKey val="0"/>
          <c:showVal val="0"/>
          <c:showCatName val="0"/>
          <c:showSerName val="0"/>
          <c:showPercent val="0"/>
          <c:showBubbleSize val="0"/>
        </c:dLbls>
        <c:marker val="1"/>
        <c:smooth val="0"/>
        <c:axId val="1481590368"/>
        <c:axId val="1481590848"/>
      </c:lineChart>
      <c:catAx>
        <c:axId val="1481590368"/>
        <c:scaling>
          <c:orientation val="minMax"/>
        </c:scaling>
        <c:delete val="0"/>
        <c:axPos val="b"/>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IN"/>
                  <a:t>Days</a:t>
                </a:r>
              </a:p>
            </c:rich>
          </c:tx>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s-MX"/>
            </a:p>
          </c:tx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MX"/>
          </a:p>
        </c:txPr>
        <c:crossAx val="1481590848"/>
        <c:crosses val="autoZero"/>
        <c:auto val="1"/>
        <c:lblAlgn val="ctr"/>
        <c:lblOffset val="100"/>
        <c:noMultiLvlLbl val="0"/>
      </c:catAx>
      <c:valAx>
        <c:axId val="1481590848"/>
        <c:scaling>
          <c:orientation val="minMax"/>
        </c:scaling>
        <c:delete val="0"/>
        <c:axPos val="l"/>
        <c:majorGridlines>
          <c:spPr>
            <a:ln w="9525" cap="flat" cmpd="sng" algn="ctr">
              <a:no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IN"/>
                  <a:t>ppm</a:t>
                </a:r>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s-MX"/>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MX"/>
          </a:p>
        </c:txPr>
        <c:crossAx val="1481590368"/>
        <c:crosses val="autoZero"/>
        <c:crossBetween val="between"/>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noFill/>
      <a:round/>
    </a:ln>
    <a:effectLst/>
  </c:spPr>
  <c:txPr>
    <a:bodyPr/>
    <a:lstStyle/>
    <a:p>
      <a:pPr>
        <a:defRPr/>
      </a:pPr>
      <a:endParaRPr lang="es-MX"/>
    </a:p>
  </c:txPr>
  <c:externalData r:id="rId3">
    <c:autoUpdate val="0"/>
  </c:externalData>
</c:chartSpace>
</file>

<file path=word/charts/chart8.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IN" sz="1400" b="0" i="0" u="none" strike="noStrike" baseline="0">
                <a:effectLst/>
              </a:rPr>
              <a:t>Nitrite</a:t>
            </a:r>
            <a:endParaRPr lang="en-IN"/>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s-MX"/>
        </a:p>
      </c:txPr>
    </c:title>
    <c:autoTitleDeleted val="0"/>
    <c:plotArea>
      <c:layout/>
      <c:lineChart>
        <c:grouping val="standard"/>
        <c:varyColors val="0"/>
        <c:ser>
          <c:idx val="0"/>
          <c:order val="0"/>
          <c:tx>
            <c:strRef>
              <c:f>Sheet1!$B$1</c:f>
              <c:strCache>
                <c:ptCount val="1"/>
                <c:pt idx="0">
                  <c:v>C</c:v>
                </c:pt>
              </c:strCache>
            </c:strRef>
          </c:tx>
          <c:spPr>
            <a:ln w="28575" cap="rnd">
              <a:solidFill>
                <a:schemeClr val="accent1"/>
              </a:solidFill>
              <a:round/>
            </a:ln>
            <a:effectLst/>
          </c:spPr>
          <c:marker>
            <c:symbol val="circle"/>
            <c:size val="5"/>
            <c:spPr>
              <a:solidFill>
                <a:schemeClr val="accent1"/>
              </a:solidFill>
              <a:ln w="9525">
                <a:solidFill>
                  <a:schemeClr val="accent1"/>
                </a:solidFill>
              </a:ln>
              <a:effectLst/>
            </c:spPr>
          </c:marker>
          <c:errBars>
            <c:errDir val="y"/>
            <c:errBarType val="both"/>
            <c:errValType val="cust"/>
            <c:noEndCap val="0"/>
            <c:plus>
              <c:numRef>
                <c:f>Sheet1!$E$2:$E$11</c:f>
                <c:numCache>
                  <c:formatCode>General</c:formatCode>
                  <c:ptCount val="10"/>
                  <c:pt idx="0">
                    <c:v>5.0000000000000001E-3</c:v>
                  </c:pt>
                  <c:pt idx="1">
                    <c:v>0.08</c:v>
                  </c:pt>
                  <c:pt idx="2">
                    <c:v>7.0000000000000007E-2</c:v>
                  </c:pt>
                  <c:pt idx="3">
                    <c:v>0.04</c:v>
                  </c:pt>
                  <c:pt idx="4">
                    <c:v>0.01</c:v>
                  </c:pt>
                  <c:pt idx="5">
                    <c:v>7.0000000000000007E-2</c:v>
                  </c:pt>
                  <c:pt idx="6">
                    <c:v>0.05</c:v>
                  </c:pt>
                  <c:pt idx="7">
                    <c:v>0.02</c:v>
                  </c:pt>
                  <c:pt idx="8">
                    <c:v>0.05</c:v>
                  </c:pt>
                  <c:pt idx="9">
                    <c:v>3.0000000000000001E-3</c:v>
                  </c:pt>
                </c:numCache>
              </c:numRef>
            </c:plus>
            <c:minus>
              <c:numRef>
                <c:f>Sheet1!$E$2:$E$11</c:f>
                <c:numCache>
                  <c:formatCode>General</c:formatCode>
                  <c:ptCount val="10"/>
                  <c:pt idx="0">
                    <c:v>5.0000000000000001E-3</c:v>
                  </c:pt>
                  <c:pt idx="1">
                    <c:v>0.08</c:v>
                  </c:pt>
                  <c:pt idx="2">
                    <c:v>7.0000000000000007E-2</c:v>
                  </c:pt>
                  <c:pt idx="3">
                    <c:v>0.04</c:v>
                  </c:pt>
                  <c:pt idx="4">
                    <c:v>0.01</c:v>
                  </c:pt>
                  <c:pt idx="5">
                    <c:v>7.0000000000000007E-2</c:v>
                  </c:pt>
                  <c:pt idx="6">
                    <c:v>0.05</c:v>
                  </c:pt>
                  <c:pt idx="7">
                    <c:v>0.02</c:v>
                  </c:pt>
                  <c:pt idx="8">
                    <c:v>0.05</c:v>
                  </c:pt>
                  <c:pt idx="9">
                    <c:v>3.0000000000000001E-3</c:v>
                  </c:pt>
                </c:numCache>
              </c:numRef>
            </c:minus>
            <c:spPr>
              <a:noFill/>
              <a:ln w="9525" cap="flat" cmpd="sng" algn="ctr">
                <a:solidFill>
                  <a:schemeClr val="tx1">
                    <a:lumMod val="65000"/>
                    <a:lumOff val="35000"/>
                  </a:schemeClr>
                </a:solidFill>
                <a:round/>
              </a:ln>
              <a:effectLst/>
            </c:spPr>
          </c:errBars>
          <c:cat>
            <c:strRef>
              <c:f>Sheet1!$A$2:$A$11</c:f>
              <c:strCache>
                <c:ptCount val="10"/>
                <c:pt idx="0">
                  <c:v>0th</c:v>
                </c:pt>
                <c:pt idx="1">
                  <c:v>7th</c:v>
                </c:pt>
                <c:pt idx="2">
                  <c:v>14th</c:v>
                </c:pt>
                <c:pt idx="3">
                  <c:v>21st</c:v>
                </c:pt>
                <c:pt idx="4">
                  <c:v>28th</c:v>
                </c:pt>
                <c:pt idx="5">
                  <c:v>35th</c:v>
                </c:pt>
                <c:pt idx="6">
                  <c:v>42nd</c:v>
                </c:pt>
                <c:pt idx="7">
                  <c:v>49th</c:v>
                </c:pt>
                <c:pt idx="8">
                  <c:v>56th</c:v>
                </c:pt>
                <c:pt idx="9">
                  <c:v>63rd</c:v>
                </c:pt>
              </c:strCache>
            </c:strRef>
          </c:cat>
          <c:val>
            <c:numRef>
              <c:f>Sheet1!$B$2:$B$11</c:f>
              <c:numCache>
                <c:formatCode>General</c:formatCode>
                <c:ptCount val="10"/>
                <c:pt idx="0">
                  <c:v>0.53</c:v>
                </c:pt>
                <c:pt idx="1">
                  <c:v>0.46</c:v>
                </c:pt>
                <c:pt idx="2">
                  <c:v>0.51</c:v>
                </c:pt>
                <c:pt idx="3">
                  <c:v>0.55000000000000004</c:v>
                </c:pt>
                <c:pt idx="4">
                  <c:v>0.4</c:v>
                </c:pt>
                <c:pt idx="5">
                  <c:v>0.28000000000000003</c:v>
                </c:pt>
                <c:pt idx="6">
                  <c:v>0.22</c:v>
                </c:pt>
                <c:pt idx="7">
                  <c:v>0.23</c:v>
                </c:pt>
                <c:pt idx="8">
                  <c:v>0.26</c:v>
                </c:pt>
                <c:pt idx="9">
                  <c:v>0.22</c:v>
                </c:pt>
              </c:numCache>
            </c:numRef>
          </c:val>
          <c:smooth val="0"/>
          <c:extLst>
            <c:ext xmlns:c16="http://schemas.microsoft.com/office/drawing/2014/chart" uri="{C3380CC4-5D6E-409C-BE32-E72D297353CC}">
              <c16:uniqueId val="{00000000-5CB1-48BB-A93D-4EDF7EC72C8C}"/>
            </c:ext>
          </c:extLst>
        </c:ser>
        <c:ser>
          <c:idx val="1"/>
          <c:order val="1"/>
          <c:tx>
            <c:strRef>
              <c:f>Sheet1!$C$1</c:f>
              <c:strCache>
                <c:ptCount val="1"/>
                <c:pt idx="0">
                  <c:v>T1</c:v>
                </c:pt>
              </c:strCache>
            </c:strRef>
          </c:tx>
          <c:spPr>
            <a:ln w="28575" cap="rnd">
              <a:solidFill>
                <a:schemeClr val="accent2"/>
              </a:solidFill>
              <a:round/>
            </a:ln>
            <a:effectLst/>
          </c:spPr>
          <c:marker>
            <c:symbol val="circle"/>
            <c:size val="5"/>
            <c:spPr>
              <a:solidFill>
                <a:schemeClr val="accent2"/>
              </a:solidFill>
              <a:ln w="9525">
                <a:noFill/>
              </a:ln>
              <a:effectLst/>
            </c:spPr>
          </c:marker>
          <c:errBars>
            <c:errDir val="y"/>
            <c:errBarType val="both"/>
            <c:errValType val="cust"/>
            <c:noEndCap val="0"/>
            <c:plus>
              <c:numRef>
                <c:f>Sheet1!$F$2:$F$11</c:f>
                <c:numCache>
                  <c:formatCode>General</c:formatCode>
                  <c:ptCount val="10"/>
                  <c:pt idx="0">
                    <c:v>0.05</c:v>
                  </c:pt>
                  <c:pt idx="1">
                    <c:v>0.03</c:v>
                  </c:pt>
                  <c:pt idx="2">
                    <c:v>0.08</c:v>
                  </c:pt>
                  <c:pt idx="3">
                    <c:v>0.04</c:v>
                  </c:pt>
                  <c:pt idx="4">
                    <c:v>0.02</c:v>
                  </c:pt>
                  <c:pt idx="5">
                    <c:v>0.05</c:v>
                  </c:pt>
                  <c:pt idx="6">
                    <c:v>0.03</c:v>
                  </c:pt>
                  <c:pt idx="7">
                    <c:v>0.02</c:v>
                  </c:pt>
                  <c:pt idx="8">
                    <c:v>0.02</c:v>
                  </c:pt>
                  <c:pt idx="9">
                    <c:v>0.04</c:v>
                  </c:pt>
                </c:numCache>
              </c:numRef>
            </c:plus>
            <c:minus>
              <c:numRef>
                <c:f>Sheet1!$F$2:$F$11</c:f>
                <c:numCache>
                  <c:formatCode>General</c:formatCode>
                  <c:ptCount val="10"/>
                  <c:pt idx="0">
                    <c:v>0.05</c:v>
                  </c:pt>
                  <c:pt idx="1">
                    <c:v>0.03</c:v>
                  </c:pt>
                  <c:pt idx="2">
                    <c:v>0.08</c:v>
                  </c:pt>
                  <c:pt idx="3">
                    <c:v>0.04</c:v>
                  </c:pt>
                  <c:pt idx="4">
                    <c:v>0.02</c:v>
                  </c:pt>
                  <c:pt idx="5">
                    <c:v>0.05</c:v>
                  </c:pt>
                  <c:pt idx="6">
                    <c:v>0.03</c:v>
                  </c:pt>
                  <c:pt idx="7">
                    <c:v>0.02</c:v>
                  </c:pt>
                  <c:pt idx="8">
                    <c:v>0.02</c:v>
                  </c:pt>
                  <c:pt idx="9">
                    <c:v>0.04</c:v>
                  </c:pt>
                </c:numCache>
              </c:numRef>
            </c:minus>
            <c:spPr>
              <a:noFill/>
              <a:ln w="9525" cap="flat" cmpd="sng" algn="ctr">
                <a:solidFill>
                  <a:schemeClr val="tx1">
                    <a:lumMod val="65000"/>
                    <a:lumOff val="35000"/>
                  </a:schemeClr>
                </a:solidFill>
                <a:round/>
              </a:ln>
              <a:effectLst/>
            </c:spPr>
          </c:errBars>
          <c:cat>
            <c:strRef>
              <c:f>Sheet1!$A$2:$A$11</c:f>
              <c:strCache>
                <c:ptCount val="10"/>
                <c:pt idx="0">
                  <c:v>0th</c:v>
                </c:pt>
                <c:pt idx="1">
                  <c:v>7th</c:v>
                </c:pt>
                <c:pt idx="2">
                  <c:v>14th</c:v>
                </c:pt>
                <c:pt idx="3">
                  <c:v>21st</c:v>
                </c:pt>
                <c:pt idx="4">
                  <c:v>28th</c:v>
                </c:pt>
                <c:pt idx="5">
                  <c:v>35th</c:v>
                </c:pt>
                <c:pt idx="6">
                  <c:v>42nd</c:v>
                </c:pt>
                <c:pt idx="7">
                  <c:v>49th</c:v>
                </c:pt>
                <c:pt idx="8">
                  <c:v>56th</c:v>
                </c:pt>
                <c:pt idx="9">
                  <c:v>63rd</c:v>
                </c:pt>
              </c:strCache>
            </c:strRef>
          </c:cat>
          <c:val>
            <c:numRef>
              <c:f>Sheet1!$C$2:$C$11</c:f>
              <c:numCache>
                <c:formatCode>General</c:formatCode>
                <c:ptCount val="10"/>
                <c:pt idx="0">
                  <c:v>0.51</c:v>
                </c:pt>
                <c:pt idx="1">
                  <c:v>0.51</c:v>
                </c:pt>
                <c:pt idx="2">
                  <c:v>0.33</c:v>
                </c:pt>
                <c:pt idx="3">
                  <c:v>0.22</c:v>
                </c:pt>
                <c:pt idx="4">
                  <c:v>0.15</c:v>
                </c:pt>
                <c:pt idx="5">
                  <c:v>0.17</c:v>
                </c:pt>
                <c:pt idx="6">
                  <c:v>0.49</c:v>
                </c:pt>
                <c:pt idx="7">
                  <c:v>0.26</c:v>
                </c:pt>
                <c:pt idx="8">
                  <c:v>0.44</c:v>
                </c:pt>
                <c:pt idx="9">
                  <c:v>0.36</c:v>
                </c:pt>
              </c:numCache>
            </c:numRef>
          </c:val>
          <c:smooth val="0"/>
          <c:extLst>
            <c:ext xmlns:c16="http://schemas.microsoft.com/office/drawing/2014/chart" uri="{C3380CC4-5D6E-409C-BE32-E72D297353CC}">
              <c16:uniqueId val="{00000001-5CB1-48BB-A93D-4EDF7EC72C8C}"/>
            </c:ext>
          </c:extLst>
        </c:ser>
        <c:ser>
          <c:idx val="2"/>
          <c:order val="2"/>
          <c:tx>
            <c:strRef>
              <c:f>Sheet1!$D$1</c:f>
              <c:strCache>
                <c:ptCount val="1"/>
                <c:pt idx="0">
                  <c:v>T2</c:v>
                </c:pt>
              </c:strCache>
            </c:strRef>
          </c:tx>
          <c:spPr>
            <a:ln w="28575" cap="rnd">
              <a:solidFill>
                <a:schemeClr val="accent3"/>
              </a:solidFill>
              <a:round/>
            </a:ln>
            <a:effectLst/>
          </c:spPr>
          <c:marker>
            <c:symbol val="circle"/>
            <c:size val="5"/>
            <c:spPr>
              <a:solidFill>
                <a:schemeClr val="accent3"/>
              </a:solidFill>
              <a:ln w="9525">
                <a:solidFill>
                  <a:schemeClr val="accent3"/>
                </a:solidFill>
              </a:ln>
              <a:effectLst/>
            </c:spPr>
          </c:marker>
          <c:errBars>
            <c:errDir val="y"/>
            <c:errBarType val="both"/>
            <c:errValType val="cust"/>
            <c:noEndCap val="0"/>
            <c:plus>
              <c:numRef>
                <c:f>Sheet1!$G$2:$G$11</c:f>
                <c:numCache>
                  <c:formatCode>General</c:formatCode>
                  <c:ptCount val="10"/>
                  <c:pt idx="0">
                    <c:v>0.01</c:v>
                  </c:pt>
                  <c:pt idx="1">
                    <c:v>0.02</c:v>
                  </c:pt>
                  <c:pt idx="2">
                    <c:v>0.08</c:v>
                  </c:pt>
                  <c:pt idx="3">
                    <c:v>0.06</c:v>
                  </c:pt>
                  <c:pt idx="4">
                    <c:v>0.03</c:v>
                  </c:pt>
                  <c:pt idx="5">
                    <c:v>0.04</c:v>
                  </c:pt>
                  <c:pt idx="6">
                    <c:v>0.06</c:v>
                  </c:pt>
                  <c:pt idx="7">
                    <c:v>0.02</c:v>
                  </c:pt>
                  <c:pt idx="8">
                    <c:v>0.06</c:v>
                  </c:pt>
                  <c:pt idx="9">
                    <c:v>0.02</c:v>
                  </c:pt>
                </c:numCache>
              </c:numRef>
            </c:plus>
            <c:minus>
              <c:numRef>
                <c:f>Sheet1!$G$2:$G$11</c:f>
                <c:numCache>
                  <c:formatCode>General</c:formatCode>
                  <c:ptCount val="10"/>
                  <c:pt idx="0">
                    <c:v>0.01</c:v>
                  </c:pt>
                  <c:pt idx="1">
                    <c:v>0.02</c:v>
                  </c:pt>
                  <c:pt idx="2">
                    <c:v>0.08</c:v>
                  </c:pt>
                  <c:pt idx="3">
                    <c:v>0.06</c:v>
                  </c:pt>
                  <c:pt idx="4">
                    <c:v>0.03</c:v>
                  </c:pt>
                  <c:pt idx="5">
                    <c:v>0.04</c:v>
                  </c:pt>
                  <c:pt idx="6">
                    <c:v>0.06</c:v>
                  </c:pt>
                  <c:pt idx="7">
                    <c:v>0.02</c:v>
                  </c:pt>
                  <c:pt idx="8">
                    <c:v>0.06</c:v>
                  </c:pt>
                  <c:pt idx="9">
                    <c:v>0.02</c:v>
                  </c:pt>
                </c:numCache>
              </c:numRef>
            </c:minus>
            <c:spPr>
              <a:noFill/>
              <a:ln w="9525" cap="flat" cmpd="sng" algn="ctr">
                <a:solidFill>
                  <a:schemeClr val="tx1">
                    <a:lumMod val="65000"/>
                    <a:lumOff val="35000"/>
                  </a:schemeClr>
                </a:solidFill>
                <a:round/>
              </a:ln>
              <a:effectLst/>
            </c:spPr>
          </c:errBars>
          <c:cat>
            <c:strRef>
              <c:f>Sheet1!$A$2:$A$11</c:f>
              <c:strCache>
                <c:ptCount val="10"/>
                <c:pt idx="0">
                  <c:v>0th</c:v>
                </c:pt>
                <c:pt idx="1">
                  <c:v>7th</c:v>
                </c:pt>
                <c:pt idx="2">
                  <c:v>14th</c:v>
                </c:pt>
                <c:pt idx="3">
                  <c:v>21st</c:v>
                </c:pt>
                <c:pt idx="4">
                  <c:v>28th</c:v>
                </c:pt>
                <c:pt idx="5">
                  <c:v>35th</c:v>
                </c:pt>
                <c:pt idx="6">
                  <c:v>42nd</c:v>
                </c:pt>
                <c:pt idx="7">
                  <c:v>49th</c:v>
                </c:pt>
                <c:pt idx="8">
                  <c:v>56th</c:v>
                </c:pt>
                <c:pt idx="9">
                  <c:v>63rd</c:v>
                </c:pt>
              </c:strCache>
            </c:strRef>
          </c:cat>
          <c:val>
            <c:numRef>
              <c:f>Sheet1!$D$2:$D$11</c:f>
              <c:numCache>
                <c:formatCode>General</c:formatCode>
                <c:ptCount val="10"/>
                <c:pt idx="0">
                  <c:v>0.37</c:v>
                </c:pt>
                <c:pt idx="1">
                  <c:v>0.35</c:v>
                </c:pt>
                <c:pt idx="2">
                  <c:v>0.25</c:v>
                </c:pt>
                <c:pt idx="3">
                  <c:v>0.17</c:v>
                </c:pt>
                <c:pt idx="4">
                  <c:v>0.26</c:v>
                </c:pt>
                <c:pt idx="5">
                  <c:v>0.38</c:v>
                </c:pt>
                <c:pt idx="6">
                  <c:v>0.23</c:v>
                </c:pt>
                <c:pt idx="7">
                  <c:v>0.27</c:v>
                </c:pt>
                <c:pt idx="8">
                  <c:v>0.22</c:v>
                </c:pt>
                <c:pt idx="9">
                  <c:v>0.39</c:v>
                </c:pt>
              </c:numCache>
            </c:numRef>
          </c:val>
          <c:smooth val="0"/>
          <c:extLst>
            <c:ext xmlns:c16="http://schemas.microsoft.com/office/drawing/2014/chart" uri="{C3380CC4-5D6E-409C-BE32-E72D297353CC}">
              <c16:uniqueId val="{00000002-5CB1-48BB-A93D-4EDF7EC72C8C}"/>
            </c:ext>
          </c:extLst>
        </c:ser>
        <c:dLbls>
          <c:showLegendKey val="0"/>
          <c:showVal val="0"/>
          <c:showCatName val="0"/>
          <c:showSerName val="0"/>
          <c:showPercent val="0"/>
          <c:showBubbleSize val="0"/>
        </c:dLbls>
        <c:marker val="1"/>
        <c:smooth val="0"/>
        <c:axId val="1481800128"/>
        <c:axId val="1481798208"/>
      </c:lineChart>
      <c:catAx>
        <c:axId val="1481800128"/>
        <c:scaling>
          <c:orientation val="minMax"/>
        </c:scaling>
        <c:delete val="0"/>
        <c:axPos val="b"/>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IN"/>
                  <a:t>Days</a:t>
                </a:r>
              </a:p>
            </c:rich>
          </c:tx>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s-MX"/>
            </a:p>
          </c:tx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MX"/>
          </a:p>
        </c:txPr>
        <c:crossAx val="1481798208"/>
        <c:crosses val="autoZero"/>
        <c:auto val="1"/>
        <c:lblAlgn val="ctr"/>
        <c:lblOffset val="100"/>
        <c:noMultiLvlLbl val="0"/>
      </c:catAx>
      <c:valAx>
        <c:axId val="1481798208"/>
        <c:scaling>
          <c:orientation val="minMax"/>
        </c:scaling>
        <c:delete val="0"/>
        <c:axPos val="l"/>
        <c:majorGridlines>
          <c:spPr>
            <a:ln w="9525" cap="flat" cmpd="sng" algn="ctr">
              <a:no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IN"/>
                  <a:t>ppm</a:t>
                </a:r>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s-MX"/>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MX"/>
          </a:p>
        </c:txPr>
        <c:crossAx val="1481800128"/>
        <c:crosses val="autoZero"/>
        <c:crossBetween val="between"/>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noFill/>
      <a:round/>
    </a:ln>
    <a:effectLst/>
  </c:spPr>
  <c:txPr>
    <a:bodyPr/>
    <a:lstStyle/>
    <a:p>
      <a:pPr>
        <a:defRPr/>
      </a:pPr>
      <a:endParaRPr lang="es-MX"/>
    </a:p>
  </c:txPr>
  <c:externalData r:id="rId3">
    <c:autoUpdate val="0"/>
  </c:externalData>
</c:chartSpace>
</file>

<file path=word/charts/chart9.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IN"/>
              <a:t>Average Weight</a:t>
            </a: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s-MX"/>
        </a:p>
      </c:txPr>
    </c:title>
    <c:autoTitleDeleted val="0"/>
    <c:plotArea>
      <c:layout/>
      <c:barChart>
        <c:barDir val="col"/>
        <c:grouping val="clustered"/>
        <c:varyColors val="0"/>
        <c:ser>
          <c:idx val="0"/>
          <c:order val="0"/>
          <c:tx>
            <c:strRef>
              <c:f>Sheet1!$B$1</c:f>
              <c:strCache>
                <c:ptCount val="1"/>
                <c:pt idx="0">
                  <c:v>C</c:v>
                </c:pt>
              </c:strCache>
            </c:strRef>
          </c:tx>
          <c:spPr>
            <a:solidFill>
              <a:schemeClr val="accent1"/>
            </a:solidFill>
            <a:ln>
              <a:noFill/>
            </a:ln>
            <a:effectLst/>
          </c:spPr>
          <c:invertIfNegative val="0"/>
          <c:errBars>
            <c:errBarType val="both"/>
            <c:errValType val="cust"/>
            <c:noEndCap val="0"/>
            <c:plus>
              <c:numRef>
                <c:f>Sheet1!$E$2:$E$3</c:f>
                <c:numCache>
                  <c:formatCode>General</c:formatCode>
                  <c:ptCount val="2"/>
                  <c:pt idx="0">
                    <c:v>0.03</c:v>
                  </c:pt>
                  <c:pt idx="1">
                    <c:v>0.2</c:v>
                  </c:pt>
                </c:numCache>
              </c:numRef>
            </c:plus>
            <c:minus>
              <c:numRef>
                <c:f>Sheet1!$E$2:$E$3</c:f>
                <c:numCache>
                  <c:formatCode>General</c:formatCode>
                  <c:ptCount val="2"/>
                  <c:pt idx="0">
                    <c:v>0.03</c:v>
                  </c:pt>
                  <c:pt idx="1">
                    <c:v>0.2</c:v>
                  </c:pt>
                </c:numCache>
              </c:numRef>
            </c:minus>
            <c:spPr>
              <a:noFill/>
              <a:ln w="9525" cap="flat" cmpd="sng" algn="ctr">
                <a:solidFill>
                  <a:schemeClr val="tx1">
                    <a:lumMod val="65000"/>
                    <a:lumOff val="35000"/>
                  </a:schemeClr>
                </a:solidFill>
                <a:round/>
              </a:ln>
              <a:effectLst/>
            </c:spPr>
          </c:errBars>
          <c:cat>
            <c:strRef>
              <c:f>Sheet1!$A$2:$A$3</c:f>
              <c:strCache>
                <c:ptCount val="2"/>
                <c:pt idx="0">
                  <c:v>Average Initail Weight</c:v>
                </c:pt>
                <c:pt idx="1">
                  <c:v>Average Final Weight</c:v>
                </c:pt>
              </c:strCache>
            </c:strRef>
          </c:cat>
          <c:val>
            <c:numRef>
              <c:f>Sheet1!$B$2:$B$3</c:f>
              <c:numCache>
                <c:formatCode>General</c:formatCode>
                <c:ptCount val="2"/>
                <c:pt idx="0">
                  <c:v>8.73</c:v>
                </c:pt>
                <c:pt idx="1">
                  <c:v>13.34</c:v>
                </c:pt>
              </c:numCache>
            </c:numRef>
          </c:val>
          <c:extLst>
            <c:ext xmlns:c16="http://schemas.microsoft.com/office/drawing/2014/chart" uri="{C3380CC4-5D6E-409C-BE32-E72D297353CC}">
              <c16:uniqueId val="{00000000-1503-40DC-9A73-2D221CD122AE}"/>
            </c:ext>
          </c:extLst>
        </c:ser>
        <c:ser>
          <c:idx val="1"/>
          <c:order val="1"/>
          <c:tx>
            <c:strRef>
              <c:f>Sheet1!$C$1</c:f>
              <c:strCache>
                <c:ptCount val="1"/>
                <c:pt idx="0">
                  <c:v>T1</c:v>
                </c:pt>
              </c:strCache>
            </c:strRef>
          </c:tx>
          <c:spPr>
            <a:solidFill>
              <a:schemeClr val="accent2"/>
            </a:solidFill>
            <a:ln>
              <a:noFill/>
            </a:ln>
            <a:effectLst/>
          </c:spPr>
          <c:invertIfNegative val="0"/>
          <c:errBars>
            <c:errBarType val="both"/>
            <c:errValType val="cust"/>
            <c:noEndCap val="0"/>
            <c:plus>
              <c:numRef>
                <c:f>Sheet1!$F$2:$F$3</c:f>
                <c:numCache>
                  <c:formatCode>General</c:formatCode>
                  <c:ptCount val="2"/>
                  <c:pt idx="0">
                    <c:v>0.01</c:v>
                  </c:pt>
                  <c:pt idx="1">
                    <c:v>0.25</c:v>
                  </c:pt>
                </c:numCache>
              </c:numRef>
            </c:plus>
            <c:minus>
              <c:numRef>
                <c:f>Sheet1!$F$2:$F$3</c:f>
                <c:numCache>
                  <c:formatCode>General</c:formatCode>
                  <c:ptCount val="2"/>
                  <c:pt idx="0">
                    <c:v>0.01</c:v>
                  </c:pt>
                  <c:pt idx="1">
                    <c:v>0.25</c:v>
                  </c:pt>
                </c:numCache>
              </c:numRef>
            </c:minus>
            <c:spPr>
              <a:noFill/>
              <a:ln w="9525" cap="flat" cmpd="sng" algn="ctr">
                <a:solidFill>
                  <a:schemeClr val="tx1">
                    <a:lumMod val="65000"/>
                    <a:lumOff val="35000"/>
                  </a:schemeClr>
                </a:solidFill>
                <a:round/>
              </a:ln>
              <a:effectLst/>
            </c:spPr>
          </c:errBars>
          <c:cat>
            <c:strRef>
              <c:f>Sheet1!$A$2:$A$3</c:f>
              <c:strCache>
                <c:ptCount val="2"/>
                <c:pt idx="0">
                  <c:v>Average Initail Weight</c:v>
                </c:pt>
                <c:pt idx="1">
                  <c:v>Average Final Weight</c:v>
                </c:pt>
              </c:strCache>
            </c:strRef>
          </c:cat>
          <c:val>
            <c:numRef>
              <c:f>Sheet1!$C$2:$C$3</c:f>
              <c:numCache>
                <c:formatCode>General</c:formatCode>
                <c:ptCount val="2"/>
                <c:pt idx="0">
                  <c:v>8.86</c:v>
                </c:pt>
                <c:pt idx="1">
                  <c:v>12.68</c:v>
                </c:pt>
              </c:numCache>
            </c:numRef>
          </c:val>
          <c:extLst>
            <c:ext xmlns:c16="http://schemas.microsoft.com/office/drawing/2014/chart" uri="{C3380CC4-5D6E-409C-BE32-E72D297353CC}">
              <c16:uniqueId val="{00000001-1503-40DC-9A73-2D221CD122AE}"/>
            </c:ext>
          </c:extLst>
        </c:ser>
        <c:ser>
          <c:idx val="2"/>
          <c:order val="2"/>
          <c:tx>
            <c:strRef>
              <c:f>Sheet1!$D$1</c:f>
              <c:strCache>
                <c:ptCount val="1"/>
                <c:pt idx="0">
                  <c:v>T2</c:v>
                </c:pt>
              </c:strCache>
            </c:strRef>
          </c:tx>
          <c:spPr>
            <a:solidFill>
              <a:schemeClr val="accent3"/>
            </a:solidFill>
            <a:ln>
              <a:noFill/>
            </a:ln>
            <a:effectLst/>
          </c:spPr>
          <c:invertIfNegative val="0"/>
          <c:errBars>
            <c:errBarType val="both"/>
            <c:errValType val="cust"/>
            <c:noEndCap val="0"/>
            <c:plus>
              <c:numRef>
                <c:f>Sheet1!$G$2:$G$3</c:f>
                <c:numCache>
                  <c:formatCode>General</c:formatCode>
                  <c:ptCount val="2"/>
                  <c:pt idx="0">
                    <c:v>0.02</c:v>
                  </c:pt>
                  <c:pt idx="1">
                    <c:v>0.49</c:v>
                  </c:pt>
                </c:numCache>
              </c:numRef>
            </c:plus>
            <c:minus>
              <c:numRef>
                <c:f>Sheet1!$G$2:$G$3</c:f>
                <c:numCache>
                  <c:formatCode>General</c:formatCode>
                  <c:ptCount val="2"/>
                  <c:pt idx="0">
                    <c:v>0.02</c:v>
                  </c:pt>
                  <c:pt idx="1">
                    <c:v>0.49</c:v>
                  </c:pt>
                </c:numCache>
              </c:numRef>
            </c:minus>
            <c:spPr>
              <a:noFill/>
              <a:ln w="9525" cap="flat" cmpd="sng" algn="ctr">
                <a:solidFill>
                  <a:schemeClr val="tx1">
                    <a:lumMod val="65000"/>
                    <a:lumOff val="35000"/>
                  </a:schemeClr>
                </a:solidFill>
                <a:round/>
              </a:ln>
              <a:effectLst/>
            </c:spPr>
          </c:errBars>
          <c:cat>
            <c:strRef>
              <c:f>Sheet1!$A$2:$A$3</c:f>
              <c:strCache>
                <c:ptCount val="2"/>
                <c:pt idx="0">
                  <c:v>Average Initail Weight</c:v>
                </c:pt>
                <c:pt idx="1">
                  <c:v>Average Final Weight</c:v>
                </c:pt>
              </c:strCache>
            </c:strRef>
          </c:cat>
          <c:val>
            <c:numRef>
              <c:f>Sheet1!$D$2:$D$3</c:f>
              <c:numCache>
                <c:formatCode>General</c:formatCode>
                <c:ptCount val="2"/>
                <c:pt idx="0">
                  <c:v>8.82</c:v>
                </c:pt>
                <c:pt idx="1">
                  <c:v>13.55</c:v>
                </c:pt>
              </c:numCache>
            </c:numRef>
          </c:val>
          <c:extLst>
            <c:ext xmlns:c16="http://schemas.microsoft.com/office/drawing/2014/chart" uri="{C3380CC4-5D6E-409C-BE32-E72D297353CC}">
              <c16:uniqueId val="{00000002-1503-40DC-9A73-2D221CD122AE}"/>
            </c:ext>
          </c:extLst>
        </c:ser>
        <c:dLbls>
          <c:showLegendKey val="0"/>
          <c:showVal val="0"/>
          <c:showCatName val="0"/>
          <c:showSerName val="0"/>
          <c:showPercent val="0"/>
          <c:showBubbleSize val="0"/>
        </c:dLbls>
        <c:gapWidth val="219"/>
        <c:overlap val="-27"/>
        <c:axId val="224596576"/>
        <c:axId val="224610016"/>
      </c:barChart>
      <c:catAx>
        <c:axId val="224596576"/>
        <c:scaling>
          <c:orientation val="minMax"/>
        </c:scaling>
        <c:delete val="0"/>
        <c:axPos val="b"/>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IN"/>
                  <a:t>Period</a:t>
                </a:r>
              </a:p>
            </c:rich>
          </c:tx>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s-MX"/>
            </a:p>
          </c:tx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MX"/>
          </a:p>
        </c:txPr>
        <c:crossAx val="224610016"/>
        <c:crosses val="autoZero"/>
        <c:auto val="1"/>
        <c:lblAlgn val="ctr"/>
        <c:lblOffset val="100"/>
        <c:noMultiLvlLbl val="0"/>
      </c:catAx>
      <c:valAx>
        <c:axId val="224610016"/>
        <c:scaling>
          <c:orientation val="minMax"/>
        </c:scaling>
        <c:delete val="0"/>
        <c:axPos val="l"/>
        <c:majorGridlines>
          <c:spPr>
            <a:ln w="9525" cap="flat" cmpd="sng" algn="ctr">
              <a:no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IN"/>
                  <a:t>gram</a:t>
                </a:r>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s-MX"/>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MX"/>
          </a:p>
        </c:txPr>
        <c:crossAx val="224596576"/>
        <c:crosses val="autoZero"/>
        <c:crossBetween val="between"/>
      </c:valAx>
      <c:spPr>
        <a:noFill/>
        <a:ln>
          <a:noFill/>
        </a:ln>
        <a:effectLst/>
      </c:spPr>
    </c:plotArea>
    <c:legend>
      <c:legendPos val="b"/>
      <c:overlay val="0"/>
      <c:spPr>
        <a:noFill/>
        <a:ln>
          <a:solidFill>
            <a:schemeClr val="tx1"/>
          </a:solid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MX"/>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noFill/>
      <a:round/>
    </a:ln>
    <a:effectLst/>
  </c:spPr>
  <c:txPr>
    <a:bodyPr/>
    <a:lstStyle/>
    <a:p>
      <a:pPr>
        <a:defRPr/>
      </a:pPr>
      <a:endParaRPr lang="es-MX"/>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0.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6.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7.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8.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6.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7.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8.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9.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33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0.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2.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3.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4.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5.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6.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7.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8.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33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33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33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5.xml><?xml version="1.0" encoding="utf-8"?>
<cs:chartStyle xmlns:cs="http://schemas.microsoft.com/office/drawing/2012/chartStyle" xmlns:a="http://schemas.openxmlformats.org/drawingml/2006/main" id="33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6.xml><?xml version="1.0" encoding="utf-8"?>
<cs:chartStyle xmlns:cs="http://schemas.microsoft.com/office/drawing/2012/chartStyle" xmlns:a="http://schemas.openxmlformats.org/drawingml/2006/main" id="33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7.xml><?xml version="1.0" encoding="utf-8"?>
<cs:chartStyle xmlns:cs="http://schemas.microsoft.com/office/drawing/2012/chartStyle" xmlns:a="http://schemas.openxmlformats.org/drawingml/2006/main" id="33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8.xml><?xml version="1.0" encoding="utf-8"?>
<cs:chartStyle xmlns:cs="http://schemas.microsoft.com/office/drawing/2012/chartStyle" xmlns:a="http://schemas.openxmlformats.org/drawingml/2006/main" id="33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9.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3392475-0D6D-4544-AF25-8575F5F490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TotalTime>
  <Pages>23</Pages>
  <Words>6576</Words>
  <Characters>36173</Characters>
  <Application>Microsoft Office Word</Application>
  <DocSecurity>0</DocSecurity>
  <Lines>301</Lines>
  <Paragraphs>85</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42664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Abhay bamaniya</dc:creator>
  <cp:keywords/>
  <dc:description/>
  <cp:lastModifiedBy>Ernesto Aaron Chavez Ortiz</cp:lastModifiedBy>
  <cp:revision>3</cp:revision>
  <dcterms:created xsi:type="dcterms:W3CDTF">2026-01-23T18:45:00Z</dcterms:created>
  <dcterms:modified xsi:type="dcterms:W3CDTF">2026-01-23T19:10:00Z</dcterms:modified>
</cp:coreProperties>
</file>