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670B" w14:textId="77777777" w:rsidR="00945779" w:rsidRPr="00C224C5" w:rsidRDefault="00DE310B" w:rsidP="00D20588">
      <w:pPr>
        <w:spacing w:line="276" w:lineRule="auto"/>
        <w:jc w:val="center"/>
        <w:rPr>
          <w:rFonts w:ascii="Times New Roman" w:hAnsi="Times New Roman" w:cs="Times New Roman"/>
          <w:sz w:val="26"/>
          <w:szCs w:val="26"/>
        </w:rPr>
      </w:pPr>
      <w:r w:rsidRPr="00C224C5">
        <w:rPr>
          <w:rFonts w:ascii="Times New Roman" w:hAnsi="Times New Roman"/>
          <w:b/>
          <w:bCs/>
          <w:sz w:val="24"/>
          <w:szCs w:val="26"/>
        </w:rPr>
        <w:t>Integrated management of</w:t>
      </w:r>
      <w:r w:rsidR="007D4528" w:rsidRPr="00C224C5">
        <w:rPr>
          <w:rFonts w:ascii="Times New Roman" w:hAnsi="Times New Roman"/>
          <w:b/>
          <w:bCs/>
          <w:sz w:val="24"/>
          <w:szCs w:val="26"/>
        </w:rPr>
        <w:t xml:space="preserve"> gummy stem blight of in Bottle gourd</w:t>
      </w:r>
    </w:p>
    <w:p w14:paraId="34E6BF34" w14:textId="4B72AC91" w:rsidR="00363657" w:rsidRDefault="00363657" w:rsidP="00EF55F8">
      <w:pPr>
        <w:spacing w:line="276" w:lineRule="auto"/>
        <w:jc w:val="both"/>
        <w:rPr>
          <w:rFonts w:ascii="Times New Roman" w:hAnsi="Times New Roman" w:cs="Times New Roman"/>
          <w:b/>
          <w:bCs/>
          <w:sz w:val="24"/>
          <w:szCs w:val="24"/>
        </w:rPr>
      </w:pPr>
    </w:p>
    <w:p w14:paraId="095309ED" w14:textId="77777777" w:rsidR="004D38E5" w:rsidRPr="00C224C5" w:rsidRDefault="004D38E5" w:rsidP="00EF55F8">
      <w:pPr>
        <w:spacing w:line="276" w:lineRule="auto"/>
        <w:jc w:val="both"/>
        <w:rPr>
          <w:rFonts w:ascii="Times New Roman" w:hAnsi="Times New Roman" w:cs="Times New Roman"/>
          <w:b/>
          <w:bCs/>
          <w:sz w:val="24"/>
          <w:szCs w:val="24"/>
        </w:rPr>
      </w:pPr>
    </w:p>
    <w:p w14:paraId="13420B67" w14:textId="77777777" w:rsidR="00466FA5" w:rsidRPr="00C224C5" w:rsidRDefault="00466FA5"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Abstract</w:t>
      </w:r>
    </w:p>
    <w:p w14:paraId="67BC3C44" w14:textId="77777777" w:rsidR="00466FA5" w:rsidRPr="00C224C5" w:rsidRDefault="00466FA5"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t xml:space="preserve">Gummy stem blight, caused by </w:t>
      </w:r>
      <w:proofErr w:type="spellStart"/>
      <w:r w:rsidRPr="00C224C5">
        <w:rPr>
          <w:rFonts w:ascii="Times New Roman" w:hAnsi="Times New Roman" w:cs="Times New Roman"/>
          <w:i/>
          <w:iCs/>
          <w:sz w:val="24"/>
          <w:szCs w:val="24"/>
        </w:rPr>
        <w:t>Didymella</w:t>
      </w:r>
      <w:proofErr w:type="spellEnd"/>
      <w:r w:rsidRPr="00C224C5">
        <w:rPr>
          <w:rFonts w:ascii="Times New Roman" w:hAnsi="Times New Roman" w:cs="Times New Roman"/>
          <w:i/>
          <w:iCs/>
          <w:sz w:val="24"/>
          <w:szCs w:val="24"/>
        </w:rPr>
        <w:t xml:space="preserve"> </w:t>
      </w:r>
      <w:proofErr w:type="spellStart"/>
      <w:r w:rsidRPr="00C224C5">
        <w:rPr>
          <w:rFonts w:ascii="Times New Roman" w:hAnsi="Times New Roman" w:cs="Times New Roman"/>
          <w:i/>
          <w:iCs/>
          <w:sz w:val="24"/>
          <w:szCs w:val="24"/>
        </w:rPr>
        <w:t>bryoniae</w:t>
      </w:r>
      <w:proofErr w:type="spellEnd"/>
      <w:r w:rsidRPr="00C224C5">
        <w:rPr>
          <w:rFonts w:ascii="Times New Roman" w:hAnsi="Times New Roman" w:cs="Times New Roman"/>
          <w:sz w:val="24"/>
          <w:szCs w:val="24"/>
        </w:rPr>
        <w:t xml:space="preserve"> is a major constraint in bottle gourd production, leading to significant yield losses. The present study was conducted at the Vegetable Research Station, </w:t>
      </w:r>
      <w:proofErr w:type="spellStart"/>
      <w:r w:rsidRPr="00C224C5">
        <w:rPr>
          <w:rFonts w:ascii="Times New Roman" w:hAnsi="Times New Roman" w:cs="Times New Roman"/>
          <w:sz w:val="24"/>
          <w:szCs w:val="24"/>
        </w:rPr>
        <w:t>Rajend</w:t>
      </w:r>
      <w:r w:rsidR="00F97294" w:rsidRPr="00C224C5">
        <w:rPr>
          <w:rFonts w:ascii="Times New Roman" w:hAnsi="Times New Roman" w:cs="Times New Roman"/>
          <w:sz w:val="24"/>
          <w:szCs w:val="24"/>
        </w:rPr>
        <w:t>ranagar</w:t>
      </w:r>
      <w:proofErr w:type="spellEnd"/>
      <w:r w:rsidR="00F97294" w:rsidRPr="00C224C5">
        <w:rPr>
          <w:rFonts w:ascii="Times New Roman" w:hAnsi="Times New Roman" w:cs="Times New Roman"/>
          <w:sz w:val="24"/>
          <w:szCs w:val="24"/>
        </w:rPr>
        <w:t>, Hyderabad, during 2021-</w:t>
      </w:r>
      <w:r w:rsidRPr="00C224C5">
        <w:rPr>
          <w:rFonts w:ascii="Times New Roman" w:hAnsi="Times New Roman" w:cs="Times New Roman"/>
          <w:sz w:val="24"/>
          <w:szCs w:val="24"/>
        </w:rPr>
        <w:t xml:space="preserve">22, </w:t>
      </w:r>
      <w:r w:rsidR="00F97294" w:rsidRPr="00C224C5">
        <w:rPr>
          <w:rFonts w:ascii="Times New Roman" w:hAnsi="Times New Roman" w:cs="Times New Roman"/>
          <w:sz w:val="24"/>
          <w:szCs w:val="24"/>
        </w:rPr>
        <w:t>2022-23, and 2023-</w:t>
      </w:r>
      <w:r w:rsidRPr="00C224C5">
        <w:rPr>
          <w:rFonts w:ascii="Times New Roman" w:hAnsi="Times New Roman" w:cs="Times New Roman"/>
          <w:sz w:val="24"/>
          <w:szCs w:val="24"/>
        </w:rPr>
        <w:t xml:space="preserve">24 to evaluate integrated disease management (IDM) approaches for effective control of the disease. Seven treatments involving fungicidal seed treatment, soil drenching, foliar fungicide application, </w:t>
      </w:r>
      <w:commentRangeStart w:id="0"/>
      <w:r w:rsidRPr="00C224C5">
        <w:rPr>
          <w:rFonts w:ascii="Times New Roman" w:hAnsi="Times New Roman" w:cs="Times New Roman"/>
          <w:sz w:val="24"/>
          <w:szCs w:val="24"/>
        </w:rPr>
        <w:t>micronutrients</w:t>
      </w:r>
      <w:commentRangeEnd w:id="0"/>
      <w:r w:rsidR="005B46E6">
        <w:rPr>
          <w:rStyle w:val="ab"/>
        </w:rPr>
        <w:commentReference w:id="0"/>
      </w:r>
      <w:r w:rsidRPr="00C224C5">
        <w:rPr>
          <w:rFonts w:ascii="Times New Roman" w:hAnsi="Times New Roman" w:cs="Times New Roman"/>
          <w:sz w:val="24"/>
          <w:szCs w:val="24"/>
        </w:rPr>
        <w:t>, and biological agents were tested under a randomized block design. Results</w:t>
      </w:r>
      <w:r w:rsidR="00F26716" w:rsidRPr="00C224C5">
        <w:rPr>
          <w:rFonts w:ascii="Times New Roman" w:hAnsi="Times New Roman" w:cs="Times New Roman"/>
          <w:sz w:val="24"/>
          <w:szCs w:val="24"/>
        </w:rPr>
        <w:t xml:space="preserve"> revealed that Treatment 3 (T3) </w:t>
      </w:r>
      <w:r w:rsidRPr="00C224C5">
        <w:rPr>
          <w:rFonts w:ascii="Times New Roman" w:hAnsi="Times New Roman" w:cs="Times New Roman"/>
          <w:sz w:val="24"/>
          <w:szCs w:val="24"/>
        </w:rPr>
        <w:t>seed treatment with carbendazim 50% @ 2.5 g/kg seed + micronutrients @ 5 kg/ha at earthing + foliar sprays of azoxystrobin 4.8%</w:t>
      </w:r>
      <w:r w:rsidR="00546DF9" w:rsidRPr="00C224C5">
        <w:rPr>
          <w:rFonts w:ascii="Times New Roman" w:hAnsi="Times New Roman" w:cs="Times New Roman"/>
          <w:sz w:val="24"/>
          <w:szCs w:val="24"/>
        </w:rPr>
        <w:t xml:space="preserve"> + chlorothalonil 40% SC @0.25% </w:t>
      </w:r>
      <w:r w:rsidRPr="00C224C5">
        <w:rPr>
          <w:rFonts w:ascii="Times New Roman" w:hAnsi="Times New Roman" w:cs="Times New Roman"/>
          <w:sz w:val="24"/>
          <w:szCs w:val="24"/>
        </w:rPr>
        <w:t>consistently recorded the lowest disease severity (pooled mean: 10.91%) and the highest marketable yield (30.35</w:t>
      </w:r>
      <w:r w:rsidR="00F26716" w:rsidRPr="00C224C5">
        <w:rPr>
          <w:rFonts w:ascii="Times New Roman" w:hAnsi="Times New Roman" w:cs="Times New Roman"/>
          <w:sz w:val="24"/>
          <w:szCs w:val="24"/>
        </w:rPr>
        <w:t xml:space="preserve"> t/ha) with the maximum benefit </w:t>
      </w:r>
      <w:r w:rsidR="00F97294" w:rsidRPr="00C224C5">
        <w:rPr>
          <w:rFonts w:ascii="Times New Roman" w:hAnsi="Times New Roman" w:cs="Times New Roman"/>
          <w:sz w:val="24"/>
          <w:szCs w:val="24"/>
        </w:rPr>
        <w:t xml:space="preserve">cost ratio (2.78). </w:t>
      </w:r>
      <w:r w:rsidRPr="00C224C5">
        <w:rPr>
          <w:rFonts w:ascii="Times New Roman" w:hAnsi="Times New Roman" w:cs="Times New Roman"/>
          <w:sz w:val="24"/>
          <w:szCs w:val="24"/>
        </w:rPr>
        <w:t xml:space="preserve">The study concludes that T3 is the most effective IDM module for managing gummy stem blight in bottle gourd under field </w:t>
      </w:r>
      <w:commentRangeStart w:id="1"/>
      <w:r w:rsidRPr="00C224C5">
        <w:rPr>
          <w:rFonts w:ascii="Times New Roman" w:hAnsi="Times New Roman" w:cs="Times New Roman"/>
          <w:sz w:val="24"/>
          <w:szCs w:val="24"/>
        </w:rPr>
        <w:t>conditions</w:t>
      </w:r>
      <w:commentRangeEnd w:id="1"/>
      <w:r w:rsidR="005B46E6">
        <w:rPr>
          <w:rStyle w:val="ab"/>
        </w:rPr>
        <w:commentReference w:id="1"/>
      </w:r>
      <w:r w:rsidRPr="00C224C5">
        <w:rPr>
          <w:rFonts w:ascii="Times New Roman" w:hAnsi="Times New Roman" w:cs="Times New Roman"/>
          <w:sz w:val="24"/>
          <w:szCs w:val="24"/>
        </w:rPr>
        <w:t>.</w:t>
      </w:r>
    </w:p>
    <w:p w14:paraId="3B60F257" w14:textId="77777777" w:rsidR="00072770" w:rsidRPr="003F63B3" w:rsidRDefault="00072770" w:rsidP="00EF55F8">
      <w:pPr>
        <w:spacing w:line="276" w:lineRule="auto"/>
        <w:jc w:val="both"/>
        <w:rPr>
          <w:rFonts w:ascii="Times New Roman" w:hAnsi="Times New Roman" w:cs="Times New Roman"/>
          <w:color w:val="EE0000"/>
          <w:sz w:val="24"/>
          <w:szCs w:val="24"/>
        </w:rPr>
      </w:pPr>
      <w:r w:rsidRPr="003F63B3">
        <w:rPr>
          <w:rFonts w:ascii="Times New Roman" w:hAnsi="Times New Roman" w:cs="Times New Roman"/>
          <w:b/>
          <w:bCs/>
          <w:color w:val="EE0000"/>
          <w:sz w:val="24"/>
          <w:szCs w:val="24"/>
        </w:rPr>
        <w:t>Key words</w:t>
      </w:r>
      <w:r w:rsidRPr="003F63B3">
        <w:rPr>
          <w:rFonts w:ascii="Times New Roman" w:hAnsi="Times New Roman" w:cs="Times New Roman"/>
          <w:color w:val="EE0000"/>
          <w:sz w:val="24"/>
          <w:szCs w:val="24"/>
        </w:rPr>
        <w:t xml:space="preserve">: Bottle gourd, Gummy stem blight, Disease </w:t>
      </w:r>
      <w:commentRangeStart w:id="2"/>
      <w:r w:rsidRPr="003F63B3">
        <w:rPr>
          <w:rFonts w:ascii="Times New Roman" w:hAnsi="Times New Roman" w:cs="Times New Roman"/>
          <w:color w:val="EE0000"/>
          <w:sz w:val="24"/>
          <w:szCs w:val="24"/>
        </w:rPr>
        <w:t>management</w:t>
      </w:r>
      <w:commentRangeEnd w:id="2"/>
      <w:r w:rsidR="003F63B3">
        <w:rPr>
          <w:rStyle w:val="ab"/>
          <w:rtl/>
        </w:rPr>
        <w:commentReference w:id="2"/>
      </w:r>
    </w:p>
    <w:p w14:paraId="113DD431" w14:textId="77777777" w:rsidR="00466FA5" w:rsidRPr="00C224C5" w:rsidRDefault="00466FA5" w:rsidP="00EF55F8">
      <w:pPr>
        <w:spacing w:line="276" w:lineRule="auto"/>
        <w:jc w:val="both"/>
        <w:rPr>
          <w:rFonts w:ascii="Times New Roman" w:hAnsi="Times New Roman" w:cs="Times New Roman"/>
          <w:sz w:val="24"/>
          <w:szCs w:val="24"/>
        </w:rPr>
      </w:pPr>
    </w:p>
    <w:p w14:paraId="0C021473" w14:textId="77777777" w:rsidR="00466FA5" w:rsidRPr="00C224C5" w:rsidRDefault="00752C03"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Introduction</w:t>
      </w:r>
    </w:p>
    <w:p w14:paraId="46D73F8B" w14:textId="77777777" w:rsidR="007D4528" w:rsidRPr="00C224C5" w:rsidRDefault="007D4528" w:rsidP="007D4528">
      <w:pPr>
        <w:pStyle w:val="a5"/>
        <w:jc w:val="both"/>
      </w:pPr>
      <w:r w:rsidRPr="009938E2">
        <w:rPr>
          <w:color w:val="EE0000"/>
        </w:rPr>
        <w:t>Bottle gourd (</w:t>
      </w:r>
      <w:r w:rsidRPr="009938E2">
        <w:rPr>
          <w:rStyle w:val="a4"/>
          <w:color w:val="EE0000"/>
        </w:rPr>
        <w:t>Lagenaria siceraria</w:t>
      </w:r>
      <w:r w:rsidRPr="009938E2">
        <w:rPr>
          <w:color w:val="EE0000"/>
        </w:rPr>
        <w:t xml:space="preserve">; Cucurbitaceae) is a widely cultivated and economically important vegetable crop grown across tropical and temperate regions of the world for its high nutritional value and diverse culinary uses (Thakur et al., 2015). In India, the crop occupies a prominent position among cucurbitaceous vegetables due to its wide adaptability, high yield potential and year-round </w:t>
      </w:r>
      <w:commentRangeStart w:id="3"/>
      <w:r w:rsidRPr="009938E2">
        <w:rPr>
          <w:color w:val="EE0000"/>
        </w:rPr>
        <w:t>demand</w:t>
      </w:r>
      <w:commentRangeEnd w:id="3"/>
      <w:r w:rsidR="009938E2">
        <w:rPr>
          <w:rStyle w:val="ab"/>
          <w:rFonts w:asciiTheme="minorHAnsi" w:eastAsiaTheme="minorHAnsi" w:hAnsiTheme="minorHAnsi" w:cstheme="minorBidi"/>
          <w:rtl/>
          <w:lang w:val="en-IN" w:bidi="te-IN"/>
        </w:rPr>
        <w:commentReference w:id="3"/>
      </w:r>
      <w:r w:rsidRPr="009938E2">
        <w:rPr>
          <w:color w:val="EE0000"/>
        </w:rPr>
        <w:t>. However, its productivity is severely constrained by several biotic stresses, among which gummy stem blight has emerged as a major and destructive disease</w:t>
      </w:r>
      <w:r w:rsidRPr="00C224C5">
        <w:t>.</w:t>
      </w:r>
    </w:p>
    <w:p w14:paraId="4AAD8113" w14:textId="77777777" w:rsidR="007D4528" w:rsidRPr="00C224C5" w:rsidRDefault="007D4528" w:rsidP="007D4528">
      <w:pPr>
        <w:pStyle w:val="a5"/>
        <w:jc w:val="both"/>
      </w:pPr>
      <w:r w:rsidRPr="00C224C5">
        <w:t xml:space="preserve">Gummy stem blight is a fungal disease primarily caused by </w:t>
      </w:r>
      <w:proofErr w:type="spellStart"/>
      <w:r w:rsidRPr="00C224C5">
        <w:rPr>
          <w:rStyle w:val="a4"/>
        </w:rPr>
        <w:t>Didymella</w:t>
      </w:r>
      <w:proofErr w:type="spellEnd"/>
      <w:r w:rsidRPr="00C224C5">
        <w:rPr>
          <w:rStyle w:val="a4"/>
        </w:rPr>
        <w:t xml:space="preserve"> </w:t>
      </w:r>
      <w:proofErr w:type="spellStart"/>
      <w:r w:rsidRPr="00C224C5">
        <w:rPr>
          <w:rStyle w:val="a4"/>
        </w:rPr>
        <w:t>bryoniae</w:t>
      </w:r>
      <w:proofErr w:type="spellEnd"/>
      <w:r w:rsidRPr="00C224C5">
        <w:t xml:space="preserve"> and affects various aerial parts of the plant, including leaves, stems, vines and fruit peduncles. The disease manifests as foliar blighting, stem girdling, </w:t>
      </w:r>
      <w:commentRangeStart w:id="4"/>
      <w:r w:rsidRPr="00C224C5">
        <w:t>vine</w:t>
      </w:r>
      <w:commentRangeEnd w:id="4"/>
      <w:r w:rsidR="00310B68">
        <w:rPr>
          <w:rStyle w:val="ab"/>
          <w:rFonts w:asciiTheme="minorHAnsi" w:eastAsiaTheme="minorHAnsi" w:hAnsiTheme="minorHAnsi" w:cstheme="minorBidi"/>
          <w:rtl/>
          <w:lang w:val="en-IN" w:bidi="te-IN"/>
        </w:rPr>
        <w:commentReference w:id="4"/>
      </w:r>
      <w:r w:rsidRPr="00C224C5">
        <w:t xml:space="preserve"> collapse and fruit peduncle infection, ultimately resulting in severe yield losses and economic damage (Tripathi </w:t>
      </w:r>
      <w:r w:rsidRPr="00C224C5">
        <w:rPr>
          <w:i/>
        </w:rPr>
        <w:t>et al.,</w:t>
      </w:r>
      <w:r w:rsidRPr="00C224C5">
        <w:t xml:space="preserve"> 2021). Under </w:t>
      </w:r>
      <w:proofErr w:type="spellStart"/>
      <w:r w:rsidRPr="00C224C5">
        <w:t>favourable</w:t>
      </w:r>
      <w:proofErr w:type="spellEnd"/>
      <w:r w:rsidRPr="00C224C5">
        <w:t xml:space="preserve"> environmental conditions, the pathogen spreads rapidly, and severely infected plants often fail to set fruits or undergo premature plant </w:t>
      </w:r>
      <w:commentRangeStart w:id="7"/>
      <w:r w:rsidRPr="00C224C5">
        <w:t>death</w:t>
      </w:r>
      <w:commentRangeEnd w:id="7"/>
      <w:r w:rsidR="00922726">
        <w:rPr>
          <w:rStyle w:val="ab"/>
          <w:rFonts w:asciiTheme="minorHAnsi" w:eastAsiaTheme="minorHAnsi" w:hAnsiTheme="minorHAnsi" w:cstheme="minorBidi"/>
          <w:rtl/>
          <w:lang w:val="en-IN" w:bidi="te-IN"/>
        </w:rPr>
        <w:commentReference w:id="7"/>
      </w:r>
      <w:r w:rsidRPr="00C224C5">
        <w:t>.</w:t>
      </w:r>
    </w:p>
    <w:p w14:paraId="7D3D9DF9" w14:textId="77777777" w:rsidR="007D4528" w:rsidRPr="009B0E6B" w:rsidRDefault="007D4528" w:rsidP="007D4528">
      <w:pPr>
        <w:pStyle w:val="a5"/>
        <w:jc w:val="both"/>
        <w:rPr>
          <w:color w:val="EE0000"/>
          <w:shd w:val="clear" w:color="auto" w:fill="FFFFFF"/>
        </w:rPr>
      </w:pPr>
      <w:r w:rsidRPr="009B0E6B">
        <w:rPr>
          <w:color w:val="EE0000"/>
        </w:rPr>
        <w:t xml:space="preserve">To assess the incidence of gummy stem blight, a systematic survey was conducted during the 2022–23 cropping season in major cucurbit-growing areas of Telangana state. The survey revealed that the highest disease incidence (33.5%) was recorded in bottle gourd fields located in </w:t>
      </w:r>
      <w:proofErr w:type="spellStart"/>
      <w:r w:rsidRPr="009B0E6B">
        <w:rPr>
          <w:color w:val="EE0000"/>
        </w:rPr>
        <w:t>Shamshabad</w:t>
      </w:r>
      <w:proofErr w:type="spellEnd"/>
      <w:r w:rsidRPr="009B0E6B">
        <w:rPr>
          <w:color w:val="EE0000"/>
        </w:rPr>
        <w:t xml:space="preserve">, </w:t>
      </w:r>
      <w:proofErr w:type="spellStart"/>
      <w:r w:rsidRPr="009B0E6B">
        <w:rPr>
          <w:color w:val="EE0000"/>
        </w:rPr>
        <w:t>Shameerpet</w:t>
      </w:r>
      <w:proofErr w:type="spellEnd"/>
      <w:r w:rsidRPr="009B0E6B">
        <w:rPr>
          <w:color w:val="EE0000"/>
        </w:rPr>
        <w:t xml:space="preserve"> and </w:t>
      </w:r>
      <w:proofErr w:type="spellStart"/>
      <w:r w:rsidRPr="009B0E6B">
        <w:rPr>
          <w:color w:val="EE0000"/>
        </w:rPr>
        <w:t>Rangareddy</w:t>
      </w:r>
      <w:proofErr w:type="spellEnd"/>
      <w:r w:rsidRPr="009B0E6B">
        <w:rPr>
          <w:color w:val="EE0000"/>
        </w:rPr>
        <w:t xml:space="preserve"> regions, indicating the increasing importance of the disease as a major production constraint in the state. </w:t>
      </w:r>
      <w:commentRangeStart w:id="8"/>
      <w:r w:rsidRPr="009B0E6B">
        <w:rPr>
          <w:color w:val="EE0000"/>
        </w:rPr>
        <w:t>Pathogen</w:t>
      </w:r>
      <w:commentRangeEnd w:id="8"/>
      <w:r w:rsidR="009B0E6B" w:rsidRPr="009B0E6B">
        <w:rPr>
          <w:rStyle w:val="ab"/>
          <w:rFonts w:asciiTheme="minorHAnsi" w:eastAsiaTheme="minorHAnsi" w:hAnsiTheme="minorHAnsi" w:cstheme="minorBidi"/>
          <w:color w:val="EE0000"/>
          <w:rtl/>
          <w:lang w:val="en-IN" w:bidi="te-IN"/>
        </w:rPr>
        <w:commentReference w:id="8"/>
      </w:r>
      <w:r w:rsidRPr="009B0E6B">
        <w:rPr>
          <w:color w:val="EE0000"/>
        </w:rPr>
        <w:t xml:space="preserve"> isolation from diseased plant samples collected during the survey resulted in the identification of </w:t>
      </w:r>
      <w:proofErr w:type="spellStart"/>
      <w:r w:rsidRPr="009B0E6B">
        <w:rPr>
          <w:rStyle w:val="a4"/>
          <w:color w:val="EE0000"/>
        </w:rPr>
        <w:t>Didymella</w:t>
      </w:r>
      <w:proofErr w:type="spellEnd"/>
      <w:r w:rsidRPr="009B0E6B">
        <w:rPr>
          <w:color w:val="EE0000"/>
        </w:rPr>
        <w:t xml:space="preserve"> spp. based on morphological and cultural characteristics. When cultured on potato dextrose agar (PDA), the pathogen produced white to greyish mycelial growth with the </w:t>
      </w:r>
      <w:r w:rsidRPr="009B0E6B">
        <w:rPr>
          <w:color w:val="EE0000"/>
        </w:rPr>
        <w:lastRenderedPageBreak/>
        <w:t>formation of black pycnidia after 12–15 days of incubation</w:t>
      </w:r>
      <w:r w:rsidR="0014095A" w:rsidRPr="009B0E6B">
        <w:rPr>
          <w:color w:val="EE0000"/>
        </w:rPr>
        <w:t>.</w:t>
      </w:r>
      <w:r w:rsidR="0014095A" w:rsidRPr="009B0E6B">
        <w:rPr>
          <w:color w:val="EE0000"/>
          <w:shd w:val="clear" w:color="auto" w:fill="FFFFFF"/>
        </w:rPr>
        <w:t xml:space="preserve"> </w:t>
      </w:r>
      <w:r w:rsidR="0014095A" w:rsidRPr="009B0E6B">
        <w:rPr>
          <w:color w:val="EE0000"/>
        </w:rPr>
        <w:t>(Kucharek and Schenck, 1999)</w:t>
      </w:r>
      <w:r w:rsidRPr="009B0E6B">
        <w:rPr>
          <w:color w:val="EE0000"/>
        </w:rPr>
        <w:t xml:space="preserve">. The pycnidia produced hyaline, </w:t>
      </w:r>
      <w:proofErr w:type="spellStart"/>
      <w:r w:rsidRPr="009B0E6B">
        <w:rPr>
          <w:color w:val="EE0000"/>
        </w:rPr>
        <w:t>subglobose</w:t>
      </w:r>
      <w:proofErr w:type="spellEnd"/>
      <w:r w:rsidRPr="009B0E6B">
        <w:rPr>
          <w:color w:val="EE0000"/>
        </w:rPr>
        <w:t xml:space="preserve"> </w:t>
      </w:r>
      <w:proofErr w:type="spellStart"/>
      <w:r w:rsidRPr="009B0E6B">
        <w:rPr>
          <w:color w:val="EE0000"/>
        </w:rPr>
        <w:t>pycnidiospores</w:t>
      </w:r>
      <w:proofErr w:type="spellEnd"/>
      <w:r w:rsidRPr="009B0E6B">
        <w:rPr>
          <w:color w:val="EE0000"/>
        </w:rPr>
        <w:t>, which are characteristic features of the pathogen.</w:t>
      </w:r>
      <w:r w:rsidR="00E91036" w:rsidRPr="009B0E6B">
        <w:rPr>
          <w:color w:val="EE0000"/>
          <w:shd w:val="clear" w:color="auto" w:fill="FFFFFF"/>
        </w:rPr>
        <w:t xml:space="preserve"> (</w:t>
      </w:r>
      <w:proofErr w:type="gramStart"/>
      <w:r w:rsidR="00E91036" w:rsidRPr="009B0E6B">
        <w:rPr>
          <w:color w:val="EE0000"/>
          <w:shd w:val="clear" w:color="auto" w:fill="FFFFFF"/>
        </w:rPr>
        <w:t>Sudisha  et</w:t>
      </w:r>
      <w:proofErr w:type="gramEnd"/>
      <w:r w:rsidR="00E91036" w:rsidRPr="009B0E6B">
        <w:rPr>
          <w:color w:val="EE0000"/>
          <w:shd w:val="clear" w:color="auto" w:fill="FFFFFF"/>
        </w:rPr>
        <w:t xml:space="preserve">  al.2004)</w:t>
      </w:r>
    </w:p>
    <w:p w14:paraId="3FE26520" w14:textId="77777777" w:rsidR="005B6308" w:rsidRPr="00C224C5" w:rsidRDefault="005B6308" w:rsidP="005F0921">
      <w:pPr>
        <w:pStyle w:val="a5"/>
        <w:rPr>
          <w:lang w:val="en-IN"/>
        </w:rPr>
      </w:pPr>
      <w:r w:rsidRPr="009B0E6B">
        <w:rPr>
          <w:noProof/>
          <w:color w:val="EE0000"/>
        </w:rPr>
        <w:drawing>
          <wp:inline distT="0" distB="0" distL="0" distR="0" wp14:anchorId="59227C6B" wp14:editId="1B0BF143">
            <wp:extent cx="1314450" cy="1460227"/>
            <wp:effectExtent l="0" t="0" r="0" b="6985"/>
            <wp:docPr id="18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1460227"/>
                    </a:xfrm>
                    <a:prstGeom prst="rect">
                      <a:avLst/>
                    </a:prstGeom>
                    <a:noFill/>
                    <a:ln>
                      <a:noFill/>
                    </a:ln>
                  </pic:spPr>
                </pic:pic>
              </a:graphicData>
            </a:graphic>
          </wp:inline>
        </w:drawing>
      </w:r>
      <w:r w:rsidR="005F0921" w:rsidRPr="009B0E6B">
        <w:rPr>
          <w:color w:val="EE0000"/>
          <w:lang w:val="en-IN"/>
        </w:rPr>
        <w:t xml:space="preserve">  </w:t>
      </w:r>
      <w:r w:rsidR="007B3043" w:rsidRPr="00C224C5">
        <w:rPr>
          <w:noProof/>
        </w:rPr>
        <w:drawing>
          <wp:inline distT="0" distB="0" distL="0" distR="0" wp14:anchorId="34334965" wp14:editId="2E93680E">
            <wp:extent cx="1885950" cy="1426720"/>
            <wp:effectExtent l="0" t="0" r="0" b="2540"/>
            <wp:docPr id="19460" name="Picture 15" descr="C:\Users\tuber\Desktop\didym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15" descr="C:\Users\tuber\Desktop\didymell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018" cy="1428285"/>
                    </a:xfrm>
                    <a:prstGeom prst="rect">
                      <a:avLst/>
                    </a:prstGeom>
                    <a:noFill/>
                    <a:ln>
                      <a:noFill/>
                    </a:ln>
                  </pic:spPr>
                </pic:pic>
              </a:graphicData>
            </a:graphic>
          </wp:inline>
        </w:drawing>
      </w:r>
      <w:r w:rsidR="005F0921" w:rsidRPr="00C224C5">
        <w:rPr>
          <w:lang w:val="en-IN"/>
        </w:rPr>
        <w:t xml:space="preserve">   </w:t>
      </w:r>
      <w:r w:rsidR="007B3043" w:rsidRPr="00C224C5">
        <w:rPr>
          <w:noProof/>
        </w:rPr>
        <w:drawing>
          <wp:inline distT="0" distB="0" distL="0" distR="0" wp14:anchorId="680BBC0C" wp14:editId="253A05D5">
            <wp:extent cx="1885950" cy="1432957"/>
            <wp:effectExtent l="0" t="0" r="0" b="0"/>
            <wp:docPr id="41987" name="Picture 1" descr="H:\08-02-2020pics\20200110_11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 name="Picture 1" descr="H:\08-02-2020pics\20200110_111807.jpg"/>
                    <pic:cNvPicPr>
                      <a:picLocks noChangeAspect="1" noChangeArrowheads="1"/>
                    </pic:cNvPicPr>
                  </pic:nvPicPr>
                  <pic:blipFill>
                    <a:blip r:embed="rId14"/>
                    <a:srcRect/>
                    <a:stretch>
                      <a:fillRect/>
                    </a:stretch>
                  </pic:blipFill>
                  <pic:spPr bwMode="auto">
                    <a:xfrm>
                      <a:off x="0" y="0"/>
                      <a:ext cx="1894114" cy="1439160"/>
                    </a:xfrm>
                    <a:prstGeom prst="rect">
                      <a:avLst/>
                    </a:prstGeom>
                    <a:ln>
                      <a:headEnd/>
                      <a:tailEnd/>
                    </a:ln>
                  </pic:spPr>
                </pic:pic>
              </a:graphicData>
            </a:graphic>
          </wp:inline>
        </w:drawing>
      </w:r>
    </w:p>
    <w:p w14:paraId="6B4E4647" w14:textId="7E457600" w:rsidR="005B6308" w:rsidRPr="00C224C5" w:rsidRDefault="0017275F" w:rsidP="007B3043">
      <w:pPr>
        <w:pStyle w:val="a5"/>
        <w:jc w:val="center"/>
      </w:pPr>
      <w:r>
        <w:rPr>
          <w:b/>
          <w:bCs/>
        </w:rPr>
        <w:t xml:space="preserve">Fig </w:t>
      </w:r>
      <w:proofErr w:type="gramStart"/>
      <w:r>
        <w:rPr>
          <w:b/>
          <w:bCs/>
        </w:rPr>
        <w:t>1 :</w:t>
      </w:r>
      <w:proofErr w:type="gramEnd"/>
      <w:r>
        <w:rPr>
          <w:b/>
          <w:bCs/>
        </w:rPr>
        <w:t xml:space="preserve"> </w:t>
      </w:r>
      <w:r w:rsidR="005B6308" w:rsidRPr="00C224C5">
        <w:rPr>
          <w:b/>
          <w:bCs/>
        </w:rPr>
        <w:t>Severely gummy stem blight infected vine and fruit</w:t>
      </w:r>
    </w:p>
    <w:p w14:paraId="34EB00D6" w14:textId="77777777" w:rsidR="000A6BC2" w:rsidRPr="00C224C5" w:rsidRDefault="007D4528" w:rsidP="000A6BC2">
      <w:pPr>
        <w:pStyle w:val="a5"/>
        <w:jc w:val="both"/>
      </w:pPr>
      <w:r w:rsidRPr="00C224C5">
        <w:t>The increasing incidence of gummy stem blight and its association with fungal pathogens emphasize the need for effective and sustainable disease management strategies. Therefore, understanding the etiology, distribution and severity of the disease is essential for developing integrated disease management approaches aimed at minimizing yield losses and improving bottle gourd productivity.</w:t>
      </w:r>
    </w:p>
    <w:p w14:paraId="368BF313" w14:textId="77777777" w:rsidR="00466FA5" w:rsidRPr="00C224C5" w:rsidRDefault="00752C03" w:rsidP="000A6BC2">
      <w:pPr>
        <w:pStyle w:val="a5"/>
        <w:jc w:val="both"/>
        <w:rPr>
          <w:b/>
          <w:bCs/>
        </w:rPr>
      </w:pPr>
      <w:r w:rsidRPr="00C224C5">
        <w:rPr>
          <w:b/>
          <w:bCs/>
        </w:rPr>
        <w:t>Materials and Methods</w:t>
      </w:r>
    </w:p>
    <w:p w14:paraId="31F8F7DF" w14:textId="77777777" w:rsidR="007431E4" w:rsidRPr="00C224C5" w:rsidRDefault="007431E4" w:rsidP="007431E4">
      <w:pPr>
        <w:pStyle w:val="a8"/>
        <w:jc w:val="both"/>
        <w:rPr>
          <w:rFonts w:ascii="Times New Roman" w:hAnsi="Times New Roman" w:cs="Times New Roman"/>
          <w:sz w:val="24"/>
        </w:rPr>
      </w:pPr>
      <w:r w:rsidRPr="00C224C5">
        <w:rPr>
          <w:rFonts w:ascii="Times New Roman" w:hAnsi="Times New Roman" w:cs="Times New Roman"/>
          <w:sz w:val="24"/>
        </w:rPr>
        <w:t xml:space="preserve">The field experiments were conducted at the </w:t>
      </w:r>
      <w:r w:rsidRPr="00C224C5">
        <w:rPr>
          <w:rStyle w:val="a6"/>
          <w:rFonts w:ascii="Times New Roman" w:hAnsi="Times New Roman" w:cs="Times New Roman"/>
          <w:b w:val="0"/>
          <w:bCs w:val="0"/>
          <w:sz w:val="24"/>
        </w:rPr>
        <w:t xml:space="preserve">Vegetable Research Station (VRS), </w:t>
      </w:r>
      <w:proofErr w:type="spellStart"/>
      <w:r w:rsidRPr="00C224C5">
        <w:rPr>
          <w:rStyle w:val="a6"/>
          <w:rFonts w:ascii="Times New Roman" w:hAnsi="Times New Roman" w:cs="Times New Roman"/>
          <w:b w:val="0"/>
          <w:bCs w:val="0"/>
          <w:sz w:val="24"/>
        </w:rPr>
        <w:t>Rajendranagar</w:t>
      </w:r>
      <w:proofErr w:type="spellEnd"/>
      <w:r w:rsidRPr="00C224C5">
        <w:rPr>
          <w:rStyle w:val="a6"/>
          <w:rFonts w:ascii="Times New Roman" w:hAnsi="Times New Roman" w:cs="Times New Roman"/>
          <w:b w:val="0"/>
          <w:bCs w:val="0"/>
          <w:sz w:val="24"/>
        </w:rPr>
        <w:t>, Hyderabad</w:t>
      </w:r>
      <w:r w:rsidRPr="00C224C5">
        <w:rPr>
          <w:rFonts w:ascii="Times New Roman" w:hAnsi="Times New Roman" w:cs="Times New Roman"/>
          <w:sz w:val="24"/>
        </w:rPr>
        <w:t xml:space="preserve">, Telangana, India, during </w:t>
      </w:r>
      <w:r w:rsidRPr="00C224C5">
        <w:rPr>
          <w:rStyle w:val="a6"/>
          <w:rFonts w:ascii="Times New Roman" w:hAnsi="Times New Roman" w:cs="Times New Roman"/>
          <w:b w:val="0"/>
          <w:bCs w:val="0"/>
          <w:sz w:val="24"/>
        </w:rPr>
        <w:t>three consecutive cropping seasons</w:t>
      </w:r>
      <w:r w:rsidRPr="00C224C5">
        <w:rPr>
          <w:rFonts w:ascii="Times New Roman" w:hAnsi="Times New Roman" w:cs="Times New Roman"/>
          <w:sz w:val="24"/>
        </w:rPr>
        <w:t xml:space="preserve">, namely </w:t>
      </w:r>
      <w:r w:rsidRPr="00C224C5">
        <w:rPr>
          <w:rStyle w:val="a6"/>
          <w:rFonts w:ascii="Times New Roman" w:hAnsi="Times New Roman" w:cs="Times New Roman"/>
          <w:b w:val="0"/>
          <w:bCs w:val="0"/>
          <w:sz w:val="24"/>
        </w:rPr>
        <w:t>2021–22, 2022–23, and 2023–24</w:t>
      </w:r>
      <w:r w:rsidRPr="00C224C5">
        <w:rPr>
          <w:rFonts w:ascii="Times New Roman" w:hAnsi="Times New Roman" w:cs="Times New Roman"/>
          <w:sz w:val="24"/>
        </w:rPr>
        <w:t xml:space="preserve">. The experimental site is located at an altitude of approximately </w:t>
      </w:r>
      <w:r w:rsidRPr="00C224C5">
        <w:rPr>
          <w:rStyle w:val="a6"/>
          <w:rFonts w:ascii="Times New Roman" w:hAnsi="Times New Roman" w:cs="Times New Roman"/>
          <w:b w:val="0"/>
          <w:bCs w:val="0"/>
          <w:sz w:val="24"/>
        </w:rPr>
        <w:t>545 m above mean sea level</w:t>
      </w:r>
      <w:r w:rsidRPr="00C224C5">
        <w:rPr>
          <w:rFonts w:ascii="Times New Roman" w:hAnsi="Times New Roman" w:cs="Times New Roman"/>
          <w:sz w:val="24"/>
        </w:rPr>
        <w:t xml:space="preserve">, at </w:t>
      </w:r>
      <w:r w:rsidRPr="00C224C5">
        <w:rPr>
          <w:rStyle w:val="a6"/>
          <w:rFonts w:ascii="Times New Roman" w:hAnsi="Times New Roman" w:cs="Times New Roman"/>
          <w:b w:val="0"/>
          <w:bCs w:val="0"/>
          <w:sz w:val="24"/>
        </w:rPr>
        <w:t>17°32′27″ N latitude and 78°39′93″ E longitude</w:t>
      </w:r>
      <w:r w:rsidRPr="00C224C5">
        <w:rPr>
          <w:rFonts w:ascii="Times New Roman" w:hAnsi="Times New Roman" w:cs="Times New Roman"/>
          <w:sz w:val="24"/>
        </w:rPr>
        <w:t xml:space="preserve">. The region falls under a semi-arid tropical climate characterized by hot summers, mild winters, and monsoon rainfall, which is conducive for the natural development of gummy stem blight in cucurbit </w:t>
      </w:r>
      <w:commentRangeStart w:id="9"/>
      <w:r w:rsidRPr="00C224C5">
        <w:rPr>
          <w:rFonts w:ascii="Times New Roman" w:hAnsi="Times New Roman" w:cs="Times New Roman"/>
          <w:sz w:val="24"/>
        </w:rPr>
        <w:t>crops</w:t>
      </w:r>
      <w:commentRangeEnd w:id="9"/>
      <w:r w:rsidR="009A31BB">
        <w:rPr>
          <w:rStyle w:val="ab"/>
          <w:rtl/>
          <w:lang w:val="en-IN" w:bidi="te-IN"/>
        </w:rPr>
        <w:commentReference w:id="9"/>
      </w:r>
      <w:r w:rsidRPr="00C224C5">
        <w:rPr>
          <w:rFonts w:ascii="Times New Roman" w:hAnsi="Times New Roman" w:cs="Times New Roman"/>
          <w:sz w:val="24"/>
        </w:rPr>
        <w:t>.</w:t>
      </w:r>
    </w:p>
    <w:p w14:paraId="3749E2EE" w14:textId="77777777" w:rsidR="007431E4" w:rsidRPr="00C224C5" w:rsidRDefault="007431E4" w:rsidP="007431E4">
      <w:pPr>
        <w:pStyle w:val="a8"/>
        <w:jc w:val="both"/>
        <w:rPr>
          <w:rFonts w:ascii="Times New Roman" w:hAnsi="Times New Roman" w:cs="Times New Roman"/>
          <w:sz w:val="24"/>
        </w:rPr>
      </w:pPr>
      <w:r w:rsidRPr="00C224C5">
        <w:rPr>
          <w:rFonts w:ascii="Times New Roman" w:hAnsi="Times New Roman" w:cs="Times New Roman"/>
          <w:sz w:val="24"/>
        </w:rPr>
        <w:t xml:space="preserve">The soil of the experimental field was </w:t>
      </w:r>
      <w:r w:rsidRPr="00C224C5">
        <w:rPr>
          <w:rStyle w:val="a6"/>
          <w:rFonts w:ascii="Times New Roman" w:hAnsi="Times New Roman" w:cs="Times New Roman"/>
          <w:b w:val="0"/>
          <w:bCs w:val="0"/>
          <w:sz w:val="24"/>
        </w:rPr>
        <w:t>loamy in texture</w:t>
      </w:r>
      <w:r w:rsidRPr="00C224C5">
        <w:rPr>
          <w:rFonts w:ascii="Times New Roman" w:hAnsi="Times New Roman" w:cs="Times New Roman"/>
          <w:sz w:val="24"/>
        </w:rPr>
        <w:t xml:space="preserve">, well-drained, and suitable for bottle gourd cultivation. Standard agronomic practices recommended for the region were followed uniformly for all treatments throughout the crop growth period, except for the disease management interventions under evaluation. The crop was planted at a spacing of </w:t>
      </w:r>
      <w:r w:rsidRPr="00C224C5">
        <w:rPr>
          <w:rStyle w:val="a6"/>
          <w:rFonts w:ascii="Times New Roman" w:hAnsi="Times New Roman" w:cs="Times New Roman"/>
          <w:b w:val="0"/>
          <w:bCs w:val="0"/>
          <w:sz w:val="24"/>
        </w:rPr>
        <w:t>3.0 m × 0.9 m</w:t>
      </w:r>
      <w:r w:rsidRPr="00C224C5">
        <w:rPr>
          <w:rFonts w:ascii="Times New Roman" w:hAnsi="Times New Roman" w:cs="Times New Roman"/>
          <w:sz w:val="24"/>
        </w:rPr>
        <w:t xml:space="preserve">, ensuring adequate vine growth and proper </w:t>
      </w:r>
      <w:commentRangeStart w:id="10"/>
      <w:r w:rsidRPr="00C224C5">
        <w:rPr>
          <w:rFonts w:ascii="Times New Roman" w:hAnsi="Times New Roman" w:cs="Times New Roman"/>
          <w:sz w:val="24"/>
        </w:rPr>
        <w:t>aeration</w:t>
      </w:r>
      <w:commentRangeEnd w:id="10"/>
      <w:r w:rsidR="009A31BB">
        <w:rPr>
          <w:rStyle w:val="ab"/>
          <w:lang w:val="en-IN" w:bidi="te-IN"/>
        </w:rPr>
        <w:commentReference w:id="10"/>
      </w:r>
      <w:r w:rsidRPr="00C224C5">
        <w:rPr>
          <w:rFonts w:ascii="Times New Roman" w:hAnsi="Times New Roman" w:cs="Times New Roman"/>
          <w:sz w:val="24"/>
        </w:rPr>
        <w:t>.</w:t>
      </w:r>
    </w:p>
    <w:p w14:paraId="289391CA" w14:textId="77777777" w:rsidR="007431E4" w:rsidRPr="00C224C5" w:rsidRDefault="007431E4" w:rsidP="007431E4"/>
    <w:p w14:paraId="404CB73E" w14:textId="77777777" w:rsidR="007431E4" w:rsidRPr="00C224C5" w:rsidRDefault="007431E4" w:rsidP="007431E4">
      <w:pPr>
        <w:pStyle w:val="3"/>
      </w:pPr>
      <w:r w:rsidRPr="00C224C5">
        <w:t>Experimental Design and Crop Details</w:t>
      </w:r>
    </w:p>
    <w:p w14:paraId="5A1E9C97" w14:textId="77777777" w:rsidR="007431E4" w:rsidRPr="00C224C5" w:rsidRDefault="007431E4" w:rsidP="007431E4">
      <w:pPr>
        <w:pStyle w:val="a8"/>
        <w:jc w:val="both"/>
        <w:rPr>
          <w:rFonts w:ascii="Times New Roman" w:hAnsi="Times New Roman" w:cs="Times New Roman"/>
          <w:sz w:val="24"/>
        </w:rPr>
      </w:pPr>
      <w:r w:rsidRPr="00C224C5">
        <w:rPr>
          <w:rFonts w:ascii="Times New Roman" w:hAnsi="Times New Roman" w:cs="Times New Roman"/>
          <w:sz w:val="24"/>
        </w:rPr>
        <w:t xml:space="preserve">The experiment was laid out in a </w:t>
      </w:r>
      <w:r w:rsidRPr="00C224C5">
        <w:rPr>
          <w:rStyle w:val="a6"/>
          <w:rFonts w:ascii="Times New Roman" w:hAnsi="Times New Roman" w:cs="Times New Roman"/>
          <w:b w:val="0"/>
          <w:bCs w:val="0"/>
          <w:sz w:val="24"/>
        </w:rPr>
        <w:t>Randomized Block Design (RBD)</w:t>
      </w:r>
      <w:r w:rsidRPr="00C224C5">
        <w:rPr>
          <w:rFonts w:ascii="Times New Roman" w:hAnsi="Times New Roman" w:cs="Times New Roman"/>
          <w:sz w:val="24"/>
        </w:rPr>
        <w:t xml:space="preserve"> with </w:t>
      </w:r>
      <w:r w:rsidRPr="00C224C5">
        <w:rPr>
          <w:rStyle w:val="a6"/>
          <w:rFonts w:ascii="Times New Roman" w:hAnsi="Times New Roman" w:cs="Times New Roman"/>
          <w:b w:val="0"/>
          <w:bCs w:val="0"/>
          <w:sz w:val="24"/>
        </w:rPr>
        <w:t>seven treatments</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three replications</w:t>
      </w:r>
      <w:r w:rsidRPr="00C224C5">
        <w:rPr>
          <w:rFonts w:ascii="Times New Roman" w:hAnsi="Times New Roman" w:cs="Times New Roman"/>
          <w:sz w:val="24"/>
        </w:rPr>
        <w:t xml:space="preserve">. Each treatment was randomly allotted within each replication to minimize experimental error and environmental variation. The bottle gourd variety </w:t>
      </w:r>
      <w:r w:rsidRPr="00C224C5">
        <w:rPr>
          <w:rStyle w:val="a6"/>
          <w:rFonts w:ascii="Times New Roman" w:hAnsi="Times New Roman" w:cs="Times New Roman"/>
          <w:b w:val="0"/>
          <w:bCs w:val="0"/>
          <w:sz w:val="24"/>
        </w:rPr>
        <w:t>‘Pusa Naveen’</w:t>
      </w:r>
      <w:r w:rsidRPr="00C224C5">
        <w:rPr>
          <w:rFonts w:ascii="Times New Roman" w:hAnsi="Times New Roman" w:cs="Times New Roman"/>
          <w:sz w:val="24"/>
        </w:rPr>
        <w:t>, which is widely cultivated and moderately susceptible to gummy stem blight, was used for the study to facilitate uniform disease development and reliable evaluation of management strategies.</w:t>
      </w:r>
    </w:p>
    <w:p w14:paraId="636A293D" w14:textId="77777777" w:rsidR="007431E4" w:rsidRPr="00C224C5" w:rsidRDefault="007431E4" w:rsidP="007431E4">
      <w:pPr>
        <w:pStyle w:val="a5"/>
      </w:pPr>
      <w:r w:rsidRPr="00C224C5">
        <w:rPr>
          <w:rStyle w:val="a6"/>
        </w:rPr>
        <w:t>Experimental details</w:t>
      </w:r>
      <w:r w:rsidRPr="00C224C5">
        <w:t xml:space="preserve"> are summarized below:</w:t>
      </w:r>
    </w:p>
    <w:p w14:paraId="7ABD07F0" w14:textId="77777777" w:rsidR="007431E4" w:rsidRPr="00C224C5" w:rsidRDefault="007431E4" w:rsidP="007431E4">
      <w:pPr>
        <w:pStyle w:val="a5"/>
        <w:numPr>
          <w:ilvl w:val="0"/>
          <w:numId w:val="1"/>
        </w:numPr>
      </w:pPr>
      <w:r w:rsidRPr="00C224C5">
        <w:rPr>
          <w:rStyle w:val="a6"/>
        </w:rPr>
        <w:t>Crop</w:t>
      </w:r>
      <w:r w:rsidRPr="00C224C5">
        <w:t>: Bottle gourd (</w:t>
      </w:r>
      <w:r w:rsidRPr="00C224C5">
        <w:rPr>
          <w:rStyle w:val="a4"/>
        </w:rPr>
        <w:t>Lagenaria siceraria</w:t>
      </w:r>
      <w:r w:rsidRPr="00C224C5">
        <w:t xml:space="preserve"> [Mol.] </w:t>
      </w:r>
      <w:proofErr w:type="spellStart"/>
      <w:r w:rsidRPr="00C224C5">
        <w:t>Standl</w:t>
      </w:r>
      <w:proofErr w:type="spellEnd"/>
      <w:r w:rsidRPr="00C224C5">
        <w:t>.)</w:t>
      </w:r>
    </w:p>
    <w:p w14:paraId="40E668EA" w14:textId="77777777" w:rsidR="007431E4" w:rsidRPr="00C224C5" w:rsidRDefault="007431E4" w:rsidP="007431E4">
      <w:pPr>
        <w:pStyle w:val="a5"/>
        <w:numPr>
          <w:ilvl w:val="0"/>
          <w:numId w:val="1"/>
        </w:numPr>
      </w:pPr>
      <w:r w:rsidRPr="00C224C5">
        <w:rPr>
          <w:rStyle w:val="a6"/>
        </w:rPr>
        <w:lastRenderedPageBreak/>
        <w:t>Variety</w:t>
      </w:r>
      <w:r w:rsidRPr="00C224C5">
        <w:t>: Pusa Naveen</w:t>
      </w:r>
    </w:p>
    <w:p w14:paraId="6253B40B" w14:textId="77777777" w:rsidR="007431E4" w:rsidRPr="00C224C5" w:rsidRDefault="007431E4" w:rsidP="007431E4">
      <w:pPr>
        <w:pStyle w:val="a5"/>
        <w:numPr>
          <w:ilvl w:val="0"/>
          <w:numId w:val="1"/>
        </w:numPr>
      </w:pPr>
      <w:r w:rsidRPr="00C224C5">
        <w:rPr>
          <w:rStyle w:val="a6"/>
        </w:rPr>
        <w:t>Design</w:t>
      </w:r>
      <w:r w:rsidRPr="00C224C5">
        <w:t>: Randomized Block Design (RBD)</w:t>
      </w:r>
    </w:p>
    <w:p w14:paraId="402EFE6F" w14:textId="77777777" w:rsidR="007431E4" w:rsidRPr="00C224C5" w:rsidRDefault="007431E4" w:rsidP="007431E4">
      <w:pPr>
        <w:pStyle w:val="a5"/>
        <w:numPr>
          <w:ilvl w:val="0"/>
          <w:numId w:val="1"/>
        </w:numPr>
      </w:pPr>
      <w:r w:rsidRPr="00C224C5">
        <w:rPr>
          <w:rStyle w:val="a6"/>
        </w:rPr>
        <w:t>Number of treatments</w:t>
      </w:r>
      <w:r w:rsidRPr="00C224C5">
        <w:t>: 7</w:t>
      </w:r>
    </w:p>
    <w:p w14:paraId="65E3CC80" w14:textId="77777777" w:rsidR="007431E4" w:rsidRPr="00C224C5" w:rsidRDefault="007431E4" w:rsidP="007431E4">
      <w:pPr>
        <w:pStyle w:val="a5"/>
        <w:numPr>
          <w:ilvl w:val="0"/>
          <w:numId w:val="1"/>
        </w:numPr>
      </w:pPr>
      <w:r w:rsidRPr="00C224C5">
        <w:rPr>
          <w:rStyle w:val="a6"/>
        </w:rPr>
        <w:t>Number of replications</w:t>
      </w:r>
      <w:r w:rsidRPr="00C224C5">
        <w:t>: 3</w:t>
      </w:r>
    </w:p>
    <w:p w14:paraId="6F294515" w14:textId="77777777" w:rsidR="007431E4" w:rsidRPr="00C224C5" w:rsidRDefault="007431E4" w:rsidP="007431E4">
      <w:pPr>
        <w:pStyle w:val="a5"/>
        <w:numPr>
          <w:ilvl w:val="0"/>
          <w:numId w:val="1"/>
        </w:numPr>
      </w:pPr>
      <w:r w:rsidRPr="00C224C5">
        <w:rPr>
          <w:rStyle w:val="a6"/>
        </w:rPr>
        <w:t>Spacing</w:t>
      </w:r>
      <w:r w:rsidRPr="00C224C5">
        <w:t>: 3.0 m × 0.9 m</w:t>
      </w:r>
    </w:p>
    <w:p w14:paraId="1D4C16C4" w14:textId="77777777" w:rsidR="007431E4" w:rsidRPr="00C224C5" w:rsidRDefault="007431E4" w:rsidP="007431E4">
      <w:pPr>
        <w:pStyle w:val="a5"/>
        <w:numPr>
          <w:ilvl w:val="0"/>
          <w:numId w:val="1"/>
        </w:numPr>
      </w:pPr>
      <w:r w:rsidRPr="00C224C5">
        <w:rPr>
          <w:rStyle w:val="a6"/>
        </w:rPr>
        <w:t>Years of experimentation</w:t>
      </w:r>
      <w:r w:rsidRPr="00C224C5">
        <w:t>: 2021–22, 2022–23, and 2023–24</w:t>
      </w:r>
    </w:p>
    <w:p w14:paraId="0B12127B" w14:textId="77777777" w:rsidR="007431E4" w:rsidRPr="00C224C5" w:rsidRDefault="007431E4" w:rsidP="007431E4">
      <w:pPr>
        <w:pStyle w:val="3"/>
      </w:pPr>
      <w:r w:rsidRPr="00C224C5">
        <w:t>Treatment Details</w:t>
      </w:r>
    </w:p>
    <w:p w14:paraId="4F5BB1C7" w14:textId="77777777" w:rsidR="007431E4" w:rsidRPr="00C224C5" w:rsidRDefault="007431E4" w:rsidP="007431E4">
      <w:pPr>
        <w:pStyle w:val="a5"/>
      </w:pPr>
      <w:r w:rsidRPr="00C224C5">
        <w:t xml:space="preserve">Seven integrated disease management (IDM) treatments involving </w:t>
      </w:r>
      <w:r w:rsidRPr="00C224C5">
        <w:rPr>
          <w:rStyle w:val="a6"/>
          <w:b w:val="0"/>
        </w:rPr>
        <w:t>chemical fungicides, micronutrients, and biological agents</w:t>
      </w:r>
      <w:r w:rsidR="004252FD" w:rsidRPr="00C224C5">
        <w:rPr>
          <w:b/>
        </w:rPr>
        <w:t xml:space="preserve"> </w:t>
      </w:r>
      <w:r w:rsidRPr="00C224C5">
        <w:t xml:space="preserve">along with an untreated control, were evaluated for their effectiveness in managing gummy stem blight of bottle gourd. The treatment details are presented in </w:t>
      </w:r>
      <w:r w:rsidRPr="00C224C5">
        <w:rPr>
          <w:rStyle w:val="a6"/>
          <w:b w:val="0"/>
        </w:rPr>
        <w:t>Table 1</w:t>
      </w:r>
      <w:r w:rsidRPr="00C224C5">
        <w:rPr>
          <w:b/>
        </w:rPr>
        <w:t>.</w:t>
      </w:r>
    </w:p>
    <w:p w14:paraId="0BC008DF" w14:textId="77777777" w:rsidR="00B47FB5" w:rsidRPr="00606EBD" w:rsidRDefault="007431E4" w:rsidP="00B47FB5">
      <w:pPr>
        <w:pStyle w:val="a5"/>
      </w:pPr>
      <w:r w:rsidRPr="00C224C5">
        <w:rPr>
          <w:rStyle w:val="a6"/>
        </w:rPr>
        <w:t>Table 1. Integrated disease management treatments evaluated against gummy stem blight in bottle gourd</w:t>
      </w:r>
    </w:p>
    <w:tbl>
      <w:tblPr>
        <w:tblStyle w:val="a3"/>
        <w:tblW w:w="0" w:type="auto"/>
        <w:tblLook w:val="04A0" w:firstRow="1" w:lastRow="0" w:firstColumn="1" w:lastColumn="0" w:noHBand="0" w:noVBand="1"/>
      </w:tblPr>
      <w:tblGrid>
        <w:gridCol w:w="1696"/>
        <w:gridCol w:w="7320"/>
      </w:tblGrid>
      <w:tr w:rsidR="00B47FB5" w:rsidRPr="00606EBD" w14:paraId="2F2F73D9" w14:textId="77777777" w:rsidTr="00EE5B13">
        <w:tc>
          <w:tcPr>
            <w:tcW w:w="1696" w:type="dxa"/>
          </w:tcPr>
          <w:p w14:paraId="612103DD"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Treatment</w:t>
            </w:r>
          </w:p>
        </w:tc>
        <w:tc>
          <w:tcPr>
            <w:tcW w:w="7320" w:type="dxa"/>
          </w:tcPr>
          <w:p w14:paraId="4A9E1F9C"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Details</w:t>
            </w:r>
          </w:p>
        </w:tc>
      </w:tr>
      <w:tr w:rsidR="00B47FB5" w:rsidRPr="00606EBD" w14:paraId="49AD9D00" w14:textId="77777777" w:rsidTr="00EE5B13">
        <w:tc>
          <w:tcPr>
            <w:tcW w:w="1696" w:type="dxa"/>
          </w:tcPr>
          <w:p w14:paraId="4A7C0CF2"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T1</w:t>
            </w:r>
          </w:p>
        </w:tc>
        <w:tc>
          <w:tcPr>
            <w:tcW w:w="7320" w:type="dxa"/>
          </w:tcPr>
          <w:p w14:paraId="140973D6"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zineb 75% WP @ 2.5 g/kg + soil drenching with zineb @ 0.25% at first earthing + two sprays of zineb @ 0.2% at 10-day intervals.</w:t>
            </w:r>
          </w:p>
        </w:tc>
      </w:tr>
      <w:tr w:rsidR="00B47FB5" w:rsidRPr="00606EBD" w14:paraId="710AE61C" w14:textId="77777777" w:rsidTr="00EE5B13">
        <w:tc>
          <w:tcPr>
            <w:tcW w:w="1696" w:type="dxa"/>
          </w:tcPr>
          <w:p w14:paraId="246CF50C"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T2</w:t>
            </w:r>
          </w:p>
        </w:tc>
        <w:tc>
          <w:tcPr>
            <w:tcW w:w="7320" w:type="dxa"/>
          </w:tcPr>
          <w:p w14:paraId="0301A45B"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carbendazim 50% @ 2.5 g/kg + soil drenching with carbendazim @ 0.1% + two sprays of carbendazim @ 0.1%.</w:t>
            </w:r>
          </w:p>
        </w:tc>
      </w:tr>
      <w:tr w:rsidR="00B47FB5" w:rsidRPr="00606EBD" w14:paraId="0E65D49D" w14:textId="77777777" w:rsidTr="00EE5B13">
        <w:tc>
          <w:tcPr>
            <w:tcW w:w="1696" w:type="dxa"/>
          </w:tcPr>
          <w:p w14:paraId="4A2AC313"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T3</w:t>
            </w:r>
          </w:p>
        </w:tc>
        <w:tc>
          <w:tcPr>
            <w:tcW w:w="7320" w:type="dxa"/>
          </w:tcPr>
          <w:p w14:paraId="658A86E4"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carbendazim 50% @ 2.5 g/kg + micronutrients @ 5 kg/ha at earthing + two sprays of azoxystrobin 4.8% + chlorothalonil 40% SC @ 0.25%.</w:t>
            </w:r>
          </w:p>
        </w:tc>
      </w:tr>
      <w:tr w:rsidR="00B47FB5" w:rsidRPr="00606EBD" w14:paraId="2EBA3CF2" w14:textId="77777777" w:rsidTr="00EE5B13">
        <w:tc>
          <w:tcPr>
            <w:tcW w:w="1696" w:type="dxa"/>
          </w:tcPr>
          <w:p w14:paraId="739A4135"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T4</w:t>
            </w:r>
          </w:p>
        </w:tc>
        <w:tc>
          <w:tcPr>
            <w:tcW w:w="7320" w:type="dxa"/>
          </w:tcPr>
          <w:p w14:paraId="7FC4749A"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Seed treatment with talc-based consortia (TCV-2 + *Bacillus subtilis* CRB-7) @ 10 g/kg + soil drenching @ 1% at each earthing.</w:t>
            </w:r>
          </w:p>
        </w:tc>
      </w:tr>
      <w:tr w:rsidR="00B47FB5" w:rsidRPr="00606EBD" w14:paraId="0C5A7B37" w14:textId="77777777" w:rsidTr="00EE5B13">
        <w:tc>
          <w:tcPr>
            <w:tcW w:w="1696" w:type="dxa"/>
          </w:tcPr>
          <w:p w14:paraId="39C0D346"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T5</w:t>
            </w:r>
          </w:p>
        </w:tc>
        <w:tc>
          <w:tcPr>
            <w:tcW w:w="7320" w:type="dxa"/>
          </w:tcPr>
          <w:p w14:paraId="35760995"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 xml:space="preserve">Pit application of *Trichoderma </w:t>
            </w:r>
            <w:proofErr w:type="spellStart"/>
            <w:r w:rsidRPr="00606EBD">
              <w:rPr>
                <w:rFonts w:ascii="Times New Roman" w:hAnsi="Times New Roman" w:cs="Times New Roman"/>
                <w:sz w:val="24"/>
                <w:szCs w:val="24"/>
              </w:rPr>
              <w:t>asperellum</w:t>
            </w:r>
            <w:proofErr w:type="spellEnd"/>
            <w:r w:rsidRPr="00606EBD">
              <w:rPr>
                <w:rFonts w:ascii="Times New Roman" w:hAnsi="Times New Roman" w:cs="Times New Roman"/>
                <w:sz w:val="24"/>
                <w:szCs w:val="24"/>
              </w:rPr>
              <w:t>* + *Bacillus subtilis* CRB-7 @ 10 g/pit + soil drenching @ 1% at each earthing.</w:t>
            </w:r>
          </w:p>
        </w:tc>
      </w:tr>
      <w:tr w:rsidR="00B47FB5" w:rsidRPr="00606EBD" w14:paraId="0AF5B0C0" w14:textId="77777777" w:rsidTr="00EE5B13">
        <w:tc>
          <w:tcPr>
            <w:tcW w:w="1696" w:type="dxa"/>
          </w:tcPr>
          <w:p w14:paraId="0635978B"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T6</w:t>
            </w:r>
          </w:p>
        </w:tc>
        <w:tc>
          <w:tcPr>
            <w:tcW w:w="7320" w:type="dxa"/>
          </w:tcPr>
          <w:p w14:paraId="51036991"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First spray with carbendazim @ 0.1% followed by zineb @ 0.2% after 10 days, and a third spray of azoxystrobin + chlorothalonil @ 0.25%.</w:t>
            </w:r>
          </w:p>
        </w:tc>
      </w:tr>
      <w:tr w:rsidR="00B47FB5" w:rsidRPr="00606EBD" w14:paraId="1BD45375" w14:textId="77777777" w:rsidTr="00EE5B13">
        <w:tc>
          <w:tcPr>
            <w:tcW w:w="1696" w:type="dxa"/>
          </w:tcPr>
          <w:p w14:paraId="0E8A7DC2"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T7</w:t>
            </w:r>
          </w:p>
        </w:tc>
        <w:tc>
          <w:tcPr>
            <w:tcW w:w="7320" w:type="dxa"/>
          </w:tcPr>
          <w:p w14:paraId="7207444E" w14:textId="77777777" w:rsidR="00B47FB5" w:rsidRPr="00606EBD" w:rsidRDefault="00B47FB5" w:rsidP="00EE5B13">
            <w:pPr>
              <w:spacing w:line="276" w:lineRule="auto"/>
              <w:jc w:val="both"/>
              <w:rPr>
                <w:rFonts w:ascii="Times New Roman" w:hAnsi="Times New Roman" w:cs="Times New Roman"/>
                <w:sz w:val="24"/>
                <w:szCs w:val="24"/>
              </w:rPr>
            </w:pPr>
            <w:r w:rsidRPr="00606EBD">
              <w:rPr>
                <w:rFonts w:ascii="Times New Roman" w:hAnsi="Times New Roman" w:cs="Times New Roman"/>
                <w:sz w:val="24"/>
                <w:szCs w:val="24"/>
              </w:rPr>
              <w:t xml:space="preserve">Untreated control </w:t>
            </w:r>
          </w:p>
        </w:tc>
      </w:tr>
    </w:tbl>
    <w:p w14:paraId="3B92715E" w14:textId="77777777" w:rsidR="007431E4" w:rsidRPr="00C224C5" w:rsidRDefault="007431E4" w:rsidP="00B47FB5">
      <w:pPr>
        <w:pStyle w:val="a5"/>
      </w:pPr>
      <w:r w:rsidRPr="00C224C5">
        <w:t xml:space="preserve">All chemical and biological treatments were applied as per recommended doses and schedules. Foliar sprays were initiated at the </w:t>
      </w:r>
      <w:r w:rsidRPr="00C224C5">
        <w:rPr>
          <w:rStyle w:val="a6"/>
          <w:b w:val="0"/>
        </w:rPr>
        <w:t>first appearance of disease symptoms</w:t>
      </w:r>
      <w:r w:rsidRPr="00C224C5">
        <w:t xml:space="preserve"> and repeated as specified for each treatment.</w:t>
      </w:r>
    </w:p>
    <w:p w14:paraId="7C13F006" w14:textId="77777777" w:rsidR="007431E4" w:rsidRPr="00C224C5" w:rsidRDefault="007431E4" w:rsidP="007431E4">
      <w:pPr>
        <w:pStyle w:val="3"/>
      </w:pPr>
      <w:r w:rsidRPr="00C224C5">
        <w:t>Observations Recorded</w:t>
      </w:r>
    </w:p>
    <w:p w14:paraId="23EBFDF5" w14:textId="77777777" w:rsidR="007431E4" w:rsidRPr="00C224C5" w:rsidRDefault="007431E4" w:rsidP="007431E4">
      <w:pPr>
        <w:pStyle w:val="a5"/>
      </w:pPr>
      <w:r w:rsidRPr="00C224C5">
        <w:t>Observations were recorded on the following parameters to assess the effectiveness of different treatments:</w:t>
      </w:r>
    </w:p>
    <w:p w14:paraId="2F7A6983" w14:textId="77777777" w:rsidR="007431E4" w:rsidRPr="00C224C5" w:rsidRDefault="007431E4" w:rsidP="007431E4">
      <w:pPr>
        <w:pStyle w:val="a5"/>
        <w:numPr>
          <w:ilvl w:val="0"/>
          <w:numId w:val="3"/>
        </w:numPr>
      </w:pPr>
      <w:r w:rsidRPr="00C224C5">
        <w:rPr>
          <w:rStyle w:val="a6"/>
        </w:rPr>
        <w:t>Percent seed germination</w:t>
      </w:r>
      <w:r w:rsidRPr="00C224C5">
        <w:t xml:space="preserve"> (</w:t>
      </w:r>
      <w:r w:rsidRPr="00C224C5">
        <w:rPr>
          <w:i/>
        </w:rPr>
        <w:t>in-vitro and in-vivo</w:t>
      </w:r>
      <w:r w:rsidRPr="00C224C5">
        <w:t>)</w:t>
      </w:r>
    </w:p>
    <w:p w14:paraId="062E8156" w14:textId="77777777" w:rsidR="007431E4" w:rsidRPr="00C224C5" w:rsidRDefault="007431E4" w:rsidP="007431E4">
      <w:pPr>
        <w:pStyle w:val="a5"/>
        <w:numPr>
          <w:ilvl w:val="0"/>
          <w:numId w:val="3"/>
        </w:numPr>
      </w:pPr>
      <w:r w:rsidRPr="00C224C5">
        <w:rPr>
          <w:rStyle w:val="a6"/>
        </w:rPr>
        <w:t>Percent disease severity (PDI)</w:t>
      </w:r>
    </w:p>
    <w:p w14:paraId="4124834E" w14:textId="77777777" w:rsidR="007431E4" w:rsidRPr="00C224C5" w:rsidRDefault="007431E4" w:rsidP="007431E4">
      <w:pPr>
        <w:pStyle w:val="a5"/>
        <w:numPr>
          <w:ilvl w:val="0"/>
          <w:numId w:val="3"/>
        </w:numPr>
      </w:pPr>
      <w:r w:rsidRPr="00C224C5">
        <w:rPr>
          <w:rStyle w:val="a6"/>
        </w:rPr>
        <w:t>Marketable fruit yield (t ha⁻¹)</w:t>
      </w:r>
    </w:p>
    <w:p w14:paraId="30CE109E" w14:textId="77777777" w:rsidR="007431E4" w:rsidRPr="00C224C5" w:rsidRDefault="007431E4" w:rsidP="009B797F">
      <w:pPr>
        <w:pStyle w:val="a5"/>
        <w:numPr>
          <w:ilvl w:val="0"/>
          <w:numId w:val="3"/>
        </w:numPr>
      </w:pPr>
      <w:r w:rsidRPr="00C224C5">
        <w:rPr>
          <w:rStyle w:val="a6"/>
        </w:rPr>
        <w:t>Benefit–cost (B:C) ratio</w:t>
      </w:r>
    </w:p>
    <w:p w14:paraId="6C604999" w14:textId="77777777" w:rsidR="00D3444B" w:rsidRPr="00C224C5" w:rsidRDefault="001B0C39" w:rsidP="00EF55F8">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rPr>
        <w:lastRenderedPageBreak/>
        <w:t>Initially, typical symptoms of gummy stem blight appeared as circular dark brown-tan spots at the margin of the leaves and water-soaked areas on the stem near the soil line, including defoliation, wilting, and death of plant vines</w:t>
      </w:r>
      <w:r w:rsidR="00D3444B" w:rsidRPr="00C224C5">
        <w:rPr>
          <w:rFonts w:ascii="Times New Roman" w:hAnsi="Times New Roman" w:cs="Times New Roman"/>
          <w:sz w:val="24"/>
          <w:szCs w:val="24"/>
        </w:rPr>
        <w:t xml:space="preserve"> </w:t>
      </w:r>
    </w:p>
    <w:p w14:paraId="44F4685F" w14:textId="77777777" w:rsidR="007D332C" w:rsidRPr="00C224C5" w:rsidRDefault="004B530D" w:rsidP="0080488D">
      <w:pPr>
        <w:spacing w:line="276" w:lineRule="auto"/>
        <w:jc w:val="both"/>
        <w:rPr>
          <w:rFonts w:ascii="Times New Roman" w:hAnsi="Times New Roman" w:cs="Times New Roman"/>
          <w:sz w:val="24"/>
          <w:szCs w:val="24"/>
        </w:rPr>
      </w:pPr>
      <w:r w:rsidRPr="00C224C5">
        <w:rPr>
          <w:rFonts w:ascii="Times New Roman" w:hAnsi="Times New Roman" w:cs="Times New Roman"/>
          <w:sz w:val="24"/>
          <w:szCs w:val="24"/>
          <w:shd w:val="clear" w:color="auto" w:fill="FFFFFF"/>
        </w:rPr>
        <w:t>Gummy stem blight scoring was done on 5 leaves and</w:t>
      </w:r>
      <w:r w:rsidR="00884F2D"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 xml:space="preserve">stem  each  in  5  plants  using  0-9  rating  scale  as  per </w:t>
      </w:r>
      <w:proofErr w:type="spellStart"/>
      <w:r w:rsidRPr="00C224C5">
        <w:rPr>
          <w:rFonts w:ascii="Times New Roman" w:hAnsi="Times New Roman" w:cs="Times New Roman"/>
          <w:sz w:val="24"/>
          <w:szCs w:val="24"/>
          <w:shd w:val="clear" w:color="auto" w:fill="FFFFFF"/>
        </w:rPr>
        <w:t>Gusmini</w:t>
      </w:r>
      <w:proofErr w:type="spellEnd"/>
      <w:r w:rsidRPr="00C224C5">
        <w:rPr>
          <w:rFonts w:ascii="Times New Roman" w:hAnsi="Times New Roman" w:cs="Times New Roman"/>
          <w:sz w:val="24"/>
          <w:szCs w:val="24"/>
          <w:shd w:val="clear" w:color="auto" w:fill="FFFFFF"/>
        </w:rPr>
        <w:t xml:space="preserve"> et  al.  (2005),  where,  0=no  symptoms,1=yellowing  on  leaves  (suspect  of  disease  only),2=moderate  symptoms  (&lt;20%  necrosis)  on  leaves</w:t>
      </w:r>
      <w:r w:rsidR="001354DE"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only, 3=slight symptoms (21–45% necrosis) on leaves</w:t>
      </w:r>
      <w:r w:rsidR="001354DE"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only,  4=severe  symptoms  (&gt;45%  necrosis)  on  leaves</w:t>
      </w:r>
      <w:r w:rsidR="001354DE"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 xml:space="preserve">only,  5=some  leaves  dead,  no  symptoms  on  stem,6=moderate  symptoms  (&lt;20%  necrosis)  on  </w:t>
      </w:r>
      <w:proofErr w:type="spellStart"/>
      <w:r w:rsidRPr="00C224C5">
        <w:rPr>
          <w:rFonts w:ascii="Times New Roman" w:hAnsi="Times New Roman" w:cs="Times New Roman"/>
          <w:sz w:val="24"/>
          <w:szCs w:val="24"/>
          <w:shd w:val="clear" w:color="auto" w:fill="FFFFFF"/>
        </w:rPr>
        <w:t>leaves,with</w:t>
      </w:r>
      <w:proofErr w:type="spellEnd"/>
      <w:r w:rsidRPr="00C224C5">
        <w:rPr>
          <w:rFonts w:ascii="Times New Roman" w:hAnsi="Times New Roman" w:cs="Times New Roman"/>
          <w:sz w:val="24"/>
          <w:szCs w:val="24"/>
          <w:shd w:val="clear" w:color="auto" w:fill="FFFFFF"/>
        </w:rPr>
        <w:t xml:space="preserve"> necrosis also on petioles and stem (&lt;3 mm long),7=slight  symptoms  (21–45%  necrosis)  on  </w:t>
      </w:r>
      <w:proofErr w:type="spellStart"/>
      <w:r w:rsidRPr="00C224C5">
        <w:rPr>
          <w:rFonts w:ascii="Times New Roman" w:hAnsi="Times New Roman" w:cs="Times New Roman"/>
          <w:sz w:val="24"/>
          <w:szCs w:val="24"/>
          <w:shd w:val="clear" w:color="auto" w:fill="FFFFFF"/>
        </w:rPr>
        <w:t>leaves,necrosis</w:t>
      </w:r>
      <w:proofErr w:type="spellEnd"/>
      <w:r w:rsidRPr="00C224C5">
        <w:rPr>
          <w:rFonts w:ascii="Times New Roman" w:hAnsi="Times New Roman" w:cs="Times New Roman"/>
          <w:sz w:val="24"/>
          <w:szCs w:val="24"/>
          <w:shd w:val="clear" w:color="auto" w:fill="FFFFFF"/>
        </w:rPr>
        <w:t xml:space="preserve">  also  on  petioles  and  stem  (3-5  mm  long),8=severe symptoms (45% necrosis) on leaves, </w:t>
      </w:r>
      <w:proofErr w:type="spellStart"/>
      <w:r w:rsidRPr="00C224C5">
        <w:rPr>
          <w:rFonts w:ascii="Times New Roman" w:hAnsi="Times New Roman" w:cs="Times New Roman"/>
          <w:sz w:val="24"/>
          <w:szCs w:val="24"/>
          <w:shd w:val="clear" w:color="auto" w:fill="FFFFFF"/>
        </w:rPr>
        <w:t>necrosisalso</w:t>
      </w:r>
      <w:proofErr w:type="spellEnd"/>
      <w:r w:rsidRPr="00C224C5">
        <w:rPr>
          <w:rFonts w:ascii="Times New Roman" w:hAnsi="Times New Roman" w:cs="Times New Roman"/>
          <w:sz w:val="24"/>
          <w:szCs w:val="24"/>
          <w:shd w:val="clear" w:color="auto" w:fill="FFFFFF"/>
        </w:rPr>
        <w:t xml:space="preserve">  on  petioles  and  stem  (&gt;5  mm  long)  and  9</w:t>
      </w:r>
      <w:r w:rsidR="00AA4AD9"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w:t>
      </w:r>
      <w:r w:rsidR="00AA4AD9"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plant</w:t>
      </w:r>
      <w:r w:rsidR="00AA4AD9" w:rsidRPr="00C224C5">
        <w:rPr>
          <w:rFonts w:ascii="Times New Roman" w:hAnsi="Times New Roman" w:cs="Times New Roman"/>
          <w:sz w:val="24"/>
          <w:szCs w:val="24"/>
          <w:shd w:val="clear" w:color="auto" w:fill="FFFFFF"/>
        </w:rPr>
        <w:t xml:space="preserve"> </w:t>
      </w:r>
      <w:r w:rsidRPr="00C224C5">
        <w:rPr>
          <w:rFonts w:ascii="Times New Roman" w:hAnsi="Times New Roman" w:cs="Times New Roman"/>
          <w:sz w:val="24"/>
          <w:szCs w:val="24"/>
          <w:shd w:val="clear" w:color="auto" w:fill="FFFFFF"/>
        </w:rPr>
        <w:t>dead</w:t>
      </w:r>
    </w:p>
    <w:p w14:paraId="6F54CCAA" w14:textId="4482CE8A" w:rsidR="00753CF9" w:rsidRPr="00C224C5" w:rsidRDefault="0080488D" w:rsidP="00EF55F8">
      <w:pPr>
        <w:spacing w:line="276" w:lineRule="auto"/>
        <w:jc w:val="both"/>
        <w:rPr>
          <w:rFonts w:ascii="Times New Roman" w:hAnsi="Times New Roman" w:cs="Times New Roman"/>
          <w:b/>
          <w:bCs/>
          <w:sz w:val="24"/>
          <w:szCs w:val="24"/>
        </w:rPr>
      </w:pPr>
      <w:r w:rsidRPr="00C224C5">
        <w:rPr>
          <w:rFonts w:ascii="Times New Roman" w:hAnsi="Times New Roman" w:cs="Times New Roman"/>
          <w:b/>
          <w:bCs/>
          <w:sz w:val="24"/>
          <w:szCs w:val="24"/>
        </w:rPr>
        <w:t>Results</w:t>
      </w:r>
      <w:r w:rsidR="003F0745">
        <w:rPr>
          <w:rFonts w:ascii="Times New Roman" w:hAnsi="Times New Roman" w:cs="Times New Roman"/>
          <w:b/>
          <w:bCs/>
          <w:sz w:val="24"/>
          <w:szCs w:val="24"/>
        </w:rPr>
        <w:t xml:space="preserve"> and Discussion </w:t>
      </w:r>
    </w:p>
    <w:p w14:paraId="233C92E4" w14:textId="77777777" w:rsidR="005E4D6E" w:rsidRPr="00C224C5" w:rsidRDefault="00414F0C" w:rsidP="00EF55F8">
      <w:pPr>
        <w:spacing w:line="276" w:lineRule="auto"/>
        <w:jc w:val="both"/>
        <w:rPr>
          <w:rFonts w:ascii="Times New Roman" w:hAnsi="Times New Roman" w:cs="Times New Roman"/>
          <w:sz w:val="24"/>
          <w:szCs w:val="24"/>
        </w:rPr>
      </w:pPr>
      <w:proofErr w:type="gramStart"/>
      <w:r w:rsidRPr="00C224C5">
        <w:rPr>
          <w:rFonts w:ascii="Times New Roman" w:hAnsi="Times New Roman" w:cs="Times New Roman"/>
          <w:b/>
          <w:bCs/>
          <w:sz w:val="24"/>
          <w:szCs w:val="24"/>
        </w:rPr>
        <w:t>Table :</w:t>
      </w:r>
      <w:proofErr w:type="gramEnd"/>
      <w:r w:rsidRPr="00C224C5">
        <w:rPr>
          <w:rFonts w:ascii="Times New Roman" w:hAnsi="Times New Roman" w:cs="Times New Roman"/>
          <w:b/>
          <w:bCs/>
          <w:sz w:val="24"/>
          <w:szCs w:val="24"/>
        </w:rPr>
        <w:t xml:space="preserve"> 2 </w:t>
      </w:r>
      <w:r w:rsidR="00753CF9" w:rsidRPr="00C224C5">
        <w:rPr>
          <w:rFonts w:ascii="Times New Roman" w:hAnsi="Times New Roman" w:cs="Times New Roman"/>
          <w:b/>
          <w:bCs/>
          <w:sz w:val="24"/>
          <w:szCs w:val="24"/>
        </w:rPr>
        <w:t>Pooled data of Integrated management of gummy stem blight of cucurbits (Bottle gourd) (2021-22, 2022-23, 2023-24)</w:t>
      </w:r>
    </w:p>
    <w:tbl>
      <w:tblPr>
        <w:tblStyle w:val="TableGrid1"/>
        <w:tblW w:w="6202" w:type="pct"/>
        <w:jc w:val="center"/>
        <w:tblLook w:val="04A0" w:firstRow="1" w:lastRow="0" w:firstColumn="1" w:lastColumn="0" w:noHBand="0" w:noVBand="1"/>
      </w:tblPr>
      <w:tblGrid>
        <w:gridCol w:w="682"/>
        <w:gridCol w:w="611"/>
        <w:gridCol w:w="611"/>
        <w:gridCol w:w="611"/>
        <w:gridCol w:w="717"/>
        <w:gridCol w:w="611"/>
        <w:gridCol w:w="612"/>
        <w:gridCol w:w="612"/>
        <w:gridCol w:w="718"/>
        <w:gridCol w:w="612"/>
        <w:gridCol w:w="612"/>
        <w:gridCol w:w="612"/>
        <w:gridCol w:w="713"/>
        <w:gridCol w:w="6"/>
        <w:gridCol w:w="608"/>
        <w:gridCol w:w="612"/>
        <w:gridCol w:w="612"/>
        <w:gridCol w:w="722"/>
        <w:gridCol w:w="562"/>
        <w:gridCol w:w="8"/>
      </w:tblGrid>
      <w:tr w:rsidR="008A308A" w:rsidRPr="00C224C5" w14:paraId="04F4CE10" w14:textId="77777777" w:rsidTr="005E4D6E">
        <w:trPr>
          <w:trHeight w:val="358"/>
          <w:jc w:val="center"/>
        </w:trPr>
        <w:tc>
          <w:tcPr>
            <w:tcW w:w="298" w:type="pct"/>
            <w:vMerge w:val="restart"/>
          </w:tcPr>
          <w:p w14:paraId="65DBF57D"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Treat-</w:t>
            </w:r>
          </w:p>
          <w:p w14:paraId="4265B33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proofErr w:type="spellStart"/>
            <w:r w:rsidRPr="00C224C5">
              <w:rPr>
                <w:rFonts w:ascii="Times New Roman" w:eastAsia="Times New Roman" w:hAnsi="Times New Roman" w:cs="Times New Roman"/>
                <w:b/>
                <w:bCs/>
                <w:kern w:val="24"/>
                <w:sz w:val="16"/>
                <w:szCs w:val="16"/>
                <w:lang w:val="en-US"/>
              </w:rPr>
              <w:t>ments</w:t>
            </w:r>
            <w:proofErr w:type="spellEnd"/>
          </w:p>
        </w:tc>
        <w:tc>
          <w:tcPr>
            <w:tcW w:w="1114" w:type="pct"/>
            <w:gridSpan w:val="4"/>
            <w:vAlign w:val="center"/>
          </w:tcPr>
          <w:p w14:paraId="529A54DF" w14:textId="77777777" w:rsidR="005E4D6E" w:rsidRPr="00C224C5" w:rsidRDefault="005E4D6E" w:rsidP="00EF55F8">
            <w:pPr>
              <w:spacing w:line="276" w:lineRule="auto"/>
              <w:ind w:right="-106"/>
              <w:jc w:val="both"/>
              <w:rPr>
                <w:rFonts w:ascii="Times New Roman" w:eastAsia="Times New Roman" w:hAnsi="Times New Roman" w:cs="Times New Roman"/>
                <w:b/>
                <w:bCs/>
                <w:i/>
                <w:iCs/>
                <w:sz w:val="16"/>
                <w:szCs w:val="16"/>
              </w:rPr>
            </w:pPr>
            <w:r w:rsidRPr="00C224C5">
              <w:rPr>
                <w:rFonts w:ascii="Times New Roman" w:eastAsia="Times New Roman" w:hAnsi="Times New Roman" w:cs="Times New Roman"/>
                <w:b/>
                <w:bCs/>
                <w:i/>
                <w:iCs/>
                <w:sz w:val="16"/>
                <w:szCs w:val="16"/>
              </w:rPr>
              <w:t xml:space="preserve">In-vitro </w:t>
            </w:r>
          </w:p>
          <w:p w14:paraId="05B6D8D0" w14:textId="77777777" w:rsidR="005E4D6E" w:rsidRPr="00C224C5" w:rsidRDefault="005E4D6E" w:rsidP="00EF55F8">
            <w:pPr>
              <w:spacing w:line="276" w:lineRule="auto"/>
              <w:ind w:right="-106"/>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sz w:val="16"/>
                <w:szCs w:val="16"/>
              </w:rPr>
              <w:t>Germination (%)</w:t>
            </w:r>
          </w:p>
        </w:tc>
        <w:tc>
          <w:tcPr>
            <w:tcW w:w="1114" w:type="pct"/>
            <w:gridSpan w:val="4"/>
          </w:tcPr>
          <w:p w14:paraId="52A86952" w14:textId="77777777" w:rsidR="005E4D6E" w:rsidRPr="00C224C5" w:rsidRDefault="005E4D6E" w:rsidP="00EF55F8">
            <w:pPr>
              <w:spacing w:line="276" w:lineRule="auto"/>
              <w:ind w:right="-106"/>
              <w:jc w:val="both"/>
              <w:rPr>
                <w:rFonts w:ascii="Times New Roman" w:eastAsia="Times New Roman" w:hAnsi="Times New Roman" w:cs="Times New Roman"/>
                <w:b/>
                <w:bCs/>
                <w:i/>
                <w:iCs/>
                <w:sz w:val="16"/>
                <w:szCs w:val="16"/>
              </w:rPr>
            </w:pPr>
            <w:r w:rsidRPr="00C224C5">
              <w:rPr>
                <w:rFonts w:ascii="Times New Roman" w:eastAsia="Times New Roman" w:hAnsi="Times New Roman" w:cs="Times New Roman"/>
                <w:b/>
                <w:bCs/>
                <w:i/>
                <w:iCs/>
                <w:sz w:val="16"/>
                <w:szCs w:val="16"/>
              </w:rPr>
              <w:t xml:space="preserve">In-vivo </w:t>
            </w:r>
          </w:p>
          <w:p w14:paraId="21DD4CC0"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rPr>
              <w:t>Germination (%)</w:t>
            </w:r>
          </w:p>
        </w:tc>
        <w:tc>
          <w:tcPr>
            <w:tcW w:w="1114" w:type="pct"/>
            <w:gridSpan w:val="5"/>
          </w:tcPr>
          <w:p w14:paraId="41D6330C"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rPr>
              <w:t>Percent Disease Severity (%)</w:t>
            </w:r>
          </w:p>
        </w:tc>
        <w:tc>
          <w:tcPr>
            <w:tcW w:w="1114" w:type="pct"/>
            <w:gridSpan w:val="4"/>
          </w:tcPr>
          <w:p w14:paraId="51713045"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 xml:space="preserve">Marketable yield </w:t>
            </w:r>
          </w:p>
          <w:p w14:paraId="7E55A9E5"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kern w:val="24"/>
                <w:sz w:val="16"/>
                <w:szCs w:val="16"/>
                <w:lang w:val="en-US"/>
              </w:rPr>
              <w:t>(t/ha)</w:t>
            </w:r>
          </w:p>
        </w:tc>
        <w:tc>
          <w:tcPr>
            <w:tcW w:w="245" w:type="pct"/>
            <w:gridSpan w:val="2"/>
            <w:vMerge w:val="restart"/>
          </w:tcPr>
          <w:p w14:paraId="3763A66F"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B:C ratio</w:t>
            </w:r>
          </w:p>
        </w:tc>
      </w:tr>
      <w:tr w:rsidR="008A308A" w:rsidRPr="00C224C5" w14:paraId="14D91ADC" w14:textId="77777777" w:rsidTr="005E4D6E">
        <w:trPr>
          <w:gridAfter w:val="1"/>
          <w:wAfter w:w="4" w:type="pct"/>
          <w:trHeight w:val="338"/>
          <w:jc w:val="center"/>
        </w:trPr>
        <w:tc>
          <w:tcPr>
            <w:tcW w:w="298" w:type="pct"/>
            <w:vMerge/>
          </w:tcPr>
          <w:p w14:paraId="3E91F835" w14:textId="77777777" w:rsidR="005E4D6E" w:rsidRPr="00C224C5" w:rsidRDefault="005E4D6E" w:rsidP="00EF55F8">
            <w:pPr>
              <w:spacing w:line="276" w:lineRule="auto"/>
              <w:jc w:val="both"/>
              <w:rPr>
                <w:rFonts w:ascii="Times New Roman" w:eastAsia="Times New Roman" w:hAnsi="Times New Roman" w:cs="Times New Roman"/>
                <w:b/>
                <w:bCs/>
                <w:kern w:val="24"/>
                <w:sz w:val="16"/>
                <w:szCs w:val="16"/>
                <w:lang w:val="en-US"/>
              </w:rPr>
            </w:pPr>
          </w:p>
        </w:tc>
        <w:tc>
          <w:tcPr>
            <w:tcW w:w="267" w:type="pct"/>
          </w:tcPr>
          <w:p w14:paraId="00EBCC2B" w14:textId="77777777" w:rsidR="005E4D6E" w:rsidRPr="00C224C5" w:rsidRDefault="005E4D6E" w:rsidP="00EF55F8">
            <w:pPr>
              <w:spacing w:line="276" w:lineRule="auto"/>
              <w:ind w:right="-106"/>
              <w:jc w:val="both"/>
              <w:rPr>
                <w:rFonts w:ascii="Times New Roman" w:eastAsia="Times New Roman" w:hAnsi="Times New Roman" w:cs="Times New Roman"/>
                <w:b/>
                <w:bCs/>
                <w:kern w:val="24"/>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710448F6"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4C70002D"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7FC398A2"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0DC37A56"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Mean</w:t>
            </w:r>
          </w:p>
        </w:tc>
        <w:tc>
          <w:tcPr>
            <w:tcW w:w="267" w:type="pct"/>
          </w:tcPr>
          <w:p w14:paraId="1F38F5E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673E95C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6703EA1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1C38AAE2"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450065D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b/>
                <w:bCs/>
                <w:sz w:val="16"/>
                <w:szCs w:val="16"/>
                <w:lang w:val="en-US"/>
              </w:rPr>
              <w:t>Mean</w:t>
            </w:r>
          </w:p>
        </w:tc>
        <w:tc>
          <w:tcPr>
            <w:tcW w:w="267" w:type="pct"/>
          </w:tcPr>
          <w:p w14:paraId="3B5086E2"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1B535D67"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6832EEF7"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05065C91"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6019CA31"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Mean</w:t>
            </w:r>
          </w:p>
        </w:tc>
        <w:tc>
          <w:tcPr>
            <w:tcW w:w="267" w:type="pct"/>
            <w:gridSpan w:val="2"/>
          </w:tcPr>
          <w:p w14:paraId="586E9763"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kern w:val="24"/>
                <w:sz w:val="16"/>
                <w:szCs w:val="16"/>
                <w:lang w:val="en-US"/>
              </w:rPr>
              <w:t>2021-22</w:t>
            </w:r>
          </w:p>
        </w:tc>
        <w:tc>
          <w:tcPr>
            <w:tcW w:w="267" w:type="pct"/>
          </w:tcPr>
          <w:p w14:paraId="25B285C9"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2022-23</w:t>
            </w:r>
          </w:p>
        </w:tc>
        <w:tc>
          <w:tcPr>
            <w:tcW w:w="267" w:type="pct"/>
          </w:tcPr>
          <w:p w14:paraId="4CC33B2C"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2023-24</w:t>
            </w:r>
          </w:p>
        </w:tc>
        <w:tc>
          <w:tcPr>
            <w:tcW w:w="311" w:type="pct"/>
          </w:tcPr>
          <w:p w14:paraId="78C1E7F0"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 xml:space="preserve">Pooled </w:t>
            </w:r>
          </w:p>
          <w:p w14:paraId="41EBE40A"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r w:rsidRPr="00C224C5">
              <w:rPr>
                <w:rFonts w:ascii="Times New Roman" w:eastAsia="Times New Roman" w:hAnsi="Times New Roman" w:cs="Times New Roman"/>
                <w:b/>
                <w:bCs/>
                <w:sz w:val="16"/>
                <w:szCs w:val="16"/>
                <w:lang w:val="en-US"/>
              </w:rPr>
              <w:t>Mean</w:t>
            </w:r>
          </w:p>
        </w:tc>
        <w:tc>
          <w:tcPr>
            <w:tcW w:w="245" w:type="pct"/>
            <w:vMerge/>
          </w:tcPr>
          <w:p w14:paraId="1198253C" w14:textId="77777777" w:rsidR="005E4D6E" w:rsidRPr="00C224C5" w:rsidRDefault="005E4D6E" w:rsidP="00EF55F8">
            <w:pPr>
              <w:spacing w:line="276" w:lineRule="auto"/>
              <w:jc w:val="both"/>
              <w:rPr>
                <w:rFonts w:ascii="Times New Roman" w:eastAsia="Times New Roman" w:hAnsi="Times New Roman" w:cs="Times New Roman"/>
                <w:b/>
                <w:bCs/>
                <w:sz w:val="16"/>
                <w:szCs w:val="16"/>
                <w:lang w:val="en-US"/>
              </w:rPr>
            </w:pPr>
          </w:p>
        </w:tc>
      </w:tr>
      <w:tr w:rsidR="008A308A" w:rsidRPr="00C224C5" w14:paraId="15F43C76" w14:textId="77777777" w:rsidTr="005E4D6E">
        <w:trPr>
          <w:gridAfter w:val="1"/>
          <w:wAfter w:w="4" w:type="pct"/>
          <w:trHeight w:val="345"/>
          <w:jc w:val="center"/>
        </w:trPr>
        <w:tc>
          <w:tcPr>
            <w:tcW w:w="298" w:type="pct"/>
            <w:vAlign w:val="center"/>
          </w:tcPr>
          <w:p w14:paraId="67E815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T1</w:t>
            </w:r>
          </w:p>
        </w:tc>
        <w:tc>
          <w:tcPr>
            <w:tcW w:w="267" w:type="pct"/>
            <w:vAlign w:val="center"/>
          </w:tcPr>
          <w:p w14:paraId="4D9D30A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tcPr>
          <w:p w14:paraId="226092E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92.00</w:t>
            </w:r>
          </w:p>
        </w:tc>
        <w:tc>
          <w:tcPr>
            <w:tcW w:w="267" w:type="pct"/>
            <w:vAlign w:val="center"/>
          </w:tcPr>
          <w:p w14:paraId="6DF02A5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94.33</w:t>
            </w:r>
          </w:p>
        </w:tc>
        <w:tc>
          <w:tcPr>
            <w:tcW w:w="311" w:type="pct"/>
            <w:vAlign w:val="center"/>
          </w:tcPr>
          <w:p w14:paraId="319438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93.00</w:t>
            </w:r>
          </w:p>
        </w:tc>
        <w:tc>
          <w:tcPr>
            <w:tcW w:w="267" w:type="pct"/>
            <w:vAlign w:val="center"/>
          </w:tcPr>
          <w:p w14:paraId="1E37F1D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634697A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91.33</w:t>
            </w:r>
          </w:p>
        </w:tc>
        <w:tc>
          <w:tcPr>
            <w:tcW w:w="267" w:type="pct"/>
            <w:vAlign w:val="center"/>
          </w:tcPr>
          <w:p w14:paraId="2633EE5B"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92.00</w:t>
            </w:r>
          </w:p>
        </w:tc>
        <w:tc>
          <w:tcPr>
            <w:tcW w:w="311" w:type="pct"/>
            <w:vAlign w:val="center"/>
          </w:tcPr>
          <w:p w14:paraId="314BDDF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91.33</w:t>
            </w:r>
          </w:p>
        </w:tc>
        <w:tc>
          <w:tcPr>
            <w:tcW w:w="267" w:type="pct"/>
            <w:vAlign w:val="center"/>
          </w:tcPr>
          <w:p w14:paraId="4690374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11.68</w:t>
            </w:r>
          </w:p>
        </w:tc>
        <w:tc>
          <w:tcPr>
            <w:tcW w:w="267" w:type="pct"/>
            <w:vAlign w:val="center"/>
          </w:tcPr>
          <w:p w14:paraId="25A6A9F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10.90</w:t>
            </w:r>
          </w:p>
        </w:tc>
        <w:tc>
          <w:tcPr>
            <w:tcW w:w="267" w:type="pct"/>
            <w:vAlign w:val="center"/>
          </w:tcPr>
          <w:p w14:paraId="05D341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19.23</w:t>
            </w:r>
          </w:p>
        </w:tc>
        <w:tc>
          <w:tcPr>
            <w:tcW w:w="311" w:type="pct"/>
            <w:vAlign w:val="center"/>
          </w:tcPr>
          <w:p w14:paraId="14856E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13.94</w:t>
            </w:r>
          </w:p>
        </w:tc>
        <w:tc>
          <w:tcPr>
            <w:tcW w:w="267" w:type="pct"/>
            <w:gridSpan w:val="2"/>
            <w:vAlign w:val="center"/>
          </w:tcPr>
          <w:p w14:paraId="5DEDD10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24.66</w:t>
            </w:r>
          </w:p>
        </w:tc>
        <w:tc>
          <w:tcPr>
            <w:tcW w:w="267" w:type="pct"/>
            <w:vAlign w:val="center"/>
          </w:tcPr>
          <w:p w14:paraId="0779359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20.09</w:t>
            </w:r>
          </w:p>
        </w:tc>
        <w:tc>
          <w:tcPr>
            <w:tcW w:w="267" w:type="pct"/>
            <w:vAlign w:val="center"/>
          </w:tcPr>
          <w:p w14:paraId="500A9EB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23.87</w:t>
            </w:r>
          </w:p>
        </w:tc>
        <w:tc>
          <w:tcPr>
            <w:tcW w:w="311" w:type="pct"/>
            <w:vAlign w:val="center"/>
          </w:tcPr>
          <w:p w14:paraId="4278257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22.87</w:t>
            </w:r>
          </w:p>
        </w:tc>
        <w:tc>
          <w:tcPr>
            <w:tcW w:w="245" w:type="pct"/>
            <w:vAlign w:val="center"/>
          </w:tcPr>
          <w:p w14:paraId="1642A65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1.83</w:t>
            </w:r>
          </w:p>
        </w:tc>
      </w:tr>
      <w:tr w:rsidR="008A308A" w:rsidRPr="00C224C5" w14:paraId="317563BE" w14:textId="77777777" w:rsidTr="005E4D6E">
        <w:trPr>
          <w:gridAfter w:val="1"/>
          <w:wAfter w:w="4" w:type="pct"/>
          <w:trHeight w:val="470"/>
          <w:jc w:val="center"/>
        </w:trPr>
        <w:tc>
          <w:tcPr>
            <w:tcW w:w="298" w:type="pct"/>
            <w:vAlign w:val="center"/>
          </w:tcPr>
          <w:p w14:paraId="55C041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T2</w:t>
            </w:r>
          </w:p>
        </w:tc>
        <w:tc>
          <w:tcPr>
            <w:tcW w:w="267" w:type="pct"/>
            <w:vAlign w:val="center"/>
          </w:tcPr>
          <w:p w14:paraId="4B8D574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95.00</w:t>
            </w:r>
          </w:p>
        </w:tc>
        <w:tc>
          <w:tcPr>
            <w:tcW w:w="267" w:type="pct"/>
          </w:tcPr>
          <w:p w14:paraId="085B50A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91.67</w:t>
            </w:r>
          </w:p>
        </w:tc>
        <w:tc>
          <w:tcPr>
            <w:tcW w:w="267" w:type="pct"/>
            <w:vAlign w:val="center"/>
          </w:tcPr>
          <w:p w14:paraId="3231360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93.50</w:t>
            </w:r>
          </w:p>
        </w:tc>
        <w:tc>
          <w:tcPr>
            <w:tcW w:w="311" w:type="pct"/>
            <w:vAlign w:val="center"/>
          </w:tcPr>
          <w:p w14:paraId="24F1DEC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93.39</w:t>
            </w:r>
          </w:p>
        </w:tc>
        <w:tc>
          <w:tcPr>
            <w:tcW w:w="267" w:type="pct"/>
            <w:vAlign w:val="center"/>
          </w:tcPr>
          <w:p w14:paraId="6DFCD31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173AB57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91.67</w:t>
            </w:r>
          </w:p>
        </w:tc>
        <w:tc>
          <w:tcPr>
            <w:tcW w:w="267" w:type="pct"/>
            <w:vAlign w:val="center"/>
          </w:tcPr>
          <w:p w14:paraId="4250017A"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91.00</w:t>
            </w:r>
          </w:p>
        </w:tc>
        <w:tc>
          <w:tcPr>
            <w:tcW w:w="311" w:type="pct"/>
            <w:vAlign w:val="center"/>
          </w:tcPr>
          <w:p w14:paraId="1255731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91.11</w:t>
            </w:r>
          </w:p>
        </w:tc>
        <w:tc>
          <w:tcPr>
            <w:tcW w:w="267" w:type="pct"/>
            <w:vAlign w:val="center"/>
          </w:tcPr>
          <w:p w14:paraId="732D4E6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11.54</w:t>
            </w:r>
          </w:p>
        </w:tc>
        <w:tc>
          <w:tcPr>
            <w:tcW w:w="267" w:type="pct"/>
            <w:vAlign w:val="center"/>
          </w:tcPr>
          <w:p w14:paraId="2C2510A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11.91</w:t>
            </w:r>
          </w:p>
        </w:tc>
        <w:tc>
          <w:tcPr>
            <w:tcW w:w="267" w:type="pct"/>
            <w:vAlign w:val="center"/>
          </w:tcPr>
          <w:p w14:paraId="24FD4EC2"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14.91</w:t>
            </w:r>
          </w:p>
        </w:tc>
        <w:tc>
          <w:tcPr>
            <w:tcW w:w="311" w:type="pct"/>
            <w:vAlign w:val="center"/>
          </w:tcPr>
          <w:p w14:paraId="24C32BC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12.79</w:t>
            </w:r>
          </w:p>
        </w:tc>
        <w:tc>
          <w:tcPr>
            <w:tcW w:w="267" w:type="pct"/>
            <w:gridSpan w:val="2"/>
            <w:vAlign w:val="center"/>
          </w:tcPr>
          <w:p w14:paraId="6E72B60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27.16</w:t>
            </w:r>
          </w:p>
        </w:tc>
        <w:tc>
          <w:tcPr>
            <w:tcW w:w="267" w:type="pct"/>
            <w:vAlign w:val="center"/>
          </w:tcPr>
          <w:p w14:paraId="41BDEA6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23.16</w:t>
            </w:r>
          </w:p>
        </w:tc>
        <w:tc>
          <w:tcPr>
            <w:tcW w:w="267" w:type="pct"/>
            <w:vAlign w:val="center"/>
          </w:tcPr>
          <w:p w14:paraId="2DD5822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25.90</w:t>
            </w:r>
          </w:p>
        </w:tc>
        <w:tc>
          <w:tcPr>
            <w:tcW w:w="311" w:type="pct"/>
            <w:vAlign w:val="center"/>
          </w:tcPr>
          <w:p w14:paraId="72EECFC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25.41</w:t>
            </w:r>
          </w:p>
        </w:tc>
        <w:tc>
          <w:tcPr>
            <w:tcW w:w="245" w:type="pct"/>
            <w:vAlign w:val="center"/>
          </w:tcPr>
          <w:p w14:paraId="4EA52B2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2.17</w:t>
            </w:r>
          </w:p>
        </w:tc>
      </w:tr>
      <w:tr w:rsidR="008A308A" w:rsidRPr="00C224C5" w14:paraId="6E2CEBE8" w14:textId="77777777" w:rsidTr="005E4D6E">
        <w:trPr>
          <w:gridAfter w:val="1"/>
          <w:wAfter w:w="4" w:type="pct"/>
          <w:trHeight w:val="352"/>
          <w:jc w:val="center"/>
        </w:trPr>
        <w:tc>
          <w:tcPr>
            <w:tcW w:w="298" w:type="pct"/>
            <w:vAlign w:val="center"/>
          </w:tcPr>
          <w:p w14:paraId="7F802B1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T3</w:t>
            </w:r>
          </w:p>
        </w:tc>
        <w:tc>
          <w:tcPr>
            <w:tcW w:w="267" w:type="pct"/>
            <w:vAlign w:val="center"/>
          </w:tcPr>
          <w:p w14:paraId="73010A1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94.67</w:t>
            </w:r>
          </w:p>
        </w:tc>
        <w:tc>
          <w:tcPr>
            <w:tcW w:w="267" w:type="pct"/>
          </w:tcPr>
          <w:p w14:paraId="09EDB36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93.00</w:t>
            </w:r>
          </w:p>
        </w:tc>
        <w:tc>
          <w:tcPr>
            <w:tcW w:w="267" w:type="pct"/>
            <w:vAlign w:val="center"/>
          </w:tcPr>
          <w:p w14:paraId="7F0871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95.20</w:t>
            </w:r>
          </w:p>
        </w:tc>
        <w:tc>
          <w:tcPr>
            <w:tcW w:w="311" w:type="pct"/>
            <w:vAlign w:val="center"/>
          </w:tcPr>
          <w:p w14:paraId="01F80C3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94.29</w:t>
            </w:r>
          </w:p>
        </w:tc>
        <w:tc>
          <w:tcPr>
            <w:tcW w:w="267" w:type="pct"/>
            <w:vAlign w:val="center"/>
          </w:tcPr>
          <w:p w14:paraId="23F9F24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93.33</w:t>
            </w:r>
          </w:p>
        </w:tc>
        <w:tc>
          <w:tcPr>
            <w:tcW w:w="267" w:type="pct"/>
            <w:vAlign w:val="center"/>
          </w:tcPr>
          <w:p w14:paraId="46D136A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93.67</w:t>
            </w:r>
          </w:p>
        </w:tc>
        <w:tc>
          <w:tcPr>
            <w:tcW w:w="267" w:type="pct"/>
            <w:vAlign w:val="center"/>
          </w:tcPr>
          <w:p w14:paraId="632AD532"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94.00</w:t>
            </w:r>
          </w:p>
        </w:tc>
        <w:tc>
          <w:tcPr>
            <w:tcW w:w="311" w:type="pct"/>
            <w:vAlign w:val="center"/>
          </w:tcPr>
          <w:p w14:paraId="7D41DD4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93.67</w:t>
            </w:r>
          </w:p>
        </w:tc>
        <w:tc>
          <w:tcPr>
            <w:tcW w:w="267" w:type="pct"/>
            <w:vAlign w:val="center"/>
          </w:tcPr>
          <w:p w14:paraId="62D26E7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10.48</w:t>
            </w:r>
          </w:p>
        </w:tc>
        <w:tc>
          <w:tcPr>
            <w:tcW w:w="267" w:type="pct"/>
            <w:vAlign w:val="center"/>
          </w:tcPr>
          <w:p w14:paraId="3DE3BEE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10.56</w:t>
            </w:r>
          </w:p>
        </w:tc>
        <w:tc>
          <w:tcPr>
            <w:tcW w:w="267" w:type="pct"/>
            <w:vAlign w:val="center"/>
          </w:tcPr>
          <w:p w14:paraId="651F027F"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11.69</w:t>
            </w:r>
          </w:p>
        </w:tc>
        <w:tc>
          <w:tcPr>
            <w:tcW w:w="311" w:type="pct"/>
            <w:vAlign w:val="center"/>
          </w:tcPr>
          <w:p w14:paraId="71AFC1E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10.91</w:t>
            </w:r>
          </w:p>
        </w:tc>
        <w:tc>
          <w:tcPr>
            <w:tcW w:w="267" w:type="pct"/>
            <w:gridSpan w:val="2"/>
            <w:vAlign w:val="center"/>
          </w:tcPr>
          <w:p w14:paraId="7EAE160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30.66</w:t>
            </w:r>
          </w:p>
        </w:tc>
        <w:tc>
          <w:tcPr>
            <w:tcW w:w="267" w:type="pct"/>
            <w:vAlign w:val="center"/>
          </w:tcPr>
          <w:p w14:paraId="7790E2D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28.65</w:t>
            </w:r>
          </w:p>
        </w:tc>
        <w:tc>
          <w:tcPr>
            <w:tcW w:w="267" w:type="pct"/>
            <w:vAlign w:val="center"/>
          </w:tcPr>
          <w:p w14:paraId="0C5B1E2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31.75</w:t>
            </w:r>
          </w:p>
        </w:tc>
        <w:tc>
          <w:tcPr>
            <w:tcW w:w="311" w:type="pct"/>
            <w:vAlign w:val="center"/>
          </w:tcPr>
          <w:p w14:paraId="1EA0CC7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30.35</w:t>
            </w:r>
          </w:p>
        </w:tc>
        <w:tc>
          <w:tcPr>
            <w:tcW w:w="245" w:type="pct"/>
            <w:vAlign w:val="center"/>
          </w:tcPr>
          <w:p w14:paraId="19D07BD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2.78</w:t>
            </w:r>
          </w:p>
        </w:tc>
      </w:tr>
      <w:tr w:rsidR="008A308A" w:rsidRPr="00C224C5" w14:paraId="28C106D8" w14:textId="77777777" w:rsidTr="005E4D6E">
        <w:trPr>
          <w:gridAfter w:val="1"/>
          <w:wAfter w:w="4" w:type="pct"/>
          <w:trHeight w:val="352"/>
          <w:jc w:val="center"/>
        </w:trPr>
        <w:tc>
          <w:tcPr>
            <w:tcW w:w="298" w:type="pct"/>
            <w:vAlign w:val="center"/>
          </w:tcPr>
          <w:p w14:paraId="4C63119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T4</w:t>
            </w:r>
          </w:p>
        </w:tc>
        <w:tc>
          <w:tcPr>
            <w:tcW w:w="267" w:type="pct"/>
            <w:vAlign w:val="center"/>
          </w:tcPr>
          <w:p w14:paraId="0FA61CA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tcPr>
          <w:p w14:paraId="72A5195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91.00</w:t>
            </w:r>
          </w:p>
        </w:tc>
        <w:tc>
          <w:tcPr>
            <w:tcW w:w="267" w:type="pct"/>
            <w:vAlign w:val="center"/>
          </w:tcPr>
          <w:p w14:paraId="42CAEC9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93.33</w:t>
            </w:r>
          </w:p>
        </w:tc>
        <w:tc>
          <w:tcPr>
            <w:tcW w:w="311" w:type="pct"/>
            <w:vAlign w:val="center"/>
          </w:tcPr>
          <w:p w14:paraId="7DE219D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92.33</w:t>
            </w:r>
          </w:p>
        </w:tc>
        <w:tc>
          <w:tcPr>
            <w:tcW w:w="267" w:type="pct"/>
            <w:vAlign w:val="center"/>
          </w:tcPr>
          <w:p w14:paraId="6605480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93.33</w:t>
            </w:r>
          </w:p>
        </w:tc>
        <w:tc>
          <w:tcPr>
            <w:tcW w:w="267" w:type="pct"/>
            <w:vAlign w:val="center"/>
          </w:tcPr>
          <w:p w14:paraId="73A9445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vAlign w:val="center"/>
          </w:tcPr>
          <w:p w14:paraId="3FAF3A29"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93.33</w:t>
            </w:r>
          </w:p>
        </w:tc>
        <w:tc>
          <w:tcPr>
            <w:tcW w:w="311" w:type="pct"/>
            <w:vAlign w:val="center"/>
          </w:tcPr>
          <w:p w14:paraId="4057033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93.11</w:t>
            </w:r>
          </w:p>
        </w:tc>
        <w:tc>
          <w:tcPr>
            <w:tcW w:w="267" w:type="pct"/>
            <w:vAlign w:val="center"/>
          </w:tcPr>
          <w:p w14:paraId="6524653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13.57</w:t>
            </w:r>
          </w:p>
        </w:tc>
        <w:tc>
          <w:tcPr>
            <w:tcW w:w="267" w:type="pct"/>
            <w:vAlign w:val="center"/>
          </w:tcPr>
          <w:p w14:paraId="404D082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13.74</w:t>
            </w:r>
          </w:p>
        </w:tc>
        <w:tc>
          <w:tcPr>
            <w:tcW w:w="267" w:type="pct"/>
            <w:vAlign w:val="center"/>
          </w:tcPr>
          <w:p w14:paraId="663F0AC6"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17.35</w:t>
            </w:r>
          </w:p>
        </w:tc>
        <w:tc>
          <w:tcPr>
            <w:tcW w:w="311" w:type="pct"/>
            <w:vAlign w:val="center"/>
          </w:tcPr>
          <w:p w14:paraId="1B8D2DC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14.89</w:t>
            </w:r>
          </w:p>
        </w:tc>
        <w:tc>
          <w:tcPr>
            <w:tcW w:w="267" w:type="pct"/>
            <w:gridSpan w:val="2"/>
            <w:vAlign w:val="center"/>
          </w:tcPr>
          <w:p w14:paraId="122177E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23.56</w:t>
            </w:r>
          </w:p>
        </w:tc>
        <w:tc>
          <w:tcPr>
            <w:tcW w:w="267" w:type="pct"/>
            <w:vAlign w:val="center"/>
          </w:tcPr>
          <w:p w14:paraId="29014ECE"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21.60</w:t>
            </w:r>
          </w:p>
        </w:tc>
        <w:tc>
          <w:tcPr>
            <w:tcW w:w="267" w:type="pct"/>
            <w:vAlign w:val="center"/>
          </w:tcPr>
          <w:p w14:paraId="3238FAA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24.73</w:t>
            </w:r>
          </w:p>
        </w:tc>
        <w:tc>
          <w:tcPr>
            <w:tcW w:w="311" w:type="pct"/>
            <w:vAlign w:val="center"/>
          </w:tcPr>
          <w:p w14:paraId="4EF5570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23.30</w:t>
            </w:r>
          </w:p>
        </w:tc>
        <w:tc>
          <w:tcPr>
            <w:tcW w:w="245" w:type="pct"/>
            <w:vAlign w:val="center"/>
          </w:tcPr>
          <w:p w14:paraId="35195AE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1.91</w:t>
            </w:r>
          </w:p>
        </w:tc>
      </w:tr>
      <w:tr w:rsidR="008A308A" w:rsidRPr="00C224C5" w14:paraId="1937358A" w14:textId="77777777" w:rsidTr="005E4D6E">
        <w:trPr>
          <w:gridAfter w:val="1"/>
          <w:wAfter w:w="4" w:type="pct"/>
          <w:trHeight w:val="360"/>
          <w:jc w:val="center"/>
        </w:trPr>
        <w:tc>
          <w:tcPr>
            <w:tcW w:w="298" w:type="pct"/>
            <w:vAlign w:val="center"/>
          </w:tcPr>
          <w:p w14:paraId="1030456B"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T5</w:t>
            </w:r>
          </w:p>
        </w:tc>
        <w:tc>
          <w:tcPr>
            <w:tcW w:w="267" w:type="pct"/>
            <w:vAlign w:val="center"/>
          </w:tcPr>
          <w:p w14:paraId="26E3CF2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92.33</w:t>
            </w:r>
          </w:p>
        </w:tc>
        <w:tc>
          <w:tcPr>
            <w:tcW w:w="267" w:type="pct"/>
          </w:tcPr>
          <w:p w14:paraId="0C8E9D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vAlign w:val="center"/>
          </w:tcPr>
          <w:p w14:paraId="564C6A2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93.67</w:t>
            </w:r>
          </w:p>
        </w:tc>
        <w:tc>
          <w:tcPr>
            <w:tcW w:w="311" w:type="pct"/>
            <w:vAlign w:val="center"/>
          </w:tcPr>
          <w:p w14:paraId="4C904B3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92.89</w:t>
            </w:r>
          </w:p>
        </w:tc>
        <w:tc>
          <w:tcPr>
            <w:tcW w:w="267" w:type="pct"/>
            <w:vAlign w:val="center"/>
          </w:tcPr>
          <w:p w14:paraId="56A1F43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1E22B22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90.00</w:t>
            </w:r>
          </w:p>
        </w:tc>
        <w:tc>
          <w:tcPr>
            <w:tcW w:w="267" w:type="pct"/>
            <w:vAlign w:val="center"/>
          </w:tcPr>
          <w:p w14:paraId="341969A5"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93.00</w:t>
            </w:r>
          </w:p>
        </w:tc>
        <w:tc>
          <w:tcPr>
            <w:tcW w:w="311" w:type="pct"/>
            <w:vAlign w:val="center"/>
          </w:tcPr>
          <w:p w14:paraId="4DF6B2D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91.22</w:t>
            </w:r>
          </w:p>
        </w:tc>
        <w:tc>
          <w:tcPr>
            <w:tcW w:w="267" w:type="pct"/>
            <w:vAlign w:val="center"/>
          </w:tcPr>
          <w:p w14:paraId="0C388C8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12.47</w:t>
            </w:r>
          </w:p>
        </w:tc>
        <w:tc>
          <w:tcPr>
            <w:tcW w:w="267" w:type="pct"/>
            <w:vAlign w:val="center"/>
          </w:tcPr>
          <w:p w14:paraId="70749C8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12.57</w:t>
            </w:r>
          </w:p>
        </w:tc>
        <w:tc>
          <w:tcPr>
            <w:tcW w:w="267" w:type="pct"/>
            <w:vAlign w:val="center"/>
          </w:tcPr>
          <w:p w14:paraId="44A6577D"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13.24</w:t>
            </w:r>
          </w:p>
        </w:tc>
        <w:tc>
          <w:tcPr>
            <w:tcW w:w="311" w:type="pct"/>
            <w:vAlign w:val="center"/>
          </w:tcPr>
          <w:p w14:paraId="3C772B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12.76</w:t>
            </w:r>
          </w:p>
        </w:tc>
        <w:tc>
          <w:tcPr>
            <w:tcW w:w="267" w:type="pct"/>
            <w:gridSpan w:val="2"/>
            <w:vAlign w:val="center"/>
          </w:tcPr>
          <w:p w14:paraId="42DC206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25.00</w:t>
            </w:r>
          </w:p>
        </w:tc>
        <w:tc>
          <w:tcPr>
            <w:tcW w:w="267" w:type="pct"/>
            <w:vAlign w:val="center"/>
          </w:tcPr>
          <w:p w14:paraId="11D4B17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23.22</w:t>
            </w:r>
          </w:p>
        </w:tc>
        <w:tc>
          <w:tcPr>
            <w:tcW w:w="267" w:type="pct"/>
            <w:vAlign w:val="center"/>
          </w:tcPr>
          <w:p w14:paraId="27A9011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26.46</w:t>
            </w:r>
          </w:p>
        </w:tc>
        <w:tc>
          <w:tcPr>
            <w:tcW w:w="311" w:type="pct"/>
            <w:vAlign w:val="center"/>
          </w:tcPr>
          <w:p w14:paraId="199BA78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24.89</w:t>
            </w:r>
          </w:p>
        </w:tc>
        <w:tc>
          <w:tcPr>
            <w:tcW w:w="245" w:type="pct"/>
            <w:vAlign w:val="center"/>
          </w:tcPr>
          <w:p w14:paraId="037777A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2.11</w:t>
            </w:r>
          </w:p>
        </w:tc>
      </w:tr>
      <w:tr w:rsidR="008A308A" w:rsidRPr="00C224C5" w14:paraId="0A956A0F" w14:textId="77777777" w:rsidTr="005E4D6E">
        <w:trPr>
          <w:gridAfter w:val="1"/>
          <w:wAfter w:w="4" w:type="pct"/>
          <w:trHeight w:val="352"/>
          <w:jc w:val="center"/>
        </w:trPr>
        <w:tc>
          <w:tcPr>
            <w:tcW w:w="298" w:type="pct"/>
            <w:vAlign w:val="center"/>
          </w:tcPr>
          <w:p w14:paraId="760DB51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kern w:val="24"/>
                <w:sz w:val="16"/>
                <w:szCs w:val="16"/>
                <w:lang w:val="en-US"/>
              </w:rPr>
              <w:t>T6</w:t>
            </w:r>
          </w:p>
        </w:tc>
        <w:tc>
          <w:tcPr>
            <w:tcW w:w="267" w:type="pct"/>
            <w:vAlign w:val="center"/>
          </w:tcPr>
          <w:p w14:paraId="06EA0C6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95.00</w:t>
            </w:r>
          </w:p>
        </w:tc>
        <w:tc>
          <w:tcPr>
            <w:tcW w:w="267" w:type="pct"/>
          </w:tcPr>
          <w:p w14:paraId="5BEA906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93.93</w:t>
            </w:r>
          </w:p>
        </w:tc>
        <w:tc>
          <w:tcPr>
            <w:tcW w:w="267" w:type="pct"/>
            <w:vAlign w:val="center"/>
          </w:tcPr>
          <w:p w14:paraId="50B38A9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94.53</w:t>
            </w:r>
          </w:p>
        </w:tc>
        <w:tc>
          <w:tcPr>
            <w:tcW w:w="311" w:type="pct"/>
            <w:vAlign w:val="center"/>
          </w:tcPr>
          <w:p w14:paraId="12D90A1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94.49</w:t>
            </w:r>
          </w:p>
        </w:tc>
        <w:tc>
          <w:tcPr>
            <w:tcW w:w="267" w:type="pct"/>
            <w:vAlign w:val="center"/>
          </w:tcPr>
          <w:p w14:paraId="2B64ED8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89.33</w:t>
            </w:r>
          </w:p>
        </w:tc>
        <w:tc>
          <w:tcPr>
            <w:tcW w:w="267" w:type="pct"/>
            <w:vAlign w:val="center"/>
          </w:tcPr>
          <w:p w14:paraId="59F8E70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88.00</w:t>
            </w:r>
          </w:p>
        </w:tc>
        <w:tc>
          <w:tcPr>
            <w:tcW w:w="267" w:type="pct"/>
            <w:vAlign w:val="center"/>
          </w:tcPr>
          <w:p w14:paraId="3CC2C31E"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95.17</w:t>
            </w:r>
          </w:p>
        </w:tc>
        <w:tc>
          <w:tcPr>
            <w:tcW w:w="311" w:type="pct"/>
            <w:vAlign w:val="center"/>
          </w:tcPr>
          <w:p w14:paraId="16C420C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90.83</w:t>
            </w:r>
          </w:p>
        </w:tc>
        <w:tc>
          <w:tcPr>
            <w:tcW w:w="267" w:type="pct"/>
            <w:vAlign w:val="center"/>
          </w:tcPr>
          <w:p w14:paraId="7D29513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11.67</w:t>
            </w:r>
          </w:p>
        </w:tc>
        <w:tc>
          <w:tcPr>
            <w:tcW w:w="267" w:type="pct"/>
            <w:vAlign w:val="center"/>
          </w:tcPr>
          <w:p w14:paraId="351CD72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11.35</w:t>
            </w:r>
          </w:p>
        </w:tc>
        <w:tc>
          <w:tcPr>
            <w:tcW w:w="267" w:type="pct"/>
            <w:vAlign w:val="center"/>
          </w:tcPr>
          <w:p w14:paraId="2E7629D1"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12.74</w:t>
            </w:r>
          </w:p>
        </w:tc>
        <w:tc>
          <w:tcPr>
            <w:tcW w:w="311" w:type="pct"/>
            <w:vAlign w:val="center"/>
          </w:tcPr>
          <w:p w14:paraId="062EF1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11.92</w:t>
            </w:r>
          </w:p>
        </w:tc>
        <w:tc>
          <w:tcPr>
            <w:tcW w:w="267" w:type="pct"/>
            <w:gridSpan w:val="2"/>
            <w:vAlign w:val="center"/>
          </w:tcPr>
          <w:p w14:paraId="51E3179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25.70</w:t>
            </w:r>
          </w:p>
        </w:tc>
        <w:tc>
          <w:tcPr>
            <w:tcW w:w="267" w:type="pct"/>
            <w:vAlign w:val="center"/>
          </w:tcPr>
          <w:p w14:paraId="100C730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24.08</w:t>
            </w:r>
          </w:p>
        </w:tc>
        <w:tc>
          <w:tcPr>
            <w:tcW w:w="267" w:type="pct"/>
            <w:vAlign w:val="center"/>
          </w:tcPr>
          <w:p w14:paraId="48A529A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27.18</w:t>
            </w:r>
          </w:p>
        </w:tc>
        <w:tc>
          <w:tcPr>
            <w:tcW w:w="311" w:type="pct"/>
            <w:vAlign w:val="center"/>
          </w:tcPr>
          <w:p w14:paraId="033BFDA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25.65</w:t>
            </w:r>
          </w:p>
        </w:tc>
        <w:tc>
          <w:tcPr>
            <w:tcW w:w="245" w:type="pct"/>
            <w:vAlign w:val="center"/>
          </w:tcPr>
          <w:p w14:paraId="2F7DDD0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2.18</w:t>
            </w:r>
          </w:p>
        </w:tc>
      </w:tr>
      <w:tr w:rsidR="008A308A" w:rsidRPr="00C224C5" w14:paraId="1DF21681" w14:textId="77777777" w:rsidTr="005E4D6E">
        <w:trPr>
          <w:gridAfter w:val="1"/>
          <w:wAfter w:w="4" w:type="pct"/>
          <w:trHeight w:val="360"/>
          <w:jc w:val="center"/>
        </w:trPr>
        <w:tc>
          <w:tcPr>
            <w:tcW w:w="298" w:type="pct"/>
            <w:vAlign w:val="center"/>
          </w:tcPr>
          <w:p w14:paraId="21126604"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T7</w:t>
            </w:r>
          </w:p>
        </w:tc>
        <w:tc>
          <w:tcPr>
            <w:tcW w:w="267" w:type="pct"/>
            <w:vAlign w:val="center"/>
          </w:tcPr>
          <w:p w14:paraId="59E07381"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90.00</w:t>
            </w:r>
          </w:p>
        </w:tc>
        <w:tc>
          <w:tcPr>
            <w:tcW w:w="267" w:type="pct"/>
          </w:tcPr>
          <w:p w14:paraId="12BC03B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90.67</w:t>
            </w:r>
          </w:p>
        </w:tc>
        <w:tc>
          <w:tcPr>
            <w:tcW w:w="267" w:type="pct"/>
            <w:vAlign w:val="center"/>
          </w:tcPr>
          <w:p w14:paraId="51E753E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90.67</w:t>
            </w:r>
          </w:p>
        </w:tc>
        <w:tc>
          <w:tcPr>
            <w:tcW w:w="311" w:type="pct"/>
            <w:vAlign w:val="center"/>
          </w:tcPr>
          <w:p w14:paraId="3289B4C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90.45</w:t>
            </w:r>
          </w:p>
        </w:tc>
        <w:tc>
          <w:tcPr>
            <w:tcW w:w="267" w:type="pct"/>
            <w:vAlign w:val="center"/>
          </w:tcPr>
          <w:p w14:paraId="67E83E0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94.00</w:t>
            </w:r>
          </w:p>
        </w:tc>
        <w:tc>
          <w:tcPr>
            <w:tcW w:w="267" w:type="pct"/>
            <w:vAlign w:val="center"/>
          </w:tcPr>
          <w:p w14:paraId="53A0A4A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92.67</w:t>
            </w:r>
          </w:p>
        </w:tc>
        <w:tc>
          <w:tcPr>
            <w:tcW w:w="267" w:type="pct"/>
            <w:vAlign w:val="center"/>
          </w:tcPr>
          <w:p w14:paraId="54D97C26"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91.67</w:t>
            </w:r>
          </w:p>
        </w:tc>
        <w:tc>
          <w:tcPr>
            <w:tcW w:w="311" w:type="pct"/>
            <w:vAlign w:val="center"/>
          </w:tcPr>
          <w:p w14:paraId="367CA3B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92.78</w:t>
            </w:r>
          </w:p>
        </w:tc>
        <w:tc>
          <w:tcPr>
            <w:tcW w:w="267" w:type="pct"/>
            <w:vAlign w:val="center"/>
          </w:tcPr>
          <w:p w14:paraId="66A131C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22.63</w:t>
            </w:r>
          </w:p>
        </w:tc>
        <w:tc>
          <w:tcPr>
            <w:tcW w:w="267" w:type="pct"/>
            <w:vAlign w:val="center"/>
          </w:tcPr>
          <w:p w14:paraId="510006D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22.36</w:t>
            </w:r>
          </w:p>
        </w:tc>
        <w:tc>
          <w:tcPr>
            <w:tcW w:w="267" w:type="pct"/>
            <w:vAlign w:val="center"/>
          </w:tcPr>
          <w:p w14:paraId="09128A79" w14:textId="77777777" w:rsidR="005E4D6E" w:rsidRPr="00C224C5" w:rsidRDefault="005E4D6E" w:rsidP="00EF55F8">
            <w:pPr>
              <w:spacing w:line="276" w:lineRule="auto"/>
              <w:jc w:val="both"/>
              <w:rPr>
                <w:rFonts w:ascii="Times New Roman" w:eastAsia="Times New Roman" w:hAnsi="Times New Roman" w:cs="Times New Roman"/>
                <w:sz w:val="16"/>
                <w:szCs w:val="16"/>
                <w:lang w:eastAsia="en-IN"/>
              </w:rPr>
            </w:pPr>
            <w:r w:rsidRPr="00C224C5">
              <w:rPr>
                <w:rFonts w:ascii="Times New Roman" w:eastAsia="Times New Roman" w:hAnsi="Times New Roman" w:cs="Times New Roman"/>
                <w:sz w:val="16"/>
                <w:szCs w:val="16"/>
                <w:lang w:eastAsia="en-IN"/>
              </w:rPr>
              <w:t>22.56</w:t>
            </w:r>
          </w:p>
        </w:tc>
        <w:tc>
          <w:tcPr>
            <w:tcW w:w="311" w:type="pct"/>
            <w:vAlign w:val="center"/>
          </w:tcPr>
          <w:p w14:paraId="2756F1D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22.52</w:t>
            </w:r>
          </w:p>
        </w:tc>
        <w:tc>
          <w:tcPr>
            <w:tcW w:w="267" w:type="pct"/>
            <w:gridSpan w:val="2"/>
            <w:vAlign w:val="center"/>
          </w:tcPr>
          <w:p w14:paraId="4D8798B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20.25</w:t>
            </w:r>
          </w:p>
        </w:tc>
        <w:tc>
          <w:tcPr>
            <w:tcW w:w="267" w:type="pct"/>
            <w:vAlign w:val="center"/>
          </w:tcPr>
          <w:p w14:paraId="65F9C03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16.85</w:t>
            </w:r>
          </w:p>
        </w:tc>
        <w:tc>
          <w:tcPr>
            <w:tcW w:w="267" w:type="pct"/>
            <w:vAlign w:val="center"/>
          </w:tcPr>
          <w:p w14:paraId="3950499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23.19</w:t>
            </w:r>
          </w:p>
        </w:tc>
        <w:tc>
          <w:tcPr>
            <w:tcW w:w="311" w:type="pct"/>
            <w:vAlign w:val="center"/>
          </w:tcPr>
          <w:p w14:paraId="5822E0A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20.10</w:t>
            </w:r>
          </w:p>
        </w:tc>
        <w:tc>
          <w:tcPr>
            <w:tcW w:w="245" w:type="pct"/>
            <w:vAlign w:val="center"/>
          </w:tcPr>
          <w:p w14:paraId="4D10F0C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1.51</w:t>
            </w:r>
          </w:p>
        </w:tc>
      </w:tr>
      <w:tr w:rsidR="008A308A" w:rsidRPr="00C224C5" w14:paraId="01930B90" w14:textId="77777777" w:rsidTr="005E4D6E">
        <w:trPr>
          <w:gridAfter w:val="1"/>
          <w:wAfter w:w="4" w:type="pct"/>
          <w:trHeight w:val="352"/>
          <w:jc w:val="center"/>
        </w:trPr>
        <w:tc>
          <w:tcPr>
            <w:tcW w:w="298" w:type="pct"/>
            <w:vAlign w:val="center"/>
          </w:tcPr>
          <w:p w14:paraId="6B561147"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proofErr w:type="spellStart"/>
            <w:r w:rsidRPr="00C224C5">
              <w:rPr>
                <w:rFonts w:ascii="Times New Roman" w:eastAsia="Times New Roman" w:hAnsi="Times New Roman" w:cs="Times New Roman"/>
                <w:kern w:val="24"/>
                <w:sz w:val="16"/>
                <w:szCs w:val="16"/>
                <w:lang w:val="en-US"/>
              </w:rPr>
              <w:t>SEm</w:t>
            </w:r>
            <w:proofErr w:type="spellEnd"/>
            <w:r w:rsidRPr="00C224C5">
              <w:rPr>
                <w:rFonts w:ascii="Times New Roman" w:eastAsia="Times New Roman" w:hAnsi="Times New Roman" w:cs="Times New Roman"/>
                <w:kern w:val="24"/>
                <w:sz w:val="16"/>
                <w:szCs w:val="16"/>
                <w:lang w:val="en-US"/>
              </w:rPr>
              <w:t>±</w:t>
            </w:r>
          </w:p>
        </w:tc>
        <w:tc>
          <w:tcPr>
            <w:tcW w:w="267" w:type="pct"/>
            <w:vAlign w:val="center"/>
          </w:tcPr>
          <w:p w14:paraId="5FE1B665"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1.42</w:t>
            </w:r>
          </w:p>
        </w:tc>
        <w:tc>
          <w:tcPr>
            <w:tcW w:w="267" w:type="pct"/>
            <w:vAlign w:val="center"/>
          </w:tcPr>
          <w:p w14:paraId="711F263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1.73</w:t>
            </w:r>
          </w:p>
        </w:tc>
        <w:tc>
          <w:tcPr>
            <w:tcW w:w="267" w:type="pct"/>
            <w:vAlign w:val="center"/>
          </w:tcPr>
          <w:p w14:paraId="530A10E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1.35</w:t>
            </w:r>
          </w:p>
        </w:tc>
        <w:tc>
          <w:tcPr>
            <w:tcW w:w="311" w:type="pct"/>
            <w:vAlign w:val="center"/>
          </w:tcPr>
          <w:p w14:paraId="443750C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0.46</w:t>
            </w:r>
          </w:p>
        </w:tc>
        <w:tc>
          <w:tcPr>
            <w:tcW w:w="267" w:type="pct"/>
            <w:vAlign w:val="center"/>
          </w:tcPr>
          <w:p w14:paraId="19219FA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1.52</w:t>
            </w:r>
          </w:p>
        </w:tc>
        <w:tc>
          <w:tcPr>
            <w:tcW w:w="267" w:type="pct"/>
            <w:vAlign w:val="center"/>
          </w:tcPr>
          <w:p w14:paraId="39F5C11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1.44</w:t>
            </w:r>
          </w:p>
        </w:tc>
        <w:tc>
          <w:tcPr>
            <w:tcW w:w="267" w:type="pct"/>
            <w:vAlign w:val="center"/>
          </w:tcPr>
          <w:p w14:paraId="23FCCAB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1.57</w:t>
            </w:r>
          </w:p>
        </w:tc>
        <w:tc>
          <w:tcPr>
            <w:tcW w:w="311" w:type="pct"/>
            <w:vAlign w:val="center"/>
          </w:tcPr>
          <w:p w14:paraId="33F9E65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0.92</w:t>
            </w:r>
          </w:p>
        </w:tc>
        <w:tc>
          <w:tcPr>
            <w:tcW w:w="267" w:type="pct"/>
            <w:vAlign w:val="center"/>
          </w:tcPr>
          <w:p w14:paraId="1507386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0.56</w:t>
            </w:r>
          </w:p>
        </w:tc>
        <w:tc>
          <w:tcPr>
            <w:tcW w:w="267" w:type="pct"/>
            <w:vAlign w:val="center"/>
          </w:tcPr>
          <w:p w14:paraId="510ABCB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1.18</w:t>
            </w:r>
          </w:p>
        </w:tc>
        <w:tc>
          <w:tcPr>
            <w:tcW w:w="267" w:type="pct"/>
            <w:vAlign w:val="center"/>
          </w:tcPr>
          <w:p w14:paraId="23F6FD1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 xml:space="preserve">0.82 </w:t>
            </w:r>
          </w:p>
        </w:tc>
        <w:tc>
          <w:tcPr>
            <w:tcW w:w="311" w:type="pct"/>
            <w:vAlign w:val="center"/>
          </w:tcPr>
          <w:p w14:paraId="55584D2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0.91</w:t>
            </w:r>
          </w:p>
        </w:tc>
        <w:tc>
          <w:tcPr>
            <w:tcW w:w="267" w:type="pct"/>
            <w:gridSpan w:val="2"/>
            <w:vAlign w:val="center"/>
          </w:tcPr>
          <w:p w14:paraId="3795677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0.77</w:t>
            </w:r>
          </w:p>
        </w:tc>
        <w:tc>
          <w:tcPr>
            <w:tcW w:w="267" w:type="pct"/>
            <w:vAlign w:val="center"/>
          </w:tcPr>
          <w:p w14:paraId="79AE982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1.60</w:t>
            </w:r>
          </w:p>
        </w:tc>
        <w:tc>
          <w:tcPr>
            <w:tcW w:w="267" w:type="pct"/>
            <w:vAlign w:val="center"/>
          </w:tcPr>
          <w:p w14:paraId="3A0F967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1.06</w:t>
            </w:r>
          </w:p>
        </w:tc>
        <w:tc>
          <w:tcPr>
            <w:tcW w:w="311" w:type="pct"/>
            <w:vAlign w:val="center"/>
          </w:tcPr>
          <w:p w14:paraId="030C109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0.53</w:t>
            </w:r>
          </w:p>
        </w:tc>
        <w:tc>
          <w:tcPr>
            <w:tcW w:w="245" w:type="pct"/>
          </w:tcPr>
          <w:p w14:paraId="00E58E5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w:t>
            </w:r>
          </w:p>
        </w:tc>
      </w:tr>
      <w:tr w:rsidR="008A308A" w:rsidRPr="00C224C5" w14:paraId="7BF1672E" w14:textId="77777777" w:rsidTr="005E4D6E">
        <w:trPr>
          <w:gridAfter w:val="1"/>
          <w:wAfter w:w="4" w:type="pct"/>
          <w:trHeight w:val="317"/>
          <w:jc w:val="center"/>
        </w:trPr>
        <w:tc>
          <w:tcPr>
            <w:tcW w:w="298" w:type="pct"/>
            <w:vAlign w:val="center"/>
          </w:tcPr>
          <w:p w14:paraId="012F36E7"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C.D.</w:t>
            </w:r>
          </w:p>
          <w:p w14:paraId="0B59E6FD"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at 5%</w:t>
            </w:r>
          </w:p>
        </w:tc>
        <w:tc>
          <w:tcPr>
            <w:tcW w:w="267" w:type="pct"/>
            <w:vAlign w:val="center"/>
          </w:tcPr>
          <w:p w14:paraId="12FF1DE2"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4.43</w:t>
            </w:r>
          </w:p>
        </w:tc>
        <w:tc>
          <w:tcPr>
            <w:tcW w:w="267" w:type="pct"/>
            <w:vAlign w:val="center"/>
          </w:tcPr>
          <w:p w14:paraId="602A317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NS</w:t>
            </w:r>
          </w:p>
        </w:tc>
        <w:tc>
          <w:tcPr>
            <w:tcW w:w="267" w:type="pct"/>
            <w:vAlign w:val="center"/>
          </w:tcPr>
          <w:p w14:paraId="4DB7E1F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NS</w:t>
            </w:r>
          </w:p>
        </w:tc>
        <w:tc>
          <w:tcPr>
            <w:tcW w:w="311" w:type="pct"/>
            <w:vAlign w:val="center"/>
          </w:tcPr>
          <w:p w14:paraId="2264722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1.43</w:t>
            </w:r>
          </w:p>
        </w:tc>
        <w:tc>
          <w:tcPr>
            <w:tcW w:w="267" w:type="pct"/>
            <w:vAlign w:val="center"/>
          </w:tcPr>
          <w:p w14:paraId="027D4A6C"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NS</w:t>
            </w:r>
          </w:p>
        </w:tc>
        <w:tc>
          <w:tcPr>
            <w:tcW w:w="267" w:type="pct"/>
            <w:vAlign w:val="center"/>
          </w:tcPr>
          <w:p w14:paraId="1B9CC07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NS</w:t>
            </w:r>
          </w:p>
        </w:tc>
        <w:tc>
          <w:tcPr>
            <w:tcW w:w="267" w:type="pct"/>
            <w:vAlign w:val="center"/>
          </w:tcPr>
          <w:p w14:paraId="678F732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NS</w:t>
            </w:r>
          </w:p>
        </w:tc>
        <w:tc>
          <w:tcPr>
            <w:tcW w:w="311" w:type="pct"/>
            <w:vAlign w:val="center"/>
          </w:tcPr>
          <w:p w14:paraId="0541E103"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NS</w:t>
            </w:r>
          </w:p>
        </w:tc>
        <w:tc>
          <w:tcPr>
            <w:tcW w:w="267" w:type="pct"/>
            <w:vAlign w:val="center"/>
          </w:tcPr>
          <w:p w14:paraId="4B61DFE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1.77</w:t>
            </w:r>
          </w:p>
        </w:tc>
        <w:tc>
          <w:tcPr>
            <w:tcW w:w="267" w:type="pct"/>
            <w:vAlign w:val="center"/>
          </w:tcPr>
          <w:p w14:paraId="04D729B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3.63</w:t>
            </w:r>
          </w:p>
        </w:tc>
        <w:tc>
          <w:tcPr>
            <w:tcW w:w="267" w:type="pct"/>
            <w:vAlign w:val="center"/>
          </w:tcPr>
          <w:p w14:paraId="4D67021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 xml:space="preserve">2.546 </w:t>
            </w:r>
          </w:p>
        </w:tc>
        <w:tc>
          <w:tcPr>
            <w:tcW w:w="311" w:type="pct"/>
            <w:vAlign w:val="center"/>
          </w:tcPr>
          <w:p w14:paraId="03C79B8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2.80</w:t>
            </w:r>
          </w:p>
        </w:tc>
        <w:tc>
          <w:tcPr>
            <w:tcW w:w="267" w:type="pct"/>
            <w:gridSpan w:val="2"/>
            <w:vAlign w:val="center"/>
          </w:tcPr>
          <w:p w14:paraId="1BA5360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2.42</w:t>
            </w:r>
          </w:p>
        </w:tc>
        <w:tc>
          <w:tcPr>
            <w:tcW w:w="267" w:type="pct"/>
            <w:vAlign w:val="center"/>
          </w:tcPr>
          <w:p w14:paraId="2C154FD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4.93</w:t>
            </w:r>
          </w:p>
        </w:tc>
        <w:tc>
          <w:tcPr>
            <w:tcW w:w="267" w:type="pct"/>
            <w:vAlign w:val="center"/>
          </w:tcPr>
          <w:p w14:paraId="48A449D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3.319</w:t>
            </w:r>
          </w:p>
        </w:tc>
        <w:tc>
          <w:tcPr>
            <w:tcW w:w="311" w:type="pct"/>
            <w:vAlign w:val="center"/>
          </w:tcPr>
          <w:p w14:paraId="61B17E1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1.63</w:t>
            </w:r>
          </w:p>
        </w:tc>
        <w:tc>
          <w:tcPr>
            <w:tcW w:w="245" w:type="pct"/>
          </w:tcPr>
          <w:p w14:paraId="713E3E8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w:t>
            </w:r>
          </w:p>
        </w:tc>
      </w:tr>
      <w:tr w:rsidR="005E4D6E" w:rsidRPr="00C224C5" w14:paraId="61AC73CB" w14:textId="77777777" w:rsidTr="005E4D6E">
        <w:trPr>
          <w:gridAfter w:val="1"/>
          <w:wAfter w:w="4" w:type="pct"/>
          <w:trHeight w:val="360"/>
          <w:jc w:val="center"/>
        </w:trPr>
        <w:tc>
          <w:tcPr>
            <w:tcW w:w="298" w:type="pct"/>
          </w:tcPr>
          <w:p w14:paraId="77103B15"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C.V.%</w:t>
            </w:r>
          </w:p>
        </w:tc>
        <w:tc>
          <w:tcPr>
            <w:tcW w:w="267" w:type="pct"/>
            <w:vAlign w:val="center"/>
          </w:tcPr>
          <w:p w14:paraId="44B779B5" w14:textId="77777777" w:rsidR="005E4D6E" w:rsidRPr="00C224C5" w:rsidRDefault="005E4D6E" w:rsidP="00EF55F8">
            <w:pPr>
              <w:spacing w:line="276" w:lineRule="auto"/>
              <w:jc w:val="both"/>
              <w:rPr>
                <w:rFonts w:ascii="Times New Roman" w:eastAsia="Times New Roman" w:hAnsi="Times New Roman" w:cs="Times New Roman"/>
                <w:kern w:val="24"/>
                <w:sz w:val="16"/>
                <w:szCs w:val="16"/>
                <w:lang w:val="en-US"/>
              </w:rPr>
            </w:pPr>
            <w:r w:rsidRPr="00C224C5">
              <w:rPr>
                <w:rFonts w:ascii="Times New Roman" w:eastAsia="Times New Roman" w:hAnsi="Times New Roman" w:cs="Times New Roman"/>
                <w:kern w:val="24"/>
                <w:sz w:val="16"/>
                <w:szCs w:val="16"/>
                <w:lang w:val="en-US"/>
              </w:rPr>
              <w:t>3.26</w:t>
            </w:r>
          </w:p>
        </w:tc>
        <w:tc>
          <w:tcPr>
            <w:tcW w:w="267" w:type="pct"/>
            <w:vAlign w:val="center"/>
          </w:tcPr>
          <w:p w14:paraId="4DC4EFF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3.24</w:t>
            </w:r>
          </w:p>
        </w:tc>
        <w:tc>
          <w:tcPr>
            <w:tcW w:w="267" w:type="pct"/>
            <w:vAlign w:val="center"/>
          </w:tcPr>
          <w:p w14:paraId="1735CC91"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3.096</w:t>
            </w:r>
          </w:p>
        </w:tc>
        <w:tc>
          <w:tcPr>
            <w:tcW w:w="311" w:type="pct"/>
            <w:vAlign w:val="center"/>
          </w:tcPr>
          <w:p w14:paraId="05F58C41" w14:textId="77777777" w:rsidR="005E4D6E" w:rsidRPr="00C224C5" w:rsidRDefault="005E4D6E" w:rsidP="00EF55F8">
            <w:pPr>
              <w:spacing w:line="276" w:lineRule="auto"/>
              <w:jc w:val="both"/>
              <w:rPr>
                <w:rFonts w:ascii="Times New Roman" w:eastAsia="Times New Roman" w:hAnsi="Times New Roman" w:cs="Times New Roman"/>
                <w:sz w:val="16"/>
                <w:szCs w:val="16"/>
              </w:rPr>
            </w:pPr>
            <w:r w:rsidRPr="00C224C5">
              <w:rPr>
                <w:rFonts w:ascii="Times New Roman" w:eastAsia="Times New Roman" w:hAnsi="Times New Roman" w:cs="Times New Roman"/>
                <w:sz w:val="16"/>
                <w:szCs w:val="16"/>
              </w:rPr>
              <w:t>0.86</w:t>
            </w:r>
          </w:p>
        </w:tc>
        <w:tc>
          <w:tcPr>
            <w:tcW w:w="267" w:type="pct"/>
            <w:vAlign w:val="center"/>
          </w:tcPr>
          <w:p w14:paraId="38124838"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3.51</w:t>
            </w:r>
          </w:p>
        </w:tc>
        <w:tc>
          <w:tcPr>
            <w:tcW w:w="267" w:type="pct"/>
            <w:vAlign w:val="center"/>
          </w:tcPr>
          <w:p w14:paraId="3069656F"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2.74</w:t>
            </w:r>
          </w:p>
        </w:tc>
        <w:tc>
          <w:tcPr>
            <w:tcW w:w="267" w:type="pct"/>
            <w:vAlign w:val="center"/>
          </w:tcPr>
          <w:p w14:paraId="56652C0A"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3.643</w:t>
            </w:r>
          </w:p>
        </w:tc>
        <w:tc>
          <w:tcPr>
            <w:tcW w:w="311" w:type="pct"/>
            <w:vAlign w:val="center"/>
          </w:tcPr>
          <w:p w14:paraId="025757E0"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1.73</w:t>
            </w:r>
          </w:p>
        </w:tc>
        <w:tc>
          <w:tcPr>
            <w:tcW w:w="267" w:type="pct"/>
            <w:vAlign w:val="center"/>
          </w:tcPr>
          <w:p w14:paraId="6BD2D07D"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4.62</w:t>
            </w:r>
          </w:p>
        </w:tc>
        <w:tc>
          <w:tcPr>
            <w:tcW w:w="267" w:type="pct"/>
            <w:vAlign w:val="center"/>
          </w:tcPr>
          <w:p w14:paraId="11953A6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15.31</w:t>
            </w:r>
          </w:p>
        </w:tc>
        <w:tc>
          <w:tcPr>
            <w:tcW w:w="267" w:type="pct"/>
            <w:vAlign w:val="center"/>
          </w:tcPr>
          <w:p w14:paraId="24ED8C75"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6.051</w:t>
            </w:r>
          </w:p>
        </w:tc>
        <w:tc>
          <w:tcPr>
            <w:tcW w:w="311" w:type="pct"/>
            <w:vAlign w:val="center"/>
          </w:tcPr>
          <w:p w14:paraId="4832299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11.05</w:t>
            </w:r>
          </w:p>
        </w:tc>
        <w:tc>
          <w:tcPr>
            <w:tcW w:w="267" w:type="pct"/>
            <w:gridSpan w:val="2"/>
            <w:vAlign w:val="center"/>
          </w:tcPr>
          <w:p w14:paraId="47724B77"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4.47</w:t>
            </w:r>
          </w:p>
        </w:tc>
        <w:tc>
          <w:tcPr>
            <w:tcW w:w="267" w:type="pct"/>
            <w:vAlign w:val="center"/>
          </w:tcPr>
          <w:p w14:paraId="06C5E442"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12.30</w:t>
            </w:r>
          </w:p>
        </w:tc>
        <w:tc>
          <w:tcPr>
            <w:tcW w:w="267" w:type="pct"/>
            <w:vAlign w:val="center"/>
          </w:tcPr>
          <w:p w14:paraId="70D26B26"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rPr>
              <w:t>7.056</w:t>
            </w:r>
          </w:p>
        </w:tc>
        <w:tc>
          <w:tcPr>
            <w:tcW w:w="311" w:type="pct"/>
            <w:vAlign w:val="center"/>
          </w:tcPr>
          <w:p w14:paraId="53659354"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3.72</w:t>
            </w:r>
          </w:p>
        </w:tc>
        <w:tc>
          <w:tcPr>
            <w:tcW w:w="245" w:type="pct"/>
          </w:tcPr>
          <w:p w14:paraId="7AD1E789" w14:textId="77777777" w:rsidR="005E4D6E" w:rsidRPr="00C224C5" w:rsidRDefault="005E4D6E" w:rsidP="00EF55F8">
            <w:pPr>
              <w:spacing w:line="276" w:lineRule="auto"/>
              <w:jc w:val="both"/>
              <w:rPr>
                <w:rFonts w:ascii="Times New Roman" w:eastAsia="Times New Roman" w:hAnsi="Times New Roman" w:cs="Times New Roman"/>
                <w:sz w:val="16"/>
                <w:szCs w:val="16"/>
                <w:lang w:val="en-US"/>
              </w:rPr>
            </w:pPr>
            <w:r w:rsidRPr="00C224C5">
              <w:rPr>
                <w:rFonts w:ascii="Times New Roman" w:eastAsia="Times New Roman" w:hAnsi="Times New Roman" w:cs="Times New Roman"/>
                <w:sz w:val="16"/>
                <w:szCs w:val="16"/>
                <w:lang w:val="en-US"/>
              </w:rPr>
              <w:t>-</w:t>
            </w:r>
          </w:p>
        </w:tc>
      </w:tr>
    </w:tbl>
    <w:p w14:paraId="2FE32ADC" w14:textId="77777777" w:rsidR="005E4D6E" w:rsidRPr="00C224C5" w:rsidRDefault="005E4D6E" w:rsidP="00EF55F8">
      <w:pPr>
        <w:spacing w:line="276" w:lineRule="auto"/>
        <w:jc w:val="both"/>
        <w:rPr>
          <w:rFonts w:ascii="Times New Roman" w:hAnsi="Times New Roman" w:cs="Times New Roman"/>
          <w:sz w:val="24"/>
          <w:szCs w:val="24"/>
        </w:rPr>
      </w:pPr>
    </w:p>
    <w:p w14:paraId="38EFF3EB" w14:textId="77777777" w:rsidR="007F21E5" w:rsidRPr="00C224C5" w:rsidRDefault="007F21E5" w:rsidP="0083628B">
      <w:pPr>
        <w:pStyle w:val="a8"/>
        <w:jc w:val="both"/>
        <w:rPr>
          <w:rStyle w:val="a6"/>
          <w:rFonts w:ascii="Times New Roman" w:hAnsi="Times New Roman" w:cs="Times New Roman"/>
          <w:bCs w:val="0"/>
          <w:sz w:val="24"/>
        </w:rPr>
      </w:pPr>
    </w:p>
    <w:p w14:paraId="686D4879" w14:textId="77777777" w:rsidR="007F21E5" w:rsidRPr="00C224C5" w:rsidRDefault="007F21E5" w:rsidP="0083628B">
      <w:pPr>
        <w:pStyle w:val="a8"/>
        <w:jc w:val="both"/>
        <w:rPr>
          <w:rStyle w:val="a6"/>
          <w:rFonts w:ascii="Times New Roman" w:hAnsi="Times New Roman" w:cs="Times New Roman"/>
          <w:bCs w:val="0"/>
          <w:sz w:val="24"/>
        </w:rPr>
      </w:pPr>
    </w:p>
    <w:p w14:paraId="43823C73" w14:textId="77777777" w:rsidR="007F21E5" w:rsidRPr="00C224C5" w:rsidRDefault="007F21E5" w:rsidP="0083628B">
      <w:pPr>
        <w:pStyle w:val="a8"/>
        <w:jc w:val="both"/>
        <w:rPr>
          <w:rStyle w:val="a6"/>
          <w:rFonts w:ascii="Times New Roman" w:hAnsi="Times New Roman" w:cs="Times New Roman"/>
          <w:bCs w:val="0"/>
          <w:sz w:val="24"/>
        </w:rPr>
      </w:pPr>
    </w:p>
    <w:p w14:paraId="7655D03B" w14:textId="77777777" w:rsidR="0083628B" w:rsidRPr="00C224C5" w:rsidRDefault="007F21E5" w:rsidP="0083628B">
      <w:pPr>
        <w:pStyle w:val="a8"/>
        <w:jc w:val="both"/>
        <w:rPr>
          <w:rFonts w:ascii="Times New Roman" w:hAnsi="Times New Roman" w:cs="Times New Roman"/>
          <w:b/>
          <w:sz w:val="24"/>
        </w:rPr>
      </w:pPr>
      <w:r w:rsidRPr="00C224C5">
        <w:rPr>
          <w:rFonts w:ascii="Times New Roman" w:hAnsi="Times New Roman" w:cs="Times New Roman"/>
          <w:b/>
          <w:sz w:val="24"/>
        </w:rPr>
        <w:t>1.</w:t>
      </w:r>
      <w:r w:rsidR="0083628B" w:rsidRPr="00C224C5">
        <w:rPr>
          <w:rFonts w:ascii="Times New Roman" w:hAnsi="Times New Roman" w:cs="Times New Roman"/>
          <w:b/>
          <w:sz w:val="24"/>
        </w:rPr>
        <w:t>Seed Germination</w:t>
      </w:r>
      <w:r w:rsidRPr="00C224C5">
        <w:rPr>
          <w:rFonts w:ascii="Times New Roman" w:hAnsi="Times New Roman" w:cs="Times New Roman"/>
          <w:b/>
          <w:sz w:val="24"/>
        </w:rPr>
        <w:t>:</w:t>
      </w:r>
    </w:p>
    <w:p w14:paraId="55225A13" w14:textId="77777777" w:rsidR="0083628B" w:rsidRPr="00C224C5" w:rsidRDefault="0083628B" w:rsidP="0083628B">
      <w:pPr>
        <w:pStyle w:val="a8"/>
        <w:jc w:val="both"/>
        <w:rPr>
          <w:rFonts w:ascii="Times New Roman" w:hAnsi="Times New Roman" w:cs="Times New Roman"/>
          <w:b/>
          <w:sz w:val="24"/>
        </w:rPr>
      </w:pPr>
      <w:r w:rsidRPr="00C224C5">
        <w:rPr>
          <w:rFonts w:ascii="Times New Roman" w:hAnsi="Times New Roman" w:cs="Times New Roman"/>
          <w:b/>
          <w:i/>
          <w:sz w:val="24"/>
        </w:rPr>
        <w:t>In-vitro</w:t>
      </w:r>
      <w:r w:rsidRPr="00C224C5">
        <w:rPr>
          <w:rFonts w:ascii="Times New Roman" w:hAnsi="Times New Roman" w:cs="Times New Roman"/>
          <w:b/>
          <w:sz w:val="24"/>
        </w:rPr>
        <w:t xml:space="preserve"> Seed Germination</w:t>
      </w:r>
      <w:r w:rsidR="007F21E5" w:rsidRPr="00C224C5">
        <w:rPr>
          <w:rFonts w:ascii="Times New Roman" w:hAnsi="Times New Roman" w:cs="Times New Roman"/>
          <w:b/>
          <w:sz w:val="24"/>
        </w:rPr>
        <w:t xml:space="preserve">: </w:t>
      </w:r>
      <w:r w:rsidRPr="00C224C5">
        <w:rPr>
          <w:rFonts w:ascii="Times New Roman" w:hAnsi="Times New Roman" w:cs="Times New Roman"/>
          <w:sz w:val="24"/>
        </w:rPr>
        <w:t>The results obtained from three consecutive years of experimentation (2021–22, 2022–23, and 2023–24) revealed considerable variation among the different treatments with respect to in-vitro seed germination of bottle gourd. The data clearly indicate that seed germination was significantly influenced by the type of integrated disease management treatment imposed (Table 2).</w:t>
      </w:r>
    </w:p>
    <w:p w14:paraId="21E66172"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During 2021–22, </w:t>
      </w:r>
      <w:r w:rsidRPr="00C224C5">
        <w:rPr>
          <w:rFonts w:ascii="Times New Roman" w:hAnsi="Times New Roman" w:cs="Times New Roman"/>
          <w:i/>
          <w:sz w:val="24"/>
        </w:rPr>
        <w:t>in-vitro</w:t>
      </w:r>
      <w:r w:rsidRPr="00C224C5">
        <w:rPr>
          <w:rFonts w:ascii="Times New Roman" w:hAnsi="Times New Roman" w:cs="Times New Roman"/>
          <w:sz w:val="24"/>
        </w:rPr>
        <w:t xml:space="preserve"> germination ranged from </w:t>
      </w:r>
      <w:r w:rsidRPr="00C224C5">
        <w:rPr>
          <w:rStyle w:val="a6"/>
          <w:rFonts w:ascii="Times New Roman" w:hAnsi="Times New Roman" w:cs="Times New Roman"/>
          <w:b w:val="0"/>
          <w:bCs w:val="0"/>
          <w:sz w:val="24"/>
        </w:rPr>
        <w:t>90.00% to 95.00%</w:t>
      </w:r>
      <w:r w:rsidRPr="00C224C5">
        <w:rPr>
          <w:rFonts w:ascii="Times New Roman" w:hAnsi="Times New Roman" w:cs="Times New Roman"/>
          <w:sz w:val="24"/>
        </w:rPr>
        <w:t xml:space="preserve">, with </w:t>
      </w:r>
      <w:r w:rsidRPr="00C224C5">
        <w:rPr>
          <w:rStyle w:val="a6"/>
          <w:rFonts w:ascii="Times New Roman" w:hAnsi="Times New Roman" w:cs="Times New Roman"/>
          <w:b w:val="0"/>
          <w:bCs w:val="0"/>
          <w:sz w:val="24"/>
        </w:rPr>
        <w:t>T2 and T6 recording the highest germination (95.00%)</w:t>
      </w:r>
      <w:r w:rsidRPr="00C224C5">
        <w:rPr>
          <w:rFonts w:ascii="Times New Roman" w:hAnsi="Times New Roman" w:cs="Times New Roman"/>
          <w:sz w:val="24"/>
        </w:rPr>
        <w:t xml:space="preserve">, followed closely by </w:t>
      </w:r>
      <w:r w:rsidRPr="00C224C5">
        <w:rPr>
          <w:rStyle w:val="a6"/>
          <w:rFonts w:ascii="Times New Roman" w:hAnsi="Times New Roman" w:cs="Times New Roman"/>
          <w:b w:val="0"/>
          <w:bCs w:val="0"/>
          <w:sz w:val="24"/>
        </w:rPr>
        <w:t>T3 (94.67%)</w:t>
      </w:r>
      <w:r w:rsidRPr="00C224C5">
        <w:rPr>
          <w:rFonts w:ascii="Times New Roman" w:hAnsi="Times New Roman" w:cs="Times New Roman"/>
          <w:sz w:val="24"/>
        </w:rPr>
        <w:t xml:space="preserve">. In contrast, the untreated control </w:t>
      </w:r>
      <w:r w:rsidRPr="00C224C5">
        <w:rPr>
          <w:rStyle w:val="a6"/>
          <w:rFonts w:ascii="Times New Roman" w:hAnsi="Times New Roman" w:cs="Times New Roman"/>
          <w:b w:val="0"/>
          <w:bCs w:val="0"/>
          <w:sz w:val="24"/>
        </w:rPr>
        <w:t>T7 recorded the lowest germination (90.00%)</w:t>
      </w:r>
      <w:r w:rsidRPr="00C224C5">
        <w:rPr>
          <w:rFonts w:ascii="Times New Roman" w:hAnsi="Times New Roman" w:cs="Times New Roman"/>
          <w:sz w:val="24"/>
        </w:rPr>
        <w:t xml:space="preserve">, indicating the adverse </w:t>
      </w:r>
      <w:r w:rsidRPr="00C224C5">
        <w:rPr>
          <w:rFonts w:ascii="Times New Roman" w:hAnsi="Times New Roman" w:cs="Times New Roman"/>
          <w:sz w:val="24"/>
        </w:rPr>
        <w:lastRenderedPageBreak/>
        <w:t xml:space="preserve">effect of untreated seeds on germination performance. Similar trends were observed during 2022–23, wherein </w:t>
      </w:r>
      <w:r w:rsidRPr="00C224C5">
        <w:rPr>
          <w:rStyle w:val="a6"/>
          <w:rFonts w:ascii="Times New Roman" w:hAnsi="Times New Roman" w:cs="Times New Roman"/>
          <w:b w:val="0"/>
          <w:bCs w:val="0"/>
          <w:sz w:val="24"/>
        </w:rPr>
        <w:t>T6 recorded the highest germination (93.93%)</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T3 (93.00%)</w:t>
      </w:r>
      <w:r w:rsidRPr="00C224C5">
        <w:rPr>
          <w:rFonts w:ascii="Times New Roman" w:hAnsi="Times New Roman" w:cs="Times New Roman"/>
          <w:sz w:val="24"/>
        </w:rPr>
        <w:t xml:space="preserve">, whereas </w:t>
      </w:r>
      <w:r w:rsidRPr="00C224C5">
        <w:rPr>
          <w:rStyle w:val="a6"/>
          <w:rFonts w:ascii="Times New Roman" w:hAnsi="Times New Roman" w:cs="Times New Roman"/>
          <w:b w:val="0"/>
          <w:bCs w:val="0"/>
          <w:sz w:val="24"/>
        </w:rPr>
        <w:t>T7 again registered comparatively lower germination (90.67%)</w:t>
      </w:r>
      <w:r w:rsidRPr="00C224C5">
        <w:rPr>
          <w:rFonts w:ascii="Times New Roman" w:hAnsi="Times New Roman" w:cs="Times New Roman"/>
          <w:sz w:val="24"/>
        </w:rPr>
        <w:t xml:space="preserve">. During 2023–24, </w:t>
      </w:r>
      <w:r w:rsidRPr="00C224C5">
        <w:rPr>
          <w:rStyle w:val="a6"/>
          <w:rFonts w:ascii="Times New Roman" w:hAnsi="Times New Roman" w:cs="Times New Roman"/>
          <w:b w:val="0"/>
          <w:bCs w:val="0"/>
          <w:sz w:val="24"/>
        </w:rPr>
        <w:t>T3 recorded the maximum germination (95.20%)</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T6 (94.53%)</w:t>
      </w:r>
      <w:r w:rsidRPr="00C224C5">
        <w:rPr>
          <w:rFonts w:ascii="Times New Roman" w:hAnsi="Times New Roman" w:cs="Times New Roman"/>
          <w:sz w:val="24"/>
        </w:rPr>
        <w:t xml:space="preserve">, while </w:t>
      </w:r>
      <w:r w:rsidRPr="00C224C5">
        <w:rPr>
          <w:rStyle w:val="a6"/>
          <w:rFonts w:ascii="Times New Roman" w:hAnsi="Times New Roman" w:cs="Times New Roman"/>
          <w:b w:val="0"/>
          <w:bCs w:val="0"/>
          <w:sz w:val="24"/>
        </w:rPr>
        <w:t>T7 remained consistently inferior (90.67%)</w:t>
      </w:r>
      <w:r w:rsidRPr="00C224C5">
        <w:rPr>
          <w:rFonts w:ascii="Times New Roman" w:hAnsi="Times New Roman" w:cs="Times New Roman"/>
          <w:sz w:val="24"/>
        </w:rPr>
        <w:t>.</w:t>
      </w:r>
    </w:p>
    <w:p w14:paraId="1E352463" w14:textId="77777777" w:rsidR="00511B72" w:rsidRPr="00C224C5" w:rsidRDefault="0083628B" w:rsidP="00511B72">
      <w:pPr>
        <w:pStyle w:val="a8"/>
        <w:ind w:firstLine="720"/>
        <w:jc w:val="both"/>
        <w:rPr>
          <w:rFonts w:ascii="Times New Roman" w:hAnsi="Times New Roman" w:cs="Times New Roman"/>
          <w:sz w:val="24"/>
        </w:rPr>
      </w:pPr>
      <w:r w:rsidRPr="00C224C5">
        <w:rPr>
          <w:rFonts w:ascii="Times New Roman" w:hAnsi="Times New Roman" w:cs="Times New Roman"/>
          <w:sz w:val="24"/>
        </w:rPr>
        <w:t>Pooled analysis over three years</w:t>
      </w:r>
      <w:r w:rsidR="00511B72" w:rsidRPr="00C224C5">
        <w:rPr>
          <w:rFonts w:ascii="Times New Roman" w:hAnsi="Times New Roman" w:cs="Times New Roman"/>
          <w:sz w:val="24"/>
        </w:rPr>
        <w:t xml:space="preserve"> showed that t</w:t>
      </w:r>
      <w:r w:rsidRPr="00C224C5">
        <w:rPr>
          <w:rFonts w:ascii="Times New Roman" w:hAnsi="Times New Roman" w:cs="Times New Roman"/>
          <w:sz w:val="24"/>
        </w:rPr>
        <w:t xml:space="preserve">he </w:t>
      </w:r>
      <w:r w:rsidRPr="00C224C5">
        <w:rPr>
          <w:rStyle w:val="a6"/>
          <w:rFonts w:ascii="Times New Roman" w:hAnsi="Times New Roman" w:cs="Times New Roman"/>
          <w:b w:val="0"/>
          <w:bCs w:val="0"/>
          <w:sz w:val="24"/>
        </w:rPr>
        <w:t>highest pooled mean in-vitro germination was recorded in T6 (94.49%)</w:t>
      </w:r>
      <w:r w:rsidRPr="00C224C5">
        <w:rPr>
          <w:rFonts w:ascii="Times New Roman" w:hAnsi="Times New Roman" w:cs="Times New Roman"/>
          <w:sz w:val="24"/>
        </w:rPr>
        <w:t xml:space="preserve">, followed closely by </w:t>
      </w:r>
      <w:r w:rsidRPr="00C224C5">
        <w:rPr>
          <w:rStyle w:val="a6"/>
          <w:rFonts w:ascii="Times New Roman" w:hAnsi="Times New Roman" w:cs="Times New Roman"/>
          <w:b w:val="0"/>
          <w:bCs w:val="0"/>
          <w:sz w:val="24"/>
        </w:rPr>
        <w:t>T3 (94.29%)</w:t>
      </w:r>
      <w:r w:rsidRPr="00C224C5">
        <w:rPr>
          <w:rFonts w:ascii="Times New Roman" w:hAnsi="Times New Roman" w:cs="Times New Roman"/>
          <w:sz w:val="24"/>
        </w:rPr>
        <w:t xml:space="preserve">, indicating that these treatments were consistently superior across seasons. Treatments </w:t>
      </w:r>
      <w:r w:rsidRPr="00C224C5">
        <w:rPr>
          <w:rStyle w:val="a6"/>
          <w:rFonts w:ascii="Times New Roman" w:hAnsi="Times New Roman" w:cs="Times New Roman"/>
          <w:b w:val="0"/>
          <w:bCs w:val="0"/>
          <w:sz w:val="24"/>
        </w:rPr>
        <w:t>T2 (93.39%)</w:t>
      </w:r>
      <w:r w:rsidRPr="00C224C5">
        <w:rPr>
          <w:rFonts w:ascii="Times New Roman" w:hAnsi="Times New Roman" w:cs="Times New Roman"/>
          <w:sz w:val="24"/>
        </w:rPr>
        <w:t xml:space="preserve">, </w:t>
      </w:r>
      <w:r w:rsidRPr="00C224C5">
        <w:rPr>
          <w:rStyle w:val="a6"/>
          <w:rFonts w:ascii="Times New Roman" w:hAnsi="Times New Roman" w:cs="Times New Roman"/>
          <w:b w:val="0"/>
          <w:bCs w:val="0"/>
          <w:sz w:val="24"/>
        </w:rPr>
        <w:t>T1 (93.00%)</w:t>
      </w:r>
      <w:r w:rsidRPr="00C224C5">
        <w:rPr>
          <w:rFonts w:ascii="Times New Roman" w:hAnsi="Times New Roman" w:cs="Times New Roman"/>
          <w:sz w:val="24"/>
        </w:rPr>
        <w:t xml:space="preserve">, </w:t>
      </w:r>
      <w:r w:rsidRPr="00C224C5">
        <w:rPr>
          <w:rStyle w:val="a6"/>
          <w:rFonts w:ascii="Times New Roman" w:hAnsi="Times New Roman" w:cs="Times New Roman"/>
          <w:b w:val="0"/>
          <w:bCs w:val="0"/>
          <w:sz w:val="24"/>
        </w:rPr>
        <w:t>T5 (92.89%)</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T4 (92.33%)</w:t>
      </w:r>
      <w:r w:rsidRPr="00C224C5">
        <w:rPr>
          <w:rFonts w:ascii="Times New Roman" w:hAnsi="Times New Roman" w:cs="Times New Roman"/>
          <w:sz w:val="24"/>
        </w:rPr>
        <w:t xml:space="preserve"> recorded intermediate germination levels, while </w:t>
      </w:r>
      <w:r w:rsidRPr="00C224C5">
        <w:rPr>
          <w:rStyle w:val="a6"/>
          <w:rFonts w:ascii="Times New Roman" w:hAnsi="Times New Roman" w:cs="Times New Roman"/>
          <w:b w:val="0"/>
          <w:bCs w:val="0"/>
          <w:sz w:val="24"/>
        </w:rPr>
        <w:t>T7 recorded the lowest pooled germination (90.45%)</w:t>
      </w:r>
      <w:r w:rsidRPr="00C224C5">
        <w:rPr>
          <w:rFonts w:ascii="Times New Roman" w:hAnsi="Times New Roman" w:cs="Times New Roman"/>
          <w:sz w:val="24"/>
        </w:rPr>
        <w:t>. The superior performance of T3 and T6 demonstrates the effectiveness of seed treatment and integrated chemical applications in enhancing seed viability and early germination potential.</w:t>
      </w:r>
      <w:r w:rsidR="00511B72" w:rsidRPr="00C224C5">
        <w:rPr>
          <w:rFonts w:ascii="Times New Roman" w:hAnsi="Times New Roman" w:cs="Times New Roman"/>
          <w:sz w:val="24"/>
        </w:rPr>
        <w:t xml:space="preserve"> Recent studies have demonstrated that fungicidal and biological seed enhancement treatments significantly improve germination by reducing seed-borne inoculum and enhancing metabolic activity during early seedling development (Verma, 2025; </w:t>
      </w:r>
      <w:proofErr w:type="spellStart"/>
      <w:r w:rsidR="00511B72" w:rsidRPr="00C224C5">
        <w:rPr>
          <w:rFonts w:ascii="Times New Roman" w:hAnsi="Times New Roman" w:cs="Times New Roman"/>
          <w:sz w:val="24"/>
        </w:rPr>
        <w:t>Harsonowati</w:t>
      </w:r>
      <w:proofErr w:type="spellEnd"/>
      <w:r w:rsidR="00511B72" w:rsidRPr="00C224C5">
        <w:rPr>
          <w:rFonts w:ascii="Times New Roman" w:hAnsi="Times New Roman" w:cs="Times New Roman"/>
          <w:sz w:val="24"/>
        </w:rPr>
        <w:t xml:space="preserve"> et al., 2026).</w:t>
      </w:r>
    </w:p>
    <w:p w14:paraId="77C1B8DC" w14:textId="77777777" w:rsidR="0083628B" w:rsidRPr="00C224C5" w:rsidRDefault="0083628B" w:rsidP="0083628B">
      <w:pPr>
        <w:pStyle w:val="a8"/>
        <w:jc w:val="both"/>
        <w:rPr>
          <w:rFonts w:ascii="Times New Roman" w:hAnsi="Times New Roman" w:cs="Times New Roman"/>
          <w:sz w:val="24"/>
        </w:rPr>
      </w:pPr>
    </w:p>
    <w:p w14:paraId="5DDDDA63" w14:textId="77777777" w:rsidR="0083628B" w:rsidRPr="00C224C5" w:rsidRDefault="0083628B" w:rsidP="0083628B">
      <w:pPr>
        <w:pStyle w:val="a8"/>
        <w:jc w:val="both"/>
        <w:rPr>
          <w:rFonts w:ascii="Times New Roman" w:hAnsi="Times New Roman" w:cs="Times New Roman"/>
          <w:sz w:val="24"/>
        </w:rPr>
      </w:pPr>
    </w:p>
    <w:p w14:paraId="230FFB95" w14:textId="77777777" w:rsidR="0083628B" w:rsidRPr="00C224C5" w:rsidRDefault="007F21E5" w:rsidP="0083628B">
      <w:pPr>
        <w:pStyle w:val="a8"/>
        <w:jc w:val="both"/>
        <w:rPr>
          <w:rFonts w:ascii="Times New Roman" w:hAnsi="Times New Roman" w:cs="Times New Roman"/>
          <w:b/>
          <w:sz w:val="24"/>
        </w:rPr>
      </w:pPr>
      <w:r w:rsidRPr="00C224C5">
        <w:rPr>
          <w:rFonts w:ascii="Times New Roman" w:hAnsi="Times New Roman" w:cs="Times New Roman"/>
          <w:b/>
          <w:sz w:val="24"/>
        </w:rPr>
        <w:t>I</w:t>
      </w:r>
      <w:r w:rsidR="0083628B" w:rsidRPr="00C224C5">
        <w:rPr>
          <w:rFonts w:ascii="Times New Roman" w:hAnsi="Times New Roman" w:cs="Times New Roman"/>
          <w:b/>
          <w:sz w:val="24"/>
        </w:rPr>
        <w:t>I</w:t>
      </w:r>
      <w:r w:rsidRPr="00C224C5">
        <w:rPr>
          <w:rFonts w:ascii="Times New Roman" w:hAnsi="Times New Roman" w:cs="Times New Roman"/>
          <w:b/>
          <w:sz w:val="24"/>
        </w:rPr>
        <w:t xml:space="preserve">. </w:t>
      </w:r>
      <w:r w:rsidRPr="00C224C5">
        <w:rPr>
          <w:rFonts w:ascii="Times New Roman" w:hAnsi="Times New Roman" w:cs="Times New Roman"/>
          <w:b/>
          <w:i/>
          <w:sz w:val="24"/>
        </w:rPr>
        <w:t>I</w:t>
      </w:r>
      <w:r w:rsidR="0083628B" w:rsidRPr="00C224C5">
        <w:rPr>
          <w:rFonts w:ascii="Times New Roman" w:hAnsi="Times New Roman" w:cs="Times New Roman"/>
          <w:b/>
          <w:i/>
          <w:sz w:val="24"/>
        </w:rPr>
        <w:t xml:space="preserve">n-vivo </w:t>
      </w:r>
      <w:r w:rsidR="0083628B" w:rsidRPr="00C224C5">
        <w:rPr>
          <w:rFonts w:ascii="Times New Roman" w:hAnsi="Times New Roman" w:cs="Times New Roman"/>
          <w:b/>
          <w:sz w:val="24"/>
        </w:rPr>
        <w:t>Seed Germination</w:t>
      </w:r>
    </w:p>
    <w:p w14:paraId="37334105"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In-vivo seed germination under field conditions followed trends broadly similar to those observed under laboratory conditions, though the magnitude of variation among treatments was comparatively lower. Year-wise data revealed noticeable differences in field emergence among treatments.</w:t>
      </w:r>
    </w:p>
    <w:p w14:paraId="44523801"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During 2021–22, in-vivo germination ranged from </w:t>
      </w:r>
      <w:r w:rsidRPr="00C224C5">
        <w:rPr>
          <w:rStyle w:val="a6"/>
          <w:rFonts w:ascii="Times New Roman" w:hAnsi="Times New Roman" w:cs="Times New Roman"/>
          <w:b w:val="0"/>
          <w:bCs w:val="0"/>
          <w:sz w:val="24"/>
        </w:rPr>
        <w:t>89.33% to 94.00%</w:t>
      </w:r>
      <w:r w:rsidRPr="00C224C5">
        <w:rPr>
          <w:rFonts w:ascii="Times New Roman" w:hAnsi="Times New Roman" w:cs="Times New Roman"/>
          <w:sz w:val="24"/>
        </w:rPr>
        <w:t xml:space="preserve">, with </w:t>
      </w:r>
      <w:r w:rsidRPr="00C224C5">
        <w:rPr>
          <w:rStyle w:val="a6"/>
          <w:rFonts w:ascii="Times New Roman" w:hAnsi="Times New Roman" w:cs="Times New Roman"/>
          <w:b w:val="0"/>
          <w:bCs w:val="0"/>
          <w:sz w:val="24"/>
        </w:rPr>
        <w:t>T7 recording the highest germination (94.00%)</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T3 and T4 (93.33%)</w:t>
      </w:r>
      <w:r w:rsidRPr="00C224C5">
        <w:rPr>
          <w:rFonts w:ascii="Times New Roman" w:hAnsi="Times New Roman" w:cs="Times New Roman"/>
          <w:sz w:val="24"/>
        </w:rPr>
        <w:t xml:space="preserve">, whereas </w:t>
      </w:r>
      <w:r w:rsidRPr="00C224C5">
        <w:rPr>
          <w:rStyle w:val="a6"/>
          <w:rFonts w:ascii="Times New Roman" w:hAnsi="Times New Roman" w:cs="Times New Roman"/>
          <w:b w:val="0"/>
          <w:bCs w:val="0"/>
          <w:sz w:val="24"/>
        </w:rPr>
        <w:t>T6 recorded the lowest germination (89.33%)</w:t>
      </w:r>
      <w:r w:rsidRPr="00C224C5">
        <w:rPr>
          <w:rFonts w:ascii="Times New Roman" w:hAnsi="Times New Roman" w:cs="Times New Roman"/>
          <w:sz w:val="24"/>
        </w:rPr>
        <w:t xml:space="preserve">. In 2022–23, field germination ranged from </w:t>
      </w:r>
      <w:r w:rsidRPr="00C224C5">
        <w:rPr>
          <w:rStyle w:val="a6"/>
          <w:rFonts w:ascii="Times New Roman" w:hAnsi="Times New Roman" w:cs="Times New Roman"/>
          <w:b w:val="0"/>
          <w:bCs w:val="0"/>
          <w:sz w:val="24"/>
        </w:rPr>
        <w:t>88.00% to 93.67%</w:t>
      </w:r>
      <w:r w:rsidRPr="00C224C5">
        <w:rPr>
          <w:rFonts w:ascii="Times New Roman" w:hAnsi="Times New Roman" w:cs="Times New Roman"/>
          <w:sz w:val="24"/>
        </w:rPr>
        <w:t xml:space="preserve">, with </w:t>
      </w:r>
      <w:r w:rsidRPr="00C224C5">
        <w:rPr>
          <w:rStyle w:val="a6"/>
          <w:rFonts w:ascii="Times New Roman" w:hAnsi="Times New Roman" w:cs="Times New Roman"/>
          <w:b w:val="0"/>
          <w:bCs w:val="0"/>
          <w:sz w:val="24"/>
        </w:rPr>
        <w:t>T3 recording the highest germination (93.67%)</w:t>
      </w:r>
      <w:r w:rsidRPr="00C224C5">
        <w:rPr>
          <w:rFonts w:ascii="Times New Roman" w:hAnsi="Times New Roman" w:cs="Times New Roman"/>
          <w:sz w:val="24"/>
        </w:rPr>
        <w:t xml:space="preserve">, while </w:t>
      </w:r>
      <w:r w:rsidRPr="00C224C5">
        <w:rPr>
          <w:rStyle w:val="a6"/>
          <w:rFonts w:ascii="Times New Roman" w:hAnsi="Times New Roman" w:cs="Times New Roman"/>
          <w:b w:val="0"/>
          <w:bCs w:val="0"/>
          <w:sz w:val="24"/>
        </w:rPr>
        <w:t>T6 recorded the lowest (88.00%)</w:t>
      </w:r>
      <w:r w:rsidRPr="00C224C5">
        <w:rPr>
          <w:rFonts w:ascii="Times New Roman" w:hAnsi="Times New Roman" w:cs="Times New Roman"/>
          <w:sz w:val="24"/>
        </w:rPr>
        <w:t xml:space="preserve">. During 2023–24, </w:t>
      </w:r>
      <w:r w:rsidRPr="00C224C5">
        <w:rPr>
          <w:rStyle w:val="a6"/>
          <w:rFonts w:ascii="Times New Roman" w:hAnsi="Times New Roman" w:cs="Times New Roman"/>
          <w:b w:val="0"/>
          <w:bCs w:val="0"/>
          <w:sz w:val="24"/>
        </w:rPr>
        <w:t>T6 recorded the highest in-vivo germination (95.17%)</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T3 (94.00%)</w:t>
      </w:r>
      <w:r w:rsidRPr="00C224C5">
        <w:rPr>
          <w:rFonts w:ascii="Times New Roman" w:hAnsi="Times New Roman" w:cs="Times New Roman"/>
          <w:sz w:val="24"/>
        </w:rPr>
        <w:t xml:space="preserve">, while </w:t>
      </w:r>
      <w:r w:rsidRPr="00C224C5">
        <w:rPr>
          <w:rStyle w:val="a6"/>
          <w:rFonts w:ascii="Times New Roman" w:hAnsi="Times New Roman" w:cs="Times New Roman"/>
          <w:b w:val="0"/>
          <w:bCs w:val="0"/>
          <w:sz w:val="24"/>
        </w:rPr>
        <w:t>T7 recorded lower germination (91.67%)</w:t>
      </w:r>
      <w:r w:rsidRPr="00C224C5">
        <w:rPr>
          <w:rFonts w:ascii="Times New Roman" w:hAnsi="Times New Roman" w:cs="Times New Roman"/>
          <w:sz w:val="24"/>
        </w:rPr>
        <w:t>.</w:t>
      </w:r>
    </w:p>
    <w:p w14:paraId="213B5A61" w14:textId="77777777" w:rsidR="00511B72" w:rsidRPr="00C224C5" w:rsidRDefault="0083628B" w:rsidP="00511B72">
      <w:pPr>
        <w:pStyle w:val="a8"/>
        <w:ind w:firstLine="720"/>
        <w:jc w:val="both"/>
        <w:rPr>
          <w:rFonts w:ascii="Times New Roman" w:hAnsi="Times New Roman" w:cs="Times New Roman"/>
          <w:sz w:val="24"/>
        </w:rPr>
      </w:pPr>
      <w:r w:rsidRPr="00C224C5">
        <w:rPr>
          <w:rFonts w:ascii="Times New Roman" w:hAnsi="Times New Roman" w:cs="Times New Roman"/>
          <w:sz w:val="24"/>
        </w:rPr>
        <w:t xml:space="preserve">Pooled analysis revealed that </w:t>
      </w:r>
      <w:r w:rsidRPr="00C224C5">
        <w:rPr>
          <w:rStyle w:val="a6"/>
          <w:rFonts w:ascii="Times New Roman" w:hAnsi="Times New Roman" w:cs="Times New Roman"/>
          <w:b w:val="0"/>
          <w:bCs w:val="0"/>
          <w:sz w:val="24"/>
        </w:rPr>
        <w:t>T3 recorded the highest mean in-vivo germination (93.67%)</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T4 (93.11%)</w:t>
      </w:r>
      <w:r w:rsidRPr="00C224C5">
        <w:rPr>
          <w:rFonts w:ascii="Times New Roman" w:hAnsi="Times New Roman" w:cs="Times New Roman"/>
          <w:sz w:val="24"/>
        </w:rPr>
        <w:t xml:space="preserve">. Treatments </w:t>
      </w:r>
      <w:r w:rsidRPr="00C224C5">
        <w:rPr>
          <w:rStyle w:val="a6"/>
          <w:rFonts w:ascii="Times New Roman" w:hAnsi="Times New Roman" w:cs="Times New Roman"/>
          <w:b w:val="0"/>
          <w:bCs w:val="0"/>
          <w:sz w:val="24"/>
        </w:rPr>
        <w:t>T1 (91.33%)</w:t>
      </w:r>
      <w:r w:rsidRPr="00C224C5">
        <w:rPr>
          <w:rFonts w:ascii="Times New Roman" w:hAnsi="Times New Roman" w:cs="Times New Roman"/>
          <w:sz w:val="24"/>
        </w:rPr>
        <w:t xml:space="preserve">, </w:t>
      </w:r>
      <w:r w:rsidRPr="00C224C5">
        <w:rPr>
          <w:rStyle w:val="a6"/>
          <w:rFonts w:ascii="Times New Roman" w:hAnsi="Times New Roman" w:cs="Times New Roman"/>
          <w:b w:val="0"/>
          <w:bCs w:val="0"/>
          <w:sz w:val="24"/>
        </w:rPr>
        <w:t>T2 (91.11%)</w:t>
      </w:r>
      <w:r w:rsidRPr="00C224C5">
        <w:rPr>
          <w:rFonts w:ascii="Times New Roman" w:hAnsi="Times New Roman" w:cs="Times New Roman"/>
          <w:sz w:val="24"/>
        </w:rPr>
        <w:t xml:space="preserve">, </w:t>
      </w:r>
      <w:r w:rsidRPr="00C224C5">
        <w:rPr>
          <w:rStyle w:val="a6"/>
          <w:rFonts w:ascii="Times New Roman" w:hAnsi="Times New Roman" w:cs="Times New Roman"/>
          <w:b w:val="0"/>
          <w:bCs w:val="0"/>
          <w:sz w:val="24"/>
        </w:rPr>
        <w:t>T5 (91.22%)</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T6 (90.83%)</w:t>
      </w:r>
      <w:r w:rsidRPr="00C224C5">
        <w:rPr>
          <w:rFonts w:ascii="Times New Roman" w:hAnsi="Times New Roman" w:cs="Times New Roman"/>
          <w:sz w:val="24"/>
        </w:rPr>
        <w:t xml:space="preserve"> showed moderate field germination, whereas </w:t>
      </w:r>
      <w:r w:rsidRPr="00C224C5">
        <w:rPr>
          <w:rStyle w:val="a6"/>
          <w:rFonts w:ascii="Times New Roman" w:hAnsi="Times New Roman" w:cs="Times New Roman"/>
          <w:b w:val="0"/>
          <w:bCs w:val="0"/>
          <w:sz w:val="24"/>
        </w:rPr>
        <w:t>T7 recorded the lowest pooled germination (92.78%)</w:t>
      </w:r>
      <w:r w:rsidRPr="00C224C5">
        <w:rPr>
          <w:rFonts w:ascii="Times New Roman" w:hAnsi="Times New Roman" w:cs="Times New Roman"/>
          <w:sz w:val="24"/>
        </w:rPr>
        <w:t>.</w:t>
      </w:r>
      <w:r w:rsidR="00511B72" w:rsidRPr="00C224C5">
        <w:rPr>
          <w:rFonts w:ascii="Times New Roman" w:hAnsi="Times New Roman" w:cs="Times New Roman"/>
          <w:sz w:val="24"/>
        </w:rPr>
        <w:t xml:space="preserve"> Similar observations were reported by </w:t>
      </w:r>
      <w:r w:rsidR="00511B72" w:rsidRPr="00C224C5">
        <w:rPr>
          <w:rStyle w:val="a6"/>
          <w:rFonts w:ascii="Times New Roman" w:hAnsi="Times New Roman" w:cs="Times New Roman"/>
          <w:b w:val="0"/>
          <w:sz w:val="24"/>
        </w:rPr>
        <w:t>Sinha et al. (2025)</w:t>
      </w:r>
      <w:r w:rsidR="00511B72" w:rsidRPr="00C224C5">
        <w:rPr>
          <w:rFonts w:ascii="Times New Roman" w:hAnsi="Times New Roman" w:cs="Times New Roman"/>
          <w:b/>
          <w:sz w:val="24"/>
        </w:rPr>
        <w:t xml:space="preserve">, </w:t>
      </w:r>
      <w:r w:rsidR="00511B72" w:rsidRPr="00C224C5">
        <w:rPr>
          <w:rFonts w:ascii="Times New Roman" w:hAnsi="Times New Roman" w:cs="Times New Roman"/>
          <w:sz w:val="24"/>
        </w:rPr>
        <w:t>who noted that field germination is often influenced by environmental factors that may mask treatment effects despite improved laboratory germination.</w:t>
      </w:r>
    </w:p>
    <w:p w14:paraId="7D06F0CF" w14:textId="77777777" w:rsidR="007F21E5" w:rsidRPr="00C224C5" w:rsidRDefault="0083628B" w:rsidP="0083628B">
      <w:pPr>
        <w:pStyle w:val="a8"/>
        <w:jc w:val="both"/>
        <w:rPr>
          <w:rFonts w:ascii="Times New Roman" w:hAnsi="Times New Roman" w:cs="Times New Roman"/>
          <w:b/>
          <w:sz w:val="24"/>
        </w:rPr>
      </w:pPr>
      <w:r w:rsidRPr="00C224C5">
        <w:rPr>
          <w:rFonts w:ascii="Times New Roman" w:hAnsi="Times New Roman" w:cs="Times New Roman"/>
          <w:sz w:val="24"/>
        </w:rPr>
        <w:t xml:space="preserve"> </w:t>
      </w:r>
    </w:p>
    <w:p w14:paraId="0E513089" w14:textId="77777777" w:rsidR="0083628B" w:rsidRPr="00C224C5" w:rsidRDefault="007F21E5" w:rsidP="0083628B">
      <w:pPr>
        <w:pStyle w:val="a8"/>
        <w:jc w:val="both"/>
        <w:rPr>
          <w:rFonts w:ascii="Times New Roman" w:hAnsi="Times New Roman" w:cs="Times New Roman"/>
          <w:b/>
          <w:sz w:val="24"/>
        </w:rPr>
      </w:pPr>
      <w:r w:rsidRPr="00C224C5">
        <w:rPr>
          <w:rFonts w:ascii="Times New Roman" w:hAnsi="Times New Roman" w:cs="Times New Roman"/>
          <w:b/>
          <w:sz w:val="24"/>
        </w:rPr>
        <w:t xml:space="preserve">III. </w:t>
      </w:r>
      <w:r w:rsidR="0083628B" w:rsidRPr="00C224C5">
        <w:rPr>
          <w:rFonts w:ascii="Times New Roman" w:hAnsi="Times New Roman" w:cs="Times New Roman"/>
          <w:b/>
          <w:sz w:val="24"/>
        </w:rPr>
        <w:t>Disease Severity of Gummy Stem Blight</w:t>
      </w:r>
    </w:p>
    <w:p w14:paraId="5BBFAAA5"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During 2021–22, disease severity ranged from </w:t>
      </w:r>
      <w:r w:rsidRPr="00C224C5">
        <w:rPr>
          <w:rStyle w:val="a6"/>
          <w:rFonts w:ascii="Times New Roman" w:hAnsi="Times New Roman" w:cs="Times New Roman"/>
          <w:b w:val="0"/>
          <w:bCs w:val="0"/>
          <w:sz w:val="24"/>
        </w:rPr>
        <w:t>10.48% to 22.63%</w:t>
      </w:r>
      <w:r w:rsidRPr="00C224C5">
        <w:rPr>
          <w:rFonts w:ascii="Times New Roman" w:hAnsi="Times New Roman" w:cs="Times New Roman"/>
          <w:sz w:val="24"/>
        </w:rPr>
        <w:t xml:space="preserve">, with </w:t>
      </w:r>
      <w:r w:rsidRPr="00C224C5">
        <w:rPr>
          <w:rStyle w:val="a6"/>
          <w:rFonts w:ascii="Times New Roman" w:hAnsi="Times New Roman" w:cs="Times New Roman"/>
          <w:b w:val="0"/>
          <w:bCs w:val="0"/>
          <w:sz w:val="24"/>
        </w:rPr>
        <w:t>T3 recording the lowest severity (10.48%)</w:t>
      </w:r>
      <w:r w:rsidRPr="00C224C5">
        <w:rPr>
          <w:rFonts w:ascii="Times New Roman" w:hAnsi="Times New Roman" w:cs="Times New Roman"/>
          <w:sz w:val="24"/>
        </w:rPr>
        <w:t xml:space="preserve">, followed closely by </w:t>
      </w:r>
      <w:r w:rsidRPr="00C224C5">
        <w:rPr>
          <w:rStyle w:val="a6"/>
          <w:rFonts w:ascii="Times New Roman" w:hAnsi="Times New Roman" w:cs="Times New Roman"/>
          <w:b w:val="0"/>
          <w:bCs w:val="0"/>
          <w:sz w:val="24"/>
        </w:rPr>
        <w:t>T2 (11.54%)</w:t>
      </w:r>
      <w:r w:rsidRPr="00C224C5">
        <w:rPr>
          <w:rFonts w:ascii="Times New Roman" w:hAnsi="Times New Roman" w:cs="Times New Roman"/>
          <w:sz w:val="24"/>
        </w:rPr>
        <w:t xml:space="preserve">, </w:t>
      </w:r>
      <w:r w:rsidRPr="00C224C5">
        <w:rPr>
          <w:rStyle w:val="a6"/>
          <w:rFonts w:ascii="Times New Roman" w:hAnsi="Times New Roman" w:cs="Times New Roman"/>
          <w:b w:val="0"/>
          <w:bCs w:val="0"/>
          <w:sz w:val="24"/>
        </w:rPr>
        <w:t>T6 (11.67%)</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T1 (11.68%)</w:t>
      </w:r>
      <w:r w:rsidRPr="00C224C5">
        <w:rPr>
          <w:rFonts w:ascii="Times New Roman" w:hAnsi="Times New Roman" w:cs="Times New Roman"/>
          <w:sz w:val="24"/>
        </w:rPr>
        <w:t xml:space="preserve">. The highest disease severity was recorded in the untreated control </w:t>
      </w:r>
      <w:r w:rsidRPr="00C224C5">
        <w:rPr>
          <w:rStyle w:val="a6"/>
          <w:rFonts w:ascii="Times New Roman" w:hAnsi="Times New Roman" w:cs="Times New Roman"/>
          <w:b w:val="0"/>
          <w:bCs w:val="0"/>
          <w:sz w:val="24"/>
        </w:rPr>
        <w:t>T7 (22.63%)</w:t>
      </w:r>
      <w:r w:rsidRPr="00C224C5">
        <w:rPr>
          <w:rFonts w:ascii="Times New Roman" w:hAnsi="Times New Roman" w:cs="Times New Roman"/>
          <w:sz w:val="24"/>
        </w:rPr>
        <w:t>, clearly demonstrating the destructive nature of the disease under unmanaged conditions.</w:t>
      </w:r>
    </w:p>
    <w:p w14:paraId="63026297"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A similar trend was observed during 2022–23, wherein </w:t>
      </w:r>
      <w:r w:rsidRPr="00C224C5">
        <w:rPr>
          <w:rStyle w:val="a6"/>
          <w:rFonts w:ascii="Times New Roman" w:hAnsi="Times New Roman" w:cs="Times New Roman"/>
          <w:b w:val="0"/>
          <w:bCs w:val="0"/>
          <w:sz w:val="24"/>
        </w:rPr>
        <w:t>T3 again recorded the lowest disease severity (10.56%)</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T6 (11.35%)</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T1 (10.90%)</w:t>
      </w:r>
      <w:r w:rsidRPr="00C224C5">
        <w:rPr>
          <w:rFonts w:ascii="Times New Roman" w:hAnsi="Times New Roman" w:cs="Times New Roman"/>
          <w:sz w:val="24"/>
        </w:rPr>
        <w:t xml:space="preserve">, while </w:t>
      </w:r>
      <w:r w:rsidRPr="00C224C5">
        <w:rPr>
          <w:rStyle w:val="a6"/>
          <w:rFonts w:ascii="Times New Roman" w:hAnsi="Times New Roman" w:cs="Times New Roman"/>
          <w:b w:val="0"/>
          <w:bCs w:val="0"/>
          <w:sz w:val="24"/>
        </w:rPr>
        <w:t>T7 recorded the highest disease severity (22.36%)</w:t>
      </w:r>
      <w:r w:rsidRPr="00C224C5">
        <w:rPr>
          <w:rFonts w:ascii="Times New Roman" w:hAnsi="Times New Roman" w:cs="Times New Roman"/>
          <w:sz w:val="24"/>
        </w:rPr>
        <w:t xml:space="preserve">. During 2023–24, disease severity increased slightly across treatments, likely due to more conducive environmental conditions. Nevertheless, </w:t>
      </w:r>
      <w:r w:rsidRPr="00C224C5">
        <w:rPr>
          <w:rStyle w:val="a6"/>
          <w:rFonts w:ascii="Times New Roman" w:hAnsi="Times New Roman" w:cs="Times New Roman"/>
          <w:b w:val="0"/>
          <w:bCs w:val="0"/>
          <w:sz w:val="24"/>
        </w:rPr>
        <w:t>T3 continued to maintain the lowest disease severity (11.69%)</w:t>
      </w:r>
      <w:r w:rsidRPr="00C224C5">
        <w:rPr>
          <w:rFonts w:ascii="Times New Roman" w:hAnsi="Times New Roman" w:cs="Times New Roman"/>
          <w:sz w:val="24"/>
        </w:rPr>
        <w:t xml:space="preserve">, while </w:t>
      </w:r>
      <w:r w:rsidRPr="00C224C5">
        <w:rPr>
          <w:rStyle w:val="a6"/>
          <w:rFonts w:ascii="Times New Roman" w:hAnsi="Times New Roman" w:cs="Times New Roman"/>
          <w:b w:val="0"/>
          <w:bCs w:val="0"/>
          <w:sz w:val="24"/>
        </w:rPr>
        <w:t>T7 recorded the highest severity (22.56%)</w:t>
      </w:r>
      <w:r w:rsidRPr="00C224C5">
        <w:rPr>
          <w:rFonts w:ascii="Times New Roman" w:hAnsi="Times New Roman" w:cs="Times New Roman"/>
          <w:sz w:val="24"/>
        </w:rPr>
        <w:t>.</w:t>
      </w:r>
    </w:p>
    <w:p w14:paraId="6D8D3536"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Pooled analysis over three years revealed that </w:t>
      </w:r>
      <w:r w:rsidRPr="00C224C5">
        <w:rPr>
          <w:rStyle w:val="a6"/>
          <w:rFonts w:ascii="Times New Roman" w:hAnsi="Times New Roman" w:cs="Times New Roman"/>
          <w:b w:val="0"/>
          <w:bCs w:val="0"/>
          <w:sz w:val="24"/>
        </w:rPr>
        <w:t>T3 recorded the lowest mean disease severity (10.91%)</w:t>
      </w:r>
      <w:r w:rsidRPr="00C224C5">
        <w:rPr>
          <w:rFonts w:ascii="Times New Roman" w:hAnsi="Times New Roman" w:cs="Times New Roman"/>
          <w:sz w:val="24"/>
        </w:rPr>
        <w:t xml:space="preserve">, followed by </w:t>
      </w:r>
      <w:r w:rsidRPr="00C224C5">
        <w:rPr>
          <w:rStyle w:val="a6"/>
          <w:rFonts w:ascii="Times New Roman" w:hAnsi="Times New Roman" w:cs="Times New Roman"/>
          <w:b w:val="0"/>
          <w:bCs w:val="0"/>
          <w:sz w:val="24"/>
        </w:rPr>
        <w:t>T6 (11.92%)</w:t>
      </w:r>
      <w:r w:rsidRPr="00C224C5">
        <w:rPr>
          <w:rFonts w:ascii="Times New Roman" w:hAnsi="Times New Roman" w:cs="Times New Roman"/>
          <w:sz w:val="24"/>
        </w:rPr>
        <w:t>The consistent superiority of T3 across all three years clearly demonstrates the effectiveness of integrated disease management involving seed treatment, micronutrient application, and combination fungicide sprays.</w:t>
      </w:r>
    </w:p>
    <w:p w14:paraId="5D3F4A35" w14:textId="77777777" w:rsidR="004252FD" w:rsidRPr="00C224C5" w:rsidRDefault="004252FD" w:rsidP="004252FD">
      <w:pPr>
        <w:pStyle w:val="a8"/>
        <w:ind w:firstLine="720"/>
        <w:jc w:val="both"/>
        <w:rPr>
          <w:rFonts w:ascii="Times New Roman" w:hAnsi="Times New Roman" w:cs="Times New Roman"/>
          <w:sz w:val="24"/>
        </w:rPr>
      </w:pPr>
      <w:r w:rsidRPr="00C224C5">
        <w:rPr>
          <w:rFonts w:ascii="Times New Roman" w:hAnsi="Times New Roman" w:cs="Times New Roman"/>
          <w:sz w:val="24"/>
        </w:rPr>
        <w:lastRenderedPageBreak/>
        <w:t xml:space="preserve">Recent findings by </w:t>
      </w:r>
      <w:r w:rsidRPr="00C224C5">
        <w:rPr>
          <w:rStyle w:val="a6"/>
          <w:rFonts w:ascii="Times New Roman" w:hAnsi="Times New Roman" w:cs="Times New Roman"/>
          <w:b w:val="0"/>
          <w:sz w:val="24"/>
        </w:rPr>
        <w:t>Jeong et al. (2024</w:t>
      </w:r>
      <w:r w:rsidRPr="00C224C5">
        <w:rPr>
          <w:rStyle w:val="a6"/>
          <w:rFonts w:ascii="Times New Roman" w:hAnsi="Times New Roman" w:cs="Times New Roman"/>
          <w:sz w:val="24"/>
        </w:rPr>
        <w:t>)</w:t>
      </w:r>
      <w:r w:rsidRPr="00C224C5">
        <w:rPr>
          <w:rFonts w:ascii="Times New Roman" w:hAnsi="Times New Roman" w:cs="Times New Roman"/>
          <w:sz w:val="24"/>
        </w:rPr>
        <w:t xml:space="preserve"> confirmed strong antifungal activity of integrated chemical and biological approaches against </w:t>
      </w:r>
      <w:proofErr w:type="spellStart"/>
      <w:r w:rsidRPr="00C224C5">
        <w:rPr>
          <w:rStyle w:val="a4"/>
          <w:rFonts w:ascii="Times New Roman" w:hAnsi="Times New Roman" w:cs="Times New Roman"/>
          <w:sz w:val="24"/>
        </w:rPr>
        <w:t>Didymella</w:t>
      </w:r>
      <w:proofErr w:type="spellEnd"/>
      <w:r w:rsidRPr="00C224C5">
        <w:rPr>
          <w:rStyle w:val="a4"/>
          <w:rFonts w:ascii="Times New Roman" w:hAnsi="Times New Roman" w:cs="Times New Roman"/>
          <w:sz w:val="24"/>
        </w:rPr>
        <w:t xml:space="preserve"> </w:t>
      </w:r>
      <w:proofErr w:type="spellStart"/>
      <w:r w:rsidRPr="00C224C5">
        <w:rPr>
          <w:rStyle w:val="a4"/>
          <w:rFonts w:ascii="Times New Roman" w:hAnsi="Times New Roman" w:cs="Times New Roman"/>
          <w:sz w:val="24"/>
        </w:rPr>
        <w:t>bryoniae</w:t>
      </w:r>
      <w:proofErr w:type="spellEnd"/>
      <w:r w:rsidRPr="00C224C5">
        <w:rPr>
          <w:rFonts w:ascii="Times New Roman" w:hAnsi="Times New Roman" w:cs="Times New Roman"/>
          <w:sz w:val="24"/>
        </w:rPr>
        <w:t>, supporting the present results.</w:t>
      </w:r>
    </w:p>
    <w:p w14:paraId="600EBB2E" w14:textId="77777777" w:rsidR="004252FD" w:rsidRPr="00C224C5" w:rsidRDefault="004252FD" w:rsidP="004252FD">
      <w:pPr>
        <w:pStyle w:val="a8"/>
        <w:jc w:val="both"/>
        <w:rPr>
          <w:rFonts w:ascii="Times New Roman" w:hAnsi="Times New Roman" w:cs="Times New Roman"/>
          <w:sz w:val="24"/>
        </w:rPr>
      </w:pPr>
      <w:r w:rsidRPr="00C224C5">
        <w:rPr>
          <w:rFonts w:ascii="Times New Roman" w:hAnsi="Times New Roman" w:cs="Times New Roman"/>
          <w:sz w:val="24"/>
        </w:rPr>
        <w:t>Gummy stem blight is an emerging fungal disease of cucurbits worldwide and has gained importance due to changing climatic conditions, intensive cultivation of hybrids, and breakdown of host resistance (</w:t>
      </w:r>
      <w:proofErr w:type="spellStart"/>
      <w:r w:rsidRPr="00C224C5">
        <w:rPr>
          <w:rFonts w:ascii="Times New Roman" w:hAnsi="Times New Roman" w:cs="Times New Roman"/>
          <w:sz w:val="24"/>
        </w:rPr>
        <w:t>Garmapalli</w:t>
      </w:r>
      <w:proofErr w:type="spellEnd"/>
      <w:r w:rsidRPr="00C224C5">
        <w:rPr>
          <w:rFonts w:ascii="Times New Roman" w:hAnsi="Times New Roman" w:cs="Times New Roman"/>
          <w:sz w:val="24"/>
        </w:rPr>
        <w:t xml:space="preserve"> et al., 2016). During the experimental period, </w:t>
      </w:r>
      <w:r w:rsidRPr="00C224C5">
        <w:rPr>
          <w:rStyle w:val="a6"/>
          <w:rFonts w:ascii="Times New Roman" w:hAnsi="Times New Roman" w:cs="Times New Roman"/>
          <w:b w:val="0"/>
          <w:sz w:val="24"/>
        </w:rPr>
        <w:t>high temperature (~42 °C), high relative humidity (~85%), and unexpected summer rains</w:t>
      </w:r>
      <w:r w:rsidRPr="00C224C5">
        <w:rPr>
          <w:rFonts w:ascii="Times New Roman" w:hAnsi="Times New Roman" w:cs="Times New Roman"/>
          <w:b/>
          <w:sz w:val="24"/>
        </w:rPr>
        <w:t xml:space="preserve"> </w:t>
      </w:r>
      <w:r w:rsidRPr="00C224C5">
        <w:rPr>
          <w:rFonts w:ascii="Times New Roman" w:hAnsi="Times New Roman" w:cs="Times New Roman"/>
          <w:sz w:val="24"/>
        </w:rPr>
        <w:t xml:space="preserve">favored disease development. Recent studies have emphasized that such erratic climatic conditions significantly increase disease pressure and reduce fungicide efficacy, thereby necessitating integrated disease management strategies (Tripathi, </w:t>
      </w:r>
      <w:commentRangeStart w:id="11"/>
      <w:r w:rsidRPr="00C224C5">
        <w:rPr>
          <w:rFonts w:ascii="Times New Roman" w:hAnsi="Times New Roman" w:cs="Times New Roman"/>
          <w:sz w:val="24"/>
        </w:rPr>
        <w:t>2025</w:t>
      </w:r>
      <w:commentRangeEnd w:id="11"/>
      <w:r w:rsidR="007B6FF8">
        <w:rPr>
          <w:rStyle w:val="ab"/>
          <w:rtl/>
          <w:lang w:val="en-IN" w:bidi="te-IN"/>
        </w:rPr>
        <w:commentReference w:id="11"/>
      </w:r>
      <w:r w:rsidRPr="00C224C5">
        <w:rPr>
          <w:rFonts w:ascii="Times New Roman" w:hAnsi="Times New Roman" w:cs="Times New Roman"/>
          <w:sz w:val="24"/>
        </w:rPr>
        <w:t>).</w:t>
      </w:r>
    </w:p>
    <w:p w14:paraId="302FAB14" w14:textId="77777777" w:rsidR="004252FD" w:rsidRPr="00C224C5" w:rsidRDefault="004252FD" w:rsidP="0083628B">
      <w:pPr>
        <w:pStyle w:val="a8"/>
        <w:jc w:val="both"/>
        <w:rPr>
          <w:rFonts w:ascii="Times New Roman" w:hAnsi="Times New Roman" w:cs="Times New Roman"/>
          <w:sz w:val="24"/>
        </w:rPr>
      </w:pPr>
    </w:p>
    <w:p w14:paraId="2FC2F02A" w14:textId="77777777" w:rsidR="0083628B" w:rsidRPr="00C224C5" w:rsidRDefault="0083628B" w:rsidP="0083628B">
      <w:pPr>
        <w:pStyle w:val="a8"/>
        <w:jc w:val="both"/>
        <w:rPr>
          <w:rFonts w:ascii="Times New Roman" w:hAnsi="Times New Roman" w:cs="Times New Roman"/>
          <w:sz w:val="24"/>
        </w:rPr>
      </w:pPr>
    </w:p>
    <w:p w14:paraId="64844330" w14:textId="77777777" w:rsidR="0083628B" w:rsidRPr="00C224C5" w:rsidRDefault="007F21E5" w:rsidP="0083628B">
      <w:pPr>
        <w:pStyle w:val="a8"/>
        <w:jc w:val="both"/>
        <w:rPr>
          <w:rFonts w:ascii="Times New Roman" w:hAnsi="Times New Roman" w:cs="Times New Roman"/>
          <w:b/>
          <w:sz w:val="24"/>
        </w:rPr>
      </w:pPr>
      <w:proofErr w:type="spellStart"/>
      <w:r w:rsidRPr="00C224C5">
        <w:rPr>
          <w:rFonts w:ascii="Times New Roman" w:hAnsi="Times New Roman" w:cs="Times New Roman"/>
          <w:b/>
          <w:sz w:val="24"/>
        </w:rPr>
        <w:t>IV.</w:t>
      </w:r>
      <w:r w:rsidR="0083628B" w:rsidRPr="00C224C5">
        <w:rPr>
          <w:rFonts w:ascii="Times New Roman" w:hAnsi="Times New Roman" w:cs="Times New Roman"/>
          <w:b/>
          <w:sz w:val="24"/>
        </w:rPr>
        <w:t>Marketable</w:t>
      </w:r>
      <w:proofErr w:type="spellEnd"/>
      <w:r w:rsidR="0083628B" w:rsidRPr="00C224C5">
        <w:rPr>
          <w:rFonts w:ascii="Times New Roman" w:hAnsi="Times New Roman" w:cs="Times New Roman"/>
          <w:b/>
          <w:sz w:val="24"/>
        </w:rPr>
        <w:t xml:space="preserve"> Yield</w:t>
      </w:r>
    </w:p>
    <w:p w14:paraId="411270AA"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w:t>
      </w:r>
    </w:p>
    <w:p w14:paraId="7B78F6A2" w14:textId="77777777" w:rsidR="0083628B" w:rsidRPr="006E04E4" w:rsidRDefault="0083628B" w:rsidP="0083628B">
      <w:pPr>
        <w:pStyle w:val="a8"/>
        <w:jc w:val="both"/>
        <w:rPr>
          <w:rFonts w:ascii="Times New Roman" w:hAnsi="Times New Roman" w:cs="Times New Roman"/>
          <w:color w:val="EE0000"/>
          <w:sz w:val="24"/>
        </w:rPr>
      </w:pPr>
      <w:r w:rsidRPr="006E04E4">
        <w:rPr>
          <w:rFonts w:ascii="Times New Roman" w:hAnsi="Times New Roman" w:cs="Times New Roman"/>
          <w:color w:val="EE0000"/>
          <w:sz w:val="24"/>
        </w:rPr>
        <w:t xml:space="preserve">During 2021–22, marketable yield ranged from </w:t>
      </w:r>
      <w:r w:rsidRPr="006E04E4">
        <w:rPr>
          <w:rStyle w:val="a6"/>
          <w:rFonts w:ascii="Times New Roman" w:hAnsi="Times New Roman" w:cs="Times New Roman"/>
          <w:b w:val="0"/>
          <w:bCs w:val="0"/>
          <w:color w:val="EE0000"/>
          <w:sz w:val="24"/>
        </w:rPr>
        <w:t>20.25 t ha⁻¹ to 30.66 t ha⁻¹</w:t>
      </w:r>
      <w:r w:rsidRPr="006E04E4">
        <w:rPr>
          <w:rFonts w:ascii="Times New Roman" w:hAnsi="Times New Roman" w:cs="Times New Roman"/>
          <w:color w:val="EE0000"/>
          <w:sz w:val="24"/>
        </w:rPr>
        <w:t xml:space="preserve">, with </w:t>
      </w:r>
      <w:r w:rsidRPr="006E04E4">
        <w:rPr>
          <w:rStyle w:val="a6"/>
          <w:rFonts w:ascii="Times New Roman" w:hAnsi="Times New Roman" w:cs="Times New Roman"/>
          <w:b w:val="0"/>
          <w:bCs w:val="0"/>
          <w:color w:val="EE0000"/>
          <w:sz w:val="24"/>
        </w:rPr>
        <w:t>T3 recording the highest yield (30.66 t ha⁻¹)</w:t>
      </w:r>
      <w:r w:rsidRPr="006E04E4">
        <w:rPr>
          <w:rFonts w:ascii="Times New Roman" w:hAnsi="Times New Roman" w:cs="Times New Roman"/>
          <w:color w:val="EE0000"/>
          <w:sz w:val="24"/>
        </w:rPr>
        <w:t xml:space="preserve">, followed by </w:t>
      </w:r>
      <w:r w:rsidRPr="006E04E4">
        <w:rPr>
          <w:rStyle w:val="a6"/>
          <w:rFonts w:ascii="Times New Roman" w:hAnsi="Times New Roman" w:cs="Times New Roman"/>
          <w:b w:val="0"/>
          <w:bCs w:val="0"/>
          <w:color w:val="EE0000"/>
          <w:sz w:val="24"/>
        </w:rPr>
        <w:t>T2 (27.16 t ha⁻¹)</w:t>
      </w:r>
      <w:r w:rsidRPr="006E04E4">
        <w:rPr>
          <w:rFonts w:ascii="Times New Roman" w:hAnsi="Times New Roman" w:cs="Times New Roman"/>
          <w:color w:val="EE0000"/>
          <w:sz w:val="24"/>
        </w:rPr>
        <w:t xml:space="preserve"> and </w:t>
      </w:r>
      <w:r w:rsidRPr="006E04E4">
        <w:rPr>
          <w:rStyle w:val="a6"/>
          <w:rFonts w:ascii="Times New Roman" w:hAnsi="Times New Roman" w:cs="Times New Roman"/>
          <w:b w:val="0"/>
          <w:bCs w:val="0"/>
          <w:color w:val="EE0000"/>
          <w:sz w:val="24"/>
        </w:rPr>
        <w:t>T6 (25.70 t ha⁻¹)</w:t>
      </w:r>
      <w:r w:rsidRPr="006E04E4">
        <w:rPr>
          <w:rFonts w:ascii="Times New Roman" w:hAnsi="Times New Roman" w:cs="Times New Roman"/>
          <w:color w:val="EE0000"/>
          <w:sz w:val="24"/>
        </w:rPr>
        <w:t xml:space="preserve">. The lowest yield was recorded in </w:t>
      </w:r>
      <w:r w:rsidRPr="006E04E4">
        <w:rPr>
          <w:rStyle w:val="a6"/>
          <w:rFonts w:ascii="Times New Roman" w:hAnsi="Times New Roman" w:cs="Times New Roman"/>
          <w:b w:val="0"/>
          <w:bCs w:val="0"/>
          <w:color w:val="EE0000"/>
          <w:sz w:val="24"/>
        </w:rPr>
        <w:t>T7 (20.25 t ha⁻¹)</w:t>
      </w:r>
      <w:r w:rsidRPr="006E04E4">
        <w:rPr>
          <w:rFonts w:ascii="Times New Roman" w:hAnsi="Times New Roman" w:cs="Times New Roman"/>
          <w:color w:val="EE0000"/>
          <w:sz w:val="24"/>
        </w:rPr>
        <w:t xml:space="preserve">. Similar trends were observed during 2022–23, wherein </w:t>
      </w:r>
      <w:r w:rsidRPr="006E04E4">
        <w:rPr>
          <w:rStyle w:val="a6"/>
          <w:rFonts w:ascii="Times New Roman" w:hAnsi="Times New Roman" w:cs="Times New Roman"/>
          <w:b w:val="0"/>
          <w:bCs w:val="0"/>
          <w:color w:val="EE0000"/>
          <w:sz w:val="24"/>
        </w:rPr>
        <w:t>T3 again recorded the highest yield (28.65 t ha⁻¹)</w:t>
      </w:r>
      <w:r w:rsidRPr="006E04E4">
        <w:rPr>
          <w:rFonts w:ascii="Times New Roman" w:hAnsi="Times New Roman" w:cs="Times New Roman"/>
          <w:color w:val="EE0000"/>
          <w:sz w:val="24"/>
        </w:rPr>
        <w:t xml:space="preserve">, followed by </w:t>
      </w:r>
      <w:r w:rsidRPr="006E04E4">
        <w:rPr>
          <w:rStyle w:val="a6"/>
          <w:rFonts w:ascii="Times New Roman" w:hAnsi="Times New Roman" w:cs="Times New Roman"/>
          <w:b w:val="0"/>
          <w:bCs w:val="0"/>
          <w:color w:val="EE0000"/>
          <w:sz w:val="24"/>
        </w:rPr>
        <w:t>T6 (24.08 t ha⁻¹)</w:t>
      </w:r>
      <w:r w:rsidRPr="006E04E4">
        <w:rPr>
          <w:rFonts w:ascii="Times New Roman" w:hAnsi="Times New Roman" w:cs="Times New Roman"/>
          <w:color w:val="EE0000"/>
          <w:sz w:val="24"/>
        </w:rPr>
        <w:t xml:space="preserve">, while </w:t>
      </w:r>
      <w:r w:rsidRPr="006E04E4">
        <w:rPr>
          <w:rStyle w:val="a6"/>
          <w:rFonts w:ascii="Times New Roman" w:hAnsi="Times New Roman" w:cs="Times New Roman"/>
          <w:b w:val="0"/>
          <w:bCs w:val="0"/>
          <w:color w:val="EE0000"/>
          <w:sz w:val="24"/>
        </w:rPr>
        <w:t>T7 recorded the lowest yield (16.85 t ha</w:t>
      </w:r>
      <w:commentRangeStart w:id="12"/>
      <w:r w:rsidRPr="006E04E4">
        <w:rPr>
          <w:rStyle w:val="a6"/>
          <w:rFonts w:ascii="Times New Roman" w:hAnsi="Times New Roman" w:cs="Times New Roman"/>
          <w:b w:val="0"/>
          <w:bCs w:val="0"/>
          <w:color w:val="EE0000"/>
          <w:sz w:val="24"/>
        </w:rPr>
        <w:t>⁻</w:t>
      </w:r>
      <w:commentRangeEnd w:id="12"/>
      <w:r w:rsidR="006E04E4">
        <w:rPr>
          <w:rStyle w:val="ab"/>
          <w:rtl/>
          <w:lang w:val="en-IN" w:bidi="te-IN"/>
        </w:rPr>
        <w:commentReference w:id="12"/>
      </w:r>
      <w:r w:rsidRPr="006E04E4">
        <w:rPr>
          <w:rStyle w:val="a6"/>
          <w:rFonts w:ascii="Times New Roman" w:hAnsi="Times New Roman" w:cs="Times New Roman"/>
          <w:b w:val="0"/>
          <w:bCs w:val="0"/>
          <w:color w:val="EE0000"/>
          <w:sz w:val="24"/>
        </w:rPr>
        <w:t>¹)</w:t>
      </w:r>
      <w:r w:rsidRPr="006E04E4">
        <w:rPr>
          <w:rFonts w:ascii="Times New Roman" w:hAnsi="Times New Roman" w:cs="Times New Roman"/>
          <w:color w:val="EE0000"/>
          <w:sz w:val="24"/>
        </w:rPr>
        <w:t>.</w:t>
      </w:r>
    </w:p>
    <w:p w14:paraId="6A9A8CA0" w14:textId="77777777" w:rsidR="0083628B" w:rsidRPr="006E04E4" w:rsidRDefault="0083628B" w:rsidP="0083628B">
      <w:pPr>
        <w:pStyle w:val="a8"/>
        <w:jc w:val="both"/>
        <w:rPr>
          <w:rFonts w:ascii="Times New Roman" w:hAnsi="Times New Roman" w:cs="Times New Roman"/>
          <w:color w:val="EE0000"/>
          <w:sz w:val="24"/>
        </w:rPr>
      </w:pPr>
      <w:r w:rsidRPr="006E04E4">
        <w:rPr>
          <w:rFonts w:ascii="Times New Roman" w:hAnsi="Times New Roman" w:cs="Times New Roman"/>
          <w:color w:val="EE0000"/>
          <w:sz w:val="24"/>
        </w:rPr>
        <w:t xml:space="preserve">During 2023–24, yields were comparatively higher across treatments, with </w:t>
      </w:r>
      <w:r w:rsidRPr="006E04E4">
        <w:rPr>
          <w:rStyle w:val="a6"/>
          <w:rFonts w:ascii="Times New Roman" w:hAnsi="Times New Roman" w:cs="Times New Roman"/>
          <w:b w:val="0"/>
          <w:bCs w:val="0"/>
          <w:color w:val="EE0000"/>
          <w:sz w:val="24"/>
        </w:rPr>
        <w:t>T3 recording the maximum yield (31.75 t ha⁻¹)</w:t>
      </w:r>
      <w:r w:rsidRPr="006E04E4">
        <w:rPr>
          <w:rFonts w:ascii="Times New Roman" w:hAnsi="Times New Roman" w:cs="Times New Roman"/>
          <w:color w:val="EE0000"/>
          <w:sz w:val="24"/>
        </w:rPr>
        <w:t xml:space="preserve">, followed by </w:t>
      </w:r>
      <w:r w:rsidRPr="006E04E4">
        <w:rPr>
          <w:rStyle w:val="a6"/>
          <w:rFonts w:ascii="Times New Roman" w:hAnsi="Times New Roman" w:cs="Times New Roman"/>
          <w:b w:val="0"/>
          <w:bCs w:val="0"/>
          <w:color w:val="EE0000"/>
          <w:sz w:val="24"/>
        </w:rPr>
        <w:t>T6 (27.18 t ha⁻¹)</w:t>
      </w:r>
      <w:r w:rsidRPr="006E04E4">
        <w:rPr>
          <w:rFonts w:ascii="Times New Roman" w:hAnsi="Times New Roman" w:cs="Times New Roman"/>
          <w:color w:val="EE0000"/>
          <w:sz w:val="24"/>
        </w:rPr>
        <w:t xml:space="preserve"> and </w:t>
      </w:r>
      <w:r w:rsidRPr="006E04E4">
        <w:rPr>
          <w:rStyle w:val="a6"/>
          <w:rFonts w:ascii="Times New Roman" w:hAnsi="Times New Roman" w:cs="Times New Roman"/>
          <w:b w:val="0"/>
          <w:bCs w:val="0"/>
          <w:color w:val="EE0000"/>
          <w:sz w:val="24"/>
        </w:rPr>
        <w:t>T2 (25.90 t ha⁻¹)</w:t>
      </w:r>
      <w:r w:rsidRPr="006E04E4">
        <w:rPr>
          <w:rFonts w:ascii="Times New Roman" w:hAnsi="Times New Roman" w:cs="Times New Roman"/>
          <w:color w:val="EE0000"/>
          <w:sz w:val="24"/>
        </w:rPr>
        <w:t xml:space="preserve">. The untreated control </w:t>
      </w:r>
      <w:r w:rsidRPr="006E04E4">
        <w:rPr>
          <w:rStyle w:val="a6"/>
          <w:rFonts w:ascii="Times New Roman" w:hAnsi="Times New Roman" w:cs="Times New Roman"/>
          <w:b w:val="0"/>
          <w:bCs w:val="0"/>
          <w:color w:val="EE0000"/>
          <w:sz w:val="24"/>
        </w:rPr>
        <w:t>T7 again recorded the lowest yield (23.19 t ha⁻¹)</w:t>
      </w:r>
      <w:r w:rsidRPr="006E04E4">
        <w:rPr>
          <w:rFonts w:ascii="Times New Roman" w:hAnsi="Times New Roman" w:cs="Times New Roman"/>
          <w:color w:val="EE0000"/>
          <w:sz w:val="24"/>
        </w:rPr>
        <w:t>.</w:t>
      </w:r>
    </w:p>
    <w:p w14:paraId="4611C5FE" w14:textId="77777777" w:rsidR="0083628B" w:rsidRPr="006E04E4" w:rsidRDefault="0083628B" w:rsidP="004252FD">
      <w:pPr>
        <w:pStyle w:val="a8"/>
        <w:jc w:val="both"/>
        <w:rPr>
          <w:rFonts w:ascii="Times New Roman" w:hAnsi="Times New Roman" w:cs="Times New Roman"/>
          <w:color w:val="EE0000"/>
          <w:sz w:val="24"/>
        </w:rPr>
      </w:pPr>
      <w:r w:rsidRPr="006E04E4">
        <w:rPr>
          <w:rFonts w:ascii="Times New Roman" w:hAnsi="Times New Roman" w:cs="Times New Roman"/>
          <w:color w:val="EE0000"/>
          <w:sz w:val="24"/>
        </w:rPr>
        <w:t xml:space="preserve">Pooled analysis revealed that </w:t>
      </w:r>
      <w:r w:rsidRPr="006E04E4">
        <w:rPr>
          <w:rStyle w:val="a6"/>
          <w:rFonts w:ascii="Times New Roman" w:hAnsi="Times New Roman" w:cs="Times New Roman"/>
          <w:b w:val="0"/>
          <w:bCs w:val="0"/>
          <w:color w:val="EE0000"/>
          <w:sz w:val="24"/>
        </w:rPr>
        <w:t>T3 recorded the highest mean marketable yield (30.35 t ha⁻¹)</w:t>
      </w:r>
      <w:r w:rsidRPr="006E04E4">
        <w:rPr>
          <w:rFonts w:ascii="Times New Roman" w:hAnsi="Times New Roman" w:cs="Times New Roman"/>
          <w:color w:val="EE0000"/>
          <w:sz w:val="24"/>
        </w:rPr>
        <w:t xml:space="preserve">, followed by </w:t>
      </w:r>
      <w:r w:rsidRPr="006E04E4">
        <w:rPr>
          <w:rStyle w:val="a6"/>
          <w:rFonts w:ascii="Times New Roman" w:hAnsi="Times New Roman" w:cs="Times New Roman"/>
          <w:b w:val="0"/>
          <w:bCs w:val="0"/>
          <w:color w:val="EE0000"/>
          <w:sz w:val="24"/>
        </w:rPr>
        <w:t>T6 (25.65 t ha⁻¹)</w:t>
      </w:r>
      <w:r w:rsidRPr="006E04E4">
        <w:rPr>
          <w:rFonts w:ascii="Times New Roman" w:hAnsi="Times New Roman" w:cs="Times New Roman"/>
          <w:color w:val="EE0000"/>
          <w:sz w:val="24"/>
        </w:rPr>
        <w:t xml:space="preserve"> and </w:t>
      </w:r>
      <w:r w:rsidRPr="006E04E4">
        <w:rPr>
          <w:rStyle w:val="a6"/>
          <w:rFonts w:ascii="Times New Roman" w:hAnsi="Times New Roman" w:cs="Times New Roman"/>
          <w:b w:val="0"/>
          <w:bCs w:val="0"/>
          <w:color w:val="EE0000"/>
          <w:sz w:val="24"/>
        </w:rPr>
        <w:t>T2 (25.41 t ha⁻¹)</w:t>
      </w:r>
      <w:r w:rsidRPr="006E04E4">
        <w:rPr>
          <w:rFonts w:ascii="Times New Roman" w:hAnsi="Times New Roman" w:cs="Times New Roman"/>
          <w:color w:val="EE0000"/>
          <w:sz w:val="24"/>
        </w:rPr>
        <w:t xml:space="preserve">. Treatments </w:t>
      </w:r>
      <w:r w:rsidRPr="006E04E4">
        <w:rPr>
          <w:rStyle w:val="a6"/>
          <w:rFonts w:ascii="Times New Roman" w:hAnsi="Times New Roman" w:cs="Times New Roman"/>
          <w:b w:val="0"/>
          <w:bCs w:val="0"/>
          <w:color w:val="EE0000"/>
          <w:sz w:val="24"/>
        </w:rPr>
        <w:t>T5 (24.89 t ha⁻¹)</w:t>
      </w:r>
      <w:r w:rsidRPr="006E04E4">
        <w:rPr>
          <w:rFonts w:ascii="Times New Roman" w:hAnsi="Times New Roman" w:cs="Times New Roman"/>
          <w:color w:val="EE0000"/>
          <w:sz w:val="24"/>
        </w:rPr>
        <w:t xml:space="preserve">, </w:t>
      </w:r>
      <w:r w:rsidRPr="006E04E4">
        <w:rPr>
          <w:rStyle w:val="a6"/>
          <w:rFonts w:ascii="Times New Roman" w:hAnsi="Times New Roman" w:cs="Times New Roman"/>
          <w:b w:val="0"/>
          <w:bCs w:val="0"/>
          <w:color w:val="EE0000"/>
          <w:sz w:val="24"/>
        </w:rPr>
        <w:t>T4 (23.30 t ha⁻¹)</w:t>
      </w:r>
      <w:r w:rsidRPr="006E04E4">
        <w:rPr>
          <w:rFonts w:ascii="Times New Roman" w:hAnsi="Times New Roman" w:cs="Times New Roman"/>
          <w:color w:val="EE0000"/>
          <w:sz w:val="24"/>
        </w:rPr>
        <w:t xml:space="preserve">, and </w:t>
      </w:r>
      <w:r w:rsidRPr="006E04E4">
        <w:rPr>
          <w:rStyle w:val="a6"/>
          <w:rFonts w:ascii="Times New Roman" w:hAnsi="Times New Roman" w:cs="Times New Roman"/>
          <w:b w:val="0"/>
          <w:bCs w:val="0"/>
          <w:color w:val="EE0000"/>
          <w:sz w:val="24"/>
        </w:rPr>
        <w:t>T1 (22.87 t ha⁻¹)</w:t>
      </w:r>
      <w:r w:rsidRPr="006E04E4">
        <w:rPr>
          <w:rFonts w:ascii="Times New Roman" w:hAnsi="Times New Roman" w:cs="Times New Roman"/>
          <w:color w:val="EE0000"/>
          <w:sz w:val="24"/>
        </w:rPr>
        <w:t xml:space="preserve"> recorded moderate yields, while </w:t>
      </w:r>
      <w:r w:rsidRPr="006E04E4">
        <w:rPr>
          <w:rStyle w:val="a6"/>
          <w:rFonts w:ascii="Times New Roman" w:hAnsi="Times New Roman" w:cs="Times New Roman"/>
          <w:b w:val="0"/>
          <w:bCs w:val="0"/>
          <w:color w:val="EE0000"/>
          <w:sz w:val="24"/>
        </w:rPr>
        <w:t>T7 recorded the lowest pooled yield (20.10 t ha⁻¹)</w:t>
      </w:r>
      <w:r w:rsidRPr="006E04E4">
        <w:rPr>
          <w:rFonts w:ascii="Times New Roman" w:hAnsi="Times New Roman" w:cs="Times New Roman"/>
          <w:color w:val="EE0000"/>
          <w:sz w:val="24"/>
        </w:rPr>
        <w:t xml:space="preserve">. </w:t>
      </w:r>
      <w:r w:rsidR="004252FD" w:rsidRPr="006E04E4">
        <w:rPr>
          <w:rFonts w:ascii="Times New Roman" w:hAnsi="Times New Roman" w:cs="Times New Roman"/>
          <w:color w:val="EE0000"/>
          <w:sz w:val="24"/>
        </w:rPr>
        <w:t xml:space="preserve">Similar yield advantages under integrated disease management were reported by </w:t>
      </w:r>
      <w:r w:rsidR="004252FD" w:rsidRPr="006E04E4">
        <w:rPr>
          <w:rStyle w:val="a6"/>
          <w:rFonts w:ascii="Times New Roman" w:hAnsi="Times New Roman" w:cs="Times New Roman"/>
          <w:b w:val="0"/>
          <w:color w:val="EE0000"/>
          <w:sz w:val="24"/>
        </w:rPr>
        <w:t>Tripathi (2025)</w:t>
      </w:r>
      <w:r w:rsidR="004252FD" w:rsidRPr="006E04E4">
        <w:rPr>
          <w:rFonts w:ascii="Times New Roman" w:hAnsi="Times New Roman" w:cs="Times New Roman"/>
          <w:color w:val="EE0000"/>
          <w:sz w:val="24"/>
        </w:rPr>
        <w:t xml:space="preserve"> in bottle gourd and by </w:t>
      </w:r>
      <w:r w:rsidR="004252FD" w:rsidRPr="006E04E4">
        <w:rPr>
          <w:rStyle w:val="a6"/>
          <w:rFonts w:ascii="Times New Roman" w:hAnsi="Times New Roman" w:cs="Times New Roman"/>
          <w:b w:val="0"/>
          <w:color w:val="EE0000"/>
          <w:sz w:val="24"/>
        </w:rPr>
        <w:t>Mahapatra et al. (2020)</w:t>
      </w:r>
      <w:r w:rsidR="004252FD" w:rsidRPr="006E04E4">
        <w:rPr>
          <w:rFonts w:ascii="Times New Roman" w:hAnsi="Times New Roman" w:cs="Times New Roman"/>
          <w:color w:val="EE0000"/>
          <w:sz w:val="24"/>
        </w:rPr>
        <w:t xml:space="preserve"> in cucurbits.</w:t>
      </w:r>
    </w:p>
    <w:p w14:paraId="32E58262" w14:textId="77777777" w:rsidR="0083628B" w:rsidRPr="00C224C5" w:rsidRDefault="0083628B" w:rsidP="0083628B">
      <w:pPr>
        <w:pStyle w:val="a8"/>
        <w:jc w:val="both"/>
        <w:rPr>
          <w:rFonts w:ascii="Times New Roman" w:hAnsi="Times New Roman" w:cs="Times New Roman"/>
          <w:sz w:val="24"/>
        </w:rPr>
      </w:pPr>
    </w:p>
    <w:p w14:paraId="29C7ACAA" w14:textId="77777777" w:rsidR="0083628B" w:rsidRPr="00C224C5" w:rsidRDefault="007F21E5" w:rsidP="0083628B">
      <w:pPr>
        <w:pStyle w:val="a8"/>
        <w:jc w:val="both"/>
        <w:rPr>
          <w:rFonts w:ascii="Times New Roman" w:hAnsi="Times New Roman" w:cs="Times New Roman"/>
          <w:b/>
          <w:sz w:val="24"/>
        </w:rPr>
      </w:pPr>
      <w:r w:rsidRPr="00C224C5">
        <w:rPr>
          <w:rFonts w:ascii="Times New Roman" w:hAnsi="Times New Roman" w:cs="Times New Roman"/>
          <w:b/>
          <w:sz w:val="24"/>
        </w:rPr>
        <w:t xml:space="preserve">V. </w:t>
      </w:r>
      <w:r w:rsidR="0083628B" w:rsidRPr="00C224C5">
        <w:rPr>
          <w:rFonts w:ascii="Times New Roman" w:hAnsi="Times New Roman" w:cs="Times New Roman"/>
          <w:b/>
          <w:sz w:val="24"/>
        </w:rPr>
        <w:t>Economic Analysis (Benefit–Cost Ratio)</w:t>
      </w:r>
    </w:p>
    <w:p w14:paraId="6C37BF09"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Economic analysis further highlighted the superiority of integrated disease management treatments (Table 2). The benefit–cost (B:C) ratio varied considerably among treatments, reflecting differences in input costs and marketable yield.</w:t>
      </w:r>
    </w:p>
    <w:p w14:paraId="31A8AED6"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Among the treatments, </w:t>
      </w:r>
      <w:r w:rsidRPr="00C224C5">
        <w:rPr>
          <w:rStyle w:val="a6"/>
          <w:rFonts w:ascii="Times New Roman" w:hAnsi="Times New Roman" w:cs="Times New Roman"/>
          <w:b w:val="0"/>
          <w:bCs w:val="0"/>
          <w:sz w:val="24"/>
        </w:rPr>
        <w:t>T3 recorded the highest B:C ratio (2.78)</w:t>
      </w:r>
      <w:r w:rsidRPr="00C224C5">
        <w:rPr>
          <w:rFonts w:ascii="Times New Roman" w:hAnsi="Times New Roman" w:cs="Times New Roman"/>
          <w:sz w:val="24"/>
        </w:rPr>
        <w:t xml:space="preserve">, indicating maximum economic returns. This was followed by </w:t>
      </w:r>
      <w:r w:rsidRPr="00C224C5">
        <w:rPr>
          <w:rStyle w:val="a6"/>
          <w:rFonts w:ascii="Times New Roman" w:hAnsi="Times New Roman" w:cs="Times New Roman"/>
          <w:b w:val="0"/>
          <w:bCs w:val="0"/>
          <w:sz w:val="24"/>
        </w:rPr>
        <w:t>T6 (2.18)</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T2 (2.17)</w:t>
      </w:r>
      <w:r w:rsidRPr="00C224C5">
        <w:rPr>
          <w:rFonts w:ascii="Times New Roman" w:hAnsi="Times New Roman" w:cs="Times New Roman"/>
          <w:sz w:val="24"/>
        </w:rPr>
        <w:t xml:space="preserve">. Treatment </w:t>
      </w:r>
      <w:r w:rsidRPr="00C224C5">
        <w:rPr>
          <w:rStyle w:val="a6"/>
          <w:rFonts w:ascii="Times New Roman" w:hAnsi="Times New Roman" w:cs="Times New Roman"/>
          <w:b w:val="0"/>
          <w:bCs w:val="0"/>
          <w:sz w:val="24"/>
        </w:rPr>
        <w:t>T5 recorded a B:C ratio of 2.11</w:t>
      </w:r>
      <w:r w:rsidRPr="00C224C5">
        <w:rPr>
          <w:rFonts w:ascii="Times New Roman" w:hAnsi="Times New Roman" w:cs="Times New Roman"/>
          <w:sz w:val="24"/>
        </w:rPr>
        <w:t xml:space="preserve">, while </w:t>
      </w:r>
      <w:r w:rsidRPr="00C224C5">
        <w:rPr>
          <w:rStyle w:val="a6"/>
          <w:rFonts w:ascii="Times New Roman" w:hAnsi="Times New Roman" w:cs="Times New Roman"/>
          <w:b w:val="0"/>
          <w:bCs w:val="0"/>
          <w:sz w:val="24"/>
        </w:rPr>
        <w:t>T4 (1.91)</w:t>
      </w:r>
      <w:r w:rsidRPr="00C224C5">
        <w:rPr>
          <w:rFonts w:ascii="Times New Roman" w:hAnsi="Times New Roman" w:cs="Times New Roman"/>
          <w:sz w:val="24"/>
        </w:rPr>
        <w:t xml:space="preserve"> and </w:t>
      </w:r>
      <w:r w:rsidRPr="00C224C5">
        <w:rPr>
          <w:rStyle w:val="a6"/>
          <w:rFonts w:ascii="Times New Roman" w:hAnsi="Times New Roman" w:cs="Times New Roman"/>
          <w:b w:val="0"/>
          <w:bCs w:val="0"/>
          <w:sz w:val="24"/>
        </w:rPr>
        <w:t>T1 (1.83)</w:t>
      </w:r>
      <w:r w:rsidRPr="00C224C5">
        <w:rPr>
          <w:rFonts w:ascii="Times New Roman" w:hAnsi="Times New Roman" w:cs="Times New Roman"/>
          <w:sz w:val="24"/>
        </w:rPr>
        <w:t xml:space="preserve"> showed moderate profitability. The untreated control </w:t>
      </w:r>
      <w:r w:rsidRPr="00C224C5">
        <w:rPr>
          <w:rStyle w:val="a6"/>
          <w:rFonts w:ascii="Times New Roman" w:hAnsi="Times New Roman" w:cs="Times New Roman"/>
          <w:b w:val="0"/>
          <w:bCs w:val="0"/>
          <w:sz w:val="24"/>
        </w:rPr>
        <w:t>T7 recorded the lowest B:C ratio (1.51)</w:t>
      </w:r>
      <w:r w:rsidRPr="00C224C5">
        <w:rPr>
          <w:rFonts w:ascii="Times New Roman" w:hAnsi="Times New Roman" w:cs="Times New Roman"/>
          <w:sz w:val="24"/>
        </w:rPr>
        <w:t>, reflecting lower yield and poor disease control.</w:t>
      </w:r>
    </w:p>
    <w:p w14:paraId="2F48173E"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The higher B:C ratio obtained under T3 demonstrates that the additional cost incurred on integrated inputs was economically justified by the substantial increase in yield and disease suppression.</w:t>
      </w:r>
      <w:r w:rsidR="009B797F" w:rsidRPr="00C224C5">
        <w:t xml:space="preserve"> </w:t>
      </w:r>
      <w:r w:rsidR="009B797F" w:rsidRPr="00C224C5">
        <w:rPr>
          <w:rFonts w:ascii="Times New Roman" w:hAnsi="Times New Roman" w:cs="Times New Roman"/>
          <w:sz w:val="24"/>
        </w:rPr>
        <w:t>(Verma, 2025)</w:t>
      </w:r>
    </w:p>
    <w:p w14:paraId="7BB074A5" w14:textId="77777777" w:rsidR="0083628B" w:rsidRPr="00C224C5" w:rsidRDefault="0083628B" w:rsidP="0083628B">
      <w:pPr>
        <w:pStyle w:val="a8"/>
        <w:jc w:val="both"/>
        <w:rPr>
          <w:rFonts w:ascii="Times New Roman" w:hAnsi="Times New Roman" w:cs="Times New Roman"/>
          <w:sz w:val="24"/>
        </w:rPr>
      </w:pPr>
    </w:p>
    <w:p w14:paraId="3B77D6F4" w14:textId="77777777" w:rsidR="0083628B" w:rsidRPr="00C224C5" w:rsidRDefault="007F21E5" w:rsidP="0083628B">
      <w:pPr>
        <w:pStyle w:val="a8"/>
        <w:jc w:val="both"/>
        <w:rPr>
          <w:rFonts w:ascii="Times New Roman" w:hAnsi="Times New Roman" w:cs="Times New Roman"/>
          <w:b/>
          <w:sz w:val="24"/>
        </w:rPr>
      </w:pPr>
      <w:r w:rsidRPr="00C224C5">
        <w:rPr>
          <w:rFonts w:ascii="Times New Roman" w:hAnsi="Times New Roman" w:cs="Times New Roman"/>
          <w:b/>
          <w:sz w:val="24"/>
        </w:rPr>
        <w:t xml:space="preserve">VII. </w:t>
      </w:r>
      <w:r w:rsidR="0083628B" w:rsidRPr="00C224C5">
        <w:rPr>
          <w:rFonts w:ascii="Times New Roman" w:hAnsi="Times New Roman" w:cs="Times New Roman"/>
          <w:b/>
          <w:sz w:val="24"/>
        </w:rPr>
        <w:t>Overall Performance of Integrated Disease Management Modules</w:t>
      </w:r>
    </w:p>
    <w:p w14:paraId="7F7E0F9A"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Among the seven treatments evaluated, </w:t>
      </w:r>
      <w:r w:rsidRPr="00C224C5">
        <w:rPr>
          <w:rStyle w:val="a6"/>
          <w:rFonts w:ascii="Times New Roman" w:hAnsi="Times New Roman" w:cs="Times New Roman"/>
          <w:b w:val="0"/>
          <w:bCs w:val="0"/>
          <w:sz w:val="24"/>
        </w:rPr>
        <w:t>T3 consistently outperformed all other treatments across all parameters</w:t>
      </w:r>
      <w:r w:rsidRPr="00C224C5">
        <w:rPr>
          <w:rFonts w:ascii="Times New Roman" w:hAnsi="Times New Roman" w:cs="Times New Roman"/>
          <w:sz w:val="24"/>
        </w:rPr>
        <w:t>, including seed germination, disease suppression, yield, and economic returns. The consistent superiority of T3 over three consecutive seasons confirms its robustness and reliability under varying environmental conditions.</w:t>
      </w:r>
    </w:p>
    <w:p w14:paraId="2229734B"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t xml:space="preserve">Treatment T3, which involved </w:t>
      </w:r>
      <w:r w:rsidRPr="00C224C5">
        <w:rPr>
          <w:rStyle w:val="a6"/>
          <w:rFonts w:ascii="Times New Roman" w:hAnsi="Times New Roman" w:cs="Times New Roman"/>
          <w:b w:val="0"/>
          <w:bCs w:val="0"/>
          <w:sz w:val="24"/>
        </w:rPr>
        <w:t>seed treatment with carbendazim 50% @ 2.5 g kg⁻¹ seed, soil application of micronutrients @ 5 kg ha⁻¹ at earthing up, and two foliar sprays of azoxystrobin 4.8% + chlorothalonil 40% SC @ 0.25%</w:t>
      </w:r>
      <w:r w:rsidRPr="00C224C5">
        <w:rPr>
          <w:rFonts w:ascii="Times New Roman" w:hAnsi="Times New Roman" w:cs="Times New Roman"/>
          <w:sz w:val="24"/>
        </w:rPr>
        <w:t>, effectively minimized initial pathogen inoculum, suppressed disease development, and promoted better plant growth.</w:t>
      </w:r>
    </w:p>
    <w:p w14:paraId="2B38D0E6" w14:textId="77777777" w:rsidR="0083628B" w:rsidRPr="00C224C5" w:rsidRDefault="0083628B" w:rsidP="0083628B">
      <w:pPr>
        <w:pStyle w:val="a8"/>
        <w:jc w:val="both"/>
        <w:rPr>
          <w:rFonts w:ascii="Times New Roman" w:hAnsi="Times New Roman" w:cs="Times New Roman"/>
          <w:sz w:val="24"/>
        </w:rPr>
      </w:pPr>
      <w:r w:rsidRPr="00C224C5">
        <w:rPr>
          <w:rFonts w:ascii="Times New Roman" w:hAnsi="Times New Roman" w:cs="Times New Roman"/>
          <w:sz w:val="24"/>
        </w:rPr>
        <w:lastRenderedPageBreak/>
        <w:t>The pooled results clearly indicate that integrated disease management strategies are more effective and sustainable compared to individual chemical or biological treatments alone</w:t>
      </w:r>
    </w:p>
    <w:p w14:paraId="3DB2DA6D" w14:textId="77777777" w:rsidR="0083628B" w:rsidRPr="00C224C5" w:rsidRDefault="0083628B" w:rsidP="0083628B">
      <w:pPr>
        <w:pStyle w:val="a8"/>
        <w:jc w:val="both"/>
        <w:rPr>
          <w:rFonts w:ascii="Times New Roman" w:hAnsi="Times New Roman" w:cs="Times New Roman"/>
          <w:sz w:val="24"/>
        </w:rPr>
      </w:pPr>
    </w:p>
    <w:p w14:paraId="11725D65" w14:textId="77777777" w:rsidR="00A26E34" w:rsidRPr="00C224C5" w:rsidRDefault="00A26E34" w:rsidP="0083628B">
      <w:pPr>
        <w:pStyle w:val="a8"/>
        <w:jc w:val="both"/>
        <w:rPr>
          <w:rFonts w:ascii="Times New Roman" w:hAnsi="Times New Roman" w:cs="Times New Roman"/>
          <w:sz w:val="24"/>
        </w:rPr>
      </w:pPr>
    </w:p>
    <w:p w14:paraId="6B759E57" w14:textId="77777777" w:rsidR="00D81632" w:rsidRPr="006E04E4" w:rsidRDefault="007F21E5" w:rsidP="0011440D">
      <w:pPr>
        <w:pStyle w:val="a8"/>
        <w:jc w:val="both"/>
        <w:rPr>
          <w:rFonts w:ascii="Times New Roman" w:hAnsi="Times New Roman" w:cs="Times New Roman"/>
          <w:b/>
          <w:bCs/>
          <w:color w:val="EE0000"/>
          <w:sz w:val="24"/>
          <w:szCs w:val="24"/>
        </w:rPr>
      </w:pPr>
      <w:r w:rsidRPr="006E04E4">
        <w:rPr>
          <w:rFonts w:ascii="Times New Roman" w:hAnsi="Times New Roman" w:cs="Times New Roman"/>
          <w:b/>
          <w:bCs/>
          <w:color w:val="EE0000"/>
          <w:sz w:val="24"/>
          <w:szCs w:val="24"/>
        </w:rPr>
        <w:t xml:space="preserve">VIII. </w:t>
      </w:r>
      <w:r w:rsidR="002A1A51" w:rsidRPr="006E04E4">
        <w:rPr>
          <w:rFonts w:ascii="Times New Roman" w:hAnsi="Times New Roman" w:cs="Times New Roman"/>
          <w:b/>
          <w:bCs/>
          <w:color w:val="EE0000"/>
          <w:sz w:val="24"/>
          <w:szCs w:val="24"/>
        </w:rPr>
        <w:t>Conclusion</w:t>
      </w:r>
    </w:p>
    <w:p w14:paraId="1A4867B8" w14:textId="77777777" w:rsidR="0089601B" w:rsidRPr="006E04E4" w:rsidRDefault="0089601B" w:rsidP="0011440D">
      <w:pPr>
        <w:pStyle w:val="a8"/>
        <w:jc w:val="both"/>
        <w:rPr>
          <w:rFonts w:ascii="Times New Roman" w:hAnsi="Times New Roman" w:cs="Times New Roman"/>
          <w:color w:val="EE0000"/>
          <w:sz w:val="24"/>
          <w:szCs w:val="24"/>
          <w:lang w:val="pt-BR"/>
        </w:rPr>
      </w:pPr>
      <w:r w:rsidRPr="006E04E4">
        <w:rPr>
          <w:rFonts w:ascii="Times New Roman" w:hAnsi="Times New Roman" w:cs="Times New Roman"/>
          <w:color w:val="EE0000"/>
          <w:sz w:val="24"/>
          <w:szCs w:val="24"/>
        </w:rPr>
        <w:t xml:space="preserve">For </w:t>
      </w:r>
      <w:r w:rsidRPr="006E04E4">
        <w:rPr>
          <w:rFonts w:ascii="Times New Roman" w:hAnsi="Times New Roman" w:cs="Times New Roman"/>
          <w:color w:val="EE0000"/>
          <w:sz w:val="24"/>
          <w:szCs w:val="24"/>
          <w:lang w:val="pt-BR"/>
        </w:rPr>
        <w:t xml:space="preserve">Integrated management studies against gummy stem blight in bottle gourd, “Seed treatment by carbendazim 50% @2.5g/kg seed, application of micronutrients @5kg/ha in root zone near collar region at the time earthing, Foliar spray of azoxystrobin 4.8% + chlorothalonil 40% SC @0.25% at 10 days interval twice at first sign of disease” showed best treatment than the other treatments with highest B:C </w:t>
      </w:r>
      <w:proofErr w:type="gramStart"/>
      <w:r w:rsidRPr="006E04E4">
        <w:rPr>
          <w:rFonts w:ascii="Times New Roman" w:hAnsi="Times New Roman" w:cs="Times New Roman"/>
          <w:color w:val="EE0000"/>
          <w:sz w:val="24"/>
          <w:szCs w:val="24"/>
          <w:lang w:val="pt-BR"/>
        </w:rPr>
        <w:t>ratio(</w:t>
      </w:r>
      <w:proofErr w:type="gramEnd"/>
      <w:r w:rsidRPr="006E04E4">
        <w:rPr>
          <w:rFonts w:ascii="Times New Roman" w:hAnsi="Times New Roman" w:cs="Times New Roman"/>
          <w:color w:val="EE0000"/>
          <w:sz w:val="24"/>
          <w:szCs w:val="24"/>
          <w:lang w:val="pt-BR"/>
        </w:rPr>
        <w:t>2.</w:t>
      </w:r>
      <w:commentRangeStart w:id="13"/>
      <w:r w:rsidRPr="006E04E4">
        <w:rPr>
          <w:rFonts w:ascii="Times New Roman" w:hAnsi="Times New Roman" w:cs="Times New Roman"/>
          <w:color w:val="EE0000"/>
          <w:sz w:val="24"/>
          <w:szCs w:val="24"/>
          <w:lang w:val="pt-BR"/>
        </w:rPr>
        <w:t>78</w:t>
      </w:r>
      <w:commentRangeEnd w:id="13"/>
      <w:r w:rsidR="006E04E4">
        <w:rPr>
          <w:rStyle w:val="ab"/>
          <w:rtl/>
          <w:lang w:val="en-IN" w:bidi="te-IN"/>
        </w:rPr>
        <w:commentReference w:id="13"/>
      </w:r>
      <w:r w:rsidRPr="006E04E4">
        <w:rPr>
          <w:rFonts w:ascii="Times New Roman" w:hAnsi="Times New Roman" w:cs="Times New Roman"/>
          <w:color w:val="EE0000"/>
          <w:sz w:val="24"/>
          <w:szCs w:val="24"/>
          <w:lang w:val="pt-BR"/>
        </w:rPr>
        <w:t>).</w:t>
      </w:r>
    </w:p>
    <w:p w14:paraId="66BFB7E9" w14:textId="77777777" w:rsidR="0017795E" w:rsidRPr="006E04E4" w:rsidRDefault="0017795E" w:rsidP="0011440D">
      <w:pPr>
        <w:pStyle w:val="a8"/>
        <w:jc w:val="both"/>
        <w:rPr>
          <w:rFonts w:ascii="Times New Roman" w:hAnsi="Times New Roman" w:cs="Times New Roman"/>
          <w:color w:val="EE0000"/>
          <w:sz w:val="24"/>
          <w:szCs w:val="24"/>
        </w:rPr>
      </w:pPr>
    </w:p>
    <w:p w14:paraId="3B45540C" w14:textId="77777777" w:rsidR="005F0921" w:rsidRPr="00C224C5" w:rsidRDefault="005F0921" w:rsidP="0011440D">
      <w:pPr>
        <w:pStyle w:val="a8"/>
        <w:jc w:val="both"/>
        <w:rPr>
          <w:rFonts w:ascii="Times New Roman" w:hAnsi="Times New Roman" w:cs="Times New Roman"/>
          <w:sz w:val="24"/>
          <w:szCs w:val="24"/>
        </w:rPr>
      </w:pPr>
    </w:p>
    <w:p w14:paraId="6DB6191D" w14:textId="77777777" w:rsidR="00345841" w:rsidRPr="00137D32" w:rsidRDefault="00F64BE6" w:rsidP="00EF55F8">
      <w:pPr>
        <w:spacing w:line="276" w:lineRule="auto"/>
        <w:jc w:val="both"/>
        <w:rPr>
          <w:rFonts w:ascii="Times New Roman" w:hAnsi="Times New Roman" w:cs="Times New Roman"/>
          <w:b/>
          <w:bCs/>
          <w:color w:val="EE0000"/>
          <w:sz w:val="24"/>
          <w:szCs w:val="24"/>
        </w:rPr>
      </w:pPr>
      <w:commentRangeStart w:id="14"/>
      <w:r w:rsidRPr="00137D32">
        <w:rPr>
          <w:rFonts w:ascii="Times New Roman" w:hAnsi="Times New Roman" w:cs="Times New Roman"/>
          <w:b/>
          <w:bCs/>
          <w:color w:val="EE0000"/>
          <w:sz w:val="24"/>
          <w:szCs w:val="24"/>
        </w:rPr>
        <w:t>References</w:t>
      </w:r>
      <w:commentRangeEnd w:id="14"/>
      <w:r w:rsidR="00137D32">
        <w:rPr>
          <w:rStyle w:val="ab"/>
          <w:rtl/>
        </w:rPr>
        <w:commentReference w:id="14"/>
      </w:r>
    </w:p>
    <w:p w14:paraId="341E60E0" w14:textId="77777777" w:rsidR="0017275F" w:rsidRPr="00137D32" w:rsidRDefault="00C224C5" w:rsidP="0017275F">
      <w:pPr>
        <w:spacing w:line="276" w:lineRule="auto"/>
        <w:jc w:val="both"/>
        <w:rPr>
          <w:rFonts w:ascii="Times New Roman" w:hAnsi="Times New Roman" w:cs="Times New Roman"/>
          <w:color w:val="EE0000"/>
          <w:sz w:val="24"/>
          <w:szCs w:val="24"/>
        </w:rPr>
      </w:pPr>
      <w:proofErr w:type="gramStart"/>
      <w:r w:rsidRPr="00137D32">
        <w:rPr>
          <w:rFonts w:ascii="Times New Roman" w:hAnsi="Times New Roman" w:cs="Times New Roman"/>
          <w:color w:val="EE0000"/>
          <w:sz w:val="24"/>
          <w:szCs w:val="24"/>
        </w:rPr>
        <w:t>Garampalli,  R.H.,  Gopalkrishnan,  M.K.,  Li,  H.</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&amp;  Brewer,  M.T.</w:t>
      </w:r>
      <w:proofErr w:type="gramEnd"/>
      <w:r w:rsidRPr="00137D32">
        <w:rPr>
          <w:rFonts w:ascii="Times New Roman" w:hAnsi="Times New Roman" w:cs="Times New Roman"/>
          <w:color w:val="EE0000"/>
          <w:sz w:val="24"/>
          <w:szCs w:val="24"/>
        </w:rPr>
        <w:t xml:space="preserve">  (2016).  </w:t>
      </w:r>
      <w:proofErr w:type="gramStart"/>
      <w:r w:rsidRPr="00137D32">
        <w:rPr>
          <w:rFonts w:ascii="Times New Roman" w:hAnsi="Times New Roman" w:cs="Times New Roman"/>
          <w:color w:val="EE0000"/>
          <w:sz w:val="24"/>
          <w:szCs w:val="24"/>
        </w:rPr>
        <w:t xml:space="preserve">Two  </w:t>
      </w:r>
      <w:r w:rsidRPr="00137D32">
        <w:rPr>
          <w:rFonts w:ascii="Times New Roman" w:hAnsi="Times New Roman" w:cs="Times New Roman"/>
          <w:color w:val="EE0000"/>
          <w:sz w:val="24"/>
          <w:szCs w:val="24"/>
        </w:rPr>
        <w:tab/>
      </w:r>
      <w:proofErr w:type="spellStart"/>
      <w:r w:rsidRPr="00137D32">
        <w:rPr>
          <w:rFonts w:ascii="Times New Roman" w:hAnsi="Times New Roman" w:cs="Times New Roman"/>
          <w:color w:val="EE0000"/>
          <w:sz w:val="24"/>
          <w:szCs w:val="24"/>
        </w:rPr>
        <w:t>stagnosporopsis</w:t>
      </w:r>
      <w:proofErr w:type="spellEnd"/>
      <w:r w:rsidRPr="00137D32">
        <w:rPr>
          <w:rFonts w:ascii="Times New Roman" w:hAnsi="Times New Roman" w:cs="Times New Roman"/>
          <w:color w:val="EE0000"/>
          <w:sz w:val="24"/>
          <w:szCs w:val="24"/>
        </w:rPr>
        <w:t xml:space="preserve">  species</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identified  as</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causal  agents</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of  gummy</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stem  blight</w:t>
      </w:r>
      <w:proofErr w:type="gramEnd"/>
      <w:r w:rsidRPr="00137D32">
        <w:rPr>
          <w:rFonts w:ascii="Times New Roman" w:hAnsi="Times New Roman" w:cs="Times New Roman"/>
          <w:color w:val="EE0000"/>
          <w:sz w:val="24"/>
          <w:szCs w:val="24"/>
        </w:rPr>
        <w:t xml:space="preserve">  </w:t>
      </w:r>
      <w:r w:rsidRPr="00137D32">
        <w:rPr>
          <w:rFonts w:ascii="Times New Roman" w:hAnsi="Times New Roman" w:cs="Times New Roman"/>
          <w:color w:val="EE0000"/>
          <w:sz w:val="24"/>
          <w:szCs w:val="24"/>
        </w:rPr>
        <w:tab/>
      </w:r>
      <w:proofErr w:type="gramStart"/>
      <w:r w:rsidRPr="00137D32">
        <w:rPr>
          <w:rFonts w:ascii="Times New Roman" w:hAnsi="Times New Roman" w:cs="Times New Roman"/>
          <w:color w:val="EE0000"/>
          <w:sz w:val="24"/>
          <w:szCs w:val="24"/>
        </w:rPr>
        <w:t>epidemics  of</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gherkin  cucumber</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Cucumis  sativus)  in</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Karnataka,  India</w:t>
      </w:r>
      <w:proofErr w:type="gramEnd"/>
      <w:r w:rsidRPr="00137D32">
        <w:rPr>
          <w:rFonts w:ascii="Times New Roman" w:hAnsi="Times New Roman" w:cs="Times New Roman"/>
          <w:color w:val="EE0000"/>
          <w:sz w:val="24"/>
          <w:szCs w:val="24"/>
        </w:rPr>
        <w:t xml:space="preserve">. </w:t>
      </w:r>
      <w:r w:rsidR="0017275F" w:rsidRPr="00137D32">
        <w:rPr>
          <w:rFonts w:ascii="Times New Roman" w:hAnsi="Times New Roman" w:cs="Times New Roman"/>
          <w:color w:val="EE0000"/>
          <w:sz w:val="24"/>
          <w:szCs w:val="24"/>
        </w:rPr>
        <w:t xml:space="preserve">            &amp; M. pp.280.</w:t>
      </w:r>
    </w:p>
    <w:p w14:paraId="3B5A06FF" w14:textId="0C774C7E"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 </w:t>
      </w:r>
      <w:r w:rsidRPr="00137D32">
        <w:rPr>
          <w:rFonts w:ascii="Times New Roman" w:hAnsi="Times New Roman" w:cs="Times New Roman"/>
          <w:color w:val="EE0000"/>
          <w:sz w:val="24"/>
          <w:szCs w:val="24"/>
        </w:rPr>
        <w:tab/>
      </w:r>
    </w:p>
    <w:p w14:paraId="07CB382F"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Gusmini, G., Song, R. and Wehner, T. C. 2005. </w:t>
      </w:r>
      <w:proofErr w:type="gramStart"/>
      <w:r w:rsidRPr="00137D32">
        <w:rPr>
          <w:rFonts w:ascii="Times New Roman" w:hAnsi="Times New Roman" w:cs="Times New Roman"/>
          <w:color w:val="EE0000"/>
          <w:sz w:val="24"/>
          <w:szCs w:val="24"/>
        </w:rPr>
        <w:t>Crop  Sci.</w:t>
      </w:r>
      <w:proofErr w:type="gramEnd"/>
      <w:r w:rsidRPr="00137D32">
        <w:rPr>
          <w:rFonts w:ascii="Times New Roman" w:hAnsi="Times New Roman" w:cs="Times New Roman"/>
          <w:color w:val="EE0000"/>
          <w:sz w:val="24"/>
          <w:szCs w:val="24"/>
        </w:rPr>
        <w:t>,45:  582–588.</w:t>
      </w:r>
    </w:p>
    <w:p w14:paraId="1A372ADC" w14:textId="77777777" w:rsidR="00C224C5" w:rsidRPr="00137D32" w:rsidRDefault="00C224C5" w:rsidP="000413D9">
      <w:pPr>
        <w:pStyle w:val="a5"/>
        <w:rPr>
          <w:color w:val="EE0000"/>
        </w:rPr>
      </w:pPr>
      <w:proofErr w:type="spellStart"/>
      <w:r w:rsidRPr="00137D32">
        <w:rPr>
          <w:color w:val="EE0000"/>
        </w:rPr>
        <w:t>Harsonowati</w:t>
      </w:r>
      <w:proofErr w:type="spellEnd"/>
      <w:r w:rsidRPr="00137D32">
        <w:rPr>
          <w:color w:val="EE0000"/>
        </w:rPr>
        <w:t xml:space="preserve">, W., Nugroho, T., &amp; </w:t>
      </w:r>
      <w:proofErr w:type="spellStart"/>
      <w:r w:rsidRPr="00137D32">
        <w:rPr>
          <w:color w:val="EE0000"/>
        </w:rPr>
        <w:t>Suryanto</w:t>
      </w:r>
      <w:proofErr w:type="spellEnd"/>
      <w:r w:rsidRPr="00137D32">
        <w:rPr>
          <w:color w:val="EE0000"/>
        </w:rPr>
        <w:t xml:space="preserve">, D. (2026). Seed biopriming with stress-adapted endophytes improves germination, growth and stress resilience in horticultural crops. </w:t>
      </w:r>
      <w:r w:rsidRPr="00137D32">
        <w:rPr>
          <w:rStyle w:val="a4"/>
          <w:color w:val="EE0000"/>
        </w:rPr>
        <w:t>Journal of Plant Stress Physiology</w:t>
      </w:r>
      <w:r w:rsidRPr="00137D32">
        <w:rPr>
          <w:color w:val="EE0000"/>
        </w:rPr>
        <w:t>, 14(1), 55–68.</w:t>
      </w:r>
    </w:p>
    <w:p w14:paraId="5173EDD9" w14:textId="77777777" w:rsidR="00C224C5" w:rsidRPr="00137D32" w:rsidRDefault="00C224C5" w:rsidP="006E135D">
      <w:pPr>
        <w:pStyle w:val="a5"/>
        <w:rPr>
          <w:color w:val="EE0000"/>
        </w:rPr>
      </w:pPr>
      <w:r w:rsidRPr="00137D32">
        <w:rPr>
          <w:color w:val="EE0000"/>
        </w:rPr>
        <w:t xml:space="preserve">Jeong, H. J., Kim, Y. S., &amp; Lee, J. H. (2024). Antifungal activity of </w:t>
      </w:r>
      <w:r w:rsidRPr="00137D32">
        <w:rPr>
          <w:rStyle w:val="a4"/>
          <w:color w:val="EE0000"/>
        </w:rPr>
        <w:t>Bacillus subtilis</w:t>
      </w:r>
      <w:r w:rsidRPr="00137D32">
        <w:rPr>
          <w:color w:val="EE0000"/>
        </w:rPr>
        <w:t xml:space="preserve"> against </w:t>
      </w:r>
      <w:proofErr w:type="spellStart"/>
      <w:r w:rsidRPr="00137D32">
        <w:rPr>
          <w:rStyle w:val="a4"/>
          <w:color w:val="EE0000"/>
        </w:rPr>
        <w:t>Didymella</w:t>
      </w:r>
      <w:proofErr w:type="spellEnd"/>
      <w:r w:rsidRPr="00137D32">
        <w:rPr>
          <w:rStyle w:val="a4"/>
          <w:color w:val="EE0000"/>
        </w:rPr>
        <w:t xml:space="preserve"> </w:t>
      </w:r>
      <w:proofErr w:type="spellStart"/>
      <w:r w:rsidRPr="00137D32">
        <w:rPr>
          <w:rStyle w:val="a4"/>
          <w:color w:val="EE0000"/>
        </w:rPr>
        <w:t>bryoniae</w:t>
      </w:r>
      <w:proofErr w:type="spellEnd"/>
      <w:r w:rsidRPr="00137D32">
        <w:rPr>
          <w:color w:val="EE0000"/>
        </w:rPr>
        <w:t xml:space="preserve"> causing gummy stem blight in cucurbits. </w:t>
      </w:r>
      <w:r w:rsidRPr="00137D32">
        <w:rPr>
          <w:rStyle w:val="a4"/>
          <w:color w:val="EE0000"/>
        </w:rPr>
        <w:t>Microorganisms</w:t>
      </w:r>
      <w:r w:rsidRPr="00137D32">
        <w:rPr>
          <w:color w:val="EE0000"/>
        </w:rPr>
        <w:t>, 12(8), 1691.</w:t>
      </w:r>
    </w:p>
    <w:p w14:paraId="677872F3"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Kucharek, T. and </w:t>
      </w:r>
      <w:proofErr w:type="gramStart"/>
      <w:r w:rsidRPr="00137D32">
        <w:rPr>
          <w:rFonts w:ascii="Times New Roman" w:hAnsi="Times New Roman" w:cs="Times New Roman"/>
          <w:color w:val="EE0000"/>
          <w:sz w:val="24"/>
          <w:szCs w:val="24"/>
        </w:rPr>
        <w:t>Schenck,  N.</w:t>
      </w:r>
      <w:proofErr w:type="gramEnd"/>
      <w:r w:rsidRPr="00137D32">
        <w:rPr>
          <w:rFonts w:ascii="Times New Roman" w:hAnsi="Times New Roman" w:cs="Times New Roman"/>
          <w:color w:val="EE0000"/>
          <w:sz w:val="24"/>
          <w:szCs w:val="24"/>
        </w:rPr>
        <w:t xml:space="preserve"> 1999. Gummy stem blight (GSB) of Cucurbits. Department of </w:t>
      </w:r>
      <w:r w:rsidRPr="00137D32">
        <w:rPr>
          <w:rFonts w:ascii="Times New Roman" w:hAnsi="Times New Roman" w:cs="Times New Roman"/>
          <w:color w:val="EE0000"/>
          <w:sz w:val="24"/>
          <w:szCs w:val="24"/>
        </w:rPr>
        <w:tab/>
        <w:t>Plant Pathology, University, of Florida, Gainesville, 32611.</w:t>
      </w:r>
    </w:p>
    <w:p w14:paraId="12DEBB4F"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Mahapatra, S., Rao, E.S., Sandeep Kumar, G.M. &amp; Sriram, S. (2020). </w:t>
      </w:r>
      <w:proofErr w:type="spellStart"/>
      <w:r w:rsidRPr="00137D32">
        <w:rPr>
          <w:rFonts w:ascii="Times New Roman" w:hAnsi="Times New Roman" w:cs="Times New Roman"/>
          <w:i/>
          <w:color w:val="EE0000"/>
          <w:sz w:val="24"/>
          <w:szCs w:val="24"/>
        </w:rPr>
        <w:t>Stagnosporopsis</w:t>
      </w:r>
      <w:proofErr w:type="spellEnd"/>
      <w:r w:rsidRPr="00137D32">
        <w:rPr>
          <w:rFonts w:ascii="Times New Roman" w:hAnsi="Times New Roman" w:cs="Times New Roman"/>
          <w:i/>
          <w:color w:val="EE0000"/>
          <w:sz w:val="24"/>
          <w:szCs w:val="24"/>
        </w:rPr>
        <w:t xml:space="preserve">  </w:t>
      </w:r>
      <w:r w:rsidRPr="00137D32">
        <w:rPr>
          <w:rFonts w:ascii="Times New Roman" w:hAnsi="Times New Roman" w:cs="Times New Roman"/>
          <w:i/>
          <w:color w:val="EE0000"/>
          <w:sz w:val="24"/>
          <w:szCs w:val="24"/>
        </w:rPr>
        <w:tab/>
      </w:r>
      <w:proofErr w:type="spellStart"/>
      <w:r w:rsidRPr="00137D32">
        <w:rPr>
          <w:rFonts w:ascii="Times New Roman" w:hAnsi="Times New Roman" w:cs="Times New Roman"/>
          <w:i/>
          <w:color w:val="EE0000"/>
          <w:sz w:val="24"/>
          <w:szCs w:val="24"/>
        </w:rPr>
        <w:t>cucurbitacearum</w:t>
      </w:r>
      <w:proofErr w:type="spellEnd"/>
      <w:r w:rsidRPr="00137D32">
        <w:rPr>
          <w:rFonts w:ascii="Times New Roman" w:hAnsi="Times New Roman" w:cs="Times New Roman"/>
          <w:color w:val="EE0000"/>
          <w:sz w:val="24"/>
          <w:szCs w:val="24"/>
        </w:rPr>
        <w:t xml:space="preserve">  the  causal  agent  of  gummy  stem  blight  of  watermelon  in  India.  </w:t>
      </w:r>
      <w:r w:rsidRPr="00137D32">
        <w:rPr>
          <w:rFonts w:ascii="Times New Roman" w:hAnsi="Times New Roman" w:cs="Times New Roman"/>
          <w:color w:val="EE0000"/>
          <w:sz w:val="24"/>
          <w:szCs w:val="24"/>
        </w:rPr>
        <w:tab/>
      </w:r>
      <w:proofErr w:type="gramStart"/>
      <w:r w:rsidRPr="00137D32">
        <w:rPr>
          <w:rFonts w:ascii="Times New Roman" w:hAnsi="Times New Roman" w:cs="Times New Roman"/>
          <w:color w:val="EE0000"/>
          <w:sz w:val="24"/>
          <w:szCs w:val="24"/>
        </w:rPr>
        <w:t>Australasian  Plant</w:t>
      </w:r>
      <w:proofErr w:type="gramEnd"/>
      <w:r w:rsidRPr="00137D32">
        <w:rPr>
          <w:rFonts w:ascii="Times New Roman" w:hAnsi="Times New Roman" w:cs="Times New Roman"/>
          <w:color w:val="EE0000"/>
          <w:sz w:val="24"/>
          <w:szCs w:val="24"/>
        </w:rPr>
        <w:t xml:space="preserve"> Disease Notes, 15, 7</w:t>
      </w:r>
    </w:p>
    <w:p w14:paraId="05C46FD0"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Mathews, L. Paret, Nicholas S. Dufault, and Stephen M. Olson2L. 2009. Management of </w:t>
      </w:r>
      <w:r w:rsidRPr="00137D32">
        <w:rPr>
          <w:rFonts w:ascii="Times New Roman" w:hAnsi="Times New Roman" w:cs="Times New Roman"/>
          <w:color w:val="EE0000"/>
          <w:sz w:val="24"/>
          <w:szCs w:val="24"/>
        </w:rPr>
        <w:tab/>
        <w:t xml:space="preserve">Gummy Stem Blight (Black Rot) on Cucurbits in Florida. U.S. Department of </w:t>
      </w:r>
      <w:r w:rsidRPr="00137D32">
        <w:rPr>
          <w:rFonts w:ascii="Times New Roman" w:hAnsi="Times New Roman" w:cs="Times New Roman"/>
          <w:color w:val="EE0000"/>
          <w:sz w:val="24"/>
          <w:szCs w:val="24"/>
        </w:rPr>
        <w:tab/>
        <w:t xml:space="preserve">Agriculture, Cooperative Extension Service, University of Florida, IFAS, Florida A.   </w:t>
      </w:r>
    </w:p>
    <w:p w14:paraId="5C02352F"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Santos, G.R. Cafe-Filho, A.C. and Saboya, LMF. 2005. Control </w:t>
      </w:r>
      <w:proofErr w:type="spellStart"/>
      <w:r w:rsidRPr="00137D32">
        <w:rPr>
          <w:rFonts w:ascii="Times New Roman" w:hAnsi="Times New Roman" w:cs="Times New Roman"/>
          <w:color w:val="EE0000"/>
          <w:sz w:val="24"/>
          <w:szCs w:val="24"/>
        </w:rPr>
        <w:t>quimico</w:t>
      </w:r>
      <w:proofErr w:type="spellEnd"/>
      <w:r w:rsidRPr="00137D32">
        <w:rPr>
          <w:rFonts w:ascii="Times New Roman" w:hAnsi="Times New Roman" w:cs="Times New Roman"/>
          <w:color w:val="EE0000"/>
          <w:sz w:val="24"/>
          <w:szCs w:val="24"/>
        </w:rPr>
        <w:t xml:space="preserve"> do </w:t>
      </w:r>
      <w:proofErr w:type="spellStart"/>
      <w:r w:rsidRPr="00137D32">
        <w:rPr>
          <w:rFonts w:ascii="Times New Roman" w:hAnsi="Times New Roman" w:cs="Times New Roman"/>
          <w:color w:val="EE0000"/>
          <w:sz w:val="24"/>
          <w:szCs w:val="24"/>
        </w:rPr>
        <w:t>crestamento</w:t>
      </w:r>
      <w:proofErr w:type="spellEnd"/>
      <w:r w:rsidRPr="00137D32">
        <w:rPr>
          <w:rFonts w:ascii="Times New Roman" w:hAnsi="Times New Roman" w:cs="Times New Roman"/>
          <w:color w:val="EE0000"/>
          <w:sz w:val="24"/>
          <w:szCs w:val="24"/>
        </w:rPr>
        <w:t xml:space="preserve"> </w:t>
      </w:r>
      <w:r w:rsidRPr="00137D32">
        <w:rPr>
          <w:rFonts w:ascii="Times New Roman" w:hAnsi="Times New Roman" w:cs="Times New Roman"/>
          <w:color w:val="EE0000"/>
          <w:sz w:val="24"/>
          <w:szCs w:val="24"/>
        </w:rPr>
        <w:tab/>
      </w:r>
      <w:proofErr w:type="spellStart"/>
      <w:r w:rsidRPr="00137D32">
        <w:rPr>
          <w:rFonts w:ascii="Times New Roman" w:hAnsi="Times New Roman" w:cs="Times New Roman"/>
          <w:color w:val="EE0000"/>
          <w:sz w:val="24"/>
          <w:szCs w:val="24"/>
        </w:rPr>
        <w:t>gomoso</w:t>
      </w:r>
      <w:proofErr w:type="spellEnd"/>
      <w:r w:rsidRPr="00137D32">
        <w:rPr>
          <w:rFonts w:ascii="Times New Roman" w:hAnsi="Times New Roman" w:cs="Times New Roman"/>
          <w:color w:val="EE0000"/>
          <w:sz w:val="24"/>
          <w:szCs w:val="24"/>
        </w:rPr>
        <w:t xml:space="preserve"> do </w:t>
      </w:r>
      <w:proofErr w:type="spellStart"/>
      <w:r w:rsidRPr="00137D32">
        <w:rPr>
          <w:rFonts w:ascii="Times New Roman" w:hAnsi="Times New Roman" w:cs="Times New Roman"/>
          <w:color w:val="EE0000"/>
          <w:sz w:val="24"/>
          <w:szCs w:val="24"/>
        </w:rPr>
        <w:t>caule</w:t>
      </w:r>
      <w:proofErr w:type="spellEnd"/>
      <w:r w:rsidRPr="00137D32">
        <w:rPr>
          <w:rFonts w:ascii="Times New Roman" w:hAnsi="Times New Roman" w:cs="Times New Roman"/>
          <w:color w:val="EE0000"/>
          <w:sz w:val="24"/>
          <w:szCs w:val="24"/>
        </w:rPr>
        <w:t xml:space="preserve"> </w:t>
      </w:r>
      <w:proofErr w:type="spellStart"/>
      <w:r w:rsidRPr="00137D32">
        <w:rPr>
          <w:rFonts w:ascii="Times New Roman" w:hAnsi="Times New Roman" w:cs="Times New Roman"/>
          <w:color w:val="EE0000"/>
          <w:sz w:val="24"/>
          <w:szCs w:val="24"/>
        </w:rPr>
        <w:t>na</w:t>
      </w:r>
      <w:proofErr w:type="spellEnd"/>
      <w:r w:rsidRPr="00137D32">
        <w:rPr>
          <w:rFonts w:ascii="Times New Roman" w:hAnsi="Times New Roman" w:cs="Times New Roman"/>
          <w:color w:val="EE0000"/>
          <w:sz w:val="24"/>
          <w:szCs w:val="24"/>
        </w:rPr>
        <w:t xml:space="preserve"> </w:t>
      </w:r>
      <w:proofErr w:type="spellStart"/>
      <w:r w:rsidRPr="00137D32">
        <w:rPr>
          <w:rFonts w:ascii="Times New Roman" w:hAnsi="Times New Roman" w:cs="Times New Roman"/>
          <w:color w:val="EE0000"/>
          <w:sz w:val="24"/>
          <w:szCs w:val="24"/>
        </w:rPr>
        <w:t>cultura</w:t>
      </w:r>
      <w:proofErr w:type="spellEnd"/>
      <w:r w:rsidRPr="00137D32">
        <w:rPr>
          <w:rFonts w:ascii="Times New Roman" w:hAnsi="Times New Roman" w:cs="Times New Roman"/>
          <w:color w:val="EE0000"/>
          <w:sz w:val="24"/>
          <w:szCs w:val="24"/>
        </w:rPr>
        <w:t xml:space="preserve"> da </w:t>
      </w:r>
      <w:proofErr w:type="spellStart"/>
      <w:r w:rsidRPr="00137D32">
        <w:rPr>
          <w:rFonts w:ascii="Times New Roman" w:hAnsi="Times New Roman" w:cs="Times New Roman"/>
          <w:color w:val="EE0000"/>
          <w:sz w:val="24"/>
          <w:szCs w:val="24"/>
        </w:rPr>
        <w:t>melancia</w:t>
      </w:r>
      <w:proofErr w:type="spellEnd"/>
      <w:r w:rsidRPr="00137D32">
        <w:rPr>
          <w:rFonts w:ascii="Times New Roman" w:hAnsi="Times New Roman" w:cs="Times New Roman"/>
          <w:color w:val="EE0000"/>
          <w:sz w:val="24"/>
          <w:szCs w:val="24"/>
        </w:rPr>
        <w:t xml:space="preserve">. </w:t>
      </w:r>
      <w:proofErr w:type="spellStart"/>
      <w:r w:rsidRPr="00137D32">
        <w:rPr>
          <w:rFonts w:ascii="Times New Roman" w:hAnsi="Times New Roman" w:cs="Times New Roman"/>
          <w:color w:val="EE0000"/>
          <w:sz w:val="24"/>
          <w:szCs w:val="24"/>
        </w:rPr>
        <w:t>Fitopatol</w:t>
      </w:r>
      <w:proofErr w:type="spellEnd"/>
      <w:r w:rsidRPr="00137D32">
        <w:rPr>
          <w:rFonts w:ascii="Times New Roman" w:hAnsi="Times New Roman" w:cs="Times New Roman"/>
          <w:color w:val="EE0000"/>
          <w:sz w:val="24"/>
          <w:szCs w:val="24"/>
        </w:rPr>
        <w:t>.  Bra. 30:155-163.</w:t>
      </w:r>
    </w:p>
    <w:p w14:paraId="5BBF35DF" w14:textId="77777777" w:rsidR="00C224C5" w:rsidRPr="00137D32" w:rsidRDefault="00C224C5" w:rsidP="001F3FA5">
      <w:pPr>
        <w:pStyle w:val="a5"/>
        <w:rPr>
          <w:color w:val="EE0000"/>
        </w:rPr>
      </w:pPr>
      <w:r w:rsidRPr="00137D32">
        <w:rPr>
          <w:color w:val="EE0000"/>
        </w:rPr>
        <w:t xml:space="preserve">Sinha, R., Verma, S., &amp; Singh, A. (2025). Effect of micronutrient seed treatments on germination and growth performance of cucumber. </w:t>
      </w:r>
      <w:r w:rsidRPr="00137D32">
        <w:rPr>
          <w:rStyle w:val="a4"/>
          <w:color w:val="EE0000"/>
        </w:rPr>
        <w:t>Journal of Applied Biology &amp; Biotechnology</w:t>
      </w:r>
      <w:r w:rsidRPr="00137D32">
        <w:rPr>
          <w:color w:val="EE0000"/>
        </w:rPr>
        <w:t>, 13(1), 88–95.</w:t>
      </w:r>
    </w:p>
    <w:p w14:paraId="51829822"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lastRenderedPageBreak/>
        <w:t xml:space="preserve">Stewart, J. E., Turner, A. N. and Brewer, M. T. 2015.Evolutionary history and variation in host </w:t>
      </w:r>
      <w:r w:rsidRPr="00137D32">
        <w:rPr>
          <w:rFonts w:ascii="Times New Roman" w:hAnsi="Times New Roman" w:cs="Times New Roman"/>
          <w:color w:val="EE0000"/>
          <w:sz w:val="24"/>
          <w:szCs w:val="24"/>
        </w:rPr>
        <w:tab/>
        <w:t xml:space="preserve">range </w:t>
      </w:r>
      <w:proofErr w:type="gramStart"/>
      <w:r w:rsidRPr="00137D32">
        <w:rPr>
          <w:rFonts w:ascii="Times New Roman" w:hAnsi="Times New Roman" w:cs="Times New Roman"/>
          <w:color w:val="EE0000"/>
          <w:sz w:val="24"/>
          <w:szCs w:val="24"/>
        </w:rPr>
        <w:t>of  three</w:t>
      </w:r>
      <w:proofErr w:type="gramEnd"/>
      <w:r w:rsidRPr="00137D32">
        <w:rPr>
          <w:rFonts w:ascii="Times New Roman" w:hAnsi="Times New Roman" w:cs="Times New Roman"/>
          <w:color w:val="EE0000"/>
          <w:sz w:val="24"/>
          <w:szCs w:val="24"/>
        </w:rPr>
        <w:t xml:space="preserve"> </w:t>
      </w:r>
      <w:proofErr w:type="spellStart"/>
      <w:r w:rsidRPr="00137D32">
        <w:rPr>
          <w:rFonts w:ascii="Times New Roman" w:hAnsi="Times New Roman" w:cs="Times New Roman"/>
          <w:color w:val="EE0000"/>
          <w:sz w:val="24"/>
          <w:szCs w:val="24"/>
        </w:rPr>
        <w:t>Stagonosporopsis</w:t>
      </w:r>
      <w:proofErr w:type="spellEnd"/>
      <w:r w:rsidRPr="00137D32">
        <w:rPr>
          <w:rFonts w:ascii="Times New Roman" w:hAnsi="Times New Roman" w:cs="Times New Roman"/>
          <w:color w:val="EE0000"/>
          <w:sz w:val="24"/>
          <w:szCs w:val="24"/>
        </w:rPr>
        <w:t xml:space="preserve"> species causing gummy stem blight of cucurbits. </w:t>
      </w:r>
      <w:r w:rsidRPr="00137D32">
        <w:rPr>
          <w:rFonts w:ascii="Times New Roman" w:hAnsi="Times New Roman" w:cs="Times New Roman"/>
          <w:color w:val="EE0000"/>
          <w:sz w:val="24"/>
          <w:szCs w:val="24"/>
        </w:rPr>
        <w:tab/>
        <w:t>Fungal Biol.,119:  370-382.</w:t>
      </w:r>
    </w:p>
    <w:p w14:paraId="1A132E50"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Sudisha, J., Vasanth Kumar, T., Niranjana, S.R. and Shekar Shetty, H.  (2004).  </w:t>
      </w:r>
      <w:proofErr w:type="gramStart"/>
      <w:r w:rsidRPr="00137D32">
        <w:rPr>
          <w:rFonts w:ascii="Times New Roman" w:hAnsi="Times New Roman" w:cs="Times New Roman"/>
          <w:color w:val="EE0000"/>
          <w:sz w:val="24"/>
          <w:szCs w:val="24"/>
        </w:rPr>
        <w:t>First  report</w:t>
      </w:r>
      <w:proofErr w:type="gramEnd"/>
      <w:r w:rsidRPr="00137D32">
        <w:rPr>
          <w:rFonts w:ascii="Times New Roman" w:hAnsi="Times New Roman" w:cs="Times New Roman"/>
          <w:color w:val="EE0000"/>
          <w:sz w:val="24"/>
          <w:szCs w:val="24"/>
        </w:rPr>
        <w:t xml:space="preserve">  </w:t>
      </w:r>
      <w:r w:rsidRPr="00137D32">
        <w:rPr>
          <w:rFonts w:ascii="Times New Roman" w:hAnsi="Times New Roman" w:cs="Times New Roman"/>
          <w:color w:val="EE0000"/>
          <w:sz w:val="24"/>
          <w:szCs w:val="24"/>
        </w:rPr>
        <w:tab/>
      </w:r>
      <w:proofErr w:type="gramStart"/>
      <w:r w:rsidRPr="00137D32">
        <w:rPr>
          <w:rFonts w:ascii="Times New Roman" w:hAnsi="Times New Roman" w:cs="Times New Roman"/>
          <w:color w:val="EE0000"/>
          <w:sz w:val="24"/>
          <w:szCs w:val="24"/>
        </w:rPr>
        <w:t>of  gummy</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stem  blight</w:t>
      </w:r>
      <w:proofErr w:type="gramEnd"/>
      <w:r w:rsidRPr="00137D32">
        <w:rPr>
          <w:rFonts w:ascii="Times New Roman" w:hAnsi="Times New Roman" w:cs="Times New Roman"/>
          <w:color w:val="EE0000"/>
          <w:sz w:val="24"/>
          <w:szCs w:val="24"/>
        </w:rPr>
        <w:t xml:space="preserve">  </w:t>
      </w:r>
      <w:proofErr w:type="gramStart"/>
      <w:r w:rsidRPr="00137D32">
        <w:rPr>
          <w:rFonts w:ascii="Times New Roman" w:hAnsi="Times New Roman" w:cs="Times New Roman"/>
          <w:color w:val="EE0000"/>
          <w:sz w:val="24"/>
          <w:szCs w:val="24"/>
        </w:rPr>
        <w:t>caused  by</w:t>
      </w:r>
      <w:proofErr w:type="gramEnd"/>
      <w:r w:rsidRPr="00137D32">
        <w:rPr>
          <w:rFonts w:ascii="Times New Roman" w:hAnsi="Times New Roman" w:cs="Times New Roman"/>
          <w:color w:val="EE0000"/>
          <w:sz w:val="24"/>
          <w:szCs w:val="24"/>
        </w:rPr>
        <w:t xml:space="preserve">  </w:t>
      </w:r>
      <w:proofErr w:type="spellStart"/>
      <w:r w:rsidRPr="00137D32">
        <w:rPr>
          <w:rFonts w:ascii="Times New Roman" w:hAnsi="Times New Roman" w:cs="Times New Roman"/>
          <w:i/>
          <w:color w:val="EE0000"/>
          <w:sz w:val="24"/>
          <w:szCs w:val="24"/>
        </w:rPr>
        <w:t>Didymella</w:t>
      </w:r>
      <w:proofErr w:type="spellEnd"/>
      <w:r w:rsidRPr="00137D32">
        <w:rPr>
          <w:rFonts w:ascii="Times New Roman" w:hAnsi="Times New Roman" w:cs="Times New Roman"/>
          <w:i/>
          <w:color w:val="EE0000"/>
          <w:sz w:val="24"/>
          <w:szCs w:val="24"/>
        </w:rPr>
        <w:t xml:space="preserve"> </w:t>
      </w:r>
      <w:proofErr w:type="spellStart"/>
      <w:r w:rsidRPr="00137D32">
        <w:rPr>
          <w:rFonts w:ascii="Times New Roman" w:hAnsi="Times New Roman" w:cs="Times New Roman"/>
          <w:i/>
          <w:color w:val="EE0000"/>
          <w:sz w:val="24"/>
          <w:szCs w:val="24"/>
        </w:rPr>
        <w:t>bryoniae</w:t>
      </w:r>
      <w:proofErr w:type="spellEnd"/>
      <w:r w:rsidRPr="00137D32">
        <w:rPr>
          <w:rFonts w:ascii="Times New Roman" w:hAnsi="Times New Roman" w:cs="Times New Roman"/>
          <w:color w:val="EE0000"/>
          <w:sz w:val="24"/>
          <w:szCs w:val="24"/>
        </w:rPr>
        <w:t xml:space="preserve"> on muskmelon (</w:t>
      </w:r>
      <w:r w:rsidRPr="00137D32">
        <w:rPr>
          <w:rFonts w:ascii="Times New Roman" w:hAnsi="Times New Roman" w:cs="Times New Roman"/>
          <w:i/>
          <w:color w:val="EE0000"/>
          <w:sz w:val="24"/>
          <w:szCs w:val="24"/>
        </w:rPr>
        <w:t xml:space="preserve">Cucumis </w:t>
      </w:r>
      <w:r w:rsidRPr="00137D32">
        <w:rPr>
          <w:rFonts w:ascii="Times New Roman" w:hAnsi="Times New Roman" w:cs="Times New Roman"/>
          <w:i/>
          <w:color w:val="EE0000"/>
          <w:sz w:val="24"/>
          <w:szCs w:val="24"/>
        </w:rPr>
        <w:tab/>
        <w:t>melo</w:t>
      </w:r>
      <w:r w:rsidRPr="00137D32">
        <w:rPr>
          <w:rFonts w:ascii="Times New Roman" w:hAnsi="Times New Roman" w:cs="Times New Roman"/>
          <w:color w:val="EE0000"/>
          <w:sz w:val="24"/>
          <w:szCs w:val="24"/>
        </w:rPr>
        <w:t>) in India. Plant Pathology, 53: 533-533.</w:t>
      </w:r>
    </w:p>
    <w:p w14:paraId="6CE4845B"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Thakur, P., Sharma, D., </w:t>
      </w:r>
      <w:proofErr w:type="spellStart"/>
      <w:r w:rsidRPr="00137D32">
        <w:rPr>
          <w:rFonts w:ascii="Times New Roman" w:hAnsi="Times New Roman" w:cs="Times New Roman"/>
          <w:color w:val="EE0000"/>
          <w:sz w:val="24"/>
          <w:szCs w:val="24"/>
        </w:rPr>
        <w:t>Visen</w:t>
      </w:r>
      <w:proofErr w:type="spellEnd"/>
      <w:r w:rsidRPr="00137D32">
        <w:rPr>
          <w:rFonts w:ascii="Times New Roman" w:hAnsi="Times New Roman" w:cs="Times New Roman"/>
          <w:color w:val="EE0000"/>
          <w:sz w:val="24"/>
          <w:szCs w:val="24"/>
        </w:rPr>
        <w:t xml:space="preserve">, V. K. and Dash, S. P. 2015. Evaluation of bottle gourd </w:t>
      </w:r>
      <w:r w:rsidRPr="00137D32">
        <w:rPr>
          <w:rFonts w:ascii="Times New Roman" w:hAnsi="Times New Roman" w:cs="Times New Roman"/>
          <w:color w:val="EE0000"/>
          <w:sz w:val="24"/>
          <w:szCs w:val="24"/>
        </w:rPr>
        <w:tab/>
        <w:t>[</w:t>
      </w:r>
      <w:r w:rsidRPr="00137D32">
        <w:rPr>
          <w:rFonts w:ascii="Times New Roman" w:hAnsi="Times New Roman" w:cs="Times New Roman"/>
          <w:i/>
          <w:iCs/>
          <w:color w:val="EE0000"/>
          <w:sz w:val="24"/>
          <w:szCs w:val="24"/>
        </w:rPr>
        <w:t>Lagenaria</w:t>
      </w:r>
      <w:r w:rsidRPr="00137D32">
        <w:rPr>
          <w:rFonts w:ascii="Times New Roman" w:hAnsi="Times New Roman" w:cs="Times New Roman"/>
          <w:color w:val="EE0000"/>
          <w:sz w:val="24"/>
          <w:szCs w:val="24"/>
        </w:rPr>
        <w:t xml:space="preserve"> </w:t>
      </w:r>
      <w:r w:rsidRPr="00137D32">
        <w:rPr>
          <w:rFonts w:ascii="Times New Roman" w:hAnsi="Times New Roman" w:cs="Times New Roman"/>
          <w:i/>
          <w:iCs/>
          <w:color w:val="EE0000"/>
          <w:sz w:val="24"/>
          <w:szCs w:val="24"/>
        </w:rPr>
        <w:t xml:space="preserve">siceraria </w:t>
      </w:r>
      <w:r w:rsidRPr="00137D32">
        <w:rPr>
          <w:rFonts w:ascii="Times New Roman" w:hAnsi="Times New Roman" w:cs="Times New Roman"/>
          <w:color w:val="EE0000"/>
          <w:sz w:val="24"/>
          <w:szCs w:val="24"/>
        </w:rPr>
        <w:t xml:space="preserve">(Mol.) </w:t>
      </w:r>
      <w:proofErr w:type="spellStart"/>
      <w:r w:rsidRPr="00137D32">
        <w:rPr>
          <w:rFonts w:ascii="Times New Roman" w:hAnsi="Times New Roman" w:cs="Times New Roman"/>
          <w:color w:val="EE0000"/>
          <w:sz w:val="24"/>
          <w:szCs w:val="24"/>
        </w:rPr>
        <w:t>Standl</w:t>
      </w:r>
      <w:proofErr w:type="spellEnd"/>
      <w:r w:rsidRPr="00137D32">
        <w:rPr>
          <w:rFonts w:ascii="Times New Roman" w:hAnsi="Times New Roman" w:cs="Times New Roman"/>
          <w:color w:val="EE0000"/>
          <w:sz w:val="24"/>
          <w:szCs w:val="24"/>
        </w:rPr>
        <w:t xml:space="preserve">.] genotypes. </w:t>
      </w:r>
      <w:r w:rsidRPr="00137D32">
        <w:rPr>
          <w:rFonts w:ascii="Times New Roman" w:hAnsi="Times New Roman" w:cs="Times New Roman"/>
          <w:i/>
          <w:iCs/>
          <w:color w:val="EE0000"/>
          <w:sz w:val="24"/>
          <w:szCs w:val="24"/>
        </w:rPr>
        <w:t>Plant</w:t>
      </w:r>
      <w:r w:rsidRPr="00137D32">
        <w:rPr>
          <w:rFonts w:ascii="Times New Roman" w:hAnsi="Times New Roman" w:cs="Times New Roman"/>
          <w:color w:val="EE0000"/>
          <w:sz w:val="24"/>
          <w:szCs w:val="24"/>
        </w:rPr>
        <w:t xml:space="preserve"> </w:t>
      </w:r>
      <w:r w:rsidRPr="00137D32">
        <w:rPr>
          <w:rFonts w:ascii="Times New Roman" w:hAnsi="Times New Roman" w:cs="Times New Roman"/>
          <w:i/>
          <w:iCs/>
          <w:color w:val="EE0000"/>
          <w:sz w:val="24"/>
          <w:szCs w:val="24"/>
        </w:rPr>
        <w:t xml:space="preserve">Arch., </w:t>
      </w:r>
      <w:r w:rsidRPr="00137D32">
        <w:rPr>
          <w:rFonts w:ascii="Times New Roman" w:hAnsi="Times New Roman" w:cs="Times New Roman"/>
          <w:color w:val="EE0000"/>
          <w:sz w:val="24"/>
          <w:szCs w:val="24"/>
        </w:rPr>
        <w:t>15(2): 1037-1040</w:t>
      </w:r>
    </w:p>
    <w:p w14:paraId="15B69A56" w14:textId="77777777" w:rsidR="00C224C5" w:rsidRPr="00137D32" w:rsidRDefault="00C224C5" w:rsidP="00EF55F8">
      <w:pPr>
        <w:spacing w:line="276" w:lineRule="auto"/>
        <w:jc w:val="both"/>
        <w:rPr>
          <w:rFonts w:ascii="Times New Roman" w:hAnsi="Times New Roman" w:cs="Times New Roman"/>
          <w:color w:val="EE0000"/>
          <w:sz w:val="24"/>
          <w:szCs w:val="24"/>
        </w:rPr>
      </w:pPr>
      <w:r w:rsidRPr="00137D32">
        <w:rPr>
          <w:rFonts w:ascii="Times New Roman" w:hAnsi="Times New Roman" w:cs="Times New Roman"/>
          <w:color w:val="EE0000"/>
          <w:sz w:val="24"/>
          <w:szCs w:val="24"/>
        </w:rPr>
        <w:t xml:space="preserve">Tripathi, A.N., Bahadur, A. &amp; Behera, T.K. (2021). Gummy stem blight: an emerging disease </w:t>
      </w:r>
      <w:r w:rsidRPr="00137D32">
        <w:rPr>
          <w:rFonts w:ascii="Times New Roman" w:hAnsi="Times New Roman" w:cs="Times New Roman"/>
          <w:color w:val="EE0000"/>
          <w:sz w:val="24"/>
          <w:szCs w:val="24"/>
        </w:rPr>
        <w:tab/>
        <w:t xml:space="preserve">of cucurbitaceous vegetables Vegetable. Indian Council of Agricultural Research – </w:t>
      </w:r>
      <w:r w:rsidRPr="00137D32">
        <w:rPr>
          <w:rFonts w:ascii="Times New Roman" w:hAnsi="Times New Roman" w:cs="Times New Roman"/>
          <w:color w:val="EE0000"/>
          <w:sz w:val="24"/>
          <w:szCs w:val="24"/>
        </w:rPr>
        <w:tab/>
        <w:t>Indian Institute of Vegetable Research Varanasi (ICAR-IIVR) Newsletter 8 (1), 7.</w:t>
      </w:r>
    </w:p>
    <w:p w14:paraId="194B91B6" w14:textId="77777777" w:rsidR="00C224C5" w:rsidRPr="00137D32" w:rsidRDefault="00C224C5" w:rsidP="008870BA">
      <w:pPr>
        <w:pStyle w:val="a5"/>
        <w:rPr>
          <w:color w:val="EE0000"/>
        </w:rPr>
      </w:pPr>
      <w:r w:rsidRPr="00137D32">
        <w:rPr>
          <w:color w:val="EE0000"/>
        </w:rPr>
        <w:t xml:space="preserve">Tripathi, R. K. (2025). Gummy stem blight of bottle gourd: Pathogen characterization and integrated disease management strategies. </w:t>
      </w:r>
      <w:r w:rsidRPr="00137D32">
        <w:rPr>
          <w:rStyle w:val="a4"/>
          <w:color w:val="EE0000"/>
        </w:rPr>
        <w:t>Indian Phytopathology</w:t>
      </w:r>
      <w:r w:rsidRPr="00137D32">
        <w:rPr>
          <w:color w:val="EE0000"/>
        </w:rPr>
        <w:t>, 78(2), 245–254.</w:t>
      </w:r>
    </w:p>
    <w:p w14:paraId="0321BD00" w14:textId="77777777" w:rsidR="00C224C5" w:rsidRPr="00137D32" w:rsidRDefault="00C224C5" w:rsidP="00EF55F8">
      <w:pPr>
        <w:spacing w:line="276" w:lineRule="auto"/>
        <w:jc w:val="both"/>
        <w:rPr>
          <w:rFonts w:ascii="Times New Roman" w:hAnsi="Times New Roman" w:cs="Times New Roman"/>
          <w:bCs/>
          <w:color w:val="EE0000"/>
          <w:sz w:val="24"/>
          <w:szCs w:val="24"/>
        </w:rPr>
      </w:pPr>
      <w:r w:rsidRPr="00137D32">
        <w:rPr>
          <w:rFonts w:ascii="Times New Roman" w:hAnsi="Times New Roman" w:cs="Times New Roman"/>
          <w:bCs/>
          <w:color w:val="EE0000"/>
          <w:sz w:val="24"/>
          <w:szCs w:val="24"/>
        </w:rPr>
        <w:t>Verma, P. (2025). Emerging trends in seed enhancement technologies for improved plant performance: A review. Seed Science and Technology, 53(1), 1–18</w:t>
      </w:r>
    </w:p>
    <w:p w14:paraId="405C6039" w14:textId="77777777" w:rsidR="006E135D" w:rsidRPr="00137D32" w:rsidRDefault="006E135D" w:rsidP="001F3FA5">
      <w:pPr>
        <w:pStyle w:val="a5"/>
        <w:rPr>
          <w:color w:val="EE0000"/>
        </w:rPr>
      </w:pPr>
    </w:p>
    <w:p w14:paraId="32E43F88" w14:textId="77777777" w:rsidR="001F3FA5" w:rsidRPr="00137D32" w:rsidRDefault="001F3FA5" w:rsidP="000413D9">
      <w:pPr>
        <w:pStyle w:val="a5"/>
        <w:rPr>
          <w:color w:val="EE0000"/>
        </w:rPr>
      </w:pPr>
    </w:p>
    <w:p w14:paraId="79660032" w14:textId="77777777" w:rsidR="000413D9" w:rsidRPr="00137D32" w:rsidRDefault="000413D9" w:rsidP="00EF55F8">
      <w:pPr>
        <w:spacing w:line="276" w:lineRule="auto"/>
        <w:jc w:val="both"/>
        <w:rPr>
          <w:rFonts w:ascii="Times New Roman" w:hAnsi="Times New Roman" w:cs="Times New Roman"/>
          <w:bCs/>
          <w:color w:val="EE0000"/>
          <w:sz w:val="24"/>
          <w:szCs w:val="24"/>
        </w:rPr>
      </w:pPr>
    </w:p>
    <w:sectPr w:rsidR="000413D9" w:rsidRPr="00137D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6-01-16T18:25:00Z" w:initials="H">
    <w:p w14:paraId="2BA272E0" w14:textId="37435D20" w:rsidR="005B46E6" w:rsidRDefault="005B46E6">
      <w:pPr>
        <w:pStyle w:val="ac"/>
      </w:pPr>
      <w:r>
        <w:rPr>
          <w:rStyle w:val="ab"/>
        </w:rPr>
        <w:annotationRef/>
      </w:r>
      <w:r>
        <w:t xml:space="preserve">Insufficient statistical details were provided, including the number of replications and the level </w:t>
      </w:r>
      <w:r>
        <w:t>of significance</w:t>
      </w:r>
      <w:r>
        <w:t xml:space="preserve"> used in the analysis</w:t>
      </w:r>
    </w:p>
  </w:comment>
  <w:comment w:id="1" w:author="HP" w:date="2026-01-16T18:26:00Z" w:initials="H">
    <w:p w14:paraId="2E585DFB" w14:textId="50691A7F" w:rsidR="005B46E6" w:rsidRPr="005B46E6" w:rsidRDefault="005B46E6">
      <w:pPr>
        <w:pStyle w:val="ac"/>
        <w:rPr>
          <w:rFonts w:cs="Arial" w:hint="cs"/>
          <w:rtl/>
          <w:lang w:bidi="ar-IQ"/>
        </w:rPr>
      </w:pPr>
      <w:r>
        <w:rPr>
          <w:rStyle w:val="ab"/>
        </w:rPr>
        <w:annotationRef/>
      </w:r>
      <w:r>
        <w:t xml:space="preserve">The study was conducted at a single location, and the potential environmental impact as well as the </w:t>
      </w:r>
      <w:proofErr w:type="spellStart"/>
      <w:r>
        <w:t>riskf</w:t>
      </w:r>
      <w:proofErr w:type="spellEnd"/>
      <w:r>
        <w:t xml:space="preserve"> pathogen resistance development due to repeated fungicide applications were not discussed, which limits the broader applicability and sustainability of the findings.</w:t>
      </w:r>
      <w:r>
        <w:rPr>
          <w:rFonts w:cs="Arial" w:hint="cs"/>
          <w:rtl/>
          <w:lang w:bidi="ar-IQ"/>
        </w:rPr>
        <w:t xml:space="preserve">  </w:t>
      </w:r>
    </w:p>
  </w:comment>
  <w:comment w:id="2" w:author="HP" w:date="2026-01-16T18:30:00Z" w:initials="H">
    <w:p w14:paraId="1C0387ED" w14:textId="732037C5" w:rsidR="003F63B3" w:rsidRDefault="003F63B3">
      <w:pPr>
        <w:pStyle w:val="ac"/>
      </w:pPr>
      <w:r>
        <w:rPr>
          <w:rStyle w:val="ab"/>
        </w:rPr>
        <w:annotationRef/>
      </w:r>
      <w:r>
        <w:t>Keywords should be in an alphabetic order</w:t>
      </w:r>
    </w:p>
  </w:comment>
  <w:comment w:id="3" w:author="HP" w:date="2026-01-16T18:36:00Z" w:initials="H">
    <w:p w14:paraId="3ACEEA1F" w14:textId="77777777" w:rsidR="009938E2" w:rsidRDefault="009938E2" w:rsidP="009938E2">
      <w:pPr>
        <w:pStyle w:val="a5"/>
      </w:pPr>
      <w:r>
        <w:rPr>
          <w:rStyle w:val="ab"/>
        </w:rPr>
        <w:annotationRef/>
      </w:r>
      <w:proofErr w:type="gramStart"/>
      <w:r>
        <w:rPr>
          <w:rFonts w:hAnsi="Symbol"/>
        </w:rPr>
        <w:t></w:t>
      </w:r>
      <w:r>
        <w:t xml:space="preserve">  The</w:t>
      </w:r>
      <w:proofErr w:type="gramEnd"/>
      <w:r>
        <w:t xml:space="preserve"> text lacks recent quantitative data to support the economic importance of the crop.</w:t>
      </w:r>
    </w:p>
    <w:p w14:paraId="2EF88C6B" w14:textId="77777777" w:rsidR="009938E2" w:rsidRDefault="009938E2" w:rsidP="009938E2">
      <w:pPr>
        <w:pStyle w:val="a5"/>
      </w:pPr>
      <w:proofErr w:type="gramStart"/>
      <w:r>
        <w:rPr>
          <w:rFonts w:hAnsi="Symbol"/>
        </w:rPr>
        <w:t></w:t>
      </w:r>
      <w:r>
        <w:t xml:space="preserve">  The</w:t>
      </w:r>
      <w:proofErr w:type="gramEnd"/>
      <w:r>
        <w:t xml:space="preserve"> causal agent and the extent of losses caused by gummy stem blight are not specified.</w:t>
      </w:r>
    </w:p>
    <w:p w14:paraId="102FA098" w14:textId="77777777" w:rsidR="009938E2" w:rsidRDefault="009938E2" w:rsidP="009938E2">
      <w:pPr>
        <w:pStyle w:val="a5"/>
      </w:pPr>
      <w:proofErr w:type="gramStart"/>
      <w:r>
        <w:rPr>
          <w:rFonts w:hAnsi="Symbol"/>
        </w:rPr>
        <w:t></w:t>
      </w:r>
      <w:r>
        <w:t xml:space="preserve">  Limited</w:t>
      </w:r>
      <w:proofErr w:type="gramEnd"/>
      <w:r>
        <w:t xml:space="preserve"> references and weak connection between the introduction and the study’s objective or research gap.</w:t>
      </w:r>
    </w:p>
    <w:p w14:paraId="0983333B" w14:textId="0E3091C8" w:rsidR="009938E2" w:rsidRPr="009938E2" w:rsidRDefault="009938E2">
      <w:pPr>
        <w:pStyle w:val="ac"/>
        <w:rPr>
          <w:lang w:val="en-US"/>
        </w:rPr>
      </w:pPr>
    </w:p>
  </w:comment>
  <w:comment w:id="4" w:author="HP" w:date="2026-01-16T18:38:00Z" w:initials="H">
    <w:p w14:paraId="5A24A30E" w14:textId="03E2C473" w:rsidR="00310B68" w:rsidRDefault="00310B68" w:rsidP="00310B68">
      <w:pPr>
        <w:pStyle w:val="ac"/>
      </w:pPr>
      <w:bookmarkStart w:id="5" w:name="_Hlk219481196"/>
      <w:bookmarkStart w:id="6" w:name="_Hlk219481197"/>
      <w:r>
        <w:rPr>
          <w:rStyle w:val="ab"/>
        </w:rPr>
        <w:annotationRef/>
      </w:r>
      <w:bookmarkEnd w:id="5"/>
      <w:bookmarkEnd w:id="6"/>
      <w:r>
        <w:rPr>
          <w:rStyle w:val="ab"/>
        </w:rPr>
        <w:annotationRef/>
      </w:r>
      <w:r>
        <w:t xml:space="preserve">The text does not provide data on the prevalence of the disease or quantitative economic losses </w:t>
      </w:r>
      <w:proofErr w:type="spellStart"/>
      <w:r>
        <w:t>toindicate</w:t>
      </w:r>
      <w:proofErr w:type="spellEnd"/>
      <w:r>
        <w:t xml:space="preserve"> its severity</w:t>
      </w:r>
    </w:p>
    <w:p w14:paraId="25866FF6" w14:textId="4A90262E" w:rsidR="00310B68" w:rsidRDefault="00310B68">
      <w:pPr>
        <w:pStyle w:val="ac"/>
      </w:pPr>
    </w:p>
  </w:comment>
  <w:comment w:id="7" w:author="HP" w:date="2026-01-16T18:42:00Z" w:initials="H">
    <w:p w14:paraId="45C7BDFC" w14:textId="43CFA209" w:rsidR="00922726" w:rsidRDefault="00922726">
      <w:pPr>
        <w:pStyle w:val="ac"/>
      </w:pPr>
      <w:r>
        <w:rPr>
          <w:rStyle w:val="ab"/>
        </w:rPr>
        <w:annotationRef/>
      </w:r>
      <w:r>
        <w:t>The text does not address how different environmental conditions influence disease severity and</w:t>
      </w:r>
      <w:r w:rsidRPr="00922726">
        <w:t xml:space="preserve"> </w:t>
      </w:r>
      <w:r>
        <w:t>pathogen spread</w:t>
      </w:r>
    </w:p>
  </w:comment>
  <w:comment w:id="8" w:author="HP" w:date="2026-01-16T18:47:00Z" w:initials="H">
    <w:p w14:paraId="470D8FA8" w14:textId="77777777" w:rsidR="009B0E6B" w:rsidRDefault="009B0E6B" w:rsidP="009B0E6B">
      <w:pPr>
        <w:pStyle w:val="a5"/>
      </w:pPr>
      <w:r>
        <w:rPr>
          <w:rStyle w:val="ab"/>
        </w:rPr>
        <w:annotationRef/>
      </w:r>
      <w:proofErr w:type="gramStart"/>
      <w:r>
        <w:rPr>
          <w:rFonts w:hAnsi="Symbol"/>
        </w:rPr>
        <w:t></w:t>
      </w:r>
      <w:r>
        <w:t xml:space="preserve">  The</w:t>
      </w:r>
      <w:proofErr w:type="gramEnd"/>
      <w:r>
        <w:t xml:space="preserve"> text does not specify the number of fields surveyed, sample size, or site selection method, limiting the representativeness of the results.</w:t>
      </w:r>
    </w:p>
    <w:p w14:paraId="6E4CE88F" w14:textId="77777777" w:rsidR="009B0E6B" w:rsidRDefault="009B0E6B" w:rsidP="009B0E6B">
      <w:pPr>
        <w:pStyle w:val="a5"/>
      </w:pPr>
      <w:proofErr w:type="gramStart"/>
      <w:r>
        <w:rPr>
          <w:rFonts w:hAnsi="Symbol"/>
        </w:rPr>
        <w:t></w:t>
      </w:r>
      <w:r>
        <w:t xml:space="preserve">  Pathogen</w:t>
      </w:r>
      <w:proofErr w:type="gramEnd"/>
      <w:r>
        <w:t xml:space="preserve"> identification relied solely on morphological and cultural characteristics, without molecular confirmation (e.g., PCR), which may affect accuracy.</w:t>
      </w:r>
    </w:p>
    <w:p w14:paraId="1782AF90" w14:textId="77777777" w:rsidR="009B0E6B" w:rsidRDefault="009B0E6B" w:rsidP="009B0E6B">
      <w:pPr>
        <w:pStyle w:val="a5"/>
      </w:pPr>
      <w:proofErr w:type="gramStart"/>
      <w:r>
        <w:rPr>
          <w:rFonts w:hAnsi="Symbol"/>
        </w:rPr>
        <w:t></w:t>
      </w:r>
      <w:r>
        <w:t xml:space="preserve">  No</w:t>
      </w:r>
      <w:proofErr w:type="gramEnd"/>
      <w:r>
        <w:t xml:space="preserve"> statistical analysis was reported to compare disease incidence across different region</w:t>
      </w:r>
    </w:p>
    <w:p w14:paraId="37A374A7" w14:textId="0B95D34D" w:rsidR="009B0E6B" w:rsidRPr="009B0E6B" w:rsidRDefault="009B0E6B">
      <w:pPr>
        <w:pStyle w:val="ac"/>
        <w:rPr>
          <w:lang w:val="en-US"/>
        </w:rPr>
      </w:pPr>
    </w:p>
  </w:comment>
  <w:comment w:id="9" w:author="HP" w:date="2026-01-16T18:56:00Z" w:initials="H">
    <w:p w14:paraId="20B4894E" w14:textId="44EF7FC6" w:rsidR="009A31BB" w:rsidRDefault="009A31BB">
      <w:pPr>
        <w:pStyle w:val="ac"/>
      </w:pPr>
      <w:r>
        <w:rPr>
          <w:rStyle w:val="ab"/>
        </w:rPr>
        <w:annotationRef/>
      </w:r>
      <w:r>
        <w:rPr>
          <w:rFonts w:cs="Arial"/>
          <w:lang w:val="en-US" w:bidi="ar-IQ"/>
        </w:rPr>
        <w:t>t</w:t>
      </w:r>
      <w:r>
        <w:t>he text does not specify the experimental size or the number of replications per treatment, limiting the statistical reliability of the result</w:t>
      </w:r>
      <w:r>
        <w:t>s</w:t>
      </w:r>
    </w:p>
  </w:comment>
  <w:comment w:id="10" w:author="HP" w:date="2026-01-16T18:57:00Z" w:initials="H">
    <w:p w14:paraId="14E85CD8" w14:textId="7D0DEA7C" w:rsidR="009A31BB" w:rsidRDefault="009A31BB" w:rsidP="009A31BB">
      <w:pPr>
        <w:pStyle w:val="a5"/>
      </w:pPr>
      <w:r>
        <w:rPr>
          <w:rStyle w:val="ab"/>
        </w:rPr>
        <w:annotationRef/>
      </w:r>
      <w:r>
        <w:rPr>
          <w:rFonts w:hAnsi="Symbol"/>
        </w:rPr>
        <w:t></w:t>
      </w:r>
      <w:r>
        <w:t xml:space="preserve"> Methods for monitoring and measuring disease incidence during the crop growth period are not described.</w:t>
      </w:r>
    </w:p>
    <w:p w14:paraId="313E7960" w14:textId="77777777" w:rsidR="009A31BB" w:rsidRDefault="009A31BB" w:rsidP="009A31BB">
      <w:pPr>
        <w:pStyle w:val="a5"/>
      </w:pPr>
      <w:proofErr w:type="gramStart"/>
      <w:r>
        <w:rPr>
          <w:rFonts w:hAnsi="Symbol"/>
        </w:rPr>
        <w:t></w:t>
      </w:r>
      <w:r>
        <w:t xml:space="preserve">  The</w:t>
      </w:r>
      <w:proofErr w:type="gramEnd"/>
      <w:r>
        <w:t xml:space="preserve"> experiment was conducted at a single location, restricting the generalization of results to different environmental conditions.</w:t>
      </w:r>
    </w:p>
    <w:p w14:paraId="04EB74E0" w14:textId="44C3267A" w:rsidR="009A31BB" w:rsidRPr="009A31BB" w:rsidRDefault="009A31BB">
      <w:pPr>
        <w:pStyle w:val="ac"/>
        <w:rPr>
          <w:lang w:val="en-US"/>
        </w:rPr>
      </w:pPr>
    </w:p>
  </w:comment>
  <w:comment w:id="11" w:author="HP" w:date="2026-01-16T19:07:00Z" w:initials="H">
    <w:p w14:paraId="00F6EAE0" w14:textId="55683C65" w:rsidR="007B6FF8" w:rsidRDefault="007B6FF8">
      <w:pPr>
        <w:pStyle w:val="ac"/>
      </w:pPr>
      <w:r>
        <w:rPr>
          <w:rStyle w:val="ab"/>
        </w:rPr>
        <w:annotationRef/>
      </w:r>
      <w:r>
        <w:t>Lack of precise statistical details</w:t>
      </w:r>
    </w:p>
  </w:comment>
  <w:comment w:id="12" w:author="HP" w:date="2026-01-16T19:02:00Z" w:initials="H">
    <w:p w14:paraId="57AEF68D" w14:textId="66FE63A9" w:rsidR="006E04E4" w:rsidRDefault="006E04E4">
      <w:pPr>
        <w:pStyle w:val="ac"/>
      </w:pPr>
      <w:r>
        <w:rPr>
          <w:rStyle w:val="ab"/>
        </w:rPr>
        <w:annotationRef/>
      </w:r>
      <w:r>
        <w:rPr>
          <w:rStyle w:val="a6"/>
        </w:rPr>
        <w:t>Paraphrasing</w:t>
      </w:r>
    </w:p>
  </w:comment>
  <w:comment w:id="13" w:author="HP" w:date="2026-01-16T19:01:00Z" w:initials="H">
    <w:p w14:paraId="3BC8A2C5" w14:textId="14C3DC51" w:rsidR="006E04E4" w:rsidRDefault="006E04E4">
      <w:pPr>
        <w:pStyle w:val="ac"/>
      </w:pPr>
      <w:r>
        <w:rPr>
          <w:rStyle w:val="ab"/>
        </w:rPr>
        <w:annotationRef/>
      </w:r>
      <w:r>
        <w:rPr>
          <w:rStyle w:val="a6"/>
        </w:rPr>
        <w:t>Paraphrasing</w:t>
      </w:r>
    </w:p>
  </w:comment>
  <w:comment w:id="14" w:author="HP" w:date="2026-01-16T19:09:00Z" w:initials="H">
    <w:p w14:paraId="70F36274" w14:textId="77777777" w:rsidR="00137D32" w:rsidRDefault="00137D32" w:rsidP="00137D32">
      <w:pPr>
        <w:pStyle w:val="ac"/>
      </w:pPr>
      <w:r>
        <w:rPr>
          <w:rStyle w:val="ab"/>
        </w:rPr>
        <w:annotationRef/>
      </w:r>
      <w:r>
        <w:rPr>
          <w:rStyle w:val="ab"/>
        </w:rPr>
        <w:annotationRef/>
      </w:r>
      <w:r>
        <w:t>References are listed alphabetically by the first author’s surname, following APA</w:t>
      </w:r>
    </w:p>
    <w:p w14:paraId="46A17EFE" w14:textId="4414FB25" w:rsidR="00137D32" w:rsidRDefault="00137D32">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272E0" w15:done="0"/>
  <w15:commentEx w15:paraId="2E585DFB" w15:done="0"/>
  <w15:commentEx w15:paraId="1C0387ED" w15:done="0"/>
  <w15:commentEx w15:paraId="0983333B" w15:done="0"/>
  <w15:commentEx w15:paraId="25866FF6" w15:done="0"/>
  <w15:commentEx w15:paraId="45C7BDFC" w15:done="0"/>
  <w15:commentEx w15:paraId="37A374A7" w15:done="0"/>
  <w15:commentEx w15:paraId="20B4894E" w15:done="0"/>
  <w15:commentEx w15:paraId="04EB74E0" w15:done="0"/>
  <w15:commentEx w15:paraId="00F6EAE0" w15:done="0"/>
  <w15:commentEx w15:paraId="57AEF68D" w15:done="0"/>
  <w15:commentEx w15:paraId="3BC8A2C5" w15:done="0"/>
  <w15:commentEx w15:paraId="46A17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D2000E" w16cex:dateUtc="2026-01-16T15:25:00Z"/>
  <w16cex:commentExtensible w16cex:durableId="3153F7E7" w16cex:dateUtc="2026-01-16T15:26:00Z"/>
  <w16cex:commentExtensible w16cex:durableId="2F773C69" w16cex:dateUtc="2026-01-16T15:30:00Z"/>
  <w16cex:commentExtensible w16cex:durableId="25E4593C" w16cex:dateUtc="2026-01-16T15:36:00Z"/>
  <w16cex:commentExtensible w16cex:durableId="2C64B56A" w16cex:dateUtc="2026-01-16T15:38:00Z"/>
  <w16cex:commentExtensible w16cex:durableId="0F342B07" w16cex:dateUtc="2026-01-16T15:42:00Z"/>
  <w16cex:commentExtensible w16cex:durableId="5D51938F" w16cex:dateUtc="2026-01-16T15:47:00Z"/>
  <w16cex:commentExtensible w16cex:durableId="447B4BA2" w16cex:dateUtc="2026-01-16T15:56:00Z"/>
  <w16cex:commentExtensible w16cex:durableId="57EA2472" w16cex:dateUtc="2026-01-16T15:57:00Z"/>
  <w16cex:commentExtensible w16cex:durableId="18ECB84A" w16cex:dateUtc="2026-01-16T16:07:00Z"/>
  <w16cex:commentExtensible w16cex:durableId="178093B3" w16cex:dateUtc="2026-01-16T16:02:00Z"/>
  <w16cex:commentExtensible w16cex:durableId="15F62724" w16cex:dateUtc="2026-01-16T16:01:00Z"/>
  <w16cex:commentExtensible w16cex:durableId="7A7E2D96" w16cex:dateUtc="2026-01-16T1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272E0" w16cid:durableId="08D2000E"/>
  <w16cid:commentId w16cid:paraId="2E585DFB" w16cid:durableId="3153F7E7"/>
  <w16cid:commentId w16cid:paraId="1C0387ED" w16cid:durableId="2F773C69"/>
  <w16cid:commentId w16cid:paraId="0983333B" w16cid:durableId="25E4593C"/>
  <w16cid:commentId w16cid:paraId="25866FF6" w16cid:durableId="2C64B56A"/>
  <w16cid:commentId w16cid:paraId="45C7BDFC" w16cid:durableId="0F342B07"/>
  <w16cid:commentId w16cid:paraId="37A374A7" w16cid:durableId="5D51938F"/>
  <w16cid:commentId w16cid:paraId="20B4894E" w16cid:durableId="447B4BA2"/>
  <w16cid:commentId w16cid:paraId="04EB74E0" w16cid:durableId="57EA2472"/>
  <w16cid:commentId w16cid:paraId="00F6EAE0" w16cid:durableId="18ECB84A"/>
  <w16cid:commentId w16cid:paraId="57AEF68D" w16cid:durableId="178093B3"/>
  <w16cid:commentId w16cid:paraId="3BC8A2C5" w16cid:durableId="15F62724"/>
  <w16cid:commentId w16cid:paraId="46A17EFE" w16cid:durableId="7A7E2D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8A88" w14:textId="77777777" w:rsidR="004C1B9F" w:rsidRDefault="004C1B9F" w:rsidP="004D38E5">
      <w:pPr>
        <w:spacing w:after="0" w:line="240" w:lineRule="auto"/>
      </w:pPr>
      <w:r>
        <w:separator/>
      </w:r>
    </w:p>
  </w:endnote>
  <w:endnote w:type="continuationSeparator" w:id="0">
    <w:p w14:paraId="76940C97" w14:textId="77777777" w:rsidR="004C1B9F" w:rsidRDefault="004C1B9F" w:rsidP="004D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9279" w14:textId="77777777" w:rsidR="004D38E5" w:rsidRDefault="004D38E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D780" w14:textId="77777777" w:rsidR="004D38E5" w:rsidRDefault="004D38E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F607" w14:textId="77777777" w:rsidR="004D38E5" w:rsidRDefault="004D38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FCAD" w14:textId="77777777" w:rsidR="004C1B9F" w:rsidRDefault="004C1B9F" w:rsidP="004D38E5">
      <w:pPr>
        <w:spacing w:after="0" w:line="240" w:lineRule="auto"/>
      </w:pPr>
      <w:r>
        <w:separator/>
      </w:r>
    </w:p>
  </w:footnote>
  <w:footnote w:type="continuationSeparator" w:id="0">
    <w:p w14:paraId="0D4A71D7" w14:textId="77777777" w:rsidR="004C1B9F" w:rsidRDefault="004C1B9F" w:rsidP="004D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8E05" w14:textId="182EF991" w:rsidR="004D38E5" w:rsidRDefault="00000000">
    <w:pPr>
      <w:pStyle w:val="a9"/>
    </w:pPr>
    <w:r>
      <w:rPr>
        <w:noProof/>
      </w:rPr>
      <w:pict w14:anchorId="462BC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CC45" w14:textId="58C47EC2" w:rsidR="004D38E5" w:rsidRDefault="00000000">
    <w:pPr>
      <w:pStyle w:val="a9"/>
    </w:pPr>
    <w:r>
      <w:rPr>
        <w:noProof/>
      </w:rPr>
      <w:pict w14:anchorId="1E7A6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0433" w14:textId="5DB8979D" w:rsidR="004D38E5" w:rsidRDefault="00000000">
    <w:pPr>
      <w:pStyle w:val="a9"/>
    </w:pPr>
    <w:r>
      <w:rPr>
        <w:noProof/>
      </w:rPr>
      <w:pict w14:anchorId="2E646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AC7"/>
    <w:multiLevelType w:val="multilevel"/>
    <w:tmpl w:val="288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0AAB"/>
    <w:multiLevelType w:val="multilevel"/>
    <w:tmpl w:val="E5B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A2078"/>
    <w:multiLevelType w:val="multilevel"/>
    <w:tmpl w:val="C618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323821">
    <w:abstractNumId w:val="2"/>
  </w:num>
  <w:num w:numId="2" w16cid:durableId="1100637893">
    <w:abstractNumId w:val="0"/>
  </w:num>
  <w:num w:numId="3" w16cid:durableId="5754818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58A"/>
    <w:rsid w:val="000040C8"/>
    <w:rsid w:val="000160A7"/>
    <w:rsid w:val="00033D2E"/>
    <w:rsid w:val="000413D9"/>
    <w:rsid w:val="00056696"/>
    <w:rsid w:val="000657B6"/>
    <w:rsid w:val="00072770"/>
    <w:rsid w:val="000A6BC2"/>
    <w:rsid w:val="000B4521"/>
    <w:rsid w:val="000C1CC9"/>
    <w:rsid w:val="000D015C"/>
    <w:rsid w:val="000D5665"/>
    <w:rsid w:val="0011440D"/>
    <w:rsid w:val="001225CD"/>
    <w:rsid w:val="001354DE"/>
    <w:rsid w:val="00137D32"/>
    <w:rsid w:val="0014095A"/>
    <w:rsid w:val="0017275F"/>
    <w:rsid w:val="0017795E"/>
    <w:rsid w:val="001A422A"/>
    <w:rsid w:val="001B0C39"/>
    <w:rsid w:val="001C3A5D"/>
    <w:rsid w:val="001C5651"/>
    <w:rsid w:val="001F3FA5"/>
    <w:rsid w:val="001F7093"/>
    <w:rsid w:val="002314EB"/>
    <w:rsid w:val="00242B3C"/>
    <w:rsid w:val="00245CCC"/>
    <w:rsid w:val="00251B0B"/>
    <w:rsid w:val="00261684"/>
    <w:rsid w:val="00273809"/>
    <w:rsid w:val="00281246"/>
    <w:rsid w:val="00291D05"/>
    <w:rsid w:val="002A1A51"/>
    <w:rsid w:val="002A2DED"/>
    <w:rsid w:val="002C7EE6"/>
    <w:rsid w:val="002D5084"/>
    <w:rsid w:val="002D75E1"/>
    <w:rsid w:val="002D77B2"/>
    <w:rsid w:val="00310B68"/>
    <w:rsid w:val="0033709A"/>
    <w:rsid w:val="00340960"/>
    <w:rsid w:val="00345841"/>
    <w:rsid w:val="00354477"/>
    <w:rsid w:val="00363657"/>
    <w:rsid w:val="00365E89"/>
    <w:rsid w:val="00372A4B"/>
    <w:rsid w:val="00387B06"/>
    <w:rsid w:val="00392043"/>
    <w:rsid w:val="003A097F"/>
    <w:rsid w:val="003C1849"/>
    <w:rsid w:val="003D59DE"/>
    <w:rsid w:val="003E439E"/>
    <w:rsid w:val="003F01E5"/>
    <w:rsid w:val="003F0745"/>
    <w:rsid w:val="003F13FA"/>
    <w:rsid w:val="003F1B1F"/>
    <w:rsid w:val="003F63B3"/>
    <w:rsid w:val="00403857"/>
    <w:rsid w:val="004102E4"/>
    <w:rsid w:val="00414F0C"/>
    <w:rsid w:val="004252FD"/>
    <w:rsid w:val="00434422"/>
    <w:rsid w:val="00452B22"/>
    <w:rsid w:val="00460852"/>
    <w:rsid w:val="004667B0"/>
    <w:rsid w:val="00466FA5"/>
    <w:rsid w:val="004834B3"/>
    <w:rsid w:val="004844D2"/>
    <w:rsid w:val="004B530D"/>
    <w:rsid w:val="004C1B9F"/>
    <w:rsid w:val="004D38E5"/>
    <w:rsid w:val="004E691A"/>
    <w:rsid w:val="004F57F4"/>
    <w:rsid w:val="004F5FC1"/>
    <w:rsid w:val="00511746"/>
    <w:rsid w:val="00511B72"/>
    <w:rsid w:val="00537ADA"/>
    <w:rsid w:val="00543D00"/>
    <w:rsid w:val="00546DF9"/>
    <w:rsid w:val="0057664E"/>
    <w:rsid w:val="005869A2"/>
    <w:rsid w:val="005904F2"/>
    <w:rsid w:val="00594D79"/>
    <w:rsid w:val="005A12EA"/>
    <w:rsid w:val="005A53C1"/>
    <w:rsid w:val="005B1D53"/>
    <w:rsid w:val="005B46E6"/>
    <w:rsid w:val="005B6308"/>
    <w:rsid w:val="005E4D6E"/>
    <w:rsid w:val="005E6E67"/>
    <w:rsid w:val="005F0921"/>
    <w:rsid w:val="005F1E43"/>
    <w:rsid w:val="00602D98"/>
    <w:rsid w:val="00606EBD"/>
    <w:rsid w:val="00621E5B"/>
    <w:rsid w:val="006262C7"/>
    <w:rsid w:val="00627F39"/>
    <w:rsid w:val="006340D1"/>
    <w:rsid w:val="006B091F"/>
    <w:rsid w:val="006B458A"/>
    <w:rsid w:val="006E02B7"/>
    <w:rsid w:val="006E04E4"/>
    <w:rsid w:val="006E135D"/>
    <w:rsid w:val="006E2968"/>
    <w:rsid w:val="006F1665"/>
    <w:rsid w:val="007119F9"/>
    <w:rsid w:val="007143DE"/>
    <w:rsid w:val="007424E8"/>
    <w:rsid w:val="007431E4"/>
    <w:rsid w:val="0074627B"/>
    <w:rsid w:val="00752A22"/>
    <w:rsid w:val="00752C03"/>
    <w:rsid w:val="00753CF9"/>
    <w:rsid w:val="00774D85"/>
    <w:rsid w:val="00777416"/>
    <w:rsid w:val="00777987"/>
    <w:rsid w:val="00792531"/>
    <w:rsid w:val="007A2C8E"/>
    <w:rsid w:val="007B3043"/>
    <w:rsid w:val="007B3A7D"/>
    <w:rsid w:val="007B6FF8"/>
    <w:rsid w:val="007B7B41"/>
    <w:rsid w:val="007D332C"/>
    <w:rsid w:val="007D4528"/>
    <w:rsid w:val="007E6042"/>
    <w:rsid w:val="007F18F2"/>
    <w:rsid w:val="007F21E5"/>
    <w:rsid w:val="0080488D"/>
    <w:rsid w:val="00812962"/>
    <w:rsid w:val="008218B2"/>
    <w:rsid w:val="0083628B"/>
    <w:rsid w:val="0084159A"/>
    <w:rsid w:val="008565E5"/>
    <w:rsid w:val="00876483"/>
    <w:rsid w:val="00884F2D"/>
    <w:rsid w:val="008870BA"/>
    <w:rsid w:val="00891A61"/>
    <w:rsid w:val="0089601B"/>
    <w:rsid w:val="008A308A"/>
    <w:rsid w:val="008E2276"/>
    <w:rsid w:val="008E2898"/>
    <w:rsid w:val="00901A60"/>
    <w:rsid w:val="00912BE7"/>
    <w:rsid w:val="0092184F"/>
    <w:rsid w:val="00922726"/>
    <w:rsid w:val="00945779"/>
    <w:rsid w:val="00947752"/>
    <w:rsid w:val="00951165"/>
    <w:rsid w:val="0095592D"/>
    <w:rsid w:val="00955F86"/>
    <w:rsid w:val="00965643"/>
    <w:rsid w:val="009938E2"/>
    <w:rsid w:val="009A31BB"/>
    <w:rsid w:val="009B06A1"/>
    <w:rsid w:val="009B0E6B"/>
    <w:rsid w:val="009B797F"/>
    <w:rsid w:val="009D681F"/>
    <w:rsid w:val="009D6985"/>
    <w:rsid w:val="009E43FA"/>
    <w:rsid w:val="00A06377"/>
    <w:rsid w:val="00A228A7"/>
    <w:rsid w:val="00A26E34"/>
    <w:rsid w:val="00A3118B"/>
    <w:rsid w:val="00A3196C"/>
    <w:rsid w:val="00A378B3"/>
    <w:rsid w:val="00A41090"/>
    <w:rsid w:val="00A63019"/>
    <w:rsid w:val="00A66A90"/>
    <w:rsid w:val="00A9351F"/>
    <w:rsid w:val="00A94BDB"/>
    <w:rsid w:val="00A962C3"/>
    <w:rsid w:val="00A97DFC"/>
    <w:rsid w:val="00AA4AD9"/>
    <w:rsid w:val="00AC12BF"/>
    <w:rsid w:val="00AC6CC2"/>
    <w:rsid w:val="00AD2B34"/>
    <w:rsid w:val="00AD7680"/>
    <w:rsid w:val="00AF66BB"/>
    <w:rsid w:val="00B06B24"/>
    <w:rsid w:val="00B24A94"/>
    <w:rsid w:val="00B32A67"/>
    <w:rsid w:val="00B47FB5"/>
    <w:rsid w:val="00B53771"/>
    <w:rsid w:val="00B679CA"/>
    <w:rsid w:val="00BA0365"/>
    <w:rsid w:val="00BB6DA0"/>
    <w:rsid w:val="00BE58AD"/>
    <w:rsid w:val="00C0607E"/>
    <w:rsid w:val="00C07A9F"/>
    <w:rsid w:val="00C14EA5"/>
    <w:rsid w:val="00C224C5"/>
    <w:rsid w:val="00C2511A"/>
    <w:rsid w:val="00C435B5"/>
    <w:rsid w:val="00C545F6"/>
    <w:rsid w:val="00C5626F"/>
    <w:rsid w:val="00C9427C"/>
    <w:rsid w:val="00CB2154"/>
    <w:rsid w:val="00CB4B7B"/>
    <w:rsid w:val="00CE01FA"/>
    <w:rsid w:val="00CE5749"/>
    <w:rsid w:val="00D20588"/>
    <w:rsid w:val="00D3444B"/>
    <w:rsid w:val="00D4476E"/>
    <w:rsid w:val="00D81632"/>
    <w:rsid w:val="00DE310B"/>
    <w:rsid w:val="00DE5CED"/>
    <w:rsid w:val="00DF0DC4"/>
    <w:rsid w:val="00DF2EF0"/>
    <w:rsid w:val="00DF4B1D"/>
    <w:rsid w:val="00E014A5"/>
    <w:rsid w:val="00E51421"/>
    <w:rsid w:val="00E55D7F"/>
    <w:rsid w:val="00E61822"/>
    <w:rsid w:val="00E80560"/>
    <w:rsid w:val="00E91036"/>
    <w:rsid w:val="00E93712"/>
    <w:rsid w:val="00EB4407"/>
    <w:rsid w:val="00EC04D5"/>
    <w:rsid w:val="00EC6117"/>
    <w:rsid w:val="00EE12A7"/>
    <w:rsid w:val="00EE28C5"/>
    <w:rsid w:val="00EF4A85"/>
    <w:rsid w:val="00EF55F8"/>
    <w:rsid w:val="00F01776"/>
    <w:rsid w:val="00F26716"/>
    <w:rsid w:val="00F30D5E"/>
    <w:rsid w:val="00F64BE6"/>
    <w:rsid w:val="00F715ED"/>
    <w:rsid w:val="00F97294"/>
    <w:rsid w:val="00FA14A3"/>
    <w:rsid w:val="00FB1B73"/>
    <w:rsid w:val="00FE62C0"/>
    <w:rsid w:val="00FE7BC2"/>
    <w:rsid w:val="00FF121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FA03"/>
  <w15:docId w15:val="{4FD5969C-F49A-4AA3-B7CB-4BF1E860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62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ar-SA"/>
    </w:rPr>
  </w:style>
  <w:style w:type="paragraph" w:styleId="2">
    <w:name w:val="heading 2"/>
    <w:basedOn w:val="a"/>
    <w:link w:val="2Char"/>
    <w:uiPriority w:val="9"/>
    <w:qFormat/>
    <w:rsid w:val="0083628B"/>
    <w:pPr>
      <w:spacing w:before="100" w:beforeAutospacing="1" w:after="100" w:afterAutospacing="1" w:line="240" w:lineRule="auto"/>
      <w:outlineLvl w:val="1"/>
    </w:pPr>
    <w:rPr>
      <w:rFonts w:ascii="Times New Roman" w:eastAsia="Times New Roman" w:hAnsi="Times New Roman" w:cs="Times New Roman"/>
      <w:b/>
      <w:bCs/>
      <w:sz w:val="36"/>
      <w:szCs w:val="36"/>
      <w:lang w:val="en-US" w:bidi="ar-SA"/>
    </w:rPr>
  </w:style>
  <w:style w:type="paragraph" w:styleId="3">
    <w:name w:val="heading 3"/>
    <w:basedOn w:val="a"/>
    <w:link w:val="3Char"/>
    <w:uiPriority w:val="9"/>
    <w:qFormat/>
    <w:rsid w:val="0083628B"/>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uiPriority w:val="39"/>
    <w:rsid w:val="005E4D6E"/>
    <w:pPr>
      <w:spacing w:after="0" w:line="240" w:lineRule="auto"/>
    </w:pPr>
    <w:rPr>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uiPriority w:val="20"/>
    <w:qFormat/>
    <w:rsid w:val="00273809"/>
    <w:rPr>
      <w:i/>
      <w:iCs/>
    </w:rPr>
  </w:style>
  <w:style w:type="paragraph" w:styleId="a5">
    <w:name w:val="Normal (Web)"/>
    <w:basedOn w:val="a"/>
    <w:uiPriority w:val="99"/>
    <w:unhideWhenUsed/>
    <w:rsid w:val="00945779"/>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a6">
    <w:name w:val="Strong"/>
    <w:basedOn w:val="a0"/>
    <w:uiPriority w:val="22"/>
    <w:qFormat/>
    <w:rsid w:val="00945779"/>
    <w:rPr>
      <w:b/>
      <w:bCs/>
    </w:rPr>
  </w:style>
  <w:style w:type="paragraph" w:styleId="a7">
    <w:name w:val="Balloon Text"/>
    <w:basedOn w:val="a"/>
    <w:link w:val="Char"/>
    <w:uiPriority w:val="99"/>
    <w:semiHidden/>
    <w:unhideWhenUsed/>
    <w:rsid w:val="005B6308"/>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5B6308"/>
    <w:rPr>
      <w:rFonts w:ascii="Tahoma" w:hAnsi="Tahoma" w:cs="Tahoma"/>
      <w:sz w:val="16"/>
      <w:szCs w:val="16"/>
    </w:rPr>
  </w:style>
  <w:style w:type="paragraph" w:styleId="a8">
    <w:name w:val="No Spacing"/>
    <w:uiPriority w:val="1"/>
    <w:qFormat/>
    <w:rsid w:val="00A26E34"/>
    <w:pPr>
      <w:spacing w:after="0" w:line="240" w:lineRule="auto"/>
    </w:pPr>
    <w:rPr>
      <w:lang w:val="en-US" w:bidi="ar-SA"/>
    </w:rPr>
  </w:style>
  <w:style w:type="character" w:customStyle="1" w:styleId="1Char">
    <w:name w:val="العنوان 1 Char"/>
    <w:basedOn w:val="a0"/>
    <w:link w:val="1"/>
    <w:uiPriority w:val="9"/>
    <w:rsid w:val="0083628B"/>
    <w:rPr>
      <w:rFonts w:asciiTheme="majorHAnsi" w:eastAsiaTheme="majorEastAsia" w:hAnsiTheme="majorHAnsi" w:cstheme="majorBidi"/>
      <w:b/>
      <w:bCs/>
      <w:color w:val="2F5496" w:themeColor="accent1" w:themeShade="BF"/>
      <w:sz w:val="28"/>
      <w:szCs w:val="28"/>
      <w:lang w:val="en-US" w:bidi="ar-SA"/>
    </w:rPr>
  </w:style>
  <w:style w:type="character" w:customStyle="1" w:styleId="2Char">
    <w:name w:val="عنوان 2 Char"/>
    <w:basedOn w:val="a0"/>
    <w:link w:val="2"/>
    <w:uiPriority w:val="9"/>
    <w:rsid w:val="0083628B"/>
    <w:rPr>
      <w:rFonts w:ascii="Times New Roman" w:eastAsia="Times New Roman" w:hAnsi="Times New Roman" w:cs="Times New Roman"/>
      <w:b/>
      <w:bCs/>
      <w:sz w:val="36"/>
      <w:szCs w:val="36"/>
      <w:lang w:val="en-US" w:bidi="ar-SA"/>
    </w:rPr>
  </w:style>
  <w:style w:type="character" w:customStyle="1" w:styleId="3Char">
    <w:name w:val="عنوان 3 Char"/>
    <w:basedOn w:val="a0"/>
    <w:link w:val="3"/>
    <w:uiPriority w:val="9"/>
    <w:rsid w:val="0083628B"/>
    <w:rPr>
      <w:rFonts w:ascii="Times New Roman" w:eastAsia="Times New Roman" w:hAnsi="Times New Roman" w:cs="Times New Roman"/>
      <w:b/>
      <w:bCs/>
      <w:sz w:val="27"/>
      <w:szCs w:val="27"/>
      <w:lang w:val="en-US" w:bidi="ar-SA"/>
    </w:rPr>
  </w:style>
  <w:style w:type="paragraph" w:styleId="a9">
    <w:name w:val="header"/>
    <w:basedOn w:val="a"/>
    <w:link w:val="Char0"/>
    <w:uiPriority w:val="99"/>
    <w:unhideWhenUsed/>
    <w:rsid w:val="004D38E5"/>
    <w:pPr>
      <w:tabs>
        <w:tab w:val="center" w:pos="4680"/>
        <w:tab w:val="right" w:pos="9360"/>
      </w:tabs>
      <w:spacing w:after="0" w:line="240" w:lineRule="auto"/>
    </w:pPr>
  </w:style>
  <w:style w:type="character" w:customStyle="1" w:styleId="Char0">
    <w:name w:val="رأس الصفحة Char"/>
    <w:basedOn w:val="a0"/>
    <w:link w:val="a9"/>
    <w:uiPriority w:val="99"/>
    <w:rsid w:val="004D38E5"/>
  </w:style>
  <w:style w:type="paragraph" w:styleId="aa">
    <w:name w:val="footer"/>
    <w:basedOn w:val="a"/>
    <w:link w:val="Char1"/>
    <w:uiPriority w:val="99"/>
    <w:unhideWhenUsed/>
    <w:rsid w:val="004D38E5"/>
    <w:pPr>
      <w:tabs>
        <w:tab w:val="center" w:pos="4680"/>
        <w:tab w:val="right" w:pos="9360"/>
      </w:tabs>
      <w:spacing w:after="0" w:line="240" w:lineRule="auto"/>
    </w:pPr>
  </w:style>
  <w:style w:type="character" w:customStyle="1" w:styleId="Char1">
    <w:name w:val="تذييل الصفحة Char"/>
    <w:basedOn w:val="a0"/>
    <w:link w:val="aa"/>
    <w:uiPriority w:val="99"/>
    <w:rsid w:val="004D38E5"/>
  </w:style>
  <w:style w:type="character" w:styleId="ab">
    <w:name w:val="annotation reference"/>
    <w:basedOn w:val="a0"/>
    <w:uiPriority w:val="99"/>
    <w:semiHidden/>
    <w:unhideWhenUsed/>
    <w:rsid w:val="005B46E6"/>
    <w:rPr>
      <w:sz w:val="16"/>
      <w:szCs w:val="16"/>
    </w:rPr>
  </w:style>
  <w:style w:type="paragraph" w:styleId="ac">
    <w:name w:val="annotation text"/>
    <w:basedOn w:val="a"/>
    <w:link w:val="Char2"/>
    <w:uiPriority w:val="99"/>
    <w:semiHidden/>
    <w:unhideWhenUsed/>
    <w:rsid w:val="005B46E6"/>
    <w:pPr>
      <w:spacing w:line="240" w:lineRule="auto"/>
    </w:pPr>
    <w:rPr>
      <w:sz w:val="20"/>
      <w:szCs w:val="20"/>
    </w:rPr>
  </w:style>
  <w:style w:type="character" w:customStyle="1" w:styleId="Char2">
    <w:name w:val="نص تعليق Char"/>
    <w:basedOn w:val="a0"/>
    <w:link w:val="ac"/>
    <w:uiPriority w:val="99"/>
    <w:semiHidden/>
    <w:rsid w:val="005B46E6"/>
    <w:rPr>
      <w:sz w:val="20"/>
      <w:szCs w:val="20"/>
    </w:rPr>
  </w:style>
  <w:style w:type="paragraph" w:styleId="ad">
    <w:name w:val="annotation subject"/>
    <w:basedOn w:val="ac"/>
    <w:next w:val="ac"/>
    <w:link w:val="Char3"/>
    <w:uiPriority w:val="99"/>
    <w:semiHidden/>
    <w:unhideWhenUsed/>
    <w:rsid w:val="005B46E6"/>
    <w:rPr>
      <w:b/>
      <w:bCs/>
    </w:rPr>
  </w:style>
  <w:style w:type="character" w:customStyle="1" w:styleId="Char3">
    <w:name w:val="موضوع تعليق Char"/>
    <w:basedOn w:val="Char2"/>
    <w:link w:val="ad"/>
    <w:uiPriority w:val="99"/>
    <w:semiHidden/>
    <w:rsid w:val="005B46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67941">
      <w:bodyDiv w:val="1"/>
      <w:marLeft w:val="0"/>
      <w:marRight w:val="0"/>
      <w:marTop w:val="0"/>
      <w:marBottom w:val="0"/>
      <w:divBdr>
        <w:top w:val="none" w:sz="0" w:space="0" w:color="auto"/>
        <w:left w:val="none" w:sz="0" w:space="0" w:color="auto"/>
        <w:bottom w:val="none" w:sz="0" w:space="0" w:color="auto"/>
        <w:right w:val="none" w:sz="0" w:space="0" w:color="auto"/>
      </w:divBdr>
    </w:div>
    <w:div w:id="1237201453">
      <w:bodyDiv w:val="1"/>
      <w:marLeft w:val="0"/>
      <w:marRight w:val="0"/>
      <w:marTop w:val="0"/>
      <w:marBottom w:val="0"/>
      <w:divBdr>
        <w:top w:val="none" w:sz="0" w:space="0" w:color="auto"/>
        <w:left w:val="none" w:sz="0" w:space="0" w:color="auto"/>
        <w:bottom w:val="none" w:sz="0" w:space="0" w:color="auto"/>
        <w:right w:val="none" w:sz="0" w:space="0" w:color="auto"/>
      </w:divBdr>
    </w:div>
    <w:div w:id="1712724232">
      <w:bodyDiv w:val="1"/>
      <w:marLeft w:val="0"/>
      <w:marRight w:val="0"/>
      <w:marTop w:val="0"/>
      <w:marBottom w:val="0"/>
      <w:divBdr>
        <w:top w:val="none" w:sz="0" w:space="0" w:color="auto"/>
        <w:left w:val="none" w:sz="0" w:space="0" w:color="auto"/>
        <w:bottom w:val="none" w:sz="0" w:space="0" w:color="auto"/>
        <w:right w:val="none" w:sz="0" w:space="0" w:color="auto"/>
      </w:divBdr>
    </w:div>
    <w:div w:id="19608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C5AC-E40A-4806-924F-50CDBDA5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KUMAR</dc:creator>
  <cp:lastModifiedBy>HP</cp:lastModifiedBy>
  <cp:revision>45</cp:revision>
  <dcterms:created xsi:type="dcterms:W3CDTF">2026-01-11T15:42:00Z</dcterms:created>
  <dcterms:modified xsi:type="dcterms:W3CDTF">2026-01-16T16:10:00Z</dcterms:modified>
</cp:coreProperties>
</file>