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F7C6" w14:textId="77777777" w:rsidR="00D51752" w:rsidRDefault="00D51752" w:rsidP="00D51752">
      <w:pPr>
        <w:pStyle w:val="Title"/>
        <w:spacing w:after="0"/>
        <w:jc w:val="both"/>
        <w:rPr>
          <w:rFonts w:ascii="Arial" w:hAnsi="Arial" w:cs="Arial"/>
        </w:rPr>
      </w:pPr>
    </w:p>
    <w:p w14:paraId="4A393920" w14:textId="77777777" w:rsidR="00D51752" w:rsidRDefault="00D51752" w:rsidP="00D51752">
      <w:pPr>
        <w:pStyle w:val="Author"/>
        <w:spacing w:line="240" w:lineRule="auto"/>
        <w:rPr>
          <w:rFonts w:ascii="Arial" w:hAnsi="Arial" w:cs="Arial"/>
          <w:bCs/>
          <w:iCs/>
          <w:kern w:val="28"/>
          <w:sz w:val="36"/>
        </w:rPr>
      </w:pPr>
      <w:r w:rsidRPr="00920F6B">
        <w:rPr>
          <w:rFonts w:ascii="Arial" w:hAnsi="Arial" w:cs="Arial"/>
          <w:bCs/>
          <w:iCs/>
          <w:kern w:val="28"/>
          <w:sz w:val="36"/>
        </w:rPr>
        <w:t xml:space="preserve">Efficacy of Biofertilizers on Growth, Quality and Yield of </w:t>
      </w:r>
      <w:r>
        <w:rPr>
          <w:rFonts w:ascii="Arial" w:hAnsi="Arial" w:cs="Arial"/>
          <w:bCs/>
          <w:iCs/>
          <w:kern w:val="28"/>
          <w:sz w:val="36"/>
        </w:rPr>
        <w:t>T</w:t>
      </w:r>
      <w:r w:rsidRPr="00920F6B">
        <w:rPr>
          <w:rFonts w:ascii="Arial" w:hAnsi="Arial" w:cs="Arial"/>
          <w:bCs/>
          <w:iCs/>
          <w:kern w:val="28"/>
          <w:sz w:val="36"/>
        </w:rPr>
        <w:t>omato</w:t>
      </w:r>
    </w:p>
    <w:p w14:paraId="10516FEF" w14:textId="77777777" w:rsidR="00D51752" w:rsidRPr="00B80ECC" w:rsidRDefault="00D51752" w:rsidP="00D51752">
      <w:pPr>
        <w:pStyle w:val="Author"/>
        <w:spacing w:line="240" w:lineRule="auto"/>
        <w:rPr>
          <w:rFonts w:ascii="Arial" w:hAnsi="Arial" w:cs="Arial"/>
          <w:bCs/>
          <w:iCs/>
          <w:kern w:val="28"/>
          <w:sz w:val="36"/>
          <w:lang w:val="pt-BR"/>
        </w:rPr>
      </w:pPr>
      <w:r w:rsidRPr="00920F6B">
        <w:rPr>
          <w:rFonts w:ascii="Arial" w:hAnsi="Arial" w:cs="Arial"/>
          <w:bCs/>
          <w:iCs/>
          <w:kern w:val="28"/>
          <w:sz w:val="36"/>
        </w:rPr>
        <w:t xml:space="preserve"> </w:t>
      </w:r>
      <w:r w:rsidRPr="00B80ECC">
        <w:rPr>
          <w:rFonts w:ascii="Arial" w:hAnsi="Arial" w:cs="Arial"/>
          <w:bCs/>
          <w:iCs/>
          <w:kern w:val="28"/>
          <w:sz w:val="36"/>
          <w:lang w:val="pt-BR"/>
        </w:rPr>
        <w:t>[</w:t>
      </w:r>
      <w:r w:rsidRPr="00B80ECC">
        <w:rPr>
          <w:rFonts w:ascii="Arial" w:hAnsi="Arial" w:cs="Arial"/>
          <w:bCs/>
          <w:i/>
          <w:kern w:val="28"/>
          <w:sz w:val="36"/>
          <w:lang w:val="pt-BR"/>
        </w:rPr>
        <w:t>Solanum lycopersicum</w:t>
      </w:r>
      <w:r w:rsidRPr="00B80ECC">
        <w:rPr>
          <w:rFonts w:ascii="Arial" w:hAnsi="Arial" w:cs="Arial"/>
          <w:bCs/>
          <w:iCs/>
          <w:kern w:val="28"/>
          <w:sz w:val="36"/>
          <w:lang w:val="pt-BR"/>
        </w:rPr>
        <w:t xml:space="preserve"> (L.) cv. Anagha]</w:t>
      </w:r>
    </w:p>
    <w:p w14:paraId="1F3FE3D1" w14:textId="77777777" w:rsidR="00D51752" w:rsidRDefault="00D51752" w:rsidP="00D51752">
      <w:pPr>
        <w:pStyle w:val="Affiliation"/>
        <w:spacing w:after="0" w:line="240" w:lineRule="auto"/>
        <w:rPr>
          <w:rFonts w:ascii="Arial" w:hAnsi="Arial" w:cs="Arial"/>
        </w:rPr>
      </w:pPr>
    </w:p>
    <w:p w14:paraId="7113810B" w14:textId="77777777" w:rsidR="00D51752" w:rsidRDefault="00D51752" w:rsidP="00D51752">
      <w:pPr>
        <w:pStyle w:val="Affiliation"/>
        <w:spacing w:after="0" w:line="240" w:lineRule="auto"/>
        <w:rPr>
          <w:rFonts w:ascii="Arial" w:hAnsi="Arial" w:cs="Arial"/>
        </w:rPr>
      </w:pPr>
    </w:p>
    <w:p w14:paraId="144A8513" w14:textId="77777777" w:rsidR="00D51752" w:rsidRPr="00FB3A86" w:rsidRDefault="00D51752" w:rsidP="00D51752">
      <w:pPr>
        <w:pStyle w:val="Affiliation"/>
        <w:spacing w:after="0" w:line="240" w:lineRule="auto"/>
        <w:jc w:val="both"/>
        <w:rPr>
          <w:rFonts w:ascii="Arial" w:hAnsi="Arial" w:cs="Arial"/>
        </w:rPr>
      </w:pPr>
    </w:p>
    <w:p w14:paraId="09DFE9F8" w14:textId="77777777" w:rsidR="00D51752" w:rsidRPr="00FB3A86" w:rsidRDefault="00D51752" w:rsidP="00D51752">
      <w:pPr>
        <w:pStyle w:val="Copyright"/>
        <w:spacing w:after="0" w:line="240" w:lineRule="auto"/>
        <w:jc w:val="both"/>
        <w:rPr>
          <w:rFonts w:ascii="Arial" w:hAnsi="Arial" w:cs="Arial"/>
        </w:rPr>
        <w:sectPr w:rsidR="00D51752" w:rsidRPr="00FB3A86" w:rsidSect="00D51752">
          <w:headerReference w:type="even" r:id="rId4"/>
          <w:headerReference w:type="default" r:id="rId5"/>
          <w:footerReference w:type="even" r:id="rId6"/>
          <w:footerReference w:type="default" r:id="rId7"/>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2C3988" wp14:editId="77A80047">
                <wp:extent cx="5303520" cy="635"/>
                <wp:effectExtent l="17145" t="13335" r="13335" b="15240"/>
                <wp:docPr id="10034777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8C159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6E1F8E2E" w14:textId="77777777" w:rsidR="00D51752" w:rsidRDefault="00D51752" w:rsidP="00D51752">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4B9E78AA" w14:textId="77777777" w:rsidR="00D51752" w:rsidRPr="00FB3A86" w:rsidRDefault="00D51752" w:rsidP="00D51752">
      <w:pPr>
        <w:pStyle w:val="AbstHead"/>
        <w:spacing w:after="0"/>
        <w:jc w:val="both"/>
        <w:rPr>
          <w:rFonts w:ascii="Arial" w:hAnsi="Arial" w:cs="Arial"/>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D51752" w:rsidRPr="001E44FE" w14:paraId="3C8AE0FC" w14:textId="77777777" w:rsidTr="00DD7D6E">
        <w:tc>
          <w:tcPr>
            <w:tcW w:w="8500" w:type="dxa"/>
            <w:shd w:val="clear" w:color="auto" w:fill="F2F2F2"/>
          </w:tcPr>
          <w:p w14:paraId="1987F8A3" w14:textId="77777777" w:rsidR="00D51752" w:rsidRDefault="00D51752" w:rsidP="00DD7D6E">
            <w:pPr>
              <w:pStyle w:val="Body"/>
              <w:spacing w:after="0"/>
              <w:rPr>
                <w:rFonts w:ascii="Arial" w:eastAsia="Calibri" w:hAnsi="Arial" w:cs="Arial"/>
                <w:b/>
                <w:szCs w:val="22"/>
              </w:rPr>
            </w:pPr>
          </w:p>
          <w:p w14:paraId="105A47C1" w14:textId="77777777" w:rsidR="00D51752" w:rsidRDefault="00D51752" w:rsidP="00DD7D6E">
            <w:pPr>
              <w:pStyle w:val="Body"/>
              <w:spacing w:after="0"/>
              <w:rPr>
                <w:rFonts w:ascii="Arial" w:eastAsia="Calibri" w:hAnsi="Arial" w:cs="Arial"/>
                <w:szCs w:val="22"/>
              </w:rPr>
            </w:pPr>
            <w:r w:rsidRPr="00BA1B01">
              <w:rPr>
                <w:rFonts w:ascii="Arial" w:eastAsia="Calibri" w:hAnsi="Arial" w:cs="Arial"/>
                <w:b/>
                <w:szCs w:val="22"/>
              </w:rPr>
              <w:t xml:space="preserve">Aims: </w:t>
            </w:r>
            <w:r w:rsidRPr="000768AD">
              <w:rPr>
                <w:rFonts w:ascii="Arial" w:eastAsia="Calibri" w:hAnsi="Arial" w:cs="Arial"/>
                <w:szCs w:val="22"/>
              </w:rPr>
              <w:t>To evaluate the growth, yield, and quality response of tomato to biofertilizers applied alone and in combination with chemical fertilizers.</w:t>
            </w:r>
          </w:p>
          <w:p w14:paraId="727F75FA" w14:textId="77777777" w:rsidR="00D51752" w:rsidRPr="00BA1B01" w:rsidRDefault="00D51752" w:rsidP="00DD7D6E">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014523">
              <w:rPr>
                <w:rFonts w:ascii="Arial" w:eastAsia="Calibri" w:hAnsi="Arial" w:cs="Arial"/>
                <w:szCs w:val="22"/>
              </w:rPr>
              <w:t>Randomized block design</w:t>
            </w:r>
          </w:p>
          <w:p w14:paraId="1EDDE0DF" w14:textId="77777777" w:rsidR="00D51752" w:rsidRDefault="00D51752" w:rsidP="00DD7D6E">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0768AD">
              <w:rPr>
                <w:rFonts w:ascii="Arial" w:eastAsia="Calibri" w:hAnsi="Arial" w:cs="Arial"/>
                <w:szCs w:val="22"/>
              </w:rPr>
              <w:t>A one-year experiment was conducted at the Department of Vegetable Science, College of Agriculture, Vellanikkara, Thrissur, under Kerala Agricultural University</w:t>
            </w:r>
          </w:p>
          <w:p w14:paraId="410897F7" w14:textId="77777777" w:rsidR="00D51752" w:rsidRDefault="00D51752" w:rsidP="00DD7D6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0768AD">
              <w:rPr>
                <w:rFonts w:ascii="Arial" w:eastAsia="Calibri" w:hAnsi="Arial" w:cs="Arial"/>
                <w:szCs w:val="22"/>
              </w:rPr>
              <w:t>The bacterial wilt- and crack-resistant tomato variety Anagha, developed by Kerala Agricultural University, was used for the study. Three biofertilizers</w:t>
            </w:r>
            <w:r>
              <w:rPr>
                <w:rFonts w:ascii="Arial" w:eastAsia="Calibri" w:hAnsi="Arial" w:cs="Arial"/>
                <w:szCs w:val="22"/>
              </w:rPr>
              <w:t>-</w:t>
            </w:r>
            <w:proofErr w:type="spellStart"/>
            <w:r w:rsidRPr="00C45499">
              <w:rPr>
                <w:rFonts w:ascii="Arial" w:eastAsia="Calibri" w:hAnsi="Arial" w:cs="Arial"/>
                <w:i/>
                <w:iCs/>
                <w:szCs w:val="22"/>
              </w:rPr>
              <w:t>Azospirillum</w:t>
            </w:r>
            <w:proofErr w:type="spellEnd"/>
            <w:r w:rsidRPr="000768AD">
              <w:rPr>
                <w:rFonts w:ascii="Arial" w:eastAsia="Calibri" w:hAnsi="Arial" w:cs="Arial"/>
                <w:szCs w:val="22"/>
              </w:rPr>
              <w:t xml:space="preserve">, Arbuscular Mycorrhizal Fungi (AMF), and </w:t>
            </w:r>
            <w:proofErr w:type="spellStart"/>
            <w:r w:rsidRPr="00C45499">
              <w:rPr>
                <w:rFonts w:ascii="Arial" w:eastAsia="Calibri" w:hAnsi="Arial" w:cs="Arial"/>
                <w:i/>
                <w:iCs/>
                <w:szCs w:val="22"/>
              </w:rPr>
              <w:t>Frateuria</w:t>
            </w:r>
            <w:proofErr w:type="spellEnd"/>
            <w:r w:rsidRPr="00C45499">
              <w:rPr>
                <w:rFonts w:ascii="Arial" w:eastAsia="Calibri" w:hAnsi="Arial" w:cs="Arial"/>
                <w:i/>
                <w:iCs/>
                <w:szCs w:val="22"/>
              </w:rPr>
              <w:t xml:space="preserve"> aurantia</w:t>
            </w:r>
            <w:r>
              <w:rPr>
                <w:rFonts w:ascii="Arial" w:eastAsia="Calibri" w:hAnsi="Arial" w:cs="Arial"/>
                <w:szCs w:val="22"/>
              </w:rPr>
              <w:t>-</w:t>
            </w:r>
            <w:r w:rsidRPr="000768AD">
              <w:rPr>
                <w:rFonts w:ascii="Arial" w:eastAsia="Calibri" w:hAnsi="Arial" w:cs="Arial"/>
                <w:szCs w:val="22"/>
              </w:rPr>
              <w:t>were evaluated in different combinations with farmyard manure (FYM), with or without inorganic fertilizers. Treatments included single biofertilizer inoculation with FYM (T</w:t>
            </w:r>
            <w:r w:rsidRPr="000768AD">
              <w:rPr>
                <w:rFonts w:ascii="Cambria Math" w:eastAsia="Calibri" w:hAnsi="Cambria Math" w:cs="Cambria Math"/>
                <w:szCs w:val="22"/>
              </w:rPr>
              <w:t>₁</w:t>
            </w:r>
            <w:r w:rsidRPr="000768AD">
              <w:rPr>
                <w:rFonts w:ascii="Arial" w:eastAsia="Calibri" w:hAnsi="Arial" w:cs="Arial"/>
                <w:szCs w:val="22"/>
              </w:rPr>
              <w:t xml:space="preserve">: </w:t>
            </w:r>
            <w:proofErr w:type="spellStart"/>
            <w:r w:rsidRPr="005C1EFD">
              <w:rPr>
                <w:rFonts w:ascii="Arial" w:eastAsia="Calibri" w:hAnsi="Arial" w:cs="Arial"/>
                <w:i/>
                <w:iCs/>
                <w:szCs w:val="22"/>
              </w:rPr>
              <w:t>Azospirillum</w:t>
            </w:r>
            <w:proofErr w:type="spellEnd"/>
            <w:r w:rsidRPr="000768AD">
              <w:rPr>
                <w:rFonts w:ascii="Arial" w:eastAsia="Calibri" w:hAnsi="Arial" w:cs="Arial"/>
                <w:szCs w:val="22"/>
              </w:rPr>
              <w:t xml:space="preserve"> + FYM, T</w:t>
            </w:r>
            <w:r w:rsidRPr="000768AD">
              <w:rPr>
                <w:rFonts w:ascii="Cambria Math" w:eastAsia="Calibri" w:hAnsi="Cambria Math" w:cs="Cambria Math"/>
                <w:szCs w:val="22"/>
              </w:rPr>
              <w:t>₂</w:t>
            </w:r>
            <w:r w:rsidRPr="000768AD">
              <w:rPr>
                <w:rFonts w:ascii="Arial" w:eastAsia="Calibri" w:hAnsi="Arial" w:cs="Arial"/>
                <w:szCs w:val="22"/>
              </w:rPr>
              <w:t>: AMF + FYM, T</w:t>
            </w:r>
            <w:r w:rsidRPr="006D0A73">
              <w:rPr>
                <w:rFonts w:ascii="Cambria Math" w:eastAsia="Calibri" w:hAnsi="Cambria Math" w:cs="Cambria Math"/>
                <w:i/>
                <w:iCs/>
                <w:szCs w:val="22"/>
              </w:rPr>
              <w:t>₃</w:t>
            </w:r>
            <w:r w:rsidRPr="006D0A73">
              <w:rPr>
                <w:rFonts w:ascii="Arial" w:eastAsia="Calibri" w:hAnsi="Arial" w:cs="Arial"/>
                <w:i/>
                <w:iCs/>
                <w:szCs w:val="22"/>
              </w:rPr>
              <w:t xml:space="preserve">: </w:t>
            </w:r>
            <w:proofErr w:type="spellStart"/>
            <w:r w:rsidRPr="006D0A73">
              <w:rPr>
                <w:rFonts w:ascii="Arial" w:eastAsia="Calibri" w:hAnsi="Arial" w:cs="Arial"/>
                <w:i/>
                <w:iCs/>
                <w:szCs w:val="22"/>
              </w:rPr>
              <w:t>Frateuria</w:t>
            </w:r>
            <w:proofErr w:type="spellEnd"/>
            <w:r w:rsidRPr="000768AD">
              <w:rPr>
                <w:rFonts w:ascii="Arial" w:eastAsia="Calibri" w:hAnsi="Arial" w:cs="Arial"/>
                <w:szCs w:val="22"/>
              </w:rPr>
              <w:t xml:space="preserve"> + FYM), combinations of two biofertilizers with FYM (T</w:t>
            </w:r>
            <w:r w:rsidRPr="000768AD">
              <w:rPr>
                <w:rFonts w:ascii="Cambria Math" w:eastAsia="Calibri" w:hAnsi="Cambria Math" w:cs="Cambria Math"/>
                <w:szCs w:val="22"/>
              </w:rPr>
              <w:t>₄</w:t>
            </w:r>
            <w:r w:rsidRPr="000768AD">
              <w:rPr>
                <w:rFonts w:ascii="Arial" w:eastAsia="Calibri" w:hAnsi="Arial" w:cs="Arial"/>
                <w:szCs w:val="22"/>
              </w:rPr>
              <w:t xml:space="preserve">: </w:t>
            </w:r>
            <w:proofErr w:type="spellStart"/>
            <w:r w:rsidRPr="005C1EFD">
              <w:rPr>
                <w:rFonts w:ascii="Arial" w:eastAsia="Calibri" w:hAnsi="Arial" w:cs="Arial"/>
                <w:i/>
                <w:iCs/>
                <w:szCs w:val="22"/>
              </w:rPr>
              <w:t>Azospirillum</w:t>
            </w:r>
            <w:proofErr w:type="spellEnd"/>
            <w:r w:rsidRPr="000768AD">
              <w:rPr>
                <w:rFonts w:ascii="Arial" w:eastAsia="Calibri" w:hAnsi="Arial" w:cs="Arial"/>
                <w:szCs w:val="22"/>
              </w:rPr>
              <w:t xml:space="preserve"> + AMF + FYM, T</w:t>
            </w:r>
            <w:r w:rsidRPr="000768AD">
              <w:rPr>
                <w:rFonts w:ascii="Cambria Math" w:eastAsia="Calibri" w:hAnsi="Cambria Math" w:cs="Cambria Math"/>
                <w:szCs w:val="22"/>
              </w:rPr>
              <w:t>₅</w:t>
            </w:r>
            <w:r w:rsidRPr="000768AD">
              <w:rPr>
                <w:rFonts w:ascii="Arial" w:eastAsia="Calibri" w:hAnsi="Arial" w:cs="Arial"/>
                <w:szCs w:val="22"/>
              </w:rPr>
              <w:t xml:space="preserve">: </w:t>
            </w:r>
            <w:proofErr w:type="spellStart"/>
            <w:r w:rsidRPr="005C1EFD">
              <w:rPr>
                <w:rFonts w:ascii="Arial" w:eastAsia="Calibri" w:hAnsi="Arial" w:cs="Arial"/>
                <w:i/>
                <w:iCs/>
                <w:szCs w:val="22"/>
              </w:rPr>
              <w:t>Azospirillum</w:t>
            </w:r>
            <w:proofErr w:type="spellEnd"/>
            <w:r w:rsidRPr="000768AD">
              <w:rPr>
                <w:rFonts w:ascii="Arial" w:eastAsia="Calibri" w:hAnsi="Arial" w:cs="Arial"/>
                <w:szCs w:val="22"/>
              </w:rPr>
              <w:t xml:space="preserve"> + </w:t>
            </w:r>
            <w:proofErr w:type="spellStart"/>
            <w:r w:rsidRPr="005C1EFD">
              <w:rPr>
                <w:rFonts w:ascii="Arial" w:eastAsia="Calibri" w:hAnsi="Arial" w:cs="Arial"/>
                <w:i/>
                <w:iCs/>
                <w:szCs w:val="22"/>
              </w:rPr>
              <w:t>Frateuria</w:t>
            </w:r>
            <w:proofErr w:type="spellEnd"/>
            <w:r w:rsidRPr="000768AD">
              <w:rPr>
                <w:rFonts w:ascii="Arial" w:eastAsia="Calibri" w:hAnsi="Arial" w:cs="Arial"/>
                <w:szCs w:val="22"/>
              </w:rPr>
              <w:t xml:space="preserve"> + FYM, T</w:t>
            </w:r>
            <w:r w:rsidRPr="000768AD">
              <w:rPr>
                <w:rFonts w:ascii="Cambria Math" w:eastAsia="Calibri" w:hAnsi="Cambria Math" w:cs="Cambria Math"/>
                <w:szCs w:val="22"/>
              </w:rPr>
              <w:t>₆</w:t>
            </w:r>
            <w:r w:rsidRPr="000768AD">
              <w:rPr>
                <w:rFonts w:ascii="Arial" w:eastAsia="Calibri" w:hAnsi="Arial" w:cs="Arial"/>
                <w:szCs w:val="22"/>
              </w:rPr>
              <w:t xml:space="preserve">: AMF + </w:t>
            </w:r>
            <w:proofErr w:type="spellStart"/>
            <w:r w:rsidRPr="002A6818">
              <w:rPr>
                <w:rFonts w:ascii="Arial" w:eastAsia="Calibri" w:hAnsi="Arial" w:cs="Arial"/>
                <w:i/>
                <w:iCs/>
                <w:szCs w:val="22"/>
              </w:rPr>
              <w:t>Frateuria</w:t>
            </w:r>
            <w:proofErr w:type="spellEnd"/>
            <w:r w:rsidRPr="000768AD">
              <w:rPr>
                <w:rFonts w:ascii="Arial" w:eastAsia="Calibri" w:hAnsi="Arial" w:cs="Arial"/>
                <w:szCs w:val="22"/>
              </w:rPr>
              <w:t xml:space="preserve"> + FYM), all three biofertilizers with FYM (T</w:t>
            </w:r>
            <w:r w:rsidRPr="000768AD">
              <w:rPr>
                <w:rFonts w:ascii="Cambria Math" w:eastAsia="Calibri" w:hAnsi="Cambria Math" w:cs="Cambria Math"/>
                <w:szCs w:val="22"/>
              </w:rPr>
              <w:t>₇</w:t>
            </w:r>
            <w:r w:rsidRPr="000768AD">
              <w:rPr>
                <w:rFonts w:ascii="Arial" w:eastAsia="Calibri" w:hAnsi="Arial" w:cs="Arial"/>
                <w:szCs w:val="22"/>
              </w:rPr>
              <w:t>), and all three biofertilizers with FYM and inorganic fertilizers at half (T</w:t>
            </w:r>
            <w:r w:rsidRPr="000768AD">
              <w:rPr>
                <w:rFonts w:ascii="Cambria Math" w:eastAsia="Calibri" w:hAnsi="Cambria Math" w:cs="Cambria Math"/>
                <w:szCs w:val="22"/>
              </w:rPr>
              <w:t>₈</w:t>
            </w:r>
            <w:r w:rsidRPr="000768AD">
              <w:rPr>
                <w:rFonts w:ascii="Arial" w:eastAsia="Calibri" w:hAnsi="Arial" w:cs="Arial"/>
                <w:szCs w:val="22"/>
              </w:rPr>
              <w:t>) and full (T</w:t>
            </w:r>
            <w:r w:rsidRPr="000768AD">
              <w:rPr>
                <w:rFonts w:ascii="Cambria Math" w:eastAsia="Calibri" w:hAnsi="Cambria Math" w:cs="Cambria Math"/>
                <w:szCs w:val="22"/>
              </w:rPr>
              <w:t>₉</w:t>
            </w:r>
            <w:r w:rsidRPr="000768AD">
              <w:rPr>
                <w:rFonts w:ascii="Arial" w:eastAsia="Calibri" w:hAnsi="Arial" w:cs="Arial"/>
                <w:szCs w:val="22"/>
              </w:rPr>
              <w:t>) recommended doses. A control (T</w:t>
            </w:r>
            <w:r w:rsidRPr="000768AD">
              <w:rPr>
                <w:rFonts w:ascii="Cambria Math" w:eastAsia="Calibri" w:hAnsi="Cambria Math" w:cs="Cambria Math"/>
                <w:szCs w:val="22"/>
              </w:rPr>
              <w:t>₁₀</w:t>
            </w:r>
            <w:r w:rsidRPr="000768AD">
              <w:rPr>
                <w:rFonts w:ascii="Arial" w:eastAsia="Calibri" w:hAnsi="Arial" w:cs="Arial"/>
                <w:szCs w:val="22"/>
              </w:rPr>
              <w:t>) was maintained as per the Kerala Agricultural University Package of Practices. The experiment was laid out with three replications.</w:t>
            </w:r>
          </w:p>
          <w:p w14:paraId="01BAA71E" w14:textId="77777777" w:rsidR="00D51752" w:rsidRDefault="00D51752" w:rsidP="00DD7D6E">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0768AD">
              <w:rPr>
                <w:rFonts w:ascii="Arial" w:eastAsia="Calibri" w:hAnsi="Arial" w:cs="Arial"/>
                <w:szCs w:val="22"/>
              </w:rPr>
              <w:t>Integrated application of FYM, full recommended dose of inorganic fertilizers, and biofertilizers (T</w:t>
            </w:r>
            <w:r w:rsidRPr="000768AD">
              <w:rPr>
                <w:rFonts w:ascii="Cambria Math" w:eastAsia="Calibri" w:hAnsi="Cambria Math" w:cs="Cambria Math"/>
                <w:szCs w:val="22"/>
              </w:rPr>
              <w:t>₉</w:t>
            </w:r>
            <w:r w:rsidRPr="000768AD">
              <w:rPr>
                <w:rFonts w:ascii="Arial" w:eastAsia="Calibri" w:hAnsi="Arial" w:cs="Arial"/>
                <w:szCs w:val="22"/>
              </w:rPr>
              <w:t>) significantly improved vegetative growth and yield of tomato. Treatment T</w:t>
            </w:r>
            <w:r w:rsidRPr="000768AD">
              <w:rPr>
                <w:rFonts w:ascii="Cambria Math" w:eastAsia="Calibri" w:hAnsi="Cambria Math" w:cs="Cambria Math"/>
                <w:szCs w:val="22"/>
              </w:rPr>
              <w:t>₉</w:t>
            </w:r>
            <w:r w:rsidRPr="000768AD">
              <w:rPr>
                <w:rFonts w:ascii="Arial" w:eastAsia="Calibri" w:hAnsi="Arial" w:cs="Arial"/>
                <w:szCs w:val="22"/>
              </w:rPr>
              <w:t xml:space="preserve"> recorded the highest plant height, number of leaves, number of fruits per plant (28.16), fruit yield per plant (814.70 g), total fruit yield (20.81 t ha</w:t>
            </w:r>
            <w:r w:rsidRPr="000768AD">
              <w:rPr>
                <w:rFonts w:ascii="Cambria Math" w:eastAsia="Calibri" w:hAnsi="Cambria Math" w:cs="Cambria Math"/>
                <w:szCs w:val="22"/>
              </w:rPr>
              <w:t>⁻</w:t>
            </w:r>
            <w:r w:rsidRPr="000768AD">
              <w:rPr>
                <w:rFonts w:ascii="Arial" w:eastAsia="Calibri" w:hAnsi="Arial" w:cs="Arial"/>
                <w:szCs w:val="22"/>
              </w:rPr>
              <w:t>¹), and total soluble solids. Superior fruit physical traits, including fruit weight (34.15 g), fruit volume (38.20 cm³), and fruit girth (15.31 cm), were observed in T</w:t>
            </w:r>
            <w:r w:rsidRPr="000768AD">
              <w:rPr>
                <w:rFonts w:ascii="Cambria Math" w:eastAsia="Calibri" w:hAnsi="Cambria Math" w:cs="Cambria Math"/>
                <w:szCs w:val="22"/>
              </w:rPr>
              <w:t>₇</w:t>
            </w:r>
            <w:r w:rsidRPr="000768AD">
              <w:rPr>
                <w:rFonts w:ascii="Arial" w:eastAsia="Calibri" w:hAnsi="Arial" w:cs="Arial"/>
                <w:szCs w:val="22"/>
              </w:rPr>
              <w:t>. The highest vitamin C content (24.66 mg 100 g</w:t>
            </w:r>
            <w:r w:rsidRPr="000768AD">
              <w:rPr>
                <w:rFonts w:ascii="Cambria Math" w:eastAsia="Calibri" w:hAnsi="Cambria Math" w:cs="Cambria Math"/>
                <w:szCs w:val="22"/>
              </w:rPr>
              <w:t>⁻</w:t>
            </w:r>
            <w:r w:rsidRPr="000768AD">
              <w:rPr>
                <w:rFonts w:ascii="Arial" w:eastAsia="Calibri" w:hAnsi="Arial" w:cs="Arial"/>
                <w:szCs w:val="22"/>
              </w:rPr>
              <w:t>¹) was also recorded in T</w:t>
            </w:r>
            <w:r w:rsidRPr="000768AD">
              <w:rPr>
                <w:rFonts w:ascii="Cambria Math" w:eastAsia="Calibri" w:hAnsi="Cambria Math" w:cs="Cambria Math"/>
                <w:szCs w:val="22"/>
              </w:rPr>
              <w:t>₇</w:t>
            </w:r>
            <w:r w:rsidRPr="000768AD">
              <w:rPr>
                <w:rFonts w:ascii="Arial" w:eastAsia="Calibri" w:hAnsi="Arial" w:cs="Arial"/>
                <w:szCs w:val="22"/>
              </w:rPr>
              <w:t>.</w:t>
            </w:r>
          </w:p>
          <w:p w14:paraId="70A9C8D7" w14:textId="77777777" w:rsidR="00D51752" w:rsidRPr="00BA1B01" w:rsidRDefault="00D51752" w:rsidP="00DD7D6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0768AD">
              <w:rPr>
                <w:rFonts w:ascii="Arial" w:eastAsia="Calibri" w:hAnsi="Arial" w:cs="Arial"/>
                <w:szCs w:val="22"/>
              </w:rPr>
              <w:t>Biofertilizer application improved growth, yield, and quality of tomato. FYM combined with biofertilizers and full recommended NPK was most effective, while FYM and biofertilizers with 50% NPK indicated the possibility of reducing chemical fertilizer use without yield loss.</w:t>
            </w:r>
          </w:p>
        </w:tc>
      </w:tr>
    </w:tbl>
    <w:p w14:paraId="36E5FE49" w14:textId="77777777" w:rsidR="00D51752" w:rsidRDefault="00D51752" w:rsidP="00D51752">
      <w:pPr>
        <w:pStyle w:val="Body"/>
        <w:spacing w:after="0"/>
        <w:rPr>
          <w:rFonts w:ascii="Arial" w:hAnsi="Arial" w:cs="Arial"/>
          <w:i/>
        </w:rPr>
      </w:pPr>
    </w:p>
    <w:p w14:paraId="30590F16" w14:textId="77777777" w:rsidR="00D51752" w:rsidRDefault="00D51752" w:rsidP="00D51752">
      <w:pPr>
        <w:pStyle w:val="Body"/>
        <w:spacing w:after="0"/>
        <w:rPr>
          <w:rFonts w:ascii="Arial" w:hAnsi="Arial" w:cs="Arial"/>
          <w:i/>
        </w:rPr>
      </w:pPr>
      <w:r>
        <w:rPr>
          <w:rFonts w:ascii="Arial" w:hAnsi="Arial" w:cs="Arial"/>
          <w:i/>
        </w:rPr>
        <w:t xml:space="preserve">Keywords: Tomato, biofertilizer, integrated nutrient management, </w:t>
      </w:r>
      <w:proofErr w:type="spellStart"/>
      <w:r>
        <w:rPr>
          <w:rFonts w:ascii="Arial" w:hAnsi="Arial" w:cs="Arial"/>
          <w:i/>
        </w:rPr>
        <w:t>Azospirillum</w:t>
      </w:r>
      <w:proofErr w:type="spellEnd"/>
      <w:r>
        <w:rPr>
          <w:rFonts w:ascii="Arial" w:hAnsi="Arial" w:cs="Arial"/>
          <w:i/>
        </w:rPr>
        <w:t xml:space="preserve">, AMF and </w:t>
      </w:r>
      <w:proofErr w:type="spellStart"/>
      <w:r>
        <w:rPr>
          <w:rFonts w:ascii="Arial" w:hAnsi="Arial" w:cs="Arial"/>
          <w:i/>
        </w:rPr>
        <w:t>Frateuria</w:t>
      </w:r>
      <w:proofErr w:type="spellEnd"/>
    </w:p>
    <w:p w14:paraId="63A48D4A" w14:textId="77777777" w:rsidR="00D51752" w:rsidRDefault="00D51752" w:rsidP="00D51752">
      <w:pPr>
        <w:pStyle w:val="Body"/>
        <w:spacing w:after="0"/>
        <w:rPr>
          <w:rFonts w:ascii="Arial" w:hAnsi="Arial" w:cs="Arial"/>
          <w:i/>
        </w:rPr>
      </w:pPr>
    </w:p>
    <w:p w14:paraId="3ACD48F8" w14:textId="77777777" w:rsidR="00D51752" w:rsidRDefault="00D51752" w:rsidP="00D5175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07519F3" w14:textId="77777777" w:rsidR="00D51752" w:rsidRPr="00FB3A86" w:rsidRDefault="00D51752" w:rsidP="00D51752">
      <w:pPr>
        <w:pStyle w:val="AbstHead"/>
        <w:spacing w:after="0"/>
        <w:jc w:val="both"/>
        <w:rPr>
          <w:rFonts w:ascii="Arial" w:hAnsi="Arial" w:cs="Arial"/>
        </w:rPr>
      </w:pPr>
    </w:p>
    <w:p w14:paraId="57716088" w14:textId="77777777" w:rsidR="00D51752" w:rsidRDefault="00D51752" w:rsidP="00D51752">
      <w:pPr>
        <w:pStyle w:val="Body"/>
        <w:rPr>
          <w:rFonts w:ascii="Arial" w:hAnsi="Arial" w:cs="Arial"/>
        </w:rPr>
        <w:sectPr w:rsidR="00D51752" w:rsidSect="00D51752">
          <w:headerReference w:type="even" r:id="rId10"/>
          <w:headerReference w:type="default" r:id="rId11"/>
          <w:footerReference w:type="default" r:id="rId12"/>
          <w:headerReference w:type="first" r:id="rId13"/>
          <w:type w:val="continuous"/>
          <w:pgSz w:w="12240" w:h="15840"/>
          <w:pgMar w:top="1440" w:right="2016" w:bottom="2016" w:left="2016" w:header="720" w:footer="1123" w:gutter="0"/>
          <w:cols w:space="720"/>
          <w:docGrid w:linePitch="272"/>
        </w:sectPr>
      </w:pPr>
    </w:p>
    <w:p w14:paraId="339138EB" w14:textId="2362FCC0" w:rsidR="00D51752" w:rsidRPr="00D04D1C" w:rsidRDefault="00D51752" w:rsidP="00D51752">
      <w:pPr>
        <w:pStyle w:val="Body"/>
        <w:rPr>
          <w:rFonts w:ascii="Arial" w:hAnsi="Arial" w:cs="Arial"/>
        </w:rPr>
      </w:pPr>
      <w:r w:rsidRPr="00D04D1C">
        <w:rPr>
          <w:rFonts w:ascii="Arial" w:hAnsi="Arial" w:cs="Arial"/>
        </w:rPr>
        <w:t xml:space="preserve">Vegetables play a vital role in ensuring nutritional security by providing essential vitamins, minerals, dietary </w:t>
      </w:r>
      <w:proofErr w:type="spellStart"/>
      <w:r w:rsidRPr="00D04D1C">
        <w:rPr>
          <w:rFonts w:ascii="Arial" w:hAnsi="Arial" w:cs="Arial"/>
        </w:rPr>
        <w:t>fibre</w:t>
      </w:r>
      <w:proofErr w:type="spellEnd"/>
      <w:r w:rsidRPr="00D04D1C">
        <w:rPr>
          <w:rFonts w:ascii="Arial" w:hAnsi="Arial" w:cs="Arial"/>
        </w:rPr>
        <w:t>, and antioxidants required for human health. In India, vegetable cultivation contributes significantly to food security, income generation, and employment, particularly for small and marginal farmers. Tomato (</w:t>
      </w:r>
      <w:r w:rsidRPr="00D04D1C">
        <w:rPr>
          <w:rFonts w:ascii="Arial" w:hAnsi="Arial" w:cs="Arial"/>
          <w:i/>
          <w:iCs/>
        </w:rPr>
        <w:t xml:space="preserve">Solanum </w:t>
      </w:r>
      <w:proofErr w:type="spellStart"/>
      <w:r w:rsidRPr="00D04D1C">
        <w:rPr>
          <w:rFonts w:ascii="Arial" w:hAnsi="Arial" w:cs="Arial"/>
          <w:i/>
          <w:iCs/>
        </w:rPr>
        <w:t>lycopersicum</w:t>
      </w:r>
      <w:proofErr w:type="spellEnd"/>
      <w:r w:rsidRPr="00D04D1C">
        <w:rPr>
          <w:rFonts w:ascii="Arial" w:hAnsi="Arial" w:cs="Arial"/>
        </w:rPr>
        <w:t xml:space="preserve"> L.) is one of the </w:t>
      </w:r>
      <w:r w:rsidRPr="00D04D1C">
        <w:rPr>
          <w:rFonts w:ascii="Arial" w:hAnsi="Arial" w:cs="Arial"/>
        </w:rPr>
        <w:lastRenderedPageBreak/>
        <w:t>most important vegetable crops grown throughout the country due to its wide adaptability, high productivity, and diverse uses in fresh consumption as well as in processing industries. It is an unavoidable vegetable in Indian kitchens and nutrition gardens, owing to its regular use in daily cooking and its nutritional richness. Tomato is a rich source of vitamins A and C, lycopene, and minerals, and occupies an important place in the daily diet of the Indian population (</w:t>
      </w:r>
      <w:r w:rsidRPr="00281EFD">
        <w:rPr>
          <w:rFonts w:ascii="Arial" w:hAnsi="Arial" w:cs="Arial"/>
          <w:color w:val="EE0000"/>
        </w:rPr>
        <w:t>Kalloo and Banerjee, 2013</w:t>
      </w:r>
      <w:r w:rsidRPr="00D04D1C">
        <w:rPr>
          <w:rFonts w:ascii="Arial" w:hAnsi="Arial" w:cs="Arial"/>
        </w:rPr>
        <w:t>).</w:t>
      </w:r>
      <w:r w:rsidR="00281EFD">
        <w:rPr>
          <w:rFonts w:ascii="Arial" w:hAnsi="Arial" w:cs="Arial"/>
        </w:rPr>
        <w:t xml:space="preserve"> </w:t>
      </w:r>
      <w:r w:rsidR="00281EFD" w:rsidRPr="00281EFD">
        <w:rPr>
          <w:rFonts w:ascii="Arial" w:hAnsi="Arial" w:cs="Arial"/>
          <w:color w:val="EE0000"/>
        </w:rPr>
        <w:t>– No reference in references</w:t>
      </w:r>
    </w:p>
    <w:p w14:paraId="65415E58" w14:textId="77777777" w:rsidR="00D51752" w:rsidRPr="00D04D1C" w:rsidRDefault="00D51752" w:rsidP="00D51752">
      <w:pPr>
        <w:pStyle w:val="Body"/>
        <w:rPr>
          <w:rFonts w:ascii="Arial" w:hAnsi="Arial" w:cs="Arial"/>
        </w:rPr>
      </w:pPr>
      <w:r>
        <w:rPr>
          <w:rFonts w:ascii="Arial" w:hAnsi="Arial" w:cs="Arial"/>
        </w:rPr>
        <w:t>F</w:t>
      </w:r>
      <w:r w:rsidRPr="00D04D1C">
        <w:rPr>
          <w:rFonts w:ascii="Arial" w:hAnsi="Arial" w:cs="Arial"/>
        </w:rPr>
        <w:t>armers often rely heavily on chemical fertilizers to maximize</w:t>
      </w:r>
      <w:r>
        <w:rPr>
          <w:rFonts w:ascii="Arial" w:hAnsi="Arial" w:cs="Arial"/>
        </w:rPr>
        <w:t xml:space="preserve"> the</w:t>
      </w:r>
      <w:r w:rsidRPr="00D04D1C">
        <w:rPr>
          <w:rFonts w:ascii="Arial" w:hAnsi="Arial" w:cs="Arial"/>
        </w:rPr>
        <w:t xml:space="preserve"> </w:t>
      </w:r>
      <w:r w:rsidRPr="009A2973">
        <w:rPr>
          <w:rFonts w:ascii="Arial" w:hAnsi="Arial" w:cs="Arial"/>
        </w:rPr>
        <w:t xml:space="preserve">tomato </w:t>
      </w:r>
      <w:r w:rsidRPr="00D04D1C">
        <w:rPr>
          <w:rFonts w:ascii="Arial" w:hAnsi="Arial" w:cs="Arial"/>
        </w:rPr>
        <w:t xml:space="preserve">yield </w:t>
      </w:r>
      <w:r>
        <w:rPr>
          <w:rFonts w:ascii="Arial" w:hAnsi="Arial" w:cs="Arial"/>
        </w:rPr>
        <w:t>for</w:t>
      </w:r>
      <w:r w:rsidRPr="00D04D1C">
        <w:rPr>
          <w:rFonts w:ascii="Arial" w:hAnsi="Arial" w:cs="Arial"/>
        </w:rPr>
        <w:t xml:space="preserve"> meet</w:t>
      </w:r>
      <w:r>
        <w:rPr>
          <w:rFonts w:ascii="Arial" w:hAnsi="Arial" w:cs="Arial"/>
        </w:rPr>
        <w:t xml:space="preserve">ing </w:t>
      </w:r>
      <w:r w:rsidRPr="00D04D1C">
        <w:rPr>
          <w:rFonts w:ascii="Arial" w:hAnsi="Arial" w:cs="Arial"/>
        </w:rPr>
        <w:t>the increas</w:t>
      </w:r>
      <w:r>
        <w:rPr>
          <w:rFonts w:ascii="Arial" w:hAnsi="Arial" w:cs="Arial"/>
        </w:rPr>
        <w:t>ed</w:t>
      </w:r>
      <w:r w:rsidRPr="00D04D1C">
        <w:rPr>
          <w:rFonts w:ascii="Arial" w:hAnsi="Arial" w:cs="Arial"/>
        </w:rPr>
        <w:t xml:space="preserve"> demand for. Although chemical fertilizers have played a key role in enhancing crop productivity, their indiscriminate and continuous use has led to several adverse effects, including a decline in soil organic matter, nutrient imbalance, reduced soil microbial activity, and environmental pollution. Under the present agricultural scenario, there is a growing need for an evergreen revolution that ensures sustained productivity without degrading natural resources. Integrated Nutrient Management (INM), which involves the combined use of organic manures, biofertilizers, and inorganic fertilizers, has emerged as a sustainable approach to address these challenges. The judicious integration of these components, along with reduced or recommended doses of chemical fertilizers, can improve nutrient use efficiency and sustain crop yields.</w:t>
      </w:r>
    </w:p>
    <w:p w14:paraId="17CD410B" w14:textId="203AA59B" w:rsidR="00D51752" w:rsidRPr="00D04D1C" w:rsidRDefault="00D51752" w:rsidP="00D51752">
      <w:pPr>
        <w:pStyle w:val="Body"/>
        <w:rPr>
          <w:rFonts w:ascii="Arial" w:hAnsi="Arial" w:cs="Arial"/>
        </w:rPr>
      </w:pPr>
      <w:r w:rsidRPr="00D04D1C">
        <w:rPr>
          <w:rFonts w:ascii="Arial" w:hAnsi="Arial" w:cs="Arial"/>
        </w:rPr>
        <w:t xml:space="preserve">Biofertilizers such as </w:t>
      </w:r>
      <w:proofErr w:type="spellStart"/>
      <w:r w:rsidRPr="00D04D1C">
        <w:rPr>
          <w:rFonts w:ascii="Arial" w:hAnsi="Arial" w:cs="Arial"/>
          <w:i/>
          <w:iCs/>
        </w:rPr>
        <w:t>Azospirillum</w:t>
      </w:r>
      <w:proofErr w:type="spellEnd"/>
      <w:r w:rsidRPr="00D04D1C">
        <w:rPr>
          <w:rFonts w:ascii="Arial" w:hAnsi="Arial" w:cs="Arial"/>
          <w:i/>
          <w:iCs/>
        </w:rPr>
        <w:t>,</w:t>
      </w:r>
      <w:r w:rsidRPr="00D04D1C">
        <w:rPr>
          <w:rFonts w:ascii="Arial" w:hAnsi="Arial" w:cs="Arial"/>
        </w:rPr>
        <w:t xml:space="preserve"> Arbuscular Mycorrhizal Fungi (AMF), and </w:t>
      </w:r>
      <w:proofErr w:type="spellStart"/>
      <w:r w:rsidRPr="00D04D1C">
        <w:rPr>
          <w:rFonts w:ascii="Arial" w:hAnsi="Arial" w:cs="Arial"/>
          <w:i/>
          <w:iCs/>
        </w:rPr>
        <w:t>Frateuria</w:t>
      </w:r>
      <w:proofErr w:type="spellEnd"/>
      <w:r w:rsidRPr="00D04D1C">
        <w:rPr>
          <w:rFonts w:ascii="Arial" w:hAnsi="Arial" w:cs="Arial"/>
          <w:i/>
          <w:iCs/>
        </w:rPr>
        <w:t xml:space="preserve"> aurantia </w:t>
      </w:r>
      <w:r w:rsidRPr="00D04D1C">
        <w:rPr>
          <w:rFonts w:ascii="Arial" w:hAnsi="Arial" w:cs="Arial"/>
        </w:rPr>
        <w:t xml:space="preserve">play distinct and complementary roles in plant nutrition. </w:t>
      </w:r>
      <w:proofErr w:type="spellStart"/>
      <w:r w:rsidRPr="00D04D1C">
        <w:rPr>
          <w:rFonts w:ascii="Arial" w:hAnsi="Arial" w:cs="Arial"/>
          <w:i/>
          <w:iCs/>
        </w:rPr>
        <w:t>Azospirillum</w:t>
      </w:r>
      <w:proofErr w:type="spellEnd"/>
      <w:r w:rsidRPr="00D04D1C">
        <w:rPr>
          <w:rFonts w:ascii="Arial" w:hAnsi="Arial" w:cs="Arial"/>
        </w:rPr>
        <w:t xml:space="preserve"> fixes atmospheric nitrogen and promotes root growth, AMF enhances the uptake of phosphorus and micronutrients, and </w:t>
      </w:r>
      <w:proofErr w:type="spellStart"/>
      <w:r w:rsidRPr="005113C0">
        <w:rPr>
          <w:rFonts w:ascii="Arial" w:hAnsi="Arial" w:cs="Arial"/>
          <w:i/>
          <w:iCs/>
        </w:rPr>
        <w:t>Frateuria</w:t>
      </w:r>
      <w:proofErr w:type="spellEnd"/>
      <w:r w:rsidRPr="00D04D1C">
        <w:rPr>
          <w:rFonts w:ascii="Arial" w:hAnsi="Arial" w:cs="Arial"/>
        </w:rPr>
        <w:t xml:space="preserve"> solubilizes potassium in the soil. Their combined application has the potential to improve growth, yield, and quality of tomato while reducing dependence on chemical fertilizers. The integrated use of organic manures and biofertilizers with chemical fertilizers has been reported to improve soil fertility and crop productivity. Studies have shown that the combined application of FYM, biofertilizers, and inorganic fertilizers results in higher yields and </w:t>
      </w:r>
      <w:proofErr w:type="gramStart"/>
      <w:r w:rsidRPr="00D04D1C">
        <w:rPr>
          <w:rFonts w:ascii="Arial" w:hAnsi="Arial" w:cs="Arial"/>
        </w:rPr>
        <w:t>better</w:t>
      </w:r>
      <w:r>
        <w:rPr>
          <w:rFonts w:ascii="Arial" w:hAnsi="Arial" w:cs="Arial"/>
        </w:rPr>
        <w:t xml:space="preserve"> </w:t>
      </w:r>
      <w:r w:rsidRPr="00D04D1C">
        <w:rPr>
          <w:rFonts w:ascii="Arial" w:hAnsi="Arial" w:cs="Arial"/>
        </w:rPr>
        <w:t>quality</w:t>
      </w:r>
      <w:proofErr w:type="gramEnd"/>
      <w:r w:rsidRPr="00D04D1C">
        <w:rPr>
          <w:rFonts w:ascii="Arial" w:hAnsi="Arial" w:cs="Arial"/>
        </w:rPr>
        <w:t xml:space="preserve"> attribute in tomato compared to the sole application of chemical fertilizers (</w:t>
      </w:r>
      <w:proofErr w:type="spellStart"/>
      <w:r w:rsidRPr="00D04D1C">
        <w:rPr>
          <w:rFonts w:ascii="Arial" w:hAnsi="Arial" w:cs="Arial"/>
        </w:rPr>
        <w:t>Mahanty</w:t>
      </w:r>
      <w:proofErr w:type="spellEnd"/>
      <w:r w:rsidRPr="00D04D1C">
        <w:rPr>
          <w:rFonts w:ascii="Arial" w:hAnsi="Arial" w:cs="Arial"/>
        </w:rPr>
        <w:t xml:space="preserve"> </w:t>
      </w:r>
      <w:r w:rsidRPr="009A2973">
        <w:rPr>
          <w:rFonts w:ascii="Arial" w:hAnsi="Arial" w:cs="Arial"/>
          <w:i/>
          <w:iCs/>
        </w:rPr>
        <w:t>et al</w:t>
      </w:r>
      <w:r w:rsidRPr="00D04D1C">
        <w:rPr>
          <w:rFonts w:ascii="Arial" w:hAnsi="Arial" w:cs="Arial"/>
        </w:rPr>
        <w:t>., 2017).</w:t>
      </w:r>
    </w:p>
    <w:p w14:paraId="38450C20" w14:textId="77777777" w:rsidR="00D51752" w:rsidRDefault="00D51752" w:rsidP="00D51752">
      <w:pPr>
        <w:pStyle w:val="Body"/>
        <w:spacing w:after="0"/>
        <w:rPr>
          <w:rFonts w:ascii="Arial" w:hAnsi="Arial" w:cs="Arial"/>
        </w:rPr>
      </w:pPr>
      <w:r w:rsidRPr="00D04D1C">
        <w:rPr>
          <w:rFonts w:ascii="Arial" w:hAnsi="Arial" w:cs="Arial"/>
        </w:rPr>
        <w:t xml:space="preserve">However, the response of tomato to different combinations of biofertilizers and fertilizer levels varies with location, soil type, and management practices, highlighting the need for location-specific studies. In this context, the present study evaluates the effect of individual and combined application of </w:t>
      </w:r>
      <w:proofErr w:type="spellStart"/>
      <w:r w:rsidRPr="00D04D1C">
        <w:rPr>
          <w:rFonts w:ascii="Arial" w:hAnsi="Arial" w:cs="Arial"/>
          <w:i/>
          <w:iCs/>
        </w:rPr>
        <w:t>Azospirillum</w:t>
      </w:r>
      <w:proofErr w:type="spellEnd"/>
      <w:r w:rsidRPr="00D04D1C">
        <w:rPr>
          <w:rFonts w:ascii="Arial" w:hAnsi="Arial" w:cs="Arial"/>
        </w:rPr>
        <w:t xml:space="preserve">, AMF, and </w:t>
      </w:r>
      <w:proofErr w:type="spellStart"/>
      <w:r w:rsidRPr="00D04D1C">
        <w:rPr>
          <w:rFonts w:ascii="Arial" w:hAnsi="Arial" w:cs="Arial"/>
          <w:i/>
          <w:iCs/>
        </w:rPr>
        <w:t>Frateuria</w:t>
      </w:r>
      <w:proofErr w:type="spellEnd"/>
      <w:r w:rsidRPr="00D04D1C">
        <w:rPr>
          <w:rFonts w:ascii="Arial" w:hAnsi="Arial" w:cs="Arial"/>
          <w:i/>
          <w:iCs/>
        </w:rPr>
        <w:t xml:space="preserve"> aurantia</w:t>
      </w:r>
      <w:r w:rsidRPr="00D04D1C">
        <w:rPr>
          <w:rFonts w:ascii="Arial" w:hAnsi="Arial" w:cs="Arial"/>
        </w:rPr>
        <w:t xml:space="preserve"> along with FYM, with and without inorganic fertilizers, on the growth, yield, and quality of tomato. The study aims to generate scientific data on the effectiveness of these biofertilizers under Kerala conditions and to assess the possibility of reducing chemical fertilizer inputs without compromising crop performance.</w:t>
      </w:r>
    </w:p>
    <w:p w14:paraId="4BEF0C41" w14:textId="77777777" w:rsidR="00D51752" w:rsidRPr="00FB3A86" w:rsidRDefault="00D51752" w:rsidP="00D51752">
      <w:pPr>
        <w:pStyle w:val="Body"/>
        <w:spacing w:after="0"/>
        <w:rPr>
          <w:rFonts w:ascii="Arial" w:hAnsi="Arial" w:cs="Arial"/>
        </w:rPr>
      </w:pPr>
    </w:p>
    <w:p w14:paraId="2CB5F148" w14:textId="77777777" w:rsidR="00D51752" w:rsidRDefault="00D51752" w:rsidP="00D51752">
      <w:pPr>
        <w:pStyle w:val="AbstHead"/>
        <w:spacing w:after="0"/>
        <w:jc w:val="both"/>
        <w:rPr>
          <w:rFonts w:ascii="Arial" w:hAnsi="Arial" w:cs="Arial"/>
        </w:rPr>
      </w:pPr>
      <w:r>
        <w:rPr>
          <w:rFonts w:ascii="Arial" w:hAnsi="Arial" w:cs="Arial"/>
        </w:rPr>
        <w:t xml:space="preserve">2. material and methods </w:t>
      </w:r>
    </w:p>
    <w:p w14:paraId="5AF61E90" w14:textId="77777777" w:rsidR="00D51752" w:rsidRPr="00FB3A86" w:rsidRDefault="00D51752" w:rsidP="00D51752">
      <w:pPr>
        <w:pStyle w:val="AbstHead"/>
        <w:spacing w:after="0"/>
        <w:jc w:val="both"/>
        <w:rPr>
          <w:rFonts w:ascii="Arial" w:hAnsi="Arial" w:cs="Arial"/>
        </w:rPr>
      </w:pPr>
    </w:p>
    <w:p w14:paraId="2EFF5820" w14:textId="2CBEE49F" w:rsidR="00D51752" w:rsidRPr="00F668A2" w:rsidRDefault="00D51752" w:rsidP="00D51752">
      <w:pPr>
        <w:pStyle w:val="Body"/>
        <w:rPr>
          <w:rFonts w:ascii="Arial" w:hAnsi="Arial" w:cs="Arial"/>
        </w:rPr>
      </w:pPr>
      <w:r w:rsidRPr="00F668A2">
        <w:rPr>
          <w:rFonts w:ascii="Arial" w:hAnsi="Arial" w:cs="Arial"/>
        </w:rPr>
        <w:t xml:space="preserve">The experiment was conducted at the research farm of Department of vegetable science, College of Agriculture under Kerala Agricultural University located at Vellanikkara, Thrissur. The research field is located at an altitude of 22.25 m above MSL at 10⁰ 32’N latitude and 76⁰ 16’E longitude. The soil at this location is classified as a well-drained laterite. Anagha, a bacterial wilt and crack resistant variety of tomato developed by Kerala Agricultural University was selected for the study. Three biofertilizers, viz. </w:t>
      </w:r>
      <w:proofErr w:type="spellStart"/>
      <w:r w:rsidRPr="00514BB6">
        <w:rPr>
          <w:rFonts w:ascii="Arial" w:hAnsi="Arial" w:cs="Arial"/>
          <w:i/>
          <w:iCs/>
        </w:rPr>
        <w:t>Azospirillum</w:t>
      </w:r>
      <w:proofErr w:type="spellEnd"/>
      <w:r w:rsidRPr="00F668A2">
        <w:rPr>
          <w:rFonts w:ascii="Arial" w:hAnsi="Arial" w:cs="Arial"/>
        </w:rPr>
        <w:t xml:space="preserve">, AMF and </w:t>
      </w:r>
      <w:proofErr w:type="spellStart"/>
      <w:r w:rsidRPr="005113C0">
        <w:rPr>
          <w:rFonts w:ascii="Arial" w:hAnsi="Arial" w:cs="Arial"/>
          <w:i/>
          <w:iCs/>
        </w:rPr>
        <w:t>Frateuria</w:t>
      </w:r>
      <w:proofErr w:type="spellEnd"/>
      <w:r w:rsidRPr="00F668A2">
        <w:rPr>
          <w:rFonts w:ascii="Arial" w:hAnsi="Arial" w:cs="Arial"/>
        </w:rPr>
        <w:t xml:space="preserve"> were used at different combinations along with farm yard manure (FYM) and with or without chemical fertilizers constituted different treatments. Commercial talc formulation of </w:t>
      </w:r>
      <w:proofErr w:type="spellStart"/>
      <w:r w:rsidRPr="00514BB6">
        <w:rPr>
          <w:rFonts w:ascii="Arial" w:hAnsi="Arial" w:cs="Arial"/>
          <w:i/>
          <w:iCs/>
        </w:rPr>
        <w:t>Azospirillum</w:t>
      </w:r>
      <w:proofErr w:type="spellEnd"/>
      <w:r w:rsidRPr="00F668A2">
        <w:rPr>
          <w:rFonts w:ascii="Arial" w:hAnsi="Arial" w:cs="Arial"/>
        </w:rPr>
        <w:t xml:space="preserve"> and </w:t>
      </w:r>
      <w:proofErr w:type="gramStart"/>
      <w:r w:rsidRPr="00F668A2">
        <w:rPr>
          <w:rFonts w:ascii="Arial" w:hAnsi="Arial" w:cs="Arial"/>
        </w:rPr>
        <w:t>soil based</w:t>
      </w:r>
      <w:proofErr w:type="gramEnd"/>
      <w:r w:rsidRPr="00F668A2">
        <w:rPr>
          <w:rFonts w:ascii="Arial" w:hAnsi="Arial" w:cs="Arial"/>
        </w:rPr>
        <w:t xml:space="preserve"> formulation of AMF </w:t>
      </w:r>
      <w:proofErr w:type="gramStart"/>
      <w:r w:rsidRPr="00F668A2">
        <w:rPr>
          <w:rFonts w:ascii="Arial" w:hAnsi="Arial" w:cs="Arial"/>
        </w:rPr>
        <w:t>were</w:t>
      </w:r>
      <w:proofErr w:type="gramEnd"/>
      <w:r w:rsidRPr="00F668A2">
        <w:rPr>
          <w:rFonts w:ascii="Arial" w:hAnsi="Arial" w:cs="Arial"/>
        </w:rPr>
        <w:t xml:space="preserve"> purchased from College of Agriculture, </w:t>
      </w:r>
      <w:proofErr w:type="spellStart"/>
      <w:r w:rsidRPr="00F668A2">
        <w:rPr>
          <w:rFonts w:ascii="Arial" w:hAnsi="Arial" w:cs="Arial"/>
        </w:rPr>
        <w:t>Vellayani</w:t>
      </w:r>
      <w:proofErr w:type="spellEnd"/>
      <w:r w:rsidRPr="00F668A2">
        <w:rPr>
          <w:rFonts w:ascii="Arial" w:hAnsi="Arial" w:cs="Arial"/>
        </w:rPr>
        <w:t xml:space="preserve">. Liquid formulation of potassium mobilizer, </w:t>
      </w:r>
      <w:proofErr w:type="spellStart"/>
      <w:r w:rsidRPr="00514BB6">
        <w:rPr>
          <w:rFonts w:ascii="Arial" w:hAnsi="Arial" w:cs="Arial"/>
          <w:i/>
          <w:iCs/>
        </w:rPr>
        <w:t>Frateuria</w:t>
      </w:r>
      <w:proofErr w:type="spellEnd"/>
      <w:r w:rsidRPr="00514BB6">
        <w:rPr>
          <w:rFonts w:ascii="Arial" w:hAnsi="Arial" w:cs="Arial"/>
          <w:i/>
          <w:iCs/>
        </w:rPr>
        <w:t xml:space="preserve"> aurantia</w:t>
      </w:r>
      <w:r w:rsidRPr="00F668A2">
        <w:rPr>
          <w:rFonts w:ascii="Arial" w:hAnsi="Arial" w:cs="Arial"/>
        </w:rPr>
        <w:t xml:space="preserve"> commercially known as </w:t>
      </w:r>
      <w:proofErr w:type="spellStart"/>
      <w:r w:rsidRPr="00F668A2">
        <w:rPr>
          <w:rFonts w:ascii="Arial" w:hAnsi="Arial" w:cs="Arial"/>
        </w:rPr>
        <w:t>Symbion</w:t>
      </w:r>
      <w:proofErr w:type="spellEnd"/>
      <w:r w:rsidRPr="00F668A2">
        <w:rPr>
          <w:rFonts w:ascii="Arial" w:hAnsi="Arial" w:cs="Arial"/>
        </w:rPr>
        <w:t xml:space="preserve">-K was obtained from T. </w:t>
      </w:r>
      <w:proofErr w:type="spellStart"/>
      <w:r w:rsidRPr="00F668A2">
        <w:rPr>
          <w:rFonts w:ascii="Arial" w:hAnsi="Arial" w:cs="Arial"/>
        </w:rPr>
        <w:t>Stanes</w:t>
      </w:r>
      <w:proofErr w:type="spellEnd"/>
      <w:r w:rsidRPr="00F668A2">
        <w:rPr>
          <w:rFonts w:ascii="Arial" w:hAnsi="Arial" w:cs="Arial"/>
        </w:rPr>
        <w:t xml:space="preserve"> and Company, </w:t>
      </w:r>
      <w:r w:rsidRPr="006A7F41">
        <w:rPr>
          <w:rFonts w:ascii="Arial" w:hAnsi="Arial" w:cs="Arial"/>
          <w:color w:val="EE0000"/>
        </w:rPr>
        <w:t>Coim</w:t>
      </w:r>
      <w:r w:rsidR="006A7F41" w:rsidRPr="006A7F41">
        <w:rPr>
          <w:rFonts w:ascii="Arial" w:hAnsi="Arial" w:cs="Arial"/>
          <w:color w:val="EE0000"/>
        </w:rPr>
        <w:t>b</w:t>
      </w:r>
      <w:r w:rsidRPr="006A7F41">
        <w:rPr>
          <w:rFonts w:ascii="Arial" w:hAnsi="Arial" w:cs="Arial"/>
          <w:color w:val="EE0000"/>
        </w:rPr>
        <w:t>atore</w:t>
      </w:r>
      <w:r w:rsidRPr="00F668A2">
        <w:rPr>
          <w:rFonts w:ascii="Arial" w:hAnsi="Arial" w:cs="Arial"/>
        </w:rPr>
        <w:t>. Farm yard manure containing N, P</w:t>
      </w:r>
      <w:r w:rsidRPr="009A2973">
        <w:rPr>
          <w:rFonts w:ascii="Arial" w:hAnsi="Arial" w:cs="Arial"/>
          <w:vertAlign w:val="subscript"/>
        </w:rPr>
        <w:t>2</w:t>
      </w:r>
      <w:r w:rsidRPr="00F668A2">
        <w:rPr>
          <w:rFonts w:ascii="Arial" w:hAnsi="Arial" w:cs="Arial"/>
        </w:rPr>
        <w:t>O</w:t>
      </w:r>
      <w:r w:rsidRPr="009A2973">
        <w:rPr>
          <w:rFonts w:ascii="Arial" w:hAnsi="Arial" w:cs="Arial"/>
          <w:vertAlign w:val="subscript"/>
        </w:rPr>
        <w:t>5</w:t>
      </w:r>
      <w:r w:rsidRPr="00F668A2">
        <w:rPr>
          <w:rFonts w:ascii="Arial" w:hAnsi="Arial" w:cs="Arial"/>
        </w:rPr>
        <w:t xml:space="preserve"> </w:t>
      </w:r>
      <w:r w:rsidRPr="00F668A2">
        <w:rPr>
          <w:rFonts w:ascii="Arial" w:hAnsi="Arial" w:cs="Arial"/>
        </w:rPr>
        <w:lastRenderedPageBreak/>
        <w:t>and K</w:t>
      </w:r>
      <w:r w:rsidRPr="009A2973">
        <w:rPr>
          <w:rFonts w:ascii="Arial" w:hAnsi="Arial" w:cs="Arial"/>
          <w:vertAlign w:val="subscript"/>
        </w:rPr>
        <w:t>2</w:t>
      </w:r>
      <w:r w:rsidRPr="00F668A2">
        <w:rPr>
          <w:rFonts w:ascii="Arial" w:hAnsi="Arial" w:cs="Arial"/>
        </w:rPr>
        <w:t>O at</w:t>
      </w:r>
      <w:r w:rsidR="006A7F41">
        <w:rPr>
          <w:rFonts w:ascii="Arial" w:hAnsi="Arial" w:cs="Arial"/>
        </w:rPr>
        <w:t xml:space="preserve"> </w:t>
      </w:r>
      <w:r w:rsidRPr="00F668A2">
        <w:rPr>
          <w:rFonts w:ascii="Arial" w:hAnsi="Arial" w:cs="Arial"/>
        </w:rPr>
        <w:t>1:0</w:t>
      </w:r>
      <w:r>
        <w:rPr>
          <w:rFonts w:ascii="Arial" w:hAnsi="Arial" w:cs="Arial"/>
        </w:rPr>
        <w:t>.</w:t>
      </w:r>
      <w:r w:rsidRPr="00F668A2">
        <w:rPr>
          <w:rFonts w:ascii="Arial" w:hAnsi="Arial" w:cs="Arial"/>
        </w:rPr>
        <w:t>5</w:t>
      </w:r>
      <w:r>
        <w:rPr>
          <w:rFonts w:ascii="Arial" w:hAnsi="Arial" w:cs="Arial"/>
        </w:rPr>
        <w:t>:</w:t>
      </w:r>
      <w:r w:rsidRPr="00F668A2">
        <w:rPr>
          <w:rFonts w:ascii="Arial" w:hAnsi="Arial" w:cs="Arial"/>
        </w:rPr>
        <w:t xml:space="preserve">1 percentage was used. Urea (46 %), </w:t>
      </w:r>
      <w:proofErr w:type="spellStart"/>
      <w:r w:rsidRPr="00F668A2">
        <w:rPr>
          <w:rFonts w:ascii="Arial" w:hAnsi="Arial" w:cs="Arial"/>
        </w:rPr>
        <w:t>Factamphos</w:t>
      </w:r>
      <w:proofErr w:type="spellEnd"/>
      <w:r w:rsidRPr="00F668A2">
        <w:rPr>
          <w:rFonts w:ascii="Arial" w:hAnsi="Arial" w:cs="Arial"/>
        </w:rPr>
        <w:t xml:space="preserve"> (20 % N and 20 % P</w:t>
      </w:r>
      <w:r w:rsidRPr="009A2973">
        <w:rPr>
          <w:rFonts w:ascii="Arial" w:hAnsi="Arial" w:cs="Arial"/>
          <w:vertAlign w:val="subscript"/>
        </w:rPr>
        <w:t>2</w:t>
      </w:r>
      <w:r w:rsidRPr="00F668A2">
        <w:rPr>
          <w:rFonts w:ascii="Arial" w:hAnsi="Arial" w:cs="Arial"/>
        </w:rPr>
        <w:t>O</w:t>
      </w:r>
      <w:r w:rsidRPr="009A2973">
        <w:rPr>
          <w:rFonts w:ascii="Arial" w:hAnsi="Arial" w:cs="Arial"/>
          <w:vertAlign w:val="subscript"/>
        </w:rPr>
        <w:t>5</w:t>
      </w:r>
      <w:r w:rsidRPr="00F668A2">
        <w:rPr>
          <w:rFonts w:ascii="Arial" w:hAnsi="Arial" w:cs="Arial"/>
        </w:rPr>
        <w:t>) and Muriate of Potash (60 % K</w:t>
      </w:r>
      <w:r w:rsidRPr="009A2973">
        <w:rPr>
          <w:rFonts w:ascii="Arial" w:hAnsi="Arial" w:cs="Arial"/>
          <w:vertAlign w:val="subscript"/>
        </w:rPr>
        <w:t>2</w:t>
      </w:r>
      <w:r w:rsidRPr="00F668A2">
        <w:rPr>
          <w:rFonts w:ascii="Arial" w:hAnsi="Arial" w:cs="Arial"/>
        </w:rPr>
        <w:t>O) were used as sources of chemical fertilizers.</w:t>
      </w:r>
    </w:p>
    <w:p w14:paraId="14E486FD" w14:textId="2C84294E" w:rsidR="00D51752" w:rsidRPr="00F668A2" w:rsidRDefault="00D51752" w:rsidP="00D51752">
      <w:pPr>
        <w:pStyle w:val="Body"/>
        <w:rPr>
          <w:rFonts w:ascii="Arial" w:hAnsi="Arial" w:cs="Arial"/>
        </w:rPr>
      </w:pPr>
      <w:r w:rsidRPr="00F668A2">
        <w:rPr>
          <w:rFonts w:ascii="Arial" w:hAnsi="Arial" w:cs="Arial"/>
        </w:rPr>
        <w:t xml:space="preserve">The experimental area was ploughed twice, weeds were removed and the land was levelled before the layout of treatments. The experiment was laid out in </w:t>
      </w:r>
      <w:proofErr w:type="spellStart"/>
      <w:r w:rsidRPr="00F668A2">
        <w:rPr>
          <w:rFonts w:ascii="Arial" w:hAnsi="Arial" w:cs="Arial"/>
        </w:rPr>
        <w:t>Randomised</w:t>
      </w:r>
      <w:proofErr w:type="spellEnd"/>
      <w:r w:rsidRPr="00F668A2">
        <w:rPr>
          <w:rFonts w:ascii="Arial" w:hAnsi="Arial" w:cs="Arial"/>
        </w:rPr>
        <w:t xml:space="preserve"> Block Design (RBD) with three replications. The size of plot was 3.0 m x 3.0 m. There were 25 plants in a plot with 5 rows of 5 plants each. Spacing adopted was 60 x 60 cm. The manurial and fertilizer doses were based on the Package of Practices </w:t>
      </w:r>
      <w:r w:rsidR="006A7F41" w:rsidRPr="006A7F41">
        <w:rPr>
          <w:rFonts w:ascii="Arial" w:hAnsi="Arial" w:cs="Arial"/>
          <w:color w:val="EE0000"/>
        </w:rPr>
        <w:t xml:space="preserve">(POP) </w:t>
      </w:r>
      <w:r w:rsidRPr="00F668A2">
        <w:rPr>
          <w:rFonts w:ascii="Arial" w:hAnsi="Arial" w:cs="Arial"/>
        </w:rPr>
        <w:t xml:space="preserve">recommendations (KAU, 2011) for tomato. Accordingly, FYM at 25 </w:t>
      </w:r>
      <w:proofErr w:type="spellStart"/>
      <w:r w:rsidRPr="00F668A2">
        <w:rPr>
          <w:rFonts w:ascii="Arial" w:hAnsi="Arial" w:cs="Arial"/>
        </w:rPr>
        <w:t>tonnes</w:t>
      </w:r>
      <w:proofErr w:type="spellEnd"/>
      <w:r w:rsidRPr="00F668A2">
        <w:rPr>
          <w:rFonts w:ascii="Arial" w:hAnsi="Arial" w:cs="Arial"/>
        </w:rPr>
        <w:t xml:space="preserve"> and N: P</w:t>
      </w:r>
      <w:r w:rsidRPr="00514BB6">
        <w:rPr>
          <w:rFonts w:ascii="Arial" w:hAnsi="Arial" w:cs="Arial"/>
          <w:vertAlign w:val="subscript"/>
        </w:rPr>
        <w:t>2</w:t>
      </w:r>
      <w:r w:rsidRPr="00F668A2">
        <w:rPr>
          <w:rFonts w:ascii="Arial" w:hAnsi="Arial" w:cs="Arial"/>
        </w:rPr>
        <w:t>O</w:t>
      </w:r>
      <w:r w:rsidRPr="00514BB6">
        <w:rPr>
          <w:rFonts w:ascii="Arial" w:hAnsi="Arial" w:cs="Arial"/>
          <w:vertAlign w:val="subscript"/>
        </w:rPr>
        <w:t>5</w:t>
      </w:r>
      <w:r w:rsidRPr="00F668A2">
        <w:rPr>
          <w:rFonts w:ascii="Arial" w:hAnsi="Arial" w:cs="Arial"/>
        </w:rPr>
        <w:t>: K</w:t>
      </w:r>
      <w:r w:rsidRPr="00514BB6">
        <w:rPr>
          <w:rFonts w:ascii="Arial" w:hAnsi="Arial" w:cs="Arial"/>
          <w:vertAlign w:val="subscript"/>
        </w:rPr>
        <w:t>2</w:t>
      </w:r>
      <w:r w:rsidRPr="00F668A2">
        <w:rPr>
          <w:rFonts w:ascii="Arial" w:hAnsi="Arial" w:cs="Arial"/>
        </w:rPr>
        <w:t>O at 75: 40: 25 kg ha</w:t>
      </w:r>
      <w:r w:rsidRPr="00514BB6">
        <w:rPr>
          <w:rFonts w:ascii="Arial" w:hAnsi="Arial" w:cs="Arial"/>
          <w:vertAlign w:val="superscript"/>
        </w:rPr>
        <w:t>-1</w:t>
      </w:r>
      <w:r w:rsidRPr="00F668A2">
        <w:rPr>
          <w:rFonts w:ascii="Arial" w:hAnsi="Arial" w:cs="Arial"/>
        </w:rPr>
        <w:t xml:space="preserve"> were applied.</w:t>
      </w:r>
    </w:p>
    <w:p w14:paraId="1E1B56B4" w14:textId="77777777" w:rsidR="00D51752" w:rsidRPr="00F668A2" w:rsidRDefault="00D51752" w:rsidP="00D51752">
      <w:pPr>
        <w:pStyle w:val="Body"/>
        <w:rPr>
          <w:rFonts w:ascii="Arial" w:hAnsi="Arial" w:cs="Arial"/>
        </w:rPr>
      </w:pPr>
      <w:r w:rsidRPr="00F668A2">
        <w:rPr>
          <w:rFonts w:ascii="Arial" w:hAnsi="Arial" w:cs="Arial"/>
        </w:rPr>
        <w:t xml:space="preserve">The treatments are </w:t>
      </w:r>
    </w:p>
    <w:p w14:paraId="19D9F31C" w14:textId="77777777" w:rsidR="00D51752" w:rsidRPr="00514BB6" w:rsidRDefault="00D51752" w:rsidP="00D51752">
      <w:pPr>
        <w:pStyle w:val="Body"/>
        <w:rPr>
          <w:rFonts w:ascii="Arial" w:hAnsi="Arial" w:cs="Arial"/>
          <w:vertAlign w:val="superscript"/>
        </w:rPr>
      </w:pPr>
      <w:r w:rsidRPr="00F668A2">
        <w:rPr>
          <w:rFonts w:ascii="Arial" w:hAnsi="Arial" w:cs="Arial"/>
        </w:rPr>
        <w:t>T</w:t>
      </w:r>
      <w:r w:rsidRPr="00D858FF">
        <w:rPr>
          <w:rFonts w:ascii="Arial" w:hAnsi="Arial" w:cs="Arial"/>
          <w:vertAlign w:val="subscript"/>
        </w:rPr>
        <w:t>1</w:t>
      </w:r>
      <w:r w:rsidRPr="00F668A2">
        <w:rPr>
          <w:rFonts w:ascii="Arial" w:hAnsi="Arial" w:cs="Arial"/>
        </w:rPr>
        <w:t xml:space="preserve"> - FYM +</w:t>
      </w:r>
      <w:proofErr w:type="spellStart"/>
      <w:r w:rsidRPr="005C1EFD">
        <w:rPr>
          <w:rFonts w:ascii="Arial" w:hAnsi="Arial" w:cs="Arial"/>
          <w:i/>
          <w:iCs/>
        </w:rPr>
        <w:t>Azospirillum</w:t>
      </w:r>
      <w:proofErr w:type="spellEnd"/>
      <w:r w:rsidRPr="00F668A2">
        <w:rPr>
          <w:rFonts w:ascii="Arial" w:hAnsi="Arial" w:cs="Arial"/>
        </w:rPr>
        <w:t xml:space="preserve"> @ 2 kg ha </w:t>
      </w:r>
      <w:r w:rsidRPr="00514BB6">
        <w:rPr>
          <w:rFonts w:ascii="Arial" w:hAnsi="Arial" w:cs="Arial"/>
          <w:vertAlign w:val="superscript"/>
        </w:rPr>
        <w:t xml:space="preserve">-1 </w:t>
      </w:r>
    </w:p>
    <w:p w14:paraId="59504A18" w14:textId="77777777" w:rsidR="00D51752" w:rsidRPr="00B80ECC" w:rsidRDefault="00D51752" w:rsidP="00D51752">
      <w:pPr>
        <w:pStyle w:val="Body"/>
        <w:rPr>
          <w:rFonts w:ascii="Arial" w:hAnsi="Arial" w:cs="Arial"/>
          <w:vertAlign w:val="superscript"/>
          <w:lang w:val="fr-FR"/>
        </w:rPr>
      </w:pPr>
      <w:r w:rsidRPr="00B80ECC">
        <w:rPr>
          <w:rFonts w:ascii="Arial" w:hAnsi="Arial" w:cs="Arial"/>
          <w:lang w:val="fr-FR"/>
        </w:rPr>
        <w:t>T</w:t>
      </w:r>
      <w:r w:rsidRPr="00B80ECC">
        <w:rPr>
          <w:rFonts w:ascii="Arial" w:hAnsi="Arial" w:cs="Arial"/>
          <w:vertAlign w:val="subscript"/>
          <w:lang w:val="fr-FR"/>
        </w:rPr>
        <w:t>2</w:t>
      </w:r>
      <w:r w:rsidRPr="00B80ECC">
        <w:rPr>
          <w:rFonts w:ascii="Arial" w:hAnsi="Arial" w:cs="Arial"/>
          <w:lang w:val="fr-FR"/>
        </w:rPr>
        <w:t xml:space="preserve"> - FYM + AMF @ 2 kg ha </w:t>
      </w:r>
      <w:r w:rsidRPr="00B80ECC">
        <w:rPr>
          <w:rFonts w:ascii="Arial" w:hAnsi="Arial" w:cs="Arial"/>
          <w:vertAlign w:val="superscript"/>
          <w:lang w:val="fr-FR"/>
        </w:rPr>
        <w:t xml:space="preserve">-1 </w:t>
      </w:r>
    </w:p>
    <w:p w14:paraId="78375B26" w14:textId="77777777" w:rsidR="00D51752" w:rsidRPr="00B80ECC" w:rsidRDefault="00D51752" w:rsidP="00D51752">
      <w:pPr>
        <w:pStyle w:val="Body"/>
        <w:rPr>
          <w:rFonts w:ascii="Arial" w:hAnsi="Arial" w:cs="Arial"/>
          <w:vertAlign w:val="superscript"/>
          <w:lang w:val="fr-FR"/>
        </w:rPr>
      </w:pPr>
      <w:r w:rsidRPr="00B80ECC">
        <w:rPr>
          <w:rFonts w:ascii="Arial" w:hAnsi="Arial" w:cs="Arial"/>
          <w:lang w:val="fr-FR"/>
        </w:rPr>
        <w:t>T</w:t>
      </w:r>
      <w:r w:rsidRPr="00B80ECC">
        <w:rPr>
          <w:rFonts w:ascii="Arial" w:hAnsi="Arial" w:cs="Arial"/>
          <w:vertAlign w:val="subscript"/>
          <w:lang w:val="fr-FR"/>
        </w:rPr>
        <w:t xml:space="preserve">3 </w:t>
      </w:r>
      <w:r w:rsidRPr="00B80ECC">
        <w:rPr>
          <w:rFonts w:ascii="Arial" w:hAnsi="Arial" w:cs="Arial"/>
          <w:lang w:val="fr-FR"/>
        </w:rPr>
        <w:t xml:space="preserve">- FYM + </w:t>
      </w:r>
      <w:proofErr w:type="spellStart"/>
      <w:r w:rsidRPr="00B80ECC">
        <w:rPr>
          <w:rFonts w:ascii="Arial" w:hAnsi="Arial" w:cs="Arial"/>
          <w:i/>
          <w:iCs/>
          <w:lang w:val="fr-FR"/>
        </w:rPr>
        <w:t>Frateuria</w:t>
      </w:r>
      <w:proofErr w:type="spellEnd"/>
      <w:r w:rsidRPr="00B80ECC">
        <w:rPr>
          <w:rFonts w:ascii="Arial" w:hAnsi="Arial" w:cs="Arial"/>
          <w:i/>
          <w:iCs/>
          <w:lang w:val="fr-FR"/>
        </w:rPr>
        <w:t xml:space="preserve"> </w:t>
      </w:r>
      <w:r w:rsidRPr="00B80ECC">
        <w:rPr>
          <w:rFonts w:ascii="Arial" w:hAnsi="Arial" w:cs="Arial"/>
          <w:lang w:val="fr-FR"/>
        </w:rPr>
        <w:t xml:space="preserve">@ 2 kg ha </w:t>
      </w:r>
      <w:r w:rsidRPr="00B80ECC">
        <w:rPr>
          <w:rFonts w:ascii="Arial" w:hAnsi="Arial" w:cs="Arial"/>
          <w:vertAlign w:val="superscript"/>
          <w:lang w:val="fr-FR"/>
        </w:rPr>
        <w:t xml:space="preserve">-1 </w:t>
      </w:r>
    </w:p>
    <w:p w14:paraId="7EB0B83D" w14:textId="77777777" w:rsidR="00D51752" w:rsidRPr="00F668A2" w:rsidRDefault="00D51752" w:rsidP="00D51752">
      <w:pPr>
        <w:pStyle w:val="Body"/>
        <w:rPr>
          <w:rFonts w:ascii="Arial" w:hAnsi="Arial" w:cs="Arial"/>
        </w:rPr>
      </w:pPr>
      <w:r w:rsidRPr="00F668A2">
        <w:rPr>
          <w:rFonts w:ascii="Arial" w:hAnsi="Arial" w:cs="Arial"/>
        </w:rPr>
        <w:t>T</w:t>
      </w:r>
      <w:r w:rsidRPr="00D858FF">
        <w:rPr>
          <w:rFonts w:ascii="Arial" w:hAnsi="Arial" w:cs="Arial"/>
          <w:vertAlign w:val="subscript"/>
        </w:rPr>
        <w:t>4</w:t>
      </w:r>
      <w:r w:rsidRPr="00F668A2">
        <w:rPr>
          <w:rFonts w:ascii="Arial" w:hAnsi="Arial" w:cs="Arial"/>
        </w:rPr>
        <w:t xml:space="preserve"> - FYM + </w:t>
      </w:r>
      <w:proofErr w:type="spellStart"/>
      <w:r w:rsidRPr="005C1EFD">
        <w:rPr>
          <w:rFonts w:ascii="Arial" w:hAnsi="Arial" w:cs="Arial"/>
          <w:i/>
          <w:iCs/>
        </w:rPr>
        <w:t>Azospirillum</w:t>
      </w:r>
      <w:proofErr w:type="spellEnd"/>
      <w:r w:rsidRPr="00F668A2">
        <w:rPr>
          <w:rFonts w:ascii="Arial" w:hAnsi="Arial" w:cs="Arial"/>
        </w:rPr>
        <w:t xml:space="preserve"> + AMF each @ 2 kg ha </w:t>
      </w:r>
      <w:r w:rsidRPr="00514BB6">
        <w:rPr>
          <w:rFonts w:ascii="Arial" w:hAnsi="Arial" w:cs="Arial"/>
          <w:vertAlign w:val="superscript"/>
        </w:rPr>
        <w:t>-1</w:t>
      </w:r>
      <w:r w:rsidRPr="00F668A2">
        <w:rPr>
          <w:rFonts w:ascii="Arial" w:hAnsi="Arial" w:cs="Arial"/>
        </w:rPr>
        <w:t xml:space="preserve"> </w:t>
      </w:r>
    </w:p>
    <w:p w14:paraId="5C98EAAE" w14:textId="77777777" w:rsidR="00D51752" w:rsidRPr="00F668A2" w:rsidRDefault="00D51752" w:rsidP="00D51752">
      <w:pPr>
        <w:pStyle w:val="Body"/>
        <w:rPr>
          <w:rFonts w:ascii="Arial" w:hAnsi="Arial" w:cs="Arial"/>
        </w:rPr>
      </w:pPr>
      <w:r w:rsidRPr="00F668A2">
        <w:rPr>
          <w:rFonts w:ascii="Arial" w:hAnsi="Arial" w:cs="Arial"/>
        </w:rPr>
        <w:t>T</w:t>
      </w:r>
      <w:r w:rsidRPr="00D858FF">
        <w:rPr>
          <w:rFonts w:ascii="Arial" w:hAnsi="Arial" w:cs="Arial"/>
          <w:vertAlign w:val="subscript"/>
        </w:rPr>
        <w:t>5</w:t>
      </w:r>
      <w:r w:rsidRPr="00F668A2">
        <w:rPr>
          <w:rFonts w:ascii="Arial" w:hAnsi="Arial" w:cs="Arial"/>
        </w:rPr>
        <w:t xml:space="preserve"> - FYM + </w:t>
      </w:r>
      <w:proofErr w:type="spellStart"/>
      <w:r w:rsidRPr="005C1EFD">
        <w:rPr>
          <w:rFonts w:ascii="Arial" w:hAnsi="Arial" w:cs="Arial"/>
          <w:i/>
          <w:iCs/>
        </w:rPr>
        <w:t>Azospirillum</w:t>
      </w:r>
      <w:proofErr w:type="spellEnd"/>
      <w:r w:rsidRPr="00F668A2">
        <w:rPr>
          <w:rFonts w:ascii="Arial" w:hAnsi="Arial" w:cs="Arial"/>
        </w:rPr>
        <w:t xml:space="preserve"> + </w:t>
      </w:r>
      <w:proofErr w:type="spellStart"/>
      <w:r w:rsidRPr="005C1EFD">
        <w:rPr>
          <w:rFonts w:ascii="Arial" w:hAnsi="Arial" w:cs="Arial"/>
          <w:i/>
          <w:iCs/>
        </w:rPr>
        <w:t>Frateuria</w:t>
      </w:r>
      <w:proofErr w:type="spellEnd"/>
      <w:r w:rsidRPr="005C1EFD">
        <w:rPr>
          <w:rFonts w:ascii="Arial" w:hAnsi="Arial" w:cs="Arial"/>
          <w:i/>
          <w:iCs/>
        </w:rPr>
        <w:t xml:space="preserve"> </w:t>
      </w:r>
      <w:r w:rsidRPr="00F668A2">
        <w:rPr>
          <w:rFonts w:ascii="Arial" w:hAnsi="Arial" w:cs="Arial"/>
        </w:rPr>
        <w:t xml:space="preserve">each @ 2 kg ha </w:t>
      </w:r>
      <w:r w:rsidRPr="00514BB6">
        <w:rPr>
          <w:rFonts w:ascii="Arial" w:hAnsi="Arial" w:cs="Arial"/>
          <w:vertAlign w:val="superscript"/>
        </w:rPr>
        <w:t>-1</w:t>
      </w:r>
      <w:r w:rsidRPr="00F668A2">
        <w:rPr>
          <w:rFonts w:ascii="Arial" w:hAnsi="Arial" w:cs="Arial"/>
        </w:rPr>
        <w:t xml:space="preserve"> </w:t>
      </w:r>
    </w:p>
    <w:p w14:paraId="716FEC0D" w14:textId="77777777" w:rsidR="00D51752" w:rsidRPr="00514BB6" w:rsidRDefault="00D51752" w:rsidP="00D51752">
      <w:pPr>
        <w:pStyle w:val="Body"/>
        <w:rPr>
          <w:rFonts w:ascii="Arial" w:hAnsi="Arial" w:cs="Arial"/>
          <w:vertAlign w:val="superscript"/>
        </w:rPr>
      </w:pPr>
      <w:r w:rsidRPr="00F668A2">
        <w:rPr>
          <w:rFonts w:ascii="Arial" w:hAnsi="Arial" w:cs="Arial"/>
        </w:rPr>
        <w:t>T</w:t>
      </w:r>
      <w:r w:rsidRPr="00D858FF">
        <w:rPr>
          <w:rFonts w:ascii="Arial" w:hAnsi="Arial" w:cs="Arial"/>
          <w:vertAlign w:val="subscript"/>
        </w:rPr>
        <w:t>6</w:t>
      </w:r>
      <w:r w:rsidRPr="00F668A2">
        <w:rPr>
          <w:rFonts w:ascii="Arial" w:hAnsi="Arial" w:cs="Arial"/>
        </w:rPr>
        <w:t xml:space="preserve"> - FYM + AMF + </w:t>
      </w:r>
      <w:proofErr w:type="spellStart"/>
      <w:r w:rsidRPr="005C1EFD">
        <w:rPr>
          <w:rFonts w:ascii="Arial" w:hAnsi="Arial" w:cs="Arial"/>
          <w:i/>
          <w:iCs/>
        </w:rPr>
        <w:t>Frateuria</w:t>
      </w:r>
      <w:proofErr w:type="spellEnd"/>
      <w:r w:rsidRPr="005C1EFD">
        <w:rPr>
          <w:rFonts w:ascii="Arial" w:hAnsi="Arial" w:cs="Arial"/>
          <w:i/>
          <w:iCs/>
        </w:rPr>
        <w:t xml:space="preserve"> </w:t>
      </w:r>
      <w:r w:rsidRPr="00F668A2">
        <w:rPr>
          <w:rFonts w:ascii="Arial" w:hAnsi="Arial" w:cs="Arial"/>
        </w:rPr>
        <w:t xml:space="preserve">each @ 2 kg ha </w:t>
      </w:r>
      <w:r w:rsidRPr="00514BB6">
        <w:rPr>
          <w:rFonts w:ascii="Arial" w:hAnsi="Arial" w:cs="Arial"/>
          <w:vertAlign w:val="superscript"/>
        </w:rPr>
        <w:t xml:space="preserve">-1 </w:t>
      </w:r>
    </w:p>
    <w:p w14:paraId="6DBF9C91" w14:textId="77777777" w:rsidR="00D51752" w:rsidRPr="00514BB6" w:rsidRDefault="00D51752" w:rsidP="00D51752">
      <w:pPr>
        <w:pStyle w:val="Body"/>
        <w:rPr>
          <w:rFonts w:ascii="Arial" w:hAnsi="Arial" w:cs="Arial"/>
          <w:vertAlign w:val="superscript"/>
        </w:rPr>
      </w:pPr>
      <w:r w:rsidRPr="00F668A2">
        <w:rPr>
          <w:rFonts w:ascii="Arial" w:hAnsi="Arial" w:cs="Arial"/>
        </w:rPr>
        <w:t>T</w:t>
      </w:r>
      <w:r w:rsidRPr="00D858FF">
        <w:rPr>
          <w:rFonts w:ascii="Arial" w:hAnsi="Arial" w:cs="Arial"/>
          <w:vertAlign w:val="subscript"/>
        </w:rPr>
        <w:t>7</w:t>
      </w:r>
      <w:r w:rsidRPr="00F668A2">
        <w:rPr>
          <w:rFonts w:ascii="Arial" w:hAnsi="Arial" w:cs="Arial"/>
        </w:rPr>
        <w:t xml:space="preserve"> - FYM + </w:t>
      </w:r>
      <w:proofErr w:type="spellStart"/>
      <w:r w:rsidRPr="005C1EFD">
        <w:rPr>
          <w:rFonts w:ascii="Arial" w:hAnsi="Arial" w:cs="Arial"/>
          <w:i/>
          <w:iCs/>
        </w:rPr>
        <w:t>Azospirillum</w:t>
      </w:r>
      <w:proofErr w:type="spellEnd"/>
      <w:r w:rsidRPr="00F668A2">
        <w:rPr>
          <w:rFonts w:ascii="Arial" w:hAnsi="Arial" w:cs="Arial"/>
        </w:rPr>
        <w:t xml:space="preserve"> + AMF + </w:t>
      </w:r>
      <w:proofErr w:type="spellStart"/>
      <w:r w:rsidRPr="005C1EFD">
        <w:rPr>
          <w:rFonts w:ascii="Arial" w:hAnsi="Arial" w:cs="Arial"/>
          <w:i/>
          <w:iCs/>
        </w:rPr>
        <w:t>Frateuria</w:t>
      </w:r>
      <w:proofErr w:type="spellEnd"/>
      <w:r w:rsidRPr="005C1EFD">
        <w:rPr>
          <w:rFonts w:ascii="Arial" w:hAnsi="Arial" w:cs="Arial"/>
          <w:i/>
          <w:iCs/>
        </w:rPr>
        <w:t xml:space="preserve"> </w:t>
      </w:r>
      <w:r w:rsidRPr="00F668A2">
        <w:rPr>
          <w:rFonts w:ascii="Arial" w:hAnsi="Arial" w:cs="Arial"/>
        </w:rPr>
        <w:t xml:space="preserve">each @ 2 kg ha </w:t>
      </w:r>
      <w:r w:rsidRPr="00514BB6">
        <w:rPr>
          <w:rFonts w:ascii="Arial" w:hAnsi="Arial" w:cs="Arial"/>
          <w:vertAlign w:val="superscript"/>
        </w:rPr>
        <w:t xml:space="preserve">-1 </w:t>
      </w:r>
    </w:p>
    <w:p w14:paraId="6AE64B9A" w14:textId="77777777" w:rsidR="00D51752" w:rsidRPr="00F668A2" w:rsidRDefault="00D51752" w:rsidP="00D51752">
      <w:pPr>
        <w:pStyle w:val="Body"/>
        <w:rPr>
          <w:rFonts w:ascii="Arial" w:hAnsi="Arial" w:cs="Arial"/>
        </w:rPr>
      </w:pPr>
      <w:r w:rsidRPr="00F668A2">
        <w:rPr>
          <w:rFonts w:ascii="Arial" w:hAnsi="Arial" w:cs="Arial"/>
        </w:rPr>
        <w:t>T</w:t>
      </w:r>
      <w:r w:rsidRPr="00D858FF">
        <w:rPr>
          <w:rFonts w:ascii="Arial" w:hAnsi="Arial" w:cs="Arial"/>
          <w:vertAlign w:val="subscript"/>
        </w:rPr>
        <w:t>8</w:t>
      </w:r>
      <w:r w:rsidRPr="00F668A2">
        <w:rPr>
          <w:rFonts w:ascii="Arial" w:hAnsi="Arial" w:cs="Arial"/>
        </w:rPr>
        <w:t xml:space="preserve"> - FYM + ½ (NPK) + </w:t>
      </w:r>
      <w:proofErr w:type="spellStart"/>
      <w:r w:rsidRPr="005C1EFD">
        <w:rPr>
          <w:rFonts w:ascii="Arial" w:hAnsi="Arial" w:cs="Arial"/>
          <w:i/>
          <w:iCs/>
        </w:rPr>
        <w:t>Azospirillum</w:t>
      </w:r>
      <w:proofErr w:type="spellEnd"/>
      <w:r w:rsidRPr="00F668A2">
        <w:rPr>
          <w:rFonts w:ascii="Arial" w:hAnsi="Arial" w:cs="Arial"/>
        </w:rPr>
        <w:t xml:space="preserve"> + AMF + </w:t>
      </w:r>
      <w:proofErr w:type="spellStart"/>
      <w:r w:rsidRPr="005C1EFD">
        <w:rPr>
          <w:rFonts w:ascii="Arial" w:hAnsi="Arial" w:cs="Arial"/>
          <w:i/>
          <w:iCs/>
        </w:rPr>
        <w:t>Frateuria</w:t>
      </w:r>
      <w:proofErr w:type="spellEnd"/>
      <w:r w:rsidRPr="005C1EFD">
        <w:rPr>
          <w:rFonts w:ascii="Arial" w:hAnsi="Arial" w:cs="Arial"/>
          <w:i/>
          <w:iCs/>
        </w:rPr>
        <w:t xml:space="preserve"> </w:t>
      </w:r>
      <w:r w:rsidRPr="00F668A2">
        <w:rPr>
          <w:rFonts w:ascii="Arial" w:hAnsi="Arial" w:cs="Arial"/>
        </w:rPr>
        <w:t xml:space="preserve">each @ 2 kg ha </w:t>
      </w:r>
      <w:r w:rsidRPr="00514BB6">
        <w:rPr>
          <w:rFonts w:ascii="Arial" w:hAnsi="Arial" w:cs="Arial"/>
          <w:vertAlign w:val="superscript"/>
        </w:rPr>
        <w:t>-1</w:t>
      </w:r>
      <w:r w:rsidRPr="00F668A2">
        <w:rPr>
          <w:rFonts w:ascii="Arial" w:hAnsi="Arial" w:cs="Arial"/>
        </w:rPr>
        <w:t xml:space="preserve"> </w:t>
      </w:r>
    </w:p>
    <w:p w14:paraId="1FEF4690" w14:textId="77777777" w:rsidR="00D51752" w:rsidRPr="00F668A2" w:rsidRDefault="00D51752" w:rsidP="00D51752">
      <w:pPr>
        <w:pStyle w:val="Body"/>
        <w:rPr>
          <w:rFonts w:ascii="Arial" w:hAnsi="Arial" w:cs="Arial"/>
        </w:rPr>
      </w:pPr>
      <w:r w:rsidRPr="00F668A2">
        <w:rPr>
          <w:rFonts w:ascii="Arial" w:hAnsi="Arial" w:cs="Arial"/>
        </w:rPr>
        <w:t>T</w:t>
      </w:r>
      <w:r w:rsidRPr="00D858FF">
        <w:rPr>
          <w:rFonts w:ascii="Arial" w:hAnsi="Arial" w:cs="Arial"/>
          <w:vertAlign w:val="subscript"/>
        </w:rPr>
        <w:t>9</w:t>
      </w:r>
      <w:r w:rsidRPr="00F668A2">
        <w:rPr>
          <w:rFonts w:ascii="Arial" w:hAnsi="Arial" w:cs="Arial"/>
        </w:rPr>
        <w:t xml:space="preserve">- POP + </w:t>
      </w:r>
      <w:proofErr w:type="spellStart"/>
      <w:r w:rsidRPr="005C1EFD">
        <w:rPr>
          <w:rFonts w:ascii="Arial" w:hAnsi="Arial" w:cs="Arial"/>
          <w:i/>
          <w:iCs/>
        </w:rPr>
        <w:t>Azospirillum</w:t>
      </w:r>
      <w:proofErr w:type="spellEnd"/>
      <w:r w:rsidRPr="00F668A2">
        <w:rPr>
          <w:rFonts w:ascii="Arial" w:hAnsi="Arial" w:cs="Arial"/>
        </w:rPr>
        <w:t xml:space="preserve"> + AMF + </w:t>
      </w:r>
      <w:proofErr w:type="spellStart"/>
      <w:r w:rsidRPr="005C1EFD">
        <w:rPr>
          <w:rFonts w:ascii="Arial" w:hAnsi="Arial" w:cs="Arial"/>
          <w:i/>
          <w:iCs/>
        </w:rPr>
        <w:t>Frateuria</w:t>
      </w:r>
      <w:proofErr w:type="spellEnd"/>
      <w:r w:rsidRPr="005C1EFD">
        <w:rPr>
          <w:rFonts w:ascii="Arial" w:hAnsi="Arial" w:cs="Arial"/>
          <w:i/>
          <w:iCs/>
        </w:rPr>
        <w:t xml:space="preserve"> </w:t>
      </w:r>
      <w:r w:rsidRPr="00F668A2">
        <w:rPr>
          <w:rFonts w:ascii="Arial" w:hAnsi="Arial" w:cs="Arial"/>
        </w:rPr>
        <w:t>each @ 2 kg ha</w:t>
      </w:r>
      <w:r w:rsidRPr="00514BB6">
        <w:rPr>
          <w:rFonts w:ascii="Arial" w:hAnsi="Arial" w:cs="Arial"/>
          <w:vertAlign w:val="superscript"/>
        </w:rPr>
        <w:t>-1</w:t>
      </w:r>
      <w:r w:rsidRPr="00F668A2">
        <w:rPr>
          <w:rFonts w:ascii="Arial" w:hAnsi="Arial" w:cs="Arial"/>
        </w:rPr>
        <w:t xml:space="preserve"> </w:t>
      </w:r>
    </w:p>
    <w:p w14:paraId="3972C047" w14:textId="77777777" w:rsidR="00D51752" w:rsidRPr="00F668A2" w:rsidRDefault="00D51752" w:rsidP="00D51752">
      <w:pPr>
        <w:pStyle w:val="Body"/>
        <w:rPr>
          <w:rFonts w:ascii="Arial" w:hAnsi="Arial" w:cs="Arial"/>
        </w:rPr>
      </w:pPr>
      <w:r w:rsidRPr="00F668A2">
        <w:rPr>
          <w:rFonts w:ascii="Arial" w:hAnsi="Arial" w:cs="Arial"/>
        </w:rPr>
        <w:t>T</w:t>
      </w:r>
      <w:r w:rsidRPr="00D858FF">
        <w:rPr>
          <w:rFonts w:ascii="Arial" w:hAnsi="Arial" w:cs="Arial"/>
          <w:vertAlign w:val="subscript"/>
        </w:rPr>
        <w:t>10</w:t>
      </w:r>
      <w:r w:rsidRPr="00F668A2">
        <w:rPr>
          <w:rFonts w:ascii="Arial" w:hAnsi="Arial" w:cs="Arial"/>
        </w:rPr>
        <w:t xml:space="preserve"> - Manures and fertilizers as per POP recommendation (control)</w:t>
      </w:r>
    </w:p>
    <w:p w14:paraId="024745F4" w14:textId="77777777" w:rsidR="00D51752" w:rsidRPr="00F668A2" w:rsidRDefault="00D51752" w:rsidP="00D51752">
      <w:pPr>
        <w:pStyle w:val="Body"/>
        <w:rPr>
          <w:rFonts w:ascii="Arial" w:hAnsi="Arial" w:cs="Arial"/>
        </w:rPr>
      </w:pPr>
      <w:r w:rsidRPr="00F668A2">
        <w:rPr>
          <w:rFonts w:ascii="Arial" w:hAnsi="Arial" w:cs="Arial"/>
        </w:rPr>
        <w:t>The nursery was raised in pots of 5 kg capacity, and filled with soil, sand and FYM at the ratio 1:1:1. One third of the recommended rate of biofertilizers were applied in nursery as</w:t>
      </w:r>
      <w:r>
        <w:rPr>
          <w:rFonts w:ascii="Arial" w:hAnsi="Arial" w:cs="Arial"/>
        </w:rPr>
        <w:t xml:space="preserve"> </w:t>
      </w:r>
      <w:r w:rsidRPr="00F668A2">
        <w:rPr>
          <w:rFonts w:ascii="Arial" w:hAnsi="Arial" w:cs="Arial"/>
        </w:rPr>
        <w:t xml:space="preserve">per treatment. Seeds were sprayed with rice gruel and then coated with </w:t>
      </w:r>
      <w:proofErr w:type="spellStart"/>
      <w:r w:rsidRPr="00514BB6">
        <w:rPr>
          <w:rFonts w:ascii="Arial" w:hAnsi="Arial" w:cs="Arial"/>
          <w:i/>
          <w:iCs/>
        </w:rPr>
        <w:t>Azospirillum</w:t>
      </w:r>
      <w:proofErr w:type="spellEnd"/>
      <w:r w:rsidRPr="00F668A2">
        <w:rPr>
          <w:rFonts w:ascii="Arial" w:hAnsi="Arial" w:cs="Arial"/>
        </w:rPr>
        <w:t xml:space="preserve"> and </w:t>
      </w:r>
      <w:proofErr w:type="spellStart"/>
      <w:r w:rsidRPr="00514BB6">
        <w:rPr>
          <w:rFonts w:ascii="Arial" w:hAnsi="Arial" w:cs="Arial"/>
          <w:i/>
          <w:iCs/>
        </w:rPr>
        <w:t>Frateuria</w:t>
      </w:r>
      <w:proofErr w:type="spellEnd"/>
      <w:r w:rsidRPr="00F668A2">
        <w:rPr>
          <w:rFonts w:ascii="Arial" w:hAnsi="Arial" w:cs="Arial"/>
        </w:rPr>
        <w:t xml:space="preserve">. The seeds were shade dried for 20 minutes and sown in pots. AMF was applied in the pots after mixing with FYM at a ratio of 1:25 (KAU, 2011). Two third of the biofertilizers were applied at the time of transplanting. Root dipping of the seedlings (30 days old) was followed for inoculation of </w:t>
      </w:r>
      <w:proofErr w:type="spellStart"/>
      <w:r w:rsidRPr="00514BB6">
        <w:rPr>
          <w:rFonts w:ascii="Arial" w:hAnsi="Arial" w:cs="Arial"/>
          <w:i/>
          <w:iCs/>
        </w:rPr>
        <w:t>Azospirillum</w:t>
      </w:r>
      <w:proofErr w:type="spellEnd"/>
      <w:r w:rsidRPr="00F668A2">
        <w:rPr>
          <w:rFonts w:ascii="Arial" w:hAnsi="Arial" w:cs="Arial"/>
        </w:rPr>
        <w:t xml:space="preserve"> and </w:t>
      </w:r>
      <w:proofErr w:type="spellStart"/>
      <w:r w:rsidRPr="00514BB6">
        <w:rPr>
          <w:rFonts w:ascii="Arial" w:hAnsi="Arial" w:cs="Arial"/>
          <w:i/>
          <w:iCs/>
        </w:rPr>
        <w:t>Frateuria</w:t>
      </w:r>
      <w:proofErr w:type="spellEnd"/>
      <w:r w:rsidRPr="00F668A2">
        <w:rPr>
          <w:rFonts w:ascii="Arial" w:hAnsi="Arial" w:cs="Arial"/>
        </w:rPr>
        <w:t xml:space="preserve">. AMF was mixed with FYM in the ratio 1:25 and placed in small pits into which seedlings were transplanted. Mulching was provided in all the treatments. </w:t>
      </w:r>
      <w:r>
        <w:rPr>
          <w:rFonts w:ascii="Arial" w:hAnsi="Arial" w:cs="Arial"/>
        </w:rPr>
        <w:t>S</w:t>
      </w:r>
      <w:r w:rsidRPr="00F668A2">
        <w:rPr>
          <w:rFonts w:ascii="Arial" w:hAnsi="Arial" w:cs="Arial"/>
        </w:rPr>
        <w:t>even days</w:t>
      </w:r>
      <w:r>
        <w:rPr>
          <w:rFonts w:ascii="Arial" w:hAnsi="Arial" w:cs="Arial"/>
        </w:rPr>
        <w:t xml:space="preserve"> of</w:t>
      </w:r>
      <w:r w:rsidRPr="00F668A2">
        <w:rPr>
          <w:rFonts w:ascii="Arial" w:hAnsi="Arial" w:cs="Arial"/>
        </w:rPr>
        <w:t xml:space="preserve"> gap </w:t>
      </w:r>
      <w:r>
        <w:rPr>
          <w:rFonts w:ascii="Arial" w:hAnsi="Arial" w:cs="Arial"/>
        </w:rPr>
        <w:t>was m</w:t>
      </w:r>
      <w:r w:rsidRPr="00F668A2">
        <w:rPr>
          <w:rFonts w:ascii="Arial" w:hAnsi="Arial" w:cs="Arial"/>
        </w:rPr>
        <w:t>aintained between chemical fertilizer and biofertilizer application. Hand weeding was done regularly to keep the field free of weeds. Light earthing up was done along with top dressing of fertilizers. Irrigation was done at alternate days. Staking was given to the plants. Fruits were harvested at turning stage.</w:t>
      </w:r>
    </w:p>
    <w:p w14:paraId="0353532C" w14:textId="149558CC" w:rsidR="00D51752" w:rsidRDefault="00D51752" w:rsidP="00D51752">
      <w:pPr>
        <w:pStyle w:val="Body"/>
        <w:spacing w:after="0"/>
        <w:rPr>
          <w:rFonts w:ascii="Arial" w:hAnsi="Arial" w:cs="Arial"/>
        </w:rPr>
      </w:pPr>
      <w:r w:rsidRPr="00F668A2">
        <w:rPr>
          <w:rFonts w:ascii="Arial" w:hAnsi="Arial" w:cs="Arial"/>
        </w:rPr>
        <w:t xml:space="preserve">Observations were taken at periodic intervals. The </w:t>
      </w:r>
      <w:r>
        <w:rPr>
          <w:rFonts w:ascii="Arial" w:hAnsi="Arial" w:cs="Arial"/>
        </w:rPr>
        <w:t xml:space="preserve">plant </w:t>
      </w:r>
      <w:r w:rsidRPr="00F668A2">
        <w:rPr>
          <w:rFonts w:ascii="Arial" w:hAnsi="Arial" w:cs="Arial"/>
        </w:rPr>
        <w:t xml:space="preserve">height was recorded at 15, 30, 45 and 60 </w:t>
      </w:r>
      <w:r>
        <w:rPr>
          <w:rFonts w:ascii="Arial" w:hAnsi="Arial" w:cs="Arial"/>
        </w:rPr>
        <w:t>Days After Transplanting (</w:t>
      </w:r>
      <w:r w:rsidRPr="00F668A2">
        <w:rPr>
          <w:rFonts w:ascii="Arial" w:hAnsi="Arial" w:cs="Arial"/>
        </w:rPr>
        <w:t>DAT</w:t>
      </w:r>
      <w:r>
        <w:rPr>
          <w:rFonts w:ascii="Arial" w:hAnsi="Arial" w:cs="Arial"/>
        </w:rPr>
        <w:t xml:space="preserve">) as the average of observations from </w:t>
      </w:r>
      <w:r w:rsidRPr="00F668A2">
        <w:rPr>
          <w:rFonts w:ascii="Arial" w:hAnsi="Arial" w:cs="Arial"/>
        </w:rPr>
        <w:t>five</w:t>
      </w:r>
      <w:r>
        <w:rPr>
          <w:rFonts w:ascii="Arial" w:hAnsi="Arial" w:cs="Arial"/>
        </w:rPr>
        <w:t xml:space="preserve"> tagged </w:t>
      </w:r>
      <w:r w:rsidRPr="00F668A2">
        <w:rPr>
          <w:rFonts w:ascii="Arial" w:hAnsi="Arial" w:cs="Arial"/>
        </w:rPr>
        <w:t xml:space="preserve">plants. The measurement was done from the base of the stem to the growing tip of the plants. Number of leaves and branches of five plants per plot was counted at 30, 45 and 60 DAT. Earliness is calculated based on the number of days taken from transplanting to opening of the first flower in each plot and number of days taken from transplanting to first harvest of the fruits in each plot. Data relating to each character </w:t>
      </w:r>
      <w:r w:rsidRPr="006A7F41">
        <w:rPr>
          <w:rFonts w:ascii="Arial" w:hAnsi="Arial" w:cs="Arial"/>
          <w:color w:val="EE0000"/>
        </w:rPr>
        <w:t>w</w:t>
      </w:r>
      <w:r w:rsidR="006A7F41" w:rsidRPr="006A7F41">
        <w:rPr>
          <w:rFonts w:ascii="Arial" w:hAnsi="Arial" w:cs="Arial"/>
          <w:color w:val="EE0000"/>
        </w:rPr>
        <w:t>ere</w:t>
      </w:r>
      <w:r w:rsidRPr="006A7F41">
        <w:rPr>
          <w:rFonts w:ascii="Arial" w:hAnsi="Arial" w:cs="Arial"/>
          <w:color w:val="EE0000"/>
        </w:rPr>
        <w:t xml:space="preserve"> analy</w:t>
      </w:r>
      <w:r w:rsidR="006A7F41" w:rsidRPr="006A7F41">
        <w:rPr>
          <w:rFonts w:ascii="Arial" w:hAnsi="Arial" w:cs="Arial"/>
          <w:color w:val="EE0000"/>
        </w:rPr>
        <w:t>z</w:t>
      </w:r>
      <w:r w:rsidRPr="006A7F41">
        <w:rPr>
          <w:rFonts w:ascii="Arial" w:hAnsi="Arial" w:cs="Arial"/>
          <w:color w:val="EE0000"/>
        </w:rPr>
        <w:t xml:space="preserve">ed </w:t>
      </w:r>
      <w:r w:rsidRPr="00F668A2">
        <w:rPr>
          <w:rFonts w:ascii="Arial" w:hAnsi="Arial" w:cs="Arial"/>
        </w:rPr>
        <w:t xml:space="preserve">by applying the Analysis of Variance </w:t>
      </w:r>
      <w:r w:rsidRPr="00F668A2">
        <w:rPr>
          <w:rFonts w:ascii="Arial" w:hAnsi="Arial" w:cs="Arial"/>
        </w:rPr>
        <w:lastRenderedPageBreak/>
        <w:t>(ANOVA) and the means were compared using Duncan’s Multiple Range Test (DMRT). MSTATC was used for computation and analysis of data</w:t>
      </w:r>
      <w:r>
        <w:rPr>
          <w:rFonts w:ascii="Arial" w:hAnsi="Arial" w:cs="Arial"/>
        </w:rPr>
        <w:t>.</w:t>
      </w:r>
    </w:p>
    <w:p w14:paraId="2EAA74F0" w14:textId="77777777" w:rsidR="00D51752" w:rsidRPr="00FB3A86" w:rsidRDefault="00D51752" w:rsidP="00D51752">
      <w:pPr>
        <w:pStyle w:val="Body"/>
        <w:spacing w:after="0"/>
        <w:rPr>
          <w:rFonts w:ascii="Arial" w:hAnsi="Arial" w:cs="Arial"/>
        </w:rPr>
      </w:pPr>
    </w:p>
    <w:p w14:paraId="5C54DD45" w14:textId="77777777" w:rsidR="00D51752" w:rsidRDefault="00D51752" w:rsidP="00D51752">
      <w:pPr>
        <w:pStyle w:val="Head1"/>
        <w:spacing w:after="0" w:line="276" w:lineRule="auto"/>
        <w:jc w:val="both"/>
        <w:rPr>
          <w:rFonts w:ascii="Arial" w:hAnsi="Arial" w:cs="Arial"/>
        </w:rPr>
      </w:pPr>
      <w:r>
        <w:rPr>
          <w:rFonts w:ascii="Arial" w:hAnsi="Arial" w:cs="Arial"/>
        </w:rPr>
        <w:t>3. results and discussion</w:t>
      </w:r>
    </w:p>
    <w:p w14:paraId="3EB97A35" w14:textId="77777777" w:rsidR="00D51752" w:rsidRDefault="00D51752" w:rsidP="00D51752">
      <w:pPr>
        <w:pStyle w:val="Head1"/>
        <w:spacing w:after="0" w:line="276" w:lineRule="auto"/>
        <w:jc w:val="both"/>
        <w:rPr>
          <w:rFonts w:ascii="Arial" w:hAnsi="Arial" w:cs="Arial"/>
        </w:rPr>
      </w:pPr>
      <w:r>
        <w:rPr>
          <w:rFonts w:ascii="Arial" w:hAnsi="Arial" w:cs="Arial"/>
        </w:rPr>
        <w:t>3.1</w:t>
      </w:r>
      <w:r w:rsidRPr="003429EF">
        <w:rPr>
          <w:rFonts w:ascii="Arial" w:hAnsi="Arial" w:cs="Arial"/>
        </w:rPr>
        <w:t xml:space="preserve">. </w:t>
      </w:r>
      <w:r w:rsidRPr="00773486">
        <w:rPr>
          <w:rFonts w:ascii="Arial" w:hAnsi="Arial" w:cs="Arial"/>
          <w:caps w:val="0"/>
          <w:sz w:val="20"/>
          <w:szCs w:val="18"/>
        </w:rPr>
        <w:t xml:space="preserve">Days to germination </w:t>
      </w:r>
    </w:p>
    <w:p w14:paraId="6C920A6F" w14:textId="77777777" w:rsidR="00D51752" w:rsidRDefault="00D51752" w:rsidP="00D51752">
      <w:pPr>
        <w:pStyle w:val="Head1"/>
        <w:spacing w:line="276" w:lineRule="auto"/>
        <w:jc w:val="both"/>
        <w:rPr>
          <w:rFonts w:ascii="Arial" w:hAnsi="Arial" w:cs="Arial"/>
          <w:b w:val="0"/>
          <w:bCs/>
          <w:caps w:val="0"/>
        </w:rPr>
      </w:pPr>
      <w:r w:rsidRPr="00773486">
        <w:rPr>
          <w:rFonts w:ascii="Arial" w:hAnsi="Arial" w:cs="Arial"/>
          <w:b w:val="0"/>
          <w:bCs/>
          <w:caps w:val="0"/>
          <w:sz w:val="20"/>
          <w:szCs w:val="18"/>
        </w:rPr>
        <w:t>The days to germination varied from 4 to 4.6 days but were found to be non-significant between treatments</w:t>
      </w:r>
      <w:r>
        <w:rPr>
          <w:rFonts w:ascii="Arial" w:hAnsi="Arial" w:cs="Arial"/>
          <w:b w:val="0"/>
          <w:bCs/>
          <w:caps w:val="0"/>
        </w:rPr>
        <w:t>.</w:t>
      </w:r>
    </w:p>
    <w:p w14:paraId="39A73398" w14:textId="407C4AB3" w:rsidR="00D51752" w:rsidRPr="003429EF" w:rsidRDefault="00D51752" w:rsidP="00D51752">
      <w:pPr>
        <w:pStyle w:val="Head1"/>
        <w:jc w:val="both"/>
        <w:rPr>
          <w:rFonts w:ascii="Arial" w:hAnsi="Arial" w:cs="Arial"/>
          <w:bCs/>
          <w:caps w:val="0"/>
          <w:sz w:val="20"/>
        </w:rPr>
      </w:pPr>
      <w:r w:rsidRPr="00514BB6">
        <w:rPr>
          <w:rFonts w:ascii="Arial" w:hAnsi="Arial" w:cs="Arial"/>
          <w:bCs/>
          <w:caps w:val="0"/>
          <w:sz w:val="20"/>
        </w:rPr>
        <w:t>3.</w:t>
      </w:r>
      <w:r>
        <w:rPr>
          <w:rFonts w:ascii="Arial" w:hAnsi="Arial" w:cs="Arial"/>
          <w:bCs/>
          <w:caps w:val="0"/>
          <w:sz w:val="20"/>
        </w:rPr>
        <w:t>2</w:t>
      </w:r>
      <w:r w:rsidR="006A7F41">
        <w:rPr>
          <w:rFonts w:ascii="Arial" w:hAnsi="Arial" w:cs="Arial"/>
          <w:bCs/>
          <w:caps w:val="0"/>
          <w:sz w:val="20"/>
        </w:rPr>
        <w:t>.</w:t>
      </w:r>
      <w:r w:rsidRPr="00514BB6">
        <w:rPr>
          <w:rFonts w:ascii="Arial" w:hAnsi="Arial" w:cs="Arial"/>
          <w:bCs/>
          <w:caps w:val="0"/>
          <w:sz w:val="20"/>
        </w:rPr>
        <w:t xml:space="preserve"> Response of biofertilizers on growth parameters</w:t>
      </w:r>
    </w:p>
    <w:p w14:paraId="5E731E04" w14:textId="77777777" w:rsidR="00D51752" w:rsidRDefault="00D51752" w:rsidP="00D51752">
      <w:pPr>
        <w:pStyle w:val="ConcHead"/>
        <w:jc w:val="both"/>
        <w:rPr>
          <w:rFonts w:ascii="Arial" w:hAnsi="Arial" w:cs="Arial"/>
          <w:b w:val="0"/>
          <w:caps w:val="0"/>
          <w:sz w:val="20"/>
        </w:rPr>
      </w:pPr>
      <w:r w:rsidRPr="00F668A2">
        <w:rPr>
          <w:rFonts w:ascii="Arial" w:hAnsi="Arial" w:cs="Arial"/>
          <w:b w:val="0"/>
          <w:caps w:val="0"/>
          <w:sz w:val="20"/>
        </w:rPr>
        <w:t>Significant difference in plant height, number of leaves and number of branches due to treatments was noticed.</w:t>
      </w:r>
    </w:p>
    <w:p w14:paraId="01536A74" w14:textId="7B4A7E87" w:rsidR="00D51752" w:rsidRPr="003429EF" w:rsidRDefault="00D51752" w:rsidP="00D51752">
      <w:pPr>
        <w:pStyle w:val="ConcHead"/>
        <w:jc w:val="both"/>
        <w:rPr>
          <w:rFonts w:ascii="Arial" w:hAnsi="Arial" w:cs="Arial"/>
          <w:bCs/>
          <w:caps w:val="0"/>
          <w:sz w:val="20"/>
        </w:rPr>
      </w:pPr>
      <w:r w:rsidRPr="003429EF">
        <w:rPr>
          <w:rFonts w:ascii="Arial" w:hAnsi="Arial" w:cs="Arial"/>
          <w:bCs/>
          <w:caps w:val="0"/>
          <w:sz w:val="20"/>
        </w:rPr>
        <w:t>3.2.1</w:t>
      </w:r>
      <w:r w:rsidR="006A7F41">
        <w:rPr>
          <w:rFonts w:ascii="Arial" w:hAnsi="Arial" w:cs="Arial"/>
          <w:bCs/>
          <w:caps w:val="0"/>
          <w:sz w:val="20"/>
        </w:rPr>
        <w:t>.</w:t>
      </w:r>
      <w:r w:rsidRPr="003429EF">
        <w:rPr>
          <w:rFonts w:ascii="Arial" w:hAnsi="Arial" w:cs="Arial"/>
          <w:bCs/>
          <w:caps w:val="0"/>
          <w:sz w:val="20"/>
        </w:rPr>
        <w:t xml:space="preserve"> Height (cm)</w:t>
      </w:r>
    </w:p>
    <w:p w14:paraId="7827A64D" w14:textId="48FBADCB" w:rsidR="00D51752" w:rsidRDefault="00D51752" w:rsidP="00D51752">
      <w:pPr>
        <w:pStyle w:val="ConcHead"/>
        <w:jc w:val="both"/>
        <w:rPr>
          <w:rFonts w:ascii="Arial" w:hAnsi="Arial" w:cs="Arial"/>
          <w:b w:val="0"/>
          <w:caps w:val="0"/>
          <w:sz w:val="20"/>
        </w:rPr>
      </w:pPr>
      <w:r w:rsidRPr="00F668A2">
        <w:rPr>
          <w:rFonts w:ascii="Arial" w:hAnsi="Arial" w:cs="Arial"/>
          <w:b w:val="0"/>
          <w:caps w:val="0"/>
          <w:sz w:val="20"/>
        </w:rPr>
        <w:t xml:space="preserve">The plant height, considered to be an important factor to judge the </w:t>
      </w:r>
      <w:proofErr w:type="spellStart"/>
      <w:r w:rsidRPr="00F668A2">
        <w:rPr>
          <w:rFonts w:ascii="Arial" w:hAnsi="Arial" w:cs="Arial"/>
          <w:b w:val="0"/>
          <w:caps w:val="0"/>
          <w:sz w:val="20"/>
        </w:rPr>
        <w:t>vigour</w:t>
      </w:r>
      <w:proofErr w:type="spellEnd"/>
      <w:r w:rsidRPr="00F668A2">
        <w:rPr>
          <w:rFonts w:ascii="Arial" w:hAnsi="Arial" w:cs="Arial"/>
          <w:b w:val="0"/>
          <w:caps w:val="0"/>
          <w:sz w:val="20"/>
        </w:rPr>
        <w:t xml:space="preserve"> was found increased to a significant level with the application of biofertilizers (Fig.1). Plant height differed significantly among treatments at 15, 30, 45, and 60 days after transplanting (DAT) (Fig. 1). At 15 DAT, the maximum plant height was recorded in T</w:t>
      </w:r>
      <w:r w:rsidRPr="00090155">
        <w:rPr>
          <w:rFonts w:ascii="Arial" w:hAnsi="Arial" w:cs="Arial"/>
          <w:b w:val="0"/>
          <w:caps w:val="0"/>
          <w:sz w:val="20"/>
          <w:vertAlign w:val="subscript"/>
        </w:rPr>
        <w:t>9</w:t>
      </w:r>
      <w:r w:rsidRPr="00F668A2">
        <w:rPr>
          <w:rFonts w:ascii="Arial" w:hAnsi="Arial" w:cs="Arial"/>
          <w:b w:val="0"/>
          <w:caps w:val="0"/>
          <w:sz w:val="20"/>
        </w:rPr>
        <w:t xml:space="preserve"> (all three biofertilizers + FYM + full NPK; 30.66 cm), which was statistically comparable to T</w:t>
      </w:r>
      <w:r w:rsidRPr="00090155">
        <w:rPr>
          <w:rFonts w:ascii="Arial" w:hAnsi="Arial" w:cs="Arial"/>
          <w:b w:val="0"/>
          <w:caps w:val="0"/>
          <w:sz w:val="20"/>
          <w:vertAlign w:val="subscript"/>
        </w:rPr>
        <w:t>7</w:t>
      </w:r>
      <w:r w:rsidRPr="00F668A2">
        <w:rPr>
          <w:rFonts w:ascii="Arial" w:hAnsi="Arial" w:cs="Arial"/>
          <w:b w:val="0"/>
          <w:caps w:val="0"/>
          <w:sz w:val="20"/>
        </w:rPr>
        <w:t xml:space="preserve"> (all three biofertilizers + FYM; 30.56 cm). At 30 and 45 DAT, T</w:t>
      </w:r>
      <w:r w:rsidRPr="001E3BB7">
        <w:rPr>
          <w:rFonts w:ascii="Arial" w:hAnsi="Arial" w:cs="Arial"/>
          <w:b w:val="0"/>
          <w:caps w:val="0"/>
          <w:sz w:val="20"/>
          <w:vertAlign w:val="subscript"/>
        </w:rPr>
        <w:t>9</w:t>
      </w:r>
      <w:r w:rsidRPr="00F668A2">
        <w:rPr>
          <w:rFonts w:ascii="Arial" w:hAnsi="Arial" w:cs="Arial"/>
          <w:b w:val="0"/>
          <w:caps w:val="0"/>
          <w:sz w:val="20"/>
        </w:rPr>
        <w:t xml:space="preserve"> continued to record the tallest plants, with heights of 60.77 cm and 79.20 cm, respectively. At the final stage (60 DAT), the maximum plant height (96.18 cm) was observed in T</w:t>
      </w:r>
      <w:r w:rsidRPr="001E3BB7">
        <w:rPr>
          <w:rFonts w:ascii="Arial" w:hAnsi="Arial" w:cs="Arial"/>
          <w:b w:val="0"/>
          <w:caps w:val="0"/>
          <w:sz w:val="20"/>
          <w:vertAlign w:val="subscript"/>
        </w:rPr>
        <w:t>8</w:t>
      </w:r>
      <w:r w:rsidRPr="00F668A2">
        <w:rPr>
          <w:rFonts w:ascii="Arial" w:hAnsi="Arial" w:cs="Arial"/>
          <w:b w:val="0"/>
          <w:caps w:val="0"/>
          <w:sz w:val="20"/>
        </w:rPr>
        <w:t xml:space="preserve"> (all three biofertilizers + FYM + 50% recommended NPK), indicating the sustained influence of biofertilizers even under reduced chemical fertilizer application.</w:t>
      </w:r>
    </w:p>
    <w:p w14:paraId="2423C0BA" w14:textId="7A47204E" w:rsidR="00D51752" w:rsidRPr="00F668A2" w:rsidRDefault="00A22D19" w:rsidP="00D51752">
      <w:pPr>
        <w:pStyle w:val="ConcHead"/>
        <w:jc w:val="both"/>
        <w:rPr>
          <w:rFonts w:ascii="Arial" w:hAnsi="Arial" w:cs="Arial"/>
          <w:b w:val="0"/>
          <w:caps w:val="0"/>
          <w:sz w:val="20"/>
        </w:rPr>
      </w:pPr>
      <w:r>
        <w:rPr>
          <w:noProof/>
        </w:rPr>
        <mc:AlternateContent>
          <mc:Choice Requires="wps">
            <w:drawing>
              <wp:anchor distT="0" distB="0" distL="114300" distR="114300" simplePos="0" relativeHeight="251659264" behindDoc="0" locked="0" layoutInCell="1" allowOverlap="1" wp14:anchorId="082779FD" wp14:editId="642B8DB0">
                <wp:simplePos x="0" y="0"/>
                <wp:positionH relativeFrom="column">
                  <wp:posOffset>-67310</wp:posOffset>
                </wp:positionH>
                <wp:positionV relativeFrom="paragraph">
                  <wp:posOffset>3766820</wp:posOffset>
                </wp:positionV>
                <wp:extent cx="5346700" cy="273050"/>
                <wp:effectExtent l="0" t="0" r="6350" b="0"/>
                <wp:wrapSquare wrapText="bothSides"/>
                <wp:docPr id="309961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5694D" w14:textId="77777777" w:rsidR="00D51752" w:rsidRPr="00F824BE" w:rsidRDefault="00D51752" w:rsidP="00D51752">
                            <w:pPr>
                              <w:pStyle w:val="Caption"/>
                              <w:jc w:val="center"/>
                              <w:rPr>
                                <w:rFonts w:ascii="Arial" w:hAnsi="Arial" w:cs="Arial"/>
                                <w:b/>
                                <w:bCs/>
                                <w:i w:val="0"/>
                                <w:iCs w:val="0"/>
                                <w:noProof/>
                                <w:color w:val="auto"/>
                                <w:sz w:val="22"/>
                                <w:szCs w:val="22"/>
                              </w:rPr>
                            </w:pPr>
                            <w:r w:rsidRPr="00F824BE">
                              <w:rPr>
                                <w:rFonts w:ascii="Arial" w:hAnsi="Arial" w:cs="Arial"/>
                                <w:b/>
                                <w:bCs/>
                                <w:i w:val="0"/>
                                <w:iCs w:val="0"/>
                                <w:color w:val="auto"/>
                                <w:sz w:val="20"/>
                                <w:szCs w:val="20"/>
                              </w:rPr>
                              <w:t xml:space="preserve">Fig.1. </w:t>
                            </w:r>
                            <w:r>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of biofertilizers on height of plant at various growth stages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2779FD" id="_x0000_t202" coordsize="21600,21600" o:spt="202" path="m,l,21600r21600,l21600,xe">
                <v:stroke joinstyle="miter"/>
                <v:path gradientshapeok="t" o:connecttype="rect"/>
              </v:shapetype>
              <v:shape id="Text Box 6" o:spid="_x0000_s1026" type="#_x0000_t202" style="position:absolute;left:0;text-align:left;margin-left:-5.3pt;margin-top:296.6pt;width:421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" stroked="f">
                <v:textbox style="mso-fit-shape-to-text:t" inset="0,0,0,0">
                  <w:txbxContent>
                    <w:p w14:paraId="2945694D" w14:textId="77777777" w:rsidR="00D51752" w:rsidRPr="00F824BE" w:rsidRDefault="00D51752" w:rsidP="00D51752">
                      <w:pPr>
                        <w:pStyle w:val="Caption"/>
                        <w:jc w:val="center"/>
                        <w:rPr>
                          <w:rFonts w:ascii="Arial" w:hAnsi="Arial" w:cs="Arial"/>
                          <w:b/>
                          <w:bCs/>
                          <w:i w:val="0"/>
                          <w:iCs w:val="0"/>
                          <w:noProof/>
                          <w:color w:val="auto"/>
                          <w:sz w:val="22"/>
                          <w:szCs w:val="22"/>
                        </w:rPr>
                      </w:pPr>
                      <w:r w:rsidRPr="00F824BE">
                        <w:rPr>
                          <w:rFonts w:ascii="Arial" w:hAnsi="Arial" w:cs="Arial"/>
                          <w:b/>
                          <w:bCs/>
                          <w:i w:val="0"/>
                          <w:iCs w:val="0"/>
                          <w:color w:val="auto"/>
                          <w:sz w:val="20"/>
                          <w:szCs w:val="20"/>
                        </w:rPr>
                        <w:t xml:space="preserve">Fig.1. </w:t>
                      </w:r>
                      <w:r>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of biofertilizers on height of plant at various growth stages</w:t>
                      </w:r>
                    </w:p>
                  </w:txbxContent>
                </v:textbox>
                <w10:wrap type="square"/>
              </v:shape>
            </w:pict>
          </mc:Fallback>
        </mc:AlternateContent>
      </w:r>
      <w:r>
        <w:rPr>
          <w:rFonts w:ascii="Arial" w:hAnsi="Arial" w:cs="Arial"/>
          <w:b w:val="0"/>
          <w:caps w:val="0"/>
          <w:noProof/>
          <w:sz w:val="20"/>
        </w:rPr>
        <w:drawing>
          <wp:anchor distT="0" distB="0" distL="114300" distR="114300" simplePos="0" relativeHeight="251661312" behindDoc="0" locked="0" layoutInCell="1" allowOverlap="1" wp14:anchorId="031F96F6" wp14:editId="02C2FB23">
            <wp:simplePos x="0" y="0"/>
            <wp:positionH relativeFrom="margin">
              <wp:posOffset>-1905</wp:posOffset>
            </wp:positionH>
            <wp:positionV relativeFrom="margin">
              <wp:posOffset>4265930</wp:posOffset>
            </wp:positionV>
            <wp:extent cx="5346700" cy="3213100"/>
            <wp:effectExtent l="0" t="0" r="6350" b="6350"/>
            <wp:wrapSquare wrapText="bothSides"/>
            <wp:docPr id="1635849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6700" cy="3213100"/>
                    </a:xfrm>
                    <a:prstGeom prst="rect">
                      <a:avLst/>
                    </a:prstGeom>
                    <a:noFill/>
                  </pic:spPr>
                </pic:pic>
              </a:graphicData>
            </a:graphic>
            <wp14:sizeRelH relativeFrom="margin">
              <wp14:pctWidth>0</wp14:pctWidth>
            </wp14:sizeRelH>
            <wp14:sizeRelV relativeFrom="margin">
              <wp14:pctHeight>0</wp14:pctHeight>
            </wp14:sizeRelV>
          </wp:anchor>
        </w:drawing>
      </w:r>
      <w:r w:rsidR="00D51752" w:rsidRPr="00F668A2">
        <w:rPr>
          <w:rFonts w:ascii="Arial" w:hAnsi="Arial" w:cs="Arial"/>
          <w:b w:val="0"/>
          <w:caps w:val="0"/>
          <w:sz w:val="20"/>
        </w:rPr>
        <w:t xml:space="preserve">The significant improvement in plant height with biofertilizer application may be attributed to enhanced nutrient availability and the synthesis of growth-promoting substances, resulting in increased cell division and elongation (Sreenivasa, 1994). Similar responses have been </w:t>
      </w:r>
      <w:r w:rsidR="00D51752" w:rsidRPr="00F668A2">
        <w:rPr>
          <w:rFonts w:ascii="Arial" w:hAnsi="Arial" w:cs="Arial"/>
          <w:b w:val="0"/>
          <w:caps w:val="0"/>
          <w:sz w:val="20"/>
        </w:rPr>
        <w:lastRenderedPageBreak/>
        <w:t>reported in tomato (</w:t>
      </w:r>
      <w:proofErr w:type="spellStart"/>
      <w:r w:rsidR="00D51752" w:rsidRPr="00F668A2">
        <w:rPr>
          <w:rFonts w:ascii="Arial" w:hAnsi="Arial" w:cs="Arial"/>
          <w:b w:val="0"/>
          <w:caps w:val="0"/>
          <w:sz w:val="20"/>
        </w:rPr>
        <w:t>Premsekhar</w:t>
      </w:r>
      <w:proofErr w:type="spellEnd"/>
      <w:r w:rsidR="00D51752" w:rsidRPr="00F668A2">
        <w:rPr>
          <w:rFonts w:ascii="Arial" w:hAnsi="Arial" w:cs="Arial"/>
          <w:b w:val="0"/>
          <w:caps w:val="0"/>
          <w:sz w:val="20"/>
        </w:rPr>
        <w:t xml:space="preserve"> and Rajasree, 2009), onion (</w:t>
      </w:r>
      <w:proofErr w:type="spellStart"/>
      <w:r w:rsidR="00D51752" w:rsidRPr="00694044">
        <w:rPr>
          <w:rFonts w:ascii="Arial" w:hAnsi="Arial" w:cs="Arial"/>
          <w:b w:val="0"/>
          <w:caps w:val="0"/>
          <w:sz w:val="20"/>
        </w:rPr>
        <w:t>Prusty</w:t>
      </w:r>
      <w:proofErr w:type="spellEnd"/>
      <w:r w:rsidR="00D51752" w:rsidRPr="00694044">
        <w:rPr>
          <w:rFonts w:ascii="Arial" w:hAnsi="Arial" w:cs="Arial"/>
          <w:b w:val="0"/>
          <w:caps w:val="0"/>
          <w:sz w:val="20"/>
        </w:rPr>
        <w:t xml:space="preserve"> M., </w:t>
      </w:r>
      <w:r w:rsidR="00D51752" w:rsidRPr="00694044">
        <w:rPr>
          <w:rFonts w:ascii="Arial" w:hAnsi="Arial" w:cs="Arial"/>
          <w:b w:val="0"/>
          <w:i/>
          <w:iCs/>
          <w:caps w:val="0"/>
          <w:sz w:val="20"/>
        </w:rPr>
        <w:t>et a</w:t>
      </w:r>
      <w:r w:rsidR="00D51752" w:rsidRPr="00694044">
        <w:rPr>
          <w:rFonts w:ascii="Arial" w:hAnsi="Arial" w:cs="Arial"/>
          <w:b w:val="0"/>
          <w:caps w:val="0"/>
          <w:sz w:val="20"/>
        </w:rPr>
        <w:t>l.,</w:t>
      </w:r>
      <w:r w:rsidR="00D51752">
        <w:rPr>
          <w:rFonts w:ascii="Arial" w:hAnsi="Arial" w:cs="Arial"/>
          <w:b w:val="0"/>
          <w:caps w:val="0"/>
          <w:sz w:val="20"/>
        </w:rPr>
        <w:t xml:space="preserve"> </w:t>
      </w:r>
      <w:r w:rsidR="00D51752" w:rsidRPr="00694044">
        <w:rPr>
          <w:rFonts w:ascii="Arial" w:hAnsi="Arial" w:cs="Arial"/>
          <w:b w:val="0"/>
          <w:caps w:val="0"/>
          <w:sz w:val="20"/>
        </w:rPr>
        <w:t>2019</w:t>
      </w:r>
      <w:r w:rsidR="00D51752" w:rsidRPr="00F668A2">
        <w:rPr>
          <w:rFonts w:ascii="Arial" w:hAnsi="Arial" w:cs="Arial"/>
          <w:b w:val="0"/>
          <w:caps w:val="0"/>
          <w:sz w:val="20"/>
        </w:rPr>
        <w:t>), and okra (Anisa, 2011), where reduced nitrogen levels supplemented with biofertilizers significantly enhanced plant growth.</w:t>
      </w:r>
    </w:p>
    <w:p w14:paraId="0AA55C0B" w14:textId="77777777" w:rsidR="00D51752" w:rsidRDefault="00D51752" w:rsidP="00D51752">
      <w:pPr>
        <w:pStyle w:val="ConcHead"/>
        <w:jc w:val="both"/>
        <w:rPr>
          <w:rFonts w:ascii="Arial" w:hAnsi="Arial" w:cs="Arial"/>
          <w:b w:val="0"/>
          <w:caps w:val="0"/>
          <w:sz w:val="20"/>
        </w:rPr>
      </w:pPr>
      <w:r w:rsidRPr="00F668A2">
        <w:rPr>
          <w:rFonts w:ascii="Arial" w:hAnsi="Arial" w:cs="Arial"/>
          <w:b w:val="0"/>
          <w:caps w:val="0"/>
          <w:sz w:val="20"/>
        </w:rPr>
        <w:t>The superior performance of T</w:t>
      </w:r>
      <w:r w:rsidRPr="001E3BB7">
        <w:rPr>
          <w:rFonts w:ascii="Arial" w:hAnsi="Arial" w:cs="Arial"/>
          <w:b w:val="0"/>
          <w:caps w:val="0"/>
          <w:sz w:val="20"/>
          <w:vertAlign w:val="subscript"/>
        </w:rPr>
        <w:t>8</w:t>
      </w:r>
      <w:r w:rsidRPr="00F668A2">
        <w:rPr>
          <w:rFonts w:ascii="Arial" w:hAnsi="Arial" w:cs="Arial"/>
          <w:b w:val="0"/>
          <w:caps w:val="0"/>
          <w:sz w:val="20"/>
        </w:rPr>
        <w:t xml:space="preserve"> at 60 DAT could be associated with the higher and sustained population of biofertilizers under this treatment leading to prolonged nutrient availability. Growth enhancement due to </w:t>
      </w:r>
      <w:proofErr w:type="spellStart"/>
      <w:r w:rsidRPr="0001538D">
        <w:rPr>
          <w:rFonts w:ascii="Arial" w:hAnsi="Arial" w:cs="Arial"/>
          <w:b w:val="0"/>
          <w:i/>
          <w:iCs/>
          <w:caps w:val="0"/>
          <w:sz w:val="20"/>
        </w:rPr>
        <w:t>Azospirillum</w:t>
      </w:r>
      <w:proofErr w:type="spellEnd"/>
      <w:r w:rsidRPr="0001538D">
        <w:rPr>
          <w:rFonts w:ascii="Arial" w:hAnsi="Arial" w:cs="Arial"/>
          <w:b w:val="0"/>
          <w:i/>
          <w:iCs/>
          <w:caps w:val="0"/>
          <w:sz w:val="20"/>
        </w:rPr>
        <w:t xml:space="preserve"> </w:t>
      </w:r>
      <w:r w:rsidRPr="00F668A2">
        <w:rPr>
          <w:rFonts w:ascii="Arial" w:hAnsi="Arial" w:cs="Arial"/>
          <w:b w:val="0"/>
          <w:caps w:val="0"/>
          <w:sz w:val="20"/>
        </w:rPr>
        <w:t>has been attributed to its nitrogen-fixing ability, increased nitrogenase activity, and production of phytohormones such as IAA, gibberellins, and cytokinin-like substances (</w:t>
      </w:r>
      <w:proofErr w:type="spellStart"/>
      <w:r w:rsidRPr="00F668A2">
        <w:rPr>
          <w:rFonts w:ascii="Arial" w:hAnsi="Arial" w:cs="Arial"/>
          <w:b w:val="0"/>
          <w:caps w:val="0"/>
          <w:sz w:val="20"/>
        </w:rPr>
        <w:t>Veeraraghavathatham</w:t>
      </w:r>
      <w:proofErr w:type="spellEnd"/>
      <w:r w:rsidRPr="00F668A2">
        <w:rPr>
          <w:rFonts w:ascii="Arial" w:hAnsi="Arial" w:cs="Arial"/>
          <w:b w:val="0"/>
          <w:caps w:val="0"/>
          <w:sz w:val="20"/>
        </w:rPr>
        <w:t xml:space="preserve"> </w:t>
      </w:r>
      <w:r w:rsidRPr="00090155">
        <w:rPr>
          <w:rFonts w:ascii="Arial" w:hAnsi="Arial" w:cs="Arial"/>
          <w:b w:val="0"/>
          <w:i/>
          <w:iCs/>
          <w:caps w:val="0"/>
          <w:sz w:val="20"/>
        </w:rPr>
        <w:t>et al</w:t>
      </w:r>
      <w:r w:rsidRPr="00F668A2">
        <w:rPr>
          <w:rFonts w:ascii="Arial" w:hAnsi="Arial" w:cs="Arial"/>
          <w:b w:val="0"/>
          <w:caps w:val="0"/>
          <w:sz w:val="20"/>
        </w:rPr>
        <w:t>., 1988; Govindarajan and Thangaraju, 2001).</w:t>
      </w:r>
    </w:p>
    <w:p w14:paraId="04C8B584" w14:textId="73E50883" w:rsidR="00D51752" w:rsidRPr="00ED383D" w:rsidRDefault="00D51752" w:rsidP="00D51752">
      <w:pPr>
        <w:pStyle w:val="ConcHead"/>
        <w:jc w:val="both"/>
        <w:rPr>
          <w:rFonts w:ascii="Arial" w:hAnsi="Arial" w:cs="Arial"/>
          <w:bCs/>
          <w:caps w:val="0"/>
          <w:sz w:val="20"/>
        </w:rPr>
      </w:pPr>
      <w:r w:rsidRPr="00ED383D">
        <w:rPr>
          <w:rFonts w:ascii="Arial" w:hAnsi="Arial" w:cs="Arial"/>
          <w:bCs/>
          <w:caps w:val="0"/>
          <w:sz w:val="20"/>
        </w:rPr>
        <w:t>3.2.2</w:t>
      </w:r>
      <w:r w:rsidR="006A7F41">
        <w:rPr>
          <w:rFonts w:ascii="Arial" w:hAnsi="Arial" w:cs="Arial"/>
          <w:bCs/>
          <w:caps w:val="0"/>
          <w:sz w:val="20"/>
        </w:rPr>
        <w:t>.</w:t>
      </w:r>
      <w:r w:rsidRPr="00ED383D">
        <w:rPr>
          <w:rFonts w:ascii="Arial" w:hAnsi="Arial" w:cs="Arial"/>
          <w:bCs/>
          <w:caps w:val="0"/>
          <w:sz w:val="20"/>
        </w:rPr>
        <w:t xml:space="preserve"> Number of leaves</w:t>
      </w:r>
    </w:p>
    <w:p w14:paraId="6E587921" w14:textId="2B1D4945" w:rsidR="00A22D19" w:rsidRDefault="00D51752" w:rsidP="00A22D19">
      <w:pPr>
        <w:pStyle w:val="ConcHead"/>
        <w:spacing w:after="0"/>
        <w:jc w:val="both"/>
        <w:rPr>
          <w:rFonts w:ascii="Arial" w:hAnsi="Arial" w:cs="Arial"/>
          <w:b w:val="0"/>
          <w:caps w:val="0"/>
          <w:sz w:val="20"/>
        </w:rPr>
      </w:pPr>
      <w:r w:rsidRPr="00F668A2">
        <w:rPr>
          <w:rFonts w:ascii="Arial" w:hAnsi="Arial" w:cs="Arial"/>
          <w:b w:val="0"/>
          <w:caps w:val="0"/>
          <w:sz w:val="20"/>
        </w:rPr>
        <w:t xml:space="preserve">The number of leaves differed significantly among treatments at 30, 45 and 60 DAT (Fig.2). </w:t>
      </w:r>
      <w:r w:rsidRPr="007D1AC8">
        <w:rPr>
          <w:rFonts w:ascii="Arial" w:hAnsi="Arial" w:cs="Arial"/>
          <w:b w:val="0"/>
          <w:caps w:val="0"/>
          <w:sz w:val="20"/>
        </w:rPr>
        <w:t>At all stages, T</w:t>
      </w:r>
      <w:r w:rsidRPr="00773486">
        <w:rPr>
          <w:rFonts w:ascii="Arial" w:hAnsi="Arial" w:cs="Arial"/>
          <w:b w:val="0"/>
          <w:caps w:val="0"/>
          <w:sz w:val="20"/>
          <w:vertAlign w:val="subscript"/>
        </w:rPr>
        <w:t xml:space="preserve">9 </w:t>
      </w:r>
      <w:r w:rsidRPr="007D1AC8">
        <w:rPr>
          <w:rFonts w:ascii="Arial" w:hAnsi="Arial" w:cs="Arial"/>
          <w:b w:val="0"/>
          <w:caps w:val="0"/>
          <w:sz w:val="20"/>
        </w:rPr>
        <w:t xml:space="preserve">recorded the highest number of leaves.  </w:t>
      </w:r>
      <w:r w:rsidRPr="00F668A2">
        <w:rPr>
          <w:rFonts w:ascii="Arial" w:hAnsi="Arial" w:cs="Arial"/>
          <w:b w:val="0"/>
          <w:caps w:val="0"/>
          <w:sz w:val="20"/>
        </w:rPr>
        <w:t>At 30 DAT, T</w:t>
      </w:r>
      <w:r w:rsidRPr="00773486">
        <w:rPr>
          <w:rFonts w:ascii="Arial" w:hAnsi="Arial" w:cs="Arial"/>
          <w:b w:val="0"/>
          <w:caps w:val="0"/>
          <w:sz w:val="20"/>
          <w:vertAlign w:val="subscript"/>
        </w:rPr>
        <w:t>9</w:t>
      </w:r>
      <w:r w:rsidRPr="00F668A2">
        <w:rPr>
          <w:rFonts w:ascii="Arial" w:hAnsi="Arial" w:cs="Arial"/>
          <w:b w:val="0"/>
          <w:caps w:val="0"/>
          <w:sz w:val="20"/>
        </w:rPr>
        <w:t xml:space="preserve"> was superior, though it was on par with T</w:t>
      </w:r>
      <w:r w:rsidRPr="00773486">
        <w:rPr>
          <w:rFonts w:ascii="Arial" w:hAnsi="Arial" w:cs="Arial"/>
          <w:b w:val="0"/>
          <w:caps w:val="0"/>
          <w:sz w:val="20"/>
          <w:vertAlign w:val="subscript"/>
        </w:rPr>
        <w:t>1</w:t>
      </w:r>
      <w:r w:rsidRPr="00F668A2">
        <w:rPr>
          <w:rFonts w:ascii="Arial" w:hAnsi="Arial" w:cs="Arial"/>
          <w:b w:val="0"/>
          <w:caps w:val="0"/>
          <w:sz w:val="20"/>
        </w:rPr>
        <w:t>, T</w:t>
      </w:r>
      <w:r w:rsidRPr="00773486">
        <w:rPr>
          <w:rFonts w:ascii="Arial" w:hAnsi="Arial" w:cs="Arial"/>
          <w:b w:val="0"/>
          <w:caps w:val="0"/>
          <w:sz w:val="20"/>
          <w:vertAlign w:val="subscript"/>
        </w:rPr>
        <w:t>2</w:t>
      </w:r>
      <w:r w:rsidRPr="00F668A2">
        <w:rPr>
          <w:rFonts w:ascii="Arial" w:hAnsi="Arial" w:cs="Arial"/>
          <w:b w:val="0"/>
          <w:caps w:val="0"/>
          <w:sz w:val="20"/>
        </w:rPr>
        <w:t>, T</w:t>
      </w:r>
      <w:r w:rsidRPr="00773486">
        <w:rPr>
          <w:rFonts w:ascii="Arial" w:hAnsi="Arial" w:cs="Arial"/>
          <w:b w:val="0"/>
          <w:caps w:val="0"/>
          <w:sz w:val="20"/>
          <w:vertAlign w:val="subscript"/>
        </w:rPr>
        <w:t>7</w:t>
      </w:r>
      <w:r w:rsidRPr="00F668A2">
        <w:rPr>
          <w:rFonts w:ascii="Arial" w:hAnsi="Arial" w:cs="Arial"/>
          <w:b w:val="0"/>
          <w:caps w:val="0"/>
          <w:sz w:val="20"/>
        </w:rPr>
        <w:t xml:space="preserve"> and T</w:t>
      </w:r>
      <w:r w:rsidRPr="00773486">
        <w:rPr>
          <w:rFonts w:ascii="Arial" w:hAnsi="Arial" w:cs="Arial"/>
          <w:b w:val="0"/>
          <w:caps w:val="0"/>
          <w:sz w:val="20"/>
          <w:vertAlign w:val="subscript"/>
        </w:rPr>
        <w:t>8</w:t>
      </w:r>
      <w:r w:rsidRPr="00F668A2">
        <w:rPr>
          <w:rFonts w:ascii="Arial" w:hAnsi="Arial" w:cs="Arial"/>
          <w:b w:val="0"/>
          <w:caps w:val="0"/>
          <w:sz w:val="20"/>
        </w:rPr>
        <w:t>. At 45 DAT, T</w:t>
      </w:r>
      <w:r w:rsidRPr="00773486">
        <w:rPr>
          <w:rFonts w:ascii="Arial" w:hAnsi="Arial" w:cs="Arial"/>
          <w:b w:val="0"/>
          <w:caps w:val="0"/>
          <w:sz w:val="20"/>
          <w:vertAlign w:val="subscript"/>
        </w:rPr>
        <w:t>9</w:t>
      </w:r>
      <w:r w:rsidRPr="00F668A2">
        <w:rPr>
          <w:rFonts w:ascii="Arial" w:hAnsi="Arial" w:cs="Arial"/>
          <w:b w:val="0"/>
          <w:caps w:val="0"/>
          <w:sz w:val="20"/>
        </w:rPr>
        <w:t xml:space="preserve"> remained significantly superior, followed by T</w:t>
      </w:r>
      <w:r w:rsidRPr="00773486">
        <w:rPr>
          <w:rFonts w:ascii="Arial" w:hAnsi="Arial" w:cs="Arial"/>
          <w:b w:val="0"/>
          <w:caps w:val="0"/>
          <w:sz w:val="20"/>
          <w:vertAlign w:val="subscript"/>
        </w:rPr>
        <w:t>7</w:t>
      </w:r>
      <w:r w:rsidRPr="00F668A2">
        <w:rPr>
          <w:rFonts w:ascii="Arial" w:hAnsi="Arial" w:cs="Arial"/>
          <w:b w:val="0"/>
          <w:caps w:val="0"/>
          <w:sz w:val="20"/>
        </w:rPr>
        <w:t>, while T</w:t>
      </w:r>
      <w:r w:rsidRPr="00773486">
        <w:rPr>
          <w:rFonts w:ascii="Arial" w:hAnsi="Arial" w:cs="Arial"/>
          <w:b w:val="0"/>
          <w:caps w:val="0"/>
          <w:sz w:val="20"/>
          <w:vertAlign w:val="subscript"/>
        </w:rPr>
        <w:t>4</w:t>
      </w:r>
      <w:r w:rsidRPr="00F668A2">
        <w:rPr>
          <w:rFonts w:ascii="Arial" w:hAnsi="Arial" w:cs="Arial"/>
          <w:b w:val="0"/>
          <w:caps w:val="0"/>
          <w:sz w:val="20"/>
        </w:rPr>
        <w:t xml:space="preserve"> and T</w:t>
      </w:r>
      <w:r w:rsidRPr="00773486">
        <w:rPr>
          <w:rFonts w:ascii="Arial" w:hAnsi="Arial" w:cs="Arial"/>
          <w:b w:val="0"/>
          <w:caps w:val="0"/>
          <w:sz w:val="20"/>
          <w:vertAlign w:val="subscript"/>
        </w:rPr>
        <w:t>10</w:t>
      </w:r>
      <w:r w:rsidRPr="00F668A2">
        <w:rPr>
          <w:rFonts w:ascii="Arial" w:hAnsi="Arial" w:cs="Arial"/>
          <w:b w:val="0"/>
          <w:caps w:val="0"/>
          <w:sz w:val="20"/>
        </w:rPr>
        <w:t xml:space="preserve"> were on par with T</w:t>
      </w:r>
      <w:r w:rsidRPr="00773486">
        <w:rPr>
          <w:rFonts w:ascii="Arial" w:hAnsi="Arial" w:cs="Arial"/>
          <w:b w:val="0"/>
          <w:caps w:val="0"/>
          <w:sz w:val="20"/>
          <w:vertAlign w:val="subscript"/>
        </w:rPr>
        <w:t>8</w:t>
      </w:r>
      <w:r w:rsidRPr="00F668A2">
        <w:rPr>
          <w:rFonts w:ascii="Arial" w:hAnsi="Arial" w:cs="Arial"/>
          <w:b w:val="0"/>
          <w:caps w:val="0"/>
          <w:sz w:val="20"/>
        </w:rPr>
        <w:t>. At 60 DAT, T9 recorded</w:t>
      </w:r>
      <w:r w:rsidR="00A22D19">
        <w:rPr>
          <w:rFonts w:ascii="Arial" w:hAnsi="Arial" w:cs="Arial"/>
          <w:b w:val="0"/>
          <w:caps w:val="0"/>
          <w:sz w:val="20"/>
        </w:rPr>
        <w:t xml:space="preserve"> </w:t>
      </w:r>
      <w:r w:rsidRPr="00F668A2">
        <w:rPr>
          <w:rFonts w:ascii="Arial" w:hAnsi="Arial" w:cs="Arial"/>
          <w:b w:val="0"/>
          <w:caps w:val="0"/>
          <w:sz w:val="20"/>
        </w:rPr>
        <w:t>the maximum number of</w:t>
      </w:r>
      <w:r w:rsidR="00A22D19">
        <w:rPr>
          <w:rFonts w:ascii="Arial" w:hAnsi="Arial" w:cs="Arial"/>
          <w:b w:val="0"/>
          <w:caps w:val="0"/>
          <w:sz w:val="20"/>
        </w:rPr>
        <w:t xml:space="preserve"> </w:t>
      </w:r>
      <w:r w:rsidR="00A22D19" w:rsidRPr="00F668A2">
        <w:rPr>
          <w:rFonts w:ascii="Arial" w:hAnsi="Arial" w:cs="Arial"/>
          <w:b w:val="0"/>
          <w:caps w:val="0"/>
          <w:sz w:val="20"/>
        </w:rPr>
        <w:t>leaves (52.58), followed by T</w:t>
      </w:r>
      <w:r w:rsidR="00A22D19" w:rsidRPr="00773486">
        <w:rPr>
          <w:rFonts w:ascii="Arial" w:hAnsi="Arial" w:cs="Arial"/>
          <w:b w:val="0"/>
          <w:caps w:val="0"/>
          <w:sz w:val="20"/>
          <w:vertAlign w:val="subscript"/>
        </w:rPr>
        <w:t>7</w:t>
      </w:r>
      <w:r w:rsidR="00A22D19" w:rsidRPr="00F668A2">
        <w:rPr>
          <w:rFonts w:ascii="Arial" w:hAnsi="Arial" w:cs="Arial"/>
          <w:b w:val="0"/>
          <w:caps w:val="0"/>
          <w:sz w:val="20"/>
        </w:rPr>
        <w:t xml:space="preserve"> and T</w:t>
      </w:r>
      <w:r w:rsidR="00A22D19" w:rsidRPr="00773486">
        <w:rPr>
          <w:rFonts w:ascii="Arial" w:hAnsi="Arial" w:cs="Arial"/>
          <w:b w:val="0"/>
          <w:caps w:val="0"/>
          <w:sz w:val="20"/>
          <w:vertAlign w:val="subscript"/>
        </w:rPr>
        <w:t>8</w:t>
      </w:r>
      <w:r w:rsidR="00A22D19" w:rsidRPr="00F668A2">
        <w:rPr>
          <w:rFonts w:ascii="Arial" w:hAnsi="Arial" w:cs="Arial"/>
          <w:b w:val="0"/>
          <w:caps w:val="0"/>
          <w:sz w:val="20"/>
        </w:rPr>
        <w:t>, and control plants were on par with these treatments.</w:t>
      </w:r>
    </w:p>
    <w:p w14:paraId="42F2D32B" w14:textId="6D55C4F9" w:rsidR="00D51752" w:rsidRDefault="00A22D19" w:rsidP="00D51752">
      <w:pPr>
        <w:pStyle w:val="ConcHead"/>
        <w:jc w:val="both"/>
        <w:rPr>
          <w:rFonts w:ascii="Arial" w:hAnsi="Arial" w:cs="Arial"/>
          <w:b w:val="0"/>
          <w:caps w:val="0"/>
          <w:sz w:val="20"/>
        </w:rPr>
      </w:pPr>
      <w:r>
        <w:rPr>
          <w:rFonts w:ascii="Arial" w:hAnsi="Arial" w:cs="Arial"/>
          <w:b w:val="0"/>
          <w:caps w:val="0"/>
          <w:noProof/>
          <w:sz w:val="20"/>
        </w:rPr>
        <w:drawing>
          <wp:anchor distT="0" distB="0" distL="114300" distR="114300" simplePos="0" relativeHeight="251662336" behindDoc="0" locked="0" layoutInCell="1" allowOverlap="1" wp14:anchorId="54F4110C" wp14:editId="2126C623">
            <wp:simplePos x="0" y="0"/>
            <wp:positionH relativeFrom="margin">
              <wp:posOffset>-146685</wp:posOffset>
            </wp:positionH>
            <wp:positionV relativeFrom="margin">
              <wp:posOffset>3765550</wp:posOffset>
            </wp:positionV>
            <wp:extent cx="5499100" cy="3213100"/>
            <wp:effectExtent l="0" t="0" r="6350" b="6350"/>
            <wp:wrapSquare wrapText="bothSides"/>
            <wp:docPr id="7812216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anchor>
        </w:drawing>
      </w:r>
      <w:r>
        <w:rPr>
          <w:noProof/>
        </w:rPr>
        <mc:AlternateContent>
          <mc:Choice Requires="wps">
            <w:drawing>
              <wp:anchor distT="0" distB="0" distL="114300" distR="114300" simplePos="0" relativeHeight="251664384" behindDoc="0" locked="0" layoutInCell="1" allowOverlap="1" wp14:anchorId="51F006FC" wp14:editId="44D85022">
                <wp:simplePos x="0" y="0"/>
                <wp:positionH relativeFrom="column">
                  <wp:posOffset>-137160</wp:posOffset>
                </wp:positionH>
                <wp:positionV relativeFrom="paragraph">
                  <wp:posOffset>915670</wp:posOffset>
                </wp:positionV>
                <wp:extent cx="5499100" cy="273050"/>
                <wp:effectExtent l="0" t="0" r="6350" b="0"/>
                <wp:wrapSquare wrapText="bothSides"/>
                <wp:docPr id="861374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4BB76" w14:textId="77777777" w:rsidR="00A22D19" w:rsidRPr="00AC5147" w:rsidRDefault="00A22D19" w:rsidP="00A22D19">
                            <w:pPr>
                              <w:pStyle w:val="Caption"/>
                              <w:jc w:val="center"/>
                              <w:rPr>
                                <w:rFonts w:ascii="Arial" w:hAnsi="Arial" w:cs="Arial"/>
                                <w:i w:val="0"/>
                                <w:iCs w:val="0"/>
                                <w:noProof/>
                                <w:color w:val="auto"/>
                                <w:sz w:val="22"/>
                                <w:szCs w:val="22"/>
                              </w:rPr>
                            </w:pPr>
                            <w:r>
                              <w:rPr>
                                <w:rFonts w:ascii="Arial" w:hAnsi="Arial" w:cs="Arial"/>
                                <w:b/>
                                <w:bCs/>
                                <w:i w:val="0"/>
                                <w:iCs w:val="0"/>
                                <w:color w:val="auto"/>
                                <w:sz w:val="20"/>
                                <w:szCs w:val="20"/>
                              </w:rPr>
                              <w:t xml:space="preserve">Fig.2.  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biofertilizers on number of leaves at various growth stages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006FC" id="Text Box 8" o:spid="_x0000_s1027" type="#_x0000_t202" style="position:absolute;left:0;text-align:left;margin-left:-10.8pt;margin-top:72.1pt;width:433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" stroked="f">
                <v:textbox style="mso-fit-shape-to-text:t" inset="0,0,0,0">
                  <w:txbxContent>
                    <w:p w14:paraId="38C4BB76" w14:textId="77777777" w:rsidR="00A22D19" w:rsidRPr="00AC5147" w:rsidRDefault="00A22D19" w:rsidP="00A22D19">
                      <w:pPr>
                        <w:pStyle w:val="Caption"/>
                        <w:jc w:val="center"/>
                        <w:rPr>
                          <w:rFonts w:ascii="Arial" w:hAnsi="Arial" w:cs="Arial"/>
                          <w:i w:val="0"/>
                          <w:iCs w:val="0"/>
                          <w:noProof/>
                          <w:color w:val="auto"/>
                          <w:sz w:val="22"/>
                          <w:szCs w:val="22"/>
                        </w:rPr>
                      </w:pPr>
                      <w:r>
                        <w:rPr>
                          <w:rFonts w:ascii="Arial" w:hAnsi="Arial" w:cs="Arial"/>
                          <w:b/>
                          <w:bCs/>
                          <w:i w:val="0"/>
                          <w:iCs w:val="0"/>
                          <w:color w:val="auto"/>
                          <w:sz w:val="20"/>
                          <w:szCs w:val="20"/>
                        </w:rPr>
                        <w:t xml:space="preserve">Fig.2.  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biofertilizers on number of leaves at various growth stages</w:t>
                      </w:r>
                    </w:p>
                  </w:txbxContent>
                </v:textbox>
                <w10:wrap type="square"/>
              </v:shape>
            </w:pict>
          </mc:Fallback>
        </mc:AlternateContent>
      </w:r>
      <w:r w:rsidRPr="00F668A2">
        <w:rPr>
          <w:rFonts w:ascii="Arial" w:hAnsi="Arial" w:cs="Arial"/>
          <w:b w:val="0"/>
          <w:caps w:val="0"/>
          <w:sz w:val="20"/>
        </w:rPr>
        <w:t>Among the morphological traits associated with yield, the maintenance of functional leaves is of primary importance, as leaves constitute the main site of photosynthesis and assimilate production. The significant variation in leaf number observed at 30, 45, and 60 DAT reflects the strong influence of nutrient management on canopy development. The consistently higher leaf production under T</w:t>
      </w:r>
      <w:r w:rsidRPr="00773486">
        <w:rPr>
          <w:rFonts w:ascii="Arial" w:hAnsi="Arial" w:cs="Arial"/>
          <w:b w:val="0"/>
          <w:caps w:val="0"/>
          <w:sz w:val="20"/>
          <w:vertAlign w:val="subscript"/>
        </w:rPr>
        <w:t>9</w:t>
      </w:r>
      <w:r w:rsidRPr="00F668A2">
        <w:rPr>
          <w:rFonts w:ascii="Arial" w:hAnsi="Arial" w:cs="Arial"/>
          <w:b w:val="0"/>
          <w:caps w:val="0"/>
          <w:sz w:val="20"/>
        </w:rPr>
        <w:t xml:space="preserve"> (combined application of all three biofertilizers with FYM and the full recommended dose of NPK) can be attributed to improved rhizosphere conditions that favored enhanced water and nutrient uptake. Biofertilizers improve nutrient availability and root activity, thereby promoting sustained leaf initiation and expansion.</w:t>
      </w:r>
      <w:r>
        <w:rPr>
          <w:rFonts w:ascii="Arial" w:hAnsi="Arial" w:cs="Arial"/>
          <w:b w:val="0"/>
          <w:caps w:val="0"/>
          <w:sz w:val="20"/>
        </w:rPr>
        <w:t xml:space="preserve"> </w:t>
      </w:r>
      <w:r w:rsidR="00D51752" w:rsidRPr="00F668A2">
        <w:rPr>
          <w:rFonts w:ascii="Arial" w:hAnsi="Arial" w:cs="Arial"/>
          <w:b w:val="0"/>
          <w:caps w:val="0"/>
          <w:sz w:val="20"/>
        </w:rPr>
        <w:t xml:space="preserve">In particular, improved nitrogen availability enhances chlorophyll synthesis and leaf development, resulting in a larger </w:t>
      </w:r>
      <w:r w:rsidR="00D51752" w:rsidRPr="00F668A2">
        <w:rPr>
          <w:rFonts w:ascii="Arial" w:hAnsi="Arial" w:cs="Arial"/>
          <w:b w:val="0"/>
          <w:caps w:val="0"/>
          <w:sz w:val="20"/>
        </w:rPr>
        <w:lastRenderedPageBreak/>
        <w:t>photosynthetic surface area and improved vegetative growth, which ultimately contributes to higher yield potential.</w:t>
      </w:r>
    </w:p>
    <w:p w14:paraId="789BE3C5" w14:textId="34847304" w:rsidR="00D51752" w:rsidRPr="00ED383D" w:rsidRDefault="00D51752" w:rsidP="00D51752">
      <w:pPr>
        <w:pStyle w:val="ConcHead"/>
        <w:jc w:val="both"/>
        <w:rPr>
          <w:rFonts w:ascii="Arial" w:hAnsi="Arial" w:cs="Arial"/>
          <w:bCs/>
          <w:caps w:val="0"/>
          <w:sz w:val="20"/>
        </w:rPr>
      </w:pPr>
      <w:r w:rsidRPr="00ED383D">
        <w:rPr>
          <w:rFonts w:ascii="Arial" w:hAnsi="Arial" w:cs="Arial"/>
          <w:bCs/>
          <w:caps w:val="0"/>
          <w:sz w:val="20"/>
        </w:rPr>
        <w:t>3.2.3</w:t>
      </w:r>
      <w:r w:rsidR="006A7F41">
        <w:rPr>
          <w:rFonts w:ascii="Arial" w:hAnsi="Arial" w:cs="Arial"/>
          <w:bCs/>
          <w:caps w:val="0"/>
          <w:sz w:val="20"/>
        </w:rPr>
        <w:t>.</w:t>
      </w:r>
      <w:r w:rsidRPr="00ED383D">
        <w:rPr>
          <w:rFonts w:ascii="Arial" w:hAnsi="Arial" w:cs="Arial"/>
          <w:bCs/>
          <w:caps w:val="0"/>
          <w:sz w:val="20"/>
        </w:rPr>
        <w:t xml:space="preserve"> Number of branches</w:t>
      </w:r>
    </w:p>
    <w:p w14:paraId="0F7E03E4" w14:textId="77777777"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The number of branches varied significantly among treatments at 30, 45, and 60 DAT (Fig. 3). At 30 DAT, T</w:t>
      </w:r>
      <w:r w:rsidRPr="00773486">
        <w:rPr>
          <w:rFonts w:ascii="Arial" w:hAnsi="Arial" w:cs="Arial"/>
          <w:b w:val="0"/>
          <w:caps w:val="0"/>
          <w:sz w:val="20"/>
          <w:vertAlign w:val="subscript"/>
        </w:rPr>
        <w:t>7</w:t>
      </w:r>
      <w:r w:rsidRPr="00F668A2">
        <w:rPr>
          <w:rFonts w:ascii="Arial" w:hAnsi="Arial" w:cs="Arial"/>
          <w:b w:val="0"/>
          <w:caps w:val="0"/>
          <w:sz w:val="20"/>
        </w:rPr>
        <w:t xml:space="preserve"> (all three biofertilizers + FYM) recorded the highest number of branches (5.08), which was statistically on par with T</w:t>
      </w:r>
      <w:r w:rsidRPr="00773486">
        <w:rPr>
          <w:rFonts w:ascii="Arial" w:hAnsi="Arial" w:cs="Arial"/>
          <w:b w:val="0"/>
          <w:caps w:val="0"/>
          <w:sz w:val="20"/>
          <w:vertAlign w:val="subscript"/>
        </w:rPr>
        <w:t>9</w:t>
      </w:r>
      <w:r w:rsidRPr="00F668A2">
        <w:rPr>
          <w:rFonts w:ascii="Arial" w:hAnsi="Arial" w:cs="Arial"/>
          <w:b w:val="0"/>
          <w:caps w:val="0"/>
          <w:sz w:val="20"/>
        </w:rPr>
        <w:t>, while the control was comparable with T</w:t>
      </w:r>
      <w:r w:rsidRPr="00773486">
        <w:rPr>
          <w:rFonts w:ascii="Arial" w:hAnsi="Arial" w:cs="Arial"/>
          <w:b w:val="0"/>
          <w:caps w:val="0"/>
          <w:sz w:val="20"/>
          <w:vertAlign w:val="subscript"/>
        </w:rPr>
        <w:t>8</w:t>
      </w:r>
      <w:r w:rsidRPr="00F668A2">
        <w:rPr>
          <w:rFonts w:ascii="Arial" w:hAnsi="Arial" w:cs="Arial"/>
          <w:b w:val="0"/>
          <w:caps w:val="0"/>
          <w:sz w:val="20"/>
        </w:rPr>
        <w:t xml:space="preserve"> and T</w:t>
      </w:r>
      <w:r w:rsidRPr="00773486">
        <w:rPr>
          <w:rFonts w:ascii="Arial" w:hAnsi="Arial" w:cs="Arial"/>
          <w:b w:val="0"/>
          <w:caps w:val="0"/>
          <w:sz w:val="20"/>
          <w:vertAlign w:val="subscript"/>
        </w:rPr>
        <w:t>6</w:t>
      </w:r>
      <w:r w:rsidRPr="00F668A2">
        <w:rPr>
          <w:rFonts w:ascii="Arial" w:hAnsi="Arial" w:cs="Arial"/>
          <w:b w:val="0"/>
          <w:caps w:val="0"/>
          <w:sz w:val="20"/>
        </w:rPr>
        <w:t>. At 45 DAT, T</w:t>
      </w:r>
      <w:r w:rsidRPr="00773486">
        <w:rPr>
          <w:rFonts w:ascii="Arial" w:hAnsi="Arial" w:cs="Arial"/>
          <w:b w:val="0"/>
          <w:caps w:val="0"/>
          <w:sz w:val="20"/>
          <w:vertAlign w:val="subscript"/>
        </w:rPr>
        <w:t>7</w:t>
      </w:r>
      <w:r w:rsidRPr="00F668A2">
        <w:rPr>
          <w:rFonts w:ascii="Arial" w:hAnsi="Arial" w:cs="Arial"/>
          <w:b w:val="0"/>
          <w:caps w:val="0"/>
          <w:sz w:val="20"/>
        </w:rPr>
        <w:t xml:space="preserve"> remained superior (8.78 branches), followed by T</w:t>
      </w:r>
      <w:r w:rsidRPr="00773486">
        <w:rPr>
          <w:rFonts w:ascii="Arial" w:hAnsi="Arial" w:cs="Arial"/>
          <w:b w:val="0"/>
          <w:caps w:val="0"/>
          <w:sz w:val="20"/>
          <w:vertAlign w:val="subscript"/>
        </w:rPr>
        <w:t>4</w:t>
      </w:r>
      <w:r w:rsidRPr="00F668A2">
        <w:rPr>
          <w:rFonts w:ascii="Arial" w:hAnsi="Arial" w:cs="Arial"/>
          <w:b w:val="0"/>
          <w:caps w:val="0"/>
          <w:sz w:val="20"/>
        </w:rPr>
        <w:t>, whereas T</w:t>
      </w:r>
      <w:r w:rsidRPr="00773486">
        <w:rPr>
          <w:rFonts w:ascii="Arial" w:hAnsi="Arial" w:cs="Arial"/>
          <w:b w:val="0"/>
          <w:caps w:val="0"/>
          <w:sz w:val="20"/>
          <w:vertAlign w:val="subscript"/>
        </w:rPr>
        <w:t>3</w:t>
      </w:r>
      <w:r w:rsidRPr="00F668A2">
        <w:rPr>
          <w:rFonts w:ascii="Arial" w:hAnsi="Arial" w:cs="Arial"/>
          <w:b w:val="0"/>
          <w:caps w:val="0"/>
          <w:sz w:val="20"/>
        </w:rPr>
        <w:t xml:space="preserve"> recorded the minimum number of branches. A similar trend was observed at 60 DAT, where T</w:t>
      </w:r>
      <w:r w:rsidRPr="00773486">
        <w:rPr>
          <w:rFonts w:ascii="Arial" w:hAnsi="Arial" w:cs="Arial"/>
          <w:b w:val="0"/>
          <w:caps w:val="0"/>
          <w:sz w:val="20"/>
          <w:vertAlign w:val="subscript"/>
        </w:rPr>
        <w:t>7</w:t>
      </w:r>
      <w:r w:rsidRPr="00F668A2">
        <w:rPr>
          <w:rFonts w:ascii="Arial" w:hAnsi="Arial" w:cs="Arial"/>
          <w:b w:val="0"/>
          <w:caps w:val="0"/>
          <w:sz w:val="20"/>
        </w:rPr>
        <w:t xml:space="preserve"> produced the maximum number of branches (12.00), followed by T</w:t>
      </w:r>
      <w:r w:rsidRPr="00773486">
        <w:rPr>
          <w:rFonts w:ascii="Arial" w:hAnsi="Arial" w:cs="Arial"/>
          <w:b w:val="0"/>
          <w:caps w:val="0"/>
          <w:sz w:val="20"/>
          <w:vertAlign w:val="subscript"/>
        </w:rPr>
        <w:t>4</w:t>
      </w:r>
      <w:r w:rsidRPr="00F668A2">
        <w:rPr>
          <w:rFonts w:ascii="Arial" w:hAnsi="Arial" w:cs="Arial"/>
          <w:b w:val="0"/>
          <w:caps w:val="0"/>
          <w:sz w:val="20"/>
        </w:rPr>
        <w:t>, while T</w:t>
      </w:r>
      <w:r w:rsidRPr="00773486">
        <w:rPr>
          <w:rFonts w:ascii="Arial" w:hAnsi="Arial" w:cs="Arial"/>
          <w:b w:val="0"/>
          <w:caps w:val="0"/>
          <w:sz w:val="20"/>
          <w:vertAlign w:val="subscript"/>
        </w:rPr>
        <w:t>6</w:t>
      </w:r>
      <w:r w:rsidRPr="00F668A2">
        <w:rPr>
          <w:rFonts w:ascii="Arial" w:hAnsi="Arial" w:cs="Arial"/>
          <w:b w:val="0"/>
          <w:caps w:val="0"/>
          <w:sz w:val="20"/>
        </w:rPr>
        <w:t>, T</w:t>
      </w:r>
      <w:r w:rsidRPr="00773486">
        <w:rPr>
          <w:rFonts w:ascii="Arial" w:hAnsi="Arial" w:cs="Arial"/>
          <w:b w:val="0"/>
          <w:caps w:val="0"/>
          <w:sz w:val="20"/>
          <w:vertAlign w:val="subscript"/>
        </w:rPr>
        <w:t>10</w:t>
      </w:r>
      <w:r w:rsidRPr="00F668A2">
        <w:rPr>
          <w:rFonts w:ascii="Arial" w:hAnsi="Arial" w:cs="Arial"/>
          <w:b w:val="0"/>
          <w:caps w:val="0"/>
          <w:sz w:val="20"/>
        </w:rPr>
        <w:t>, T</w:t>
      </w:r>
      <w:r w:rsidRPr="00773486">
        <w:rPr>
          <w:rFonts w:ascii="Arial" w:hAnsi="Arial" w:cs="Arial"/>
          <w:b w:val="0"/>
          <w:caps w:val="0"/>
          <w:sz w:val="20"/>
          <w:vertAlign w:val="subscript"/>
        </w:rPr>
        <w:t>8</w:t>
      </w:r>
      <w:r w:rsidRPr="00F668A2">
        <w:rPr>
          <w:rFonts w:ascii="Arial" w:hAnsi="Arial" w:cs="Arial"/>
          <w:b w:val="0"/>
          <w:caps w:val="0"/>
          <w:sz w:val="20"/>
        </w:rPr>
        <w:t>, and T</w:t>
      </w:r>
      <w:r w:rsidRPr="00773486">
        <w:rPr>
          <w:rFonts w:ascii="Arial" w:hAnsi="Arial" w:cs="Arial"/>
          <w:b w:val="0"/>
          <w:caps w:val="0"/>
          <w:sz w:val="20"/>
          <w:vertAlign w:val="subscript"/>
        </w:rPr>
        <w:t>9</w:t>
      </w:r>
      <w:r w:rsidRPr="00F668A2">
        <w:rPr>
          <w:rFonts w:ascii="Arial" w:hAnsi="Arial" w:cs="Arial"/>
          <w:b w:val="0"/>
          <w:caps w:val="0"/>
          <w:sz w:val="20"/>
        </w:rPr>
        <w:t xml:space="preserve"> were statistically on par.</w:t>
      </w:r>
    </w:p>
    <w:p w14:paraId="7067F719" w14:textId="77777777" w:rsidR="00D51752" w:rsidRDefault="00D51752" w:rsidP="00D51752">
      <w:pPr>
        <w:pStyle w:val="ConcHead"/>
        <w:keepNext w:val="0"/>
        <w:widowControl w:val="0"/>
        <w:jc w:val="both"/>
        <w:rPr>
          <w:rFonts w:ascii="Arial" w:hAnsi="Arial" w:cs="Arial"/>
          <w:b w:val="0"/>
          <w:caps w:val="0"/>
          <w:sz w:val="20"/>
        </w:rPr>
      </w:pPr>
      <w:r w:rsidRPr="00F668A2">
        <w:rPr>
          <w:rFonts w:ascii="Arial" w:hAnsi="Arial" w:cs="Arial"/>
          <w:b w:val="0"/>
          <w:caps w:val="0"/>
          <w:sz w:val="20"/>
        </w:rPr>
        <w:t>Branch number is an important yield-contributing trait, as increased branching enhances canopy spread and potential sink strength. The significant increase in branch number with biofertilizer application, particularly under T</w:t>
      </w:r>
      <w:r w:rsidRPr="007A65D1">
        <w:rPr>
          <w:rFonts w:ascii="Arial" w:hAnsi="Arial" w:cs="Arial"/>
          <w:b w:val="0"/>
          <w:caps w:val="0"/>
          <w:sz w:val="20"/>
          <w:vertAlign w:val="subscript"/>
        </w:rPr>
        <w:t>7</w:t>
      </w:r>
      <w:r w:rsidRPr="00F668A2">
        <w:rPr>
          <w:rFonts w:ascii="Arial" w:hAnsi="Arial" w:cs="Arial"/>
          <w:b w:val="0"/>
          <w:caps w:val="0"/>
          <w:sz w:val="20"/>
        </w:rPr>
        <w:t>, suggests improved regulation of plant growth and hormonal balance. Biofertilizers are known to influence endogenous phytohormone levels, especially by reducing apical dominance through modulation of auxin activity, thereby promoting axillary bud break and branch initiation (Rademacher, 1991). Similar observations were reported by Hinson and Hanson (1962), who demonstrated that partial suppression of apical dominance accelerates the development of axillary buds into lateral branches.</w:t>
      </w:r>
      <w:r>
        <w:rPr>
          <w:rFonts w:ascii="Arial" w:hAnsi="Arial" w:cs="Arial"/>
          <w:b w:val="0"/>
          <w:caps w:val="0"/>
          <w:sz w:val="20"/>
        </w:rPr>
        <w:t xml:space="preserve"> </w:t>
      </w:r>
      <w:r w:rsidRPr="00F668A2">
        <w:rPr>
          <w:rFonts w:ascii="Arial" w:hAnsi="Arial" w:cs="Arial"/>
          <w:b w:val="0"/>
          <w:caps w:val="0"/>
          <w:sz w:val="20"/>
        </w:rPr>
        <w:t>The superior branching response under T</w:t>
      </w:r>
      <w:r w:rsidRPr="00773486">
        <w:rPr>
          <w:rFonts w:ascii="Arial" w:hAnsi="Arial" w:cs="Arial"/>
          <w:b w:val="0"/>
          <w:caps w:val="0"/>
          <w:sz w:val="20"/>
          <w:vertAlign w:val="subscript"/>
        </w:rPr>
        <w:t>7</w:t>
      </w:r>
      <w:r w:rsidRPr="00F668A2">
        <w:rPr>
          <w:rFonts w:ascii="Arial" w:hAnsi="Arial" w:cs="Arial"/>
          <w:b w:val="0"/>
          <w:caps w:val="0"/>
          <w:sz w:val="20"/>
        </w:rPr>
        <w:t xml:space="preserve"> may also be attributed to improved nutrient availability and root activity in the rhizosphere, resulting in sustained vegetative growth. Enhanced nitrogen availability and balanced nutrient uptake support meristematic activity and lateral</w:t>
      </w:r>
      <w:r>
        <w:rPr>
          <w:rFonts w:ascii="Arial" w:hAnsi="Arial" w:cs="Arial"/>
          <w:b w:val="0"/>
          <w:caps w:val="0"/>
          <w:sz w:val="20"/>
        </w:rPr>
        <w:t xml:space="preserve"> </w:t>
      </w:r>
      <w:r w:rsidRPr="00F668A2">
        <w:rPr>
          <w:rFonts w:ascii="Arial" w:hAnsi="Arial" w:cs="Arial"/>
          <w:b w:val="0"/>
          <w:caps w:val="0"/>
          <w:sz w:val="20"/>
        </w:rPr>
        <w:t>shoot development, ultimately leading to an increased number of branches and improved yield potential.</w:t>
      </w:r>
    </w:p>
    <w:p w14:paraId="5F7F7FE7" w14:textId="77777777" w:rsidR="00D51752" w:rsidRDefault="00D51752" w:rsidP="00A22D19">
      <w:pPr>
        <w:pStyle w:val="ConcHead"/>
        <w:keepNext w:val="0"/>
        <w:widowControl w:val="0"/>
        <w:jc w:val="center"/>
        <w:rPr>
          <w:rFonts w:ascii="Arial" w:hAnsi="Arial" w:cs="Arial"/>
          <w:b w:val="0"/>
          <w:caps w:val="0"/>
          <w:sz w:val="20"/>
        </w:rPr>
      </w:pPr>
      <w:r>
        <w:rPr>
          <w:rFonts w:ascii="Arial" w:hAnsi="Arial" w:cs="Arial"/>
          <w:b w:val="0"/>
          <w:caps w:val="0"/>
          <w:noProof/>
          <w:sz w:val="20"/>
        </w:rPr>
        <w:drawing>
          <wp:inline distT="0" distB="0" distL="0" distR="0" wp14:anchorId="5983AB7C" wp14:editId="04EFF3FE">
            <wp:extent cx="3661107" cy="2139351"/>
            <wp:effectExtent l="0" t="0" r="0" b="0"/>
            <wp:docPr id="1703944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1771" cy="2151426"/>
                    </a:xfrm>
                    <a:prstGeom prst="rect">
                      <a:avLst/>
                    </a:prstGeom>
                    <a:noFill/>
                  </pic:spPr>
                </pic:pic>
              </a:graphicData>
            </a:graphic>
          </wp:inline>
        </w:drawing>
      </w:r>
    </w:p>
    <w:p w14:paraId="395AAAA4" w14:textId="77777777" w:rsidR="00D51752" w:rsidRDefault="00D51752" w:rsidP="00D51752">
      <w:pPr>
        <w:pStyle w:val="ConcHead"/>
        <w:keepNext w:val="0"/>
        <w:widowControl w:val="0"/>
        <w:jc w:val="both"/>
        <w:rPr>
          <w:rFonts w:ascii="Arial" w:hAnsi="Arial" w:cs="Arial"/>
          <w:b w:val="0"/>
          <w:caps w:val="0"/>
          <w:sz w:val="20"/>
        </w:rPr>
      </w:pPr>
    </w:p>
    <w:p w14:paraId="66513ABB" w14:textId="77777777" w:rsidR="00D51752" w:rsidRPr="00ED383D" w:rsidRDefault="00D51752" w:rsidP="00D51752">
      <w:pPr>
        <w:pStyle w:val="Caption"/>
        <w:jc w:val="center"/>
        <w:rPr>
          <w:rFonts w:ascii="Arial" w:hAnsi="Arial" w:cs="Arial"/>
          <w:i w:val="0"/>
          <w:iCs w:val="0"/>
          <w:color w:val="auto"/>
          <w:sz w:val="22"/>
          <w:szCs w:val="22"/>
        </w:rPr>
      </w:pPr>
      <w:r>
        <w:rPr>
          <w:rFonts w:ascii="Arial" w:hAnsi="Arial" w:cs="Arial"/>
          <w:b/>
          <w:bCs/>
          <w:i w:val="0"/>
          <w:iCs w:val="0"/>
          <w:color w:val="auto"/>
          <w:sz w:val="20"/>
          <w:szCs w:val="20"/>
        </w:rPr>
        <w:t xml:space="preserve">Fig.3.  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 xml:space="preserve">biofertilizers on number of </w:t>
      </w:r>
      <w:r>
        <w:rPr>
          <w:rFonts w:ascii="Arial" w:hAnsi="Arial" w:cs="Arial"/>
          <w:b/>
          <w:bCs/>
          <w:i w:val="0"/>
          <w:iCs w:val="0"/>
          <w:color w:val="auto"/>
          <w:sz w:val="20"/>
          <w:szCs w:val="20"/>
        </w:rPr>
        <w:t xml:space="preserve">branches </w:t>
      </w:r>
      <w:r w:rsidRPr="00AC5147">
        <w:rPr>
          <w:rFonts w:ascii="Arial" w:hAnsi="Arial" w:cs="Arial"/>
          <w:b/>
          <w:bCs/>
          <w:i w:val="0"/>
          <w:iCs w:val="0"/>
          <w:color w:val="auto"/>
          <w:sz w:val="20"/>
          <w:szCs w:val="20"/>
        </w:rPr>
        <w:t>at various growth stages</w:t>
      </w:r>
    </w:p>
    <w:p w14:paraId="5546FA04" w14:textId="77777777" w:rsidR="00D51752" w:rsidRDefault="00D51752" w:rsidP="00D51752">
      <w:pPr>
        <w:pStyle w:val="ConcHead"/>
        <w:keepNext w:val="0"/>
        <w:widowControl w:val="0"/>
        <w:jc w:val="both"/>
        <w:rPr>
          <w:rFonts w:ascii="Arial" w:hAnsi="Arial" w:cs="Arial"/>
          <w:b w:val="0"/>
          <w:caps w:val="0"/>
          <w:sz w:val="20"/>
        </w:rPr>
      </w:pPr>
    </w:p>
    <w:p w14:paraId="1EF23C61" w14:textId="77777777" w:rsidR="00D51752" w:rsidRDefault="00D51752" w:rsidP="00D51752">
      <w:pPr>
        <w:pStyle w:val="ConcHead"/>
        <w:keepNext w:val="0"/>
        <w:widowControl w:val="0"/>
        <w:jc w:val="both"/>
        <w:rPr>
          <w:rFonts w:ascii="Arial" w:hAnsi="Arial" w:cs="Arial"/>
          <w:b w:val="0"/>
          <w:caps w:val="0"/>
          <w:sz w:val="20"/>
        </w:rPr>
      </w:pPr>
    </w:p>
    <w:p w14:paraId="4E030F4F" w14:textId="77777777" w:rsidR="00D51752" w:rsidRDefault="00D51752" w:rsidP="00D51752">
      <w:pPr>
        <w:pStyle w:val="ConcHead"/>
        <w:keepNext w:val="0"/>
        <w:widowControl w:val="0"/>
        <w:jc w:val="both"/>
        <w:rPr>
          <w:rFonts w:ascii="Arial" w:hAnsi="Arial" w:cs="Arial"/>
          <w:b w:val="0"/>
          <w:caps w:val="0"/>
          <w:sz w:val="20"/>
        </w:rPr>
      </w:pPr>
    </w:p>
    <w:p w14:paraId="201BF105" w14:textId="2D17E0FD" w:rsidR="00D51752" w:rsidRPr="00ED383D" w:rsidRDefault="00D51752" w:rsidP="00D51752">
      <w:pPr>
        <w:pStyle w:val="ConcHead"/>
        <w:keepNext w:val="0"/>
        <w:widowControl w:val="0"/>
        <w:jc w:val="both"/>
        <w:rPr>
          <w:rFonts w:ascii="Arial" w:hAnsi="Arial" w:cs="Arial"/>
          <w:bCs/>
          <w:caps w:val="0"/>
          <w:sz w:val="20"/>
        </w:rPr>
      </w:pPr>
      <w:r w:rsidRPr="00ED383D">
        <w:rPr>
          <w:rFonts w:ascii="Arial" w:hAnsi="Arial" w:cs="Arial"/>
          <w:bCs/>
          <w:caps w:val="0"/>
          <w:sz w:val="20"/>
        </w:rPr>
        <w:lastRenderedPageBreak/>
        <w:t>3.3</w:t>
      </w:r>
      <w:r w:rsidR="006A737C">
        <w:rPr>
          <w:rFonts w:ascii="Arial" w:hAnsi="Arial" w:cs="Arial"/>
          <w:bCs/>
          <w:caps w:val="0"/>
          <w:sz w:val="20"/>
        </w:rPr>
        <w:t>.</w:t>
      </w:r>
      <w:r w:rsidRPr="00ED383D">
        <w:rPr>
          <w:rFonts w:ascii="Arial" w:hAnsi="Arial" w:cs="Arial"/>
          <w:bCs/>
          <w:caps w:val="0"/>
          <w:sz w:val="20"/>
        </w:rPr>
        <w:t xml:space="preserve"> Earliness of the crop</w:t>
      </w:r>
    </w:p>
    <w:p w14:paraId="6AFA1592" w14:textId="77777777" w:rsidR="00D51752" w:rsidRDefault="00D51752" w:rsidP="00D51752">
      <w:pPr>
        <w:pStyle w:val="ConcHead"/>
        <w:keepNext w:val="0"/>
        <w:widowControl w:val="0"/>
        <w:jc w:val="both"/>
        <w:rPr>
          <w:rFonts w:ascii="Arial" w:hAnsi="Arial" w:cs="Arial"/>
          <w:b w:val="0"/>
          <w:caps w:val="0"/>
          <w:sz w:val="20"/>
        </w:rPr>
      </w:pPr>
      <w:r w:rsidRPr="00F668A2">
        <w:rPr>
          <w:rFonts w:ascii="Arial" w:hAnsi="Arial" w:cs="Arial"/>
          <w:b w:val="0"/>
          <w:caps w:val="0"/>
          <w:sz w:val="20"/>
        </w:rPr>
        <w:t xml:space="preserve">Data pertaining to earliness-related traits are presented in Table 1. </w:t>
      </w:r>
    </w:p>
    <w:p w14:paraId="171A6A31" w14:textId="77777777" w:rsidR="00D51752" w:rsidRDefault="00D51752" w:rsidP="00D51752">
      <w:pPr>
        <w:pStyle w:val="ConcHead"/>
        <w:keepNext w:val="0"/>
        <w:widowControl w:val="0"/>
        <w:jc w:val="both"/>
        <w:rPr>
          <w:rFonts w:ascii="Arial" w:hAnsi="Arial" w:cs="Arial"/>
          <w:b w:val="0"/>
          <w:caps w:val="0"/>
          <w:sz w:val="20"/>
        </w:rPr>
      </w:pPr>
    </w:p>
    <w:p w14:paraId="6B689FDB" w14:textId="77777777" w:rsidR="00D51752" w:rsidRDefault="00D51752" w:rsidP="00D51752">
      <w:pPr>
        <w:pStyle w:val="Caption"/>
        <w:jc w:val="center"/>
        <w:rPr>
          <w:rFonts w:ascii="Arial" w:hAnsi="Arial" w:cs="Arial"/>
          <w:b/>
          <w:bCs/>
          <w:i w:val="0"/>
          <w:iCs w:val="0"/>
          <w:color w:val="auto"/>
          <w:sz w:val="20"/>
          <w:szCs w:val="20"/>
        </w:rPr>
      </w:pPr>
      <w:r w:rsidRPr="00BF1D0A">
        <w:rPr>
          <w:rFonts w:ascii="Arial" w:hAnsi="Arial" w:cs="Arial"/>
          <w:b/>
          <w:bCs/>
          <w:i w:val="0"/>
          <w:iCs w:val="0"/>
          <w:color w:val="auto"/>
          <w:sz w:val="20"/>
          <w:szCs w:val="20"/>
        </w:rPr>
        <w:t>Table 1</w:t>
      </w:r>
      <w:r>
        <w:rPr>
          <w:rFonts w:ascii="Arial" w:hAnsi="Arial" w:cs="Arial"/>
          <w:b/>
          <w:bCs/>
          <w:i w:val="0"/>
          <w:iCs w:val="0"/>
          <w:color w:val="auto"/>
          <w:sz w:val="20"/>
          <w:szCs w:val="20"/>
        </w:rPr>
        <w:t xml:space="preserve">. </w:t>
      </w:r>
      <w:r w:rsidRPr="00BF1D0A">
        <w:t xml:space="preserve"> </w:t>
      </w:r>
      <w:r w:rsidRPr="00BF1D0A">
        <w:rPr>
          <w:rFonts w:ascii="Arial" w:hAnsi="Arial" w:cs="Arial"/>
          <w:b/>
          <w:bCs/>
          <w:i w:val="0"/>
          <w:iCs w:val="0"/>
          <w:color w:val="auto"/>
          <w:sz w:val="20"/>
          <w:szCs w:val="20"/>
        </w:rPr>
        <w:t>Response of biofertilizers on earliness of the crop</w:t>
      </w:r>
    </w:p>
    <w:p w14:paraId="27C98E65" w14:textId="77777777" w:rsidR="00D51752" w:rsidRDefault="00D51752" w:rsidP="00D51752"/>
    <w:p w14:paraId="7A6879A7" w14:textId="77777777" w:rsidR="00D51752" w:rsidRPr="00087EFB" w:rsidRDefault="00D51752" w:rsidP="00A22D19">
      <w:pPr>
        <w:jc w:val="center"/>
      </w:pPr>
      <w:r w:rsidRPr="00BF1D0A">
        <w:rPr>
          <w:noProof/>
        </w:rPr>
        <w:drawing>
          <wp:inline distT="0" distB="0" distL="0" distR="0" wp14:anchorId="344E91F7" wp14:editId="45428A58">
            <wp:extent cx="5212080" cy="3016863"/>
            <wp:effectExtent l="0" t="0" r="0" b="0"/>
            <wp:docPr id="8761305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3016863"/>
                    </a:xfrm>
                    <a:prstGeom prst="rect">
                      <a:avLst/>
                    </a:prstGeom>
                    <a:noFill/>
                    <a:ln>
                      <a:noFill/>
                    </a:ln>
                  </pic:spPr>
                </pic:pic>
              </a:graphicData>
            </a:graphic>
          </wp:inline>
        </w:drawing>
      </w:r>
    </w:p>
    <w:p w14:paraId="150FE804" w14:textId="77777777" w:rsidR="00D51752" w:rsidRPr="00BF1D0A" w:rsidRDefault="00D51752" w:rsidP="00D51752">
      <w:pPr>
        <w:pStyle w:val="ConcHead"/>
        <w:keepNext w:val="0"/>
        <w:widowControl w:val="0"/>
        <w:jc w:val="both"/>
        <w:rPr>
          <w:rFonts w:ascii="Arial" w:hAnsi="Arial" w:cs="Arial"/>
          <w:bCs/>
          <w:caps w:val="0"/>
          <w:sz w:val="20"/>
        </w:rPr>
      </w:pPr>
      <w:r w:rsidRPr="00BF1D0A">
        <w:rPr>
          <w:rFonts w:ascii="Arial" w:hAnsi="Arial" w:cs="Arial"/>
          <w:bCs/>
          <w:caps w:val="0"/>
          <w:sz w:val="20"/>
        </w:rPr>
        <w:t>3.3.1 Days to first flower opening</w:t>
      </w:r>
    </w:p>
    <w:p w14:paraId="1E44AE1B" w14:textId="77777777" w:rsidR="00D51752" w:rsidRDefault="00D51752" w:rsidP="00D51752">
      <w:pPr>
        <w:pStyle w:val="ConcHead"/>
        <w:keepNext w:val="0"/>
        <w:widowControl w:val="0"/>
        <w:jc w:val="both"/>
        <w:rPr>
          <w:rFonts w:ascii="Arial" w:hAnsi="Arial" w:cs="Arial"/>
          <w:b w:val="0"/>
          <w:caps w:val="0"/>
          <w:sz w:val="20"/>
        </w:rPr>
      </w:pPr>
      <w:r w:rsidRPr="00F668A2">
        <w:rPr>
          <w:rFonts w:ascii="Arial" w:hAnsi="Arial" w:cs="Arial"/>
          <w:b w:val="0"/>
          <w:caps w:val="0"/>
          <w:sz w:val="20"/>
        </w:rPr>
        <w:t>Treatments differed significantly with respect to days to first flower opening. Early flowering was observed in T</w:t>
      </w:r>
      <w:r w:rsidRPr="007A65D1">
        <w:rPr>
          <w:rFonts w:ascii="Arial" w:hAnsi="Arial" w:cs="Arial"/>
          <w:b w:val="0"/>
          <w:caps w:val="0"/>
          <w:sz w:val="20"/>
          <w:vertAlign w:val="subscript"/>
        </w:rPr>
        <w:t>7</w:t>
      </w:r>
      <w:r w:rsidRPr="00F668A2">
        <w:rPr>
          <w:rFonts w:ascii="Arial" w:hAnsi="Arial" w:cs="Arial"/>
          <w:b w:val="0"/>
          <w:caps w:val="0"/>
          <w:sz w:val="20"/>
        </w:rPr>
        <w:t xml:space="preserve"> which recorded the minimum number of days to first flower opening (28.50 and 28.88 days, respectively). Delayed flowering was recorded in T</w:t>
      </w:r>
      <w:r w:rsidRPr="007A65D1">
        <w:rPr>
          <w:rFonts w:ascii="Arial" w:hAnsi="Arial" w:cs="Arial"/>
          <w:b w:val="0"/>
          <w:caps w:val="0"/>
          <w:sz w:val="20"/>
          <w:vertAlign w:val="subscript"/>
        </w:rPr>
        <w:t>1</w:t>
      </w:r>
      <w:r w:rsidRPr="00F668A2">
        <w:rPr>
          <w:rFonts w:ascii="Arial" w:hAnsi="Arial" w:cs="Arial"/>
          <w:b w:val="0"/>
          <w:caps w:val="0"/>
          <w:sz w:val="20"/>
        </w:rPr>
        <w:t xml:space="preserve"> and T</w:t>
      </w:r>
      <w:r w:rsidRPr="007A65D1">
        <w:rPr>
          <w:rFonts w:ascii="Arial" w:hAnsi="Arial" w:cs="Arial"/>
          <w:b w:val="0"/>
          <w:caps w:val="0"/>
          <w:sz w:val="20"/>
          <w:vertAlign w:val="subscript"/>
        </w:rPr>
        <w:t>3</w:t>
      </w:r>
      <w:r>
        <w:rPr>
          <w:rFonts w:ascii="Arial" w:hAnsi="Arial" w:cs="Arial"/>
          <w:b w:val="0"/>
          <w:caps w:val="0"/>
          <w:sz w:val="20"/>
        </w:rPr>
        <w:t xml:space="preserve">, </w:t>
      </w:r>
      <w:r w:rsidRPr="00F668A2">
        <w:rPr>
          <w:rFonts w:ascii="Arial" w:hAnsi="Arial" w:cs="Arial"/>
          <w:b w:val="0"/>
          <w:caps w:val="0"/>
          <w:sz w:val="20"/>
        </w:rPr>
        <w:t>while the control exhibited intermediate flowering duration.</w:t>
      </w:r>
    </w:p>
    <w:p w14:paraId="4BD814AE" w14:textId="77777777" w:rsidR="00D51752" w:rsidRPr="00BF1D0A" w:rsidRDefault="00D51752" w:rsidP="00D51752">
      <w:pPr>
        <w:pStyle w:val="ConcHead"/>
        <w:jc w:val="both"/>
        <w:rPr>
          <w:rFonts w:ascii="Arial" w:hAnsi="Arial" w:cs="Arial"/>
          <w:caps w:val="0"/>
          <w:sz w:val="20"/>
        </w:rPr>
      </w:pPr>
      <w:r w:rsidRPr="00BF1D0A">
        <w:rPr>
          <w:rFonts w:ascii="Arial" w:hAnsi="Arial" w:cs="Arial"/>
          <w:caps w:val="0"/>
          <w:sz w:val="20"/>
        </w:rPr>
        <w:t>3.3.1 Days to first harvest</w:t>
      </w:r>
    </w:p>
    <w:p w14:paraId="3B9E2D01" w14:textId="77777777"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Significant variation was also observed for days to first harvest. Early harvest was recorded in T</w:t>
      </w:r>
      <w:r w:rsidRPr="000E7825">
        <w:rPr>
          <w:rFonts w:ascii="Arial" w:hAnsi="Arial" w:cs="Arial"/>
          <w:b w:val="0"/>
          <w:caps w:val="0"/>
          <w:sz w:val="20"/>
          <w:vertAlign w:val="subscript"/>
        </w:rPr>
        <w:t>7</w:t>
      </w:r>
      <w:r w:rsidRPr="00F668A2">
        <w:rPr>
          <w:rFonts w:ascii="Arial" w:hAnsi="Arial" w:cs="Arial"/>
          <w:b w:val="0"/>
          <w:caps w:val="0"/>
          <w:sz w:val="20"/>
        </w:rPr>
        <w:t>, T</w:t>
      </w:r>
      <w:r w:rsidRPr="000E7825">
        <w:rPr>
          <w:rFonts w:ascii="Arial" w:hAnsi="Arial" w:cs="Arial"/>
          <w:b w:val="0"/>
          <w:caps w:val="0"/>
          <w:sz w:val="20"/>
          <w:vertAlign w:val="subscript"/>
        </w:rPr>
        <w:t>2</w:t>
      </w:r>
      <w:r w:rsidRPr="00F668A2">
        <w:rPr>
          <w:rFonts w:ascii="Arial" w:hAnsi="Arial" w:cs="Arial"/>
          <w:b w:val="0"/>
          <w:caps w:val="0"/>
          <w:sz w:val="20"/>
        </w:rPr>
        <w:t>, and T</w:t>
      </w:r>
      <w:r w:rsidRPr="000E7825">
        <w:rPr>
          <w:rFonts w:ascii="Arial" w:hAnsi="Arial" w:cs="Arial"/>
          <w:b w:val="0"/>
          <w:caps w:val="0"/>
          <w:sz w:val="20"/>
          <w:vertAlign w:val="subscript"/>
        </w:rPr>
        <w:t>9</w:t>
      </w:r>
      <w:r w:rsidRPr="00F668A2">
        <w:rPr>
          <w:rFonts w:ascii="Arial" w:hAnsi="Arial" w:cs="Arial"/>
          <w:b w:val="0"/>
          <w:caps w:val="0"/>
          <w:sz w:val="20"/>
        </w:rPr>
        <w:t>, with harvest occurring at approximately 60 days, whereas T</w:t>
      </w:r>
      <w:r w:rsidRPr="000E7825">
        <w:rPr>
          <w:rFonts w:ascii="Arial" w:hAnsi="Arial" w:cs="Arial"/>
          <w:b w:val="0"/>
          <w:caps w:val="0"/>
          <w:sz w:val="20"/>
          <w:vertAlign w:val="subscript"/>
        </w:rPr>
        <w:t>3</w:t>
      </w:r>
      <w:r w:rsidRPr="00F668A2">
        <w:rPr>
          <w:rFonts w:ascii="Arial" w:hAnsi="Arial" w:cs="Arial"/>
          <w:b w:val="0"/>
          <w:caps w:val="0"/>
          <w:sz w:val="20"/>
        </w:rPr>
        <w:t xml:space="preserve"> and T</w:t>
      </w:r>
      <w:r w:rsidRPr="000E7825">
        <w:rPr>
          <w:rFonts w:ascii="Arial" w:hAnsi="Arial" w:cs="Arial"/>
          <w:b w:val="0"/>
          <w:caps w:val="0"/>
          <w:sz w:val="20"/>
          <w:vertAlign w:val="subscript"/>
        </w:rPr>
        <w:t>6</w:t>
      </w:r>
      <w:r w:rsidRPr="00F668A2">
        <w:rPr>
          <w:rFonts w:ascii="Arial" w:hAnsi="Arial" w:cs="Arial"/>
          <w:b w:val="0"/>
          <w:caps w:val="0"/>
          <w:sz w:val="20"/>
        </w:rPr>
        <w:t xml:space="preserve"> recorded the maximum number of days to first harvest, indicating delayed maturity</w:t>
      </w:r>
      <w:r>
        <w:rPr>
          <w:rFonts w:ascii="Arial" w:hAnsi="Arial" w:cs="Arial"/>
          <w:b w:val="0"/>
          <w:caps w:val="0"/>
          <w:sz w:val="20"/>
        </w:rPr>
        <w:t>.</w:t>
      </w:r>
    </w:p>
    <w:p w14:paraId="3E315861" w14:textId="77777777"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Earliness in flowering and fruit maturity is influenced by environmental, nutritional, and hormonal factors, including light, temperature, nutrient availability, and growth regulator activity (Kinet and Peet, 1997). The earlier flowering observed under T</w:t>
      </w:r>
      <w:r w:rsidRPr="000E7825">
        <w:rPr>
          <w:rFonts w:ascii="Arial" w:hAnsi="Arial" w:cs="Arial"/>
          <w:b w:val="0"/>
          <w:caps w:val="0"/>
          <w:sz w:val="20"/>
          <w:vertAlign w:val="subscript"/>
        </w:rPr>
        <w:t>7</w:t>
      </w:r>
      <w:r w:rsidRPr="00F668A2">
        <w:rPr>
          <w:rFonts w:ascii="Arial" w:hAnsi="Arial" w:cs="Arial"/>
          <w:b w:val="0"/>
          <w:caps w:val="0"/>
          <w:sz w:val="20"/>
        </w:rPr>
        <w:t xml:space="preserve"> and T</w:t>
      </w:r>
      <w:r w:rsidRPr="000E7825">
        <w:rPr>
          <w:rFonts w:ascii="Arial" w:hAnsi="Arial" w:cs="Arial"/>
          <w:b w:val="0"/>
          <w:caps w:val="0"/>
          <w:sz w:val="20"/>
          <w:vertAlign w:val="subscript"/>
        </w:rPr>
        <w:t>2</w:t>
      </w:r>
      <w:r w:rsidRPr="00F668A2">
        <w:rPr>
          <w:rFonts w:ascii="Arial" w:hAnsi="Arial" w:cs="Arial"/>
          <w:b w:val="0"/>
          <w:caps w:val="0"/>
          <w:sz w:val="20"/>
        </w:rPr>
        <w:t xml:space="preserve"> indicates the beneficial role of biofertilizers, particularly AMF, in accelerating reproductive development.</w:t>
      </w:r>
      <w:r w:rsidRPr="00ED383D">
        <w:rPr>
          <w:rFonts w:ascii="Arial" w:hAnsi="Arial" w:cs="Arial"/>
        </w:rPr>
        <w:t xml:space="preserve"> </w:t>
      </w:r>
    </w:p>
    <w:p w14:paraId="061852FD" w14:textId="0E1AD30B"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Among major nutrients, phosphorus plays a critical role in promoting earliness by enhancing energy transfer and reproductive differentiation. Increased phosphorus uptake facilitated by AMF, along with the secretion of growth-regulating substances, may have promoted early development of reproductive organs (</w:t>
      </w:r>
      <w:proofErr w:type="spellStart"/>
      <w:r w:rsidRPr="00F668A2">
        <w:rPr>
          <w:rFonts w:ascii="Arial" w:hAnsi="Arial" w:cs="Arial"/>
          <w:b w:val="0"/>
          <w:caps w:val="0"/>
          <w:sz w:val="20"/>
        </w:rPr>
        <w:t>Anburani</w:t>
      </w:r>
      <w:proofErr w:type="spellEnd"/>
      <w:r w:rsidRPr="00F668A2">
        <w:rPr>
          <w:rFonts w:ascii="Arial" w:hAnsi="Arial" w:cs="Arial"/>
          <w:b w:val="0"/>
          <w:caps w:val="0"/>
          <w:sz w:val="20"/>
        </w:rPr>
        <w:t xml:space="preserve"> and Manivannan, 2002). Enhanced uptake of nutrients under combined biofertilizer application may also have stimulated the synthesis of </w:t>
      </w:r>
      <w:r w:rsidRPr="00F668A2">
        <w:rPr>
          <w:rFonts w:ascii="Arial" w:hAnsi="Arial" w:cs="Arial"/>
          <w:b w:val="0"/>
          <w:caps w:val="0"/>
          <w:sz w:val="20"/>
        </w:rPr>
        <w:lastRenderedPageBreak/>
        <w:t xml:space="preserve">bioactive compounds such as </w:t>
      </w:r>
      <w:proofErr w:type="spellStart"/>
      <w:r w:rsidRPr="00F668A2">
        <w:rPr>
          <w:rFonts w:ascii="Arial" w:hAnsi="Arial" w:cs="Arial"/>
          <w:b w:val="0"/>
          <w:caps w:val="0"/>
          <w:sz w:val="20"/>
        </w:rPr>
        <w:t>cytokinins</w:t>
      </w:r>
      <w:proofErr w:type="spellEnd"/>
      <w:r w:rsidRPr="00F668A2">
        <w:rPr>
          <w:rFonts w:ascii="Arial" w:hAnsi="Arial" w:cs="Arial"/>
          <w:b w:val="0"/>
          <w:caps w:val="0"/>
          <w:sz w:val="20"/>
        </w:rPr>
        <w:t>, leading to increased photosynthate production and their translocation to axillary buds. Accumulation of these assimilates and hormones may have favored early transition from the vegetative to reproductive phase, thereby inducing early flower bud initiation (</w:t>
      </w:r>
      <w:r w:rsidRPr="00A22D19">
        <w:rPr>
          <w:rFonts w:ascii="Arial" w:hAnsi="Arial" w:cs="Arial"/>
          <w:b w:val="0"/>
          <w:caps w:val="0"/>
          <w:color w:val="EE0000"/>
          <w:sz w:val="20"/>
        </w:rPr>
        <w:t>Am</w:t>
      </w:r>
      <w:r w:rsidR="00A22D19" w:rsidRPr="00A22D19">
        <w:rPr>
          <w:rFonts w:ascii="Arial" w:hAnsi="Arial" w:cs="Arial"/>
          <w:b w:val="0"/>
          <w:caps w:val="0"/>
          <w:color w:val="EE0000"/>
          <w:sz w:val="20"/>
        </w:rPr>
        <w:t>ir</w:t>
      </w:r>
      <w:r w:rsidRPr="00A22D19">
        <w:rPr>
          <w:rFonts w:ascii="Arial" w:hAnsi="Arial" w:cs="Arial"/>
          <w:b w:val="0"/>
          <w:caps w:val="0"/>
          <w:color w:val="EE0000"/>
          <w:sz w:val="20"/>
        </w:rPr>
        <w:t>t</w:t>
      </w:r>
      <w:r w:rsidR="00A22D19">
        <w:rPr>
          <w:rFonts w:ascii="Arial" w:hAnsi="Arial" w:cs="Arial"/>
          <w:b w:val="0"/>
          <w:caps w:val="0"/>
          <w:color w:val="EE0000"/>
          <w:sz w:val="20"/>
        </w:rPr>
        <w:t>h</w:t>
      </w:r>
      <w:r w:rsidRPr="00A22D19">
        <w:rPr>
          <w:rFonts w:ascii="Arial" w:hAnsi="Arial" w:cs="Arial"/>
          <w:b w:val="0"/>
          <w:caps w:val="0"/>
          <w:color w:val="EE0000"/>
          <w:sz w:val="20"/>
        </w:rPr>
        <w:t xml:space="preserve">alingam </w:t>
      </w:r>
      <w:r w:rsidRPr="00F668A2">
        <w:rPr>
          <w:rFonts w:ascii="Arial" w:hAnsi="Arial" w:cs="Arial"/>
          <w:b w:val="0"/>
          <w:caps w:val="0"/>
          <w:sz w:val="20"/>
        </w:rPr>
        <w:t>and Balakrishnan, 1988).</w:t>
      </w:r>
    </w:p>
    <w:p w14:paraId="6E346DE7" w14:textId="77777777"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 xml:space="preserve">Similar responses have been reported earlier, where AMF inoculation resulted in early flowering in </w:t>
      </w:r>
      <w:proofErr w:type="spellStart"/>
      <w:r w:rsidRPr="00F668A2">
        <w:rPr>
          <w:rFonts w:ascii="Arial" w:hAnsi="Arial" w:cs="Arial"/>
          <w:b w:val="0"/>
          <w:caps w:val="0"/>
          <w:sz w:val="20"/>
        </w:rPr>
        <w:t>chilli</w:t>
      </w:r>
      <w:proofErr w:type="spellEnd"/>
      <w:r w:rsidRPr="00F668A2">
        <w:rPr>
          <w:rFonts w:ascii="Arial" w:hAnsi="Arial" w:cs="Arial"/>
          <w:b w:val="0"/>
          <w:caps w:val="0"/>
          <w:sz w:val="20"/>
        </w:rPr>
        <w:t xml:space="preserve"> (Oyetunji and </w:t>
      </w:r>
      <w:proofErr w:type="spellStart"/>
      <w:r w:rsidRPr="00F668A2">
        <w:rPr>
          <w:rFonts w:ascii="Arial" w:hAnsi="Arial" w:cs="Arial"/>
          <w:b w:val="0"/>
          <w:caps w:val="0"/>
          <w:sz w:val="20"/>
        </w:rPr>
        <w:t>Osonubi</w:t>
      </w:r>
      <w:proofErr w:type="spellEnd"/>
      <w:r w:rsidRPr="00F668A2">
        <w:rPr>
          <w:rFonts w:ascii="Arial" w:hAnsi="Arial" w:cs="Arial"/>
          <w:b w:val="0"/>
          <w:caps w:val="0"/>
          <w:sz w:val="20"/>
        </w:rPr>
        <w:t xml:space="preserve">, 2005) and early curd initiation in cauliflower (Chaurasia </w:t>
      </w:r>
      <w:r w:rsidRPr="0001538D">
        <w:rPr>
          <w:rFonts w:ascii="Arial" w:hAnsi="Arial" w:cs="Arial"/>
          <w:b w:val="0"/>
          <w:i/>
          <w:iCs/>
          <w:caps w:val="0"/>
          <w:sz w:val="20"/>
        </w:rPr>
        <w:t>et al</w:t>
      </w:r>
      <w:r w:rsidRPr="00F668A2">
        <w:rPr>
          <w:rFonts w:ascii="Arial" w:hAnsi="Arial" w:cs="Arial"/>
          <w:b w:val="0"/>
          <w:caps w:val="0"/>
          <w:sz w:val="20"/>
        </w:rPr>
        <w:t>., 2008). Early fruit maturity observed under biofertilizer treatments may further be attributed to enhanced nutrient uptake and photosynthetic efficiency, leading to increased carbohydrate synthesis and improved hormonal activity. Accelerated photosynthesis and rapid translocation of assimilates may have strengthened source–sink relationships, thereby promoting early fruit development and harvest.</w:t>
      </w:r>
    </w:p>
    <w:p w14:paraId="6C692762" w14:textId="435F8AD8" w:rsidR="00D51752" w:rsidRPr="00BF1D0A" w:rsidRDefault="00D51752" w:rsidP="00D51752">
      <w:pPr>
        <w:pStyle w:val="ConcHead"/>
        <w:jc w:val="both"/>
        <w:rPr>
          <w:rFonts w:ascii="Arial" w:hAnsi="Arial" w:cs="Arial"/>
          <w:bCs/>
          <w:caps w:val="0"/>
          <w:szCs w:val="22"/>
        </w:rPr>
      </w:pPr>
      <w:r w:rsidRPr="00BF1D0A">
        <w:rPr>
          <w:rFonts w:ascii="Arial" w:hAnsi="Arial" w:cs="Arial"/>
          <w:bCs/>
          <w:caps w:val="0"/>
          <w:szCs w:val="22"/>
        </w:rPr>
        <w:t>3.4</w:t>
      </w:r>
      <w:r w:rsidR="006A737C">
        <w:rPr>
          <w:rFonts w:ascii="Arial" w:hAnsi="Arial" w:cs="Arial"/>
          <w:bCs/>
          <w:caps w:val="0"/>
          <w:szCs w:val="22"/>
        </w:rPr>
        <w:t xml:space="preserve">. </w:t>
      </w:r>
      <w:r w:rsidRPr="00BF1D0A">
        <w:rPr>
          <w:rFonts w:ascii="Arial" w:hAnsi="Arial" w:cs="Arial"/>
          <w:bCs/>
          <w:caps w:val="0"/>
          <w:szCs w:val="22"/>
        </w:rPr>
        <w:t>Biometric characteristics of fruit</w:t>
      </w:r>
    </w:p>
    <w:p w14:paraId="1918CD2B" w14:textId="77777777" w:rsidR="00D51752" w:rsidRDefault="00D51752" w:rsidP="00D51752">
      <w:pPr>
        <w:pStyle w:val="ConcHead"/>
        <w:jc w:val="both"/>
        <w:rPr>
          <w:rFonts w:ascii="Arial" w:hAnsi="Arial" w:cs="Arial"/>
          <w:b w:val="0"/>
          <w:caps w:val="0"/>
          <w:sz w:val="20"/>
        </w:rPr>
      </w:pPr>
      <w:r w:rsidRPr="00F668A2">
        <w:rPr>
          <w:rFonts w:ascii="Arial" w:hAnsi="Arial" w:cs="Arial"/>
          <w:b w:val="0"/>
          <w:caps w:val="0"/>
          <w:sz w:val="20"/>
        </w:rPr>
        <w:t xml:space="preserve">Statistical analysis revealed significant differences among treatments for fruit weight, fruit girth, fruit volume and flesh thickness per fruit. Mean values of these biometric characteristics are presented in Table </w:t>
      </w:r>
      <w:r>
        <w:rPr>
          <w:rFonts w:ascii="Arial" w:hAnsi="Arial" w:cs="Arial"/>
          <w:b w:val="0"/>
          <w:caps w:val="0"/>
          <w:sz w:val="20"/>
        </w:rPr>
        <w:t>2</w:t>
      </w:r>
      <w:r w:rsidRPr="00F668A2">
        <w:rPr>
          <w:rFonts w:ascii="Arial" w:hAnsi="Arial" w:cs="Arial"/>
          <w:b w:val="0"/>
          <w:caps w:val="0"/>
          <w:sz w:val="20"/>
        </w:rPr>
        <w:t>.</w:t>
      </w:r>
    </w:p>
    <w:p w14:paraId="6783BA1E" w14:textId="435E4DF2" w:rsidR="00D51752" w:rsidRPr="00EA5A9C" w:rsidRDefault="00D51752" w:rsidP="00D51752">
      <w:pPr>
        <w:pStyle w:val="ConcHead"/>
        <w:jc w:val="both"/>
        <w:rPr>
          <w:rFonts w:ascii="Arial" w:hAnsi="Arial" w:cs="Arial"/>
          <w:bCs/>
          <w:caps w:val="0"/>
          <w:sz w:val="20"/>
        </w:rPr>
      </w:pPr>
      <w:r w:rsidRPr="00EA5A9C">
        <w:rPr>
          <w:rFonts w:ascii="Arial" w:hAnsi="Arial" w:cs="Arial"/>
          <w:bCs/>
          <w:caps w:val="0"/>
          <w:sz w:val="20"/>
        </w:rPr>
        <w:t>3.4.1</w:t>
      </w:r>
      <w:r w:rsidR="006A737C">
        <w:rPr>
          <w:rFonts w:ascii="Arial" w:hAnsi="Arial" w:cs="Arial"/>
          <w:bCs/>
          <w:caps w:val="0"/>
          <w:sz w:val="20"/>
        </w:rPr>
        <w:t>.</w:t>
      </w:r>
      <w:r w:rsidRPr="00EA5A9C">
        <w:rPr>
          <w:rFonts w:ascii="Arial" w:hAnsi="Arial" w:cs="Arial"/>
          <w:bCs/>
          <w:caps w:val="0"/>
          <w:sz w:val="20"/>
        </w:rPr>
        <w:t xml:space="preserve"> Fruit weight (g)</w:t>
      </w:r>
    </w:p>
    <w:p w14:paraId="43880663" w14:textId="13E10FB6" w:rsidR="00D51752" w:rsidRDefault="00D51752" w:rsidP="00D51752">
      <w:pPr>
        <w:pStyle w:val="ConcHead"/>
        <w:keepNext w:val="0"/>
        <w:widowControl w:val="0"/>
        <w:jc w:val="both"/>
        <w:rPr>
          <w:rFonts w:ascii="Arial" w:hAnsi="Arial" w:cs="Arial"/>
          <w:b w:val="0"/>
          <w:caps w:val="0"/>
          <w:sz w:val="20"/>
        </w:rPr>
      </w:pPr>
      <w:r w:rsidRPr="00F668A2">
        <w:rPr>
          <w:rFonts w:ascii="Arial" w:hAnsi="Arial" w:cs="Arial"/>
          <w:b w:val="0"/>
          <w:caps w:val="0"/>
          <w:sz w:val="20"/>
        </w:rPr>
        <w:t>Average fruit weight differed significantly among treatments. The maximum fruit weight was recorded in T</w:t>
      </w:r>
      <w:r w:rsidRPr="000E7825">
        <w:rPr>
          <w:rFonts w:ascii="Arial" w:hAnsi="Arial" w:cs="Arial"/>
          <w:b w:val="0"/>
          <w:caps w:val="0"/>
          <w:sz w:val="20"/>
          <w:vertAlign w:val="subscript"/>
        </w:rPr>
        <w:t>7</w:t>
      </w:r>
      <w:r w:rsidRPr="00F668A2">
        <w:rPr>
          <w:rFonts w:ascii="Arial" w:hAnsi="Arial" w:cs="Arial"/>
          <w:b w:val="0"/>
          <w:caps w:val="0"/>
          <w:sz w:val="20"/>
        </w:rPr>
        <w:t xml:space="preserve"> (34.15 g), followed by T</w:t>
      </w:r>
      <w:r w:rsidRPr="000E7825">
        <w:rPr>
          <w:rFonts w:ascii="Arial" w:hAnsi="Arial" w:cs="Arial"/>
          <w:b w:val="0"/>
          <w:caps w:val="0"/>
          <w:sz w:val="20"/>
          <w:vertAlign w:val="subscript"/>
        </w:rPr>
        <w:t>9</w:t>
      </w:r>
      <w:r w:rsidRPr="00F668A2">
        <w:rPr>
          <w:rFonts w:ascii="Arial" w:hAnsi="Arial" w:cs="Arial"/>
          <w:b w:val="0"/>
          <w:caps w:val="0"/>
          <w:sz w:val="20"/>
        </w:rPr>
        <w:t xml:space="preserve"> and the control, while T</w:t>
      </w:r>
      <w:r w:rsidRPr="000E7825">
        <w:rPr>
          <w:rFonts w:ascii="Arial" w:hAnsi="Arial" w:cs="Arial"/>
          <w:b w:val="0"/>
          <w:caps w:val="0"/>
          <w:sz w:val="20"/>
          <w:vertAlign w:val="subscript"/>
        </w:rPr>
        <w:t>3</w:t>
      </w:r>
      <w:r w:rsidRPr="00F668A2">
        <w:rPr>
          <w:rFonts w:ascii="Arial" w:hAnsi="Arial" w:cs="Arial"/>
          <w:b w:val="0"/>
          <w:caps w:val="0"/>
          <w:sz w:val="20"/>
        </w:rPr>
        <w:t xml:space="preserve"> recorded the minimum fruit weight.</w:t>
      </w:r>
    </w:p>
    <w:p w14:paraId="5469D69C" w14:textId="77777777" w:rsidR="00D51752" w:rsidRPr="00BF1D0A" w:rsidRDefault="00D51752" w:rsidP="00D51752">
      <w:pPr>
        <w:pStyle w:val="Caption"/>
        <w:widowControl w:val="0"/>
        <w:jc w:val="center"/>
        <w:rPr>
          <w:rFonts w:ascii="Arial" w:hAnsi="Arial" w:cs="Arial"/>
          <w:b/>
          <w:bCs/>
          <w:i w:val="0"/>
          <w:iCs w:val="0"/>
          <w:caps/>
          <w:color w:val="auto"/>
          <w:sz w:val="24"/>
          <w:szCs w:val="22"/>
        </w:rPr>
      </w:pPr>
      <w:r w:rsidRPr="00BF1D0A">
        <w:rPr>
          <w:rFonts w:ascii="Arial" w:hAnsi="Arial" w:cs="Arial"/>
          <w:b/>
          <w:bCs/>
          <w:i w:val="0"/>
          <w:iCs w:val="0"/>
          <w:color w:val="auto"/>
          <w:sz w:val="20"/>
          <w:szCs w:val="20"/>
        </w:rPr>
        <w:t xml:space="preserve">Table </w:t>
      </w:r>
      <w:r>
        <w:rPr>
          <w:rFonts w:ascii="Arial" w:hAnsi="Arial" w:cs="Arial"/>
          <w:b/>
          <w:bCs/>
          <w:i w:val="0"/>
          <w:iCs w:val="0"/>
          <w:color w:val="auto"/>
          <w:sz w:val="20"/>
          <w:szCs w:val="20"/>
        </w:rPr>
        <w:t xml:space="preserve">2. </w:t>
      </w:r>
      <w:r w:rsidRPr="00BF1D0A">
        <w:t xml:space="preserve"> </w:t>
      </w:r>
      <w:r w:rsidRPr="00BF1D0A">
        <w:rPr>
          <w:rFonts w:ascii="Arial" w:hAnsi="Arial" w:cs="Arial"/>
          <w:b/>
          <w:bCs/>
          <w:i w:val="0"/>
          <w:iCs w:val="0"/>
          <w:color w:val="auto"/>
          <w:sz w:val="20"/>
          <w:szCs w:val="20"/>
        </w:rPr>
        <w:t xml:space="preserve">Response of biofertilizers on </w:t>
      </w:r>
      <w:r w:rsidRPr="00B822CD">
        <w:rPr>
          <w:rFonts w:ascii="Arial" w:hAnsi="Arial" w:cs="Arial"/>
          <w:b/>
          <w:bCs/>
          <w:i w:val="0"/>
          <w:iCs w:val="0"/>
          <w:color w:val="auto"/>
          <w:sz w:val="20"/>
          <w:szCs w:val="20"/>
        </w:rPr>
        <w:t>biometric characteristics of fruits</w:t>
      </w:r>
    </w:p>
    <w:p w14:paraId="7B5B05EB" w14:textId="77777777" w:rsidR="00D51752" w:rsidRDefault="00D51752" w:rsidP="006A737C">
      <w:pPr>
        <w:pStyle w:val="ConcHead"/>
        <w:keepNext w:val="0"/>
        <w:widowControl w:val="0"/>
        <w:jc w:val="center"/>
        <w:rPr>
          <w:rFonts w:ascii="Arial" w:hAnsi="Arial" w:cs="Arial"/>
          <w:bCs/>
          <w:caps w:val="0"/>
          <w:sz w:val="20"/>
        </w:rPr>
      </w:pPr>
      <w:r w:rsidRPr="00EA5A9C">
        <w:rPr>
          <w:noProof/>
        </w:rPr>
        <w:drawing>
          <wp:inline distT="0" distB="0" distL="0" distR="0" wp14:anchorId="24C2351A" wp14:editId="497BE5D6">
            <wp:extent cx="2941608" cy="2117689"/>
            <wp:effectExtent l="0" t="0" r="0" b="0"/>
            <wp:docPr id="14696369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7559" cy="2136371"/>
                    </a:xfrm>
                    <a:prstGeom prst="rect">
                      <a:avLst/>
                    </a:prstGeom>
                    <a:noFill/>
                    <a:ln>
                      <a:noFill/>
                    </a:ln>
                  </pic:spPr>
                </pic:pic>
              </a:graphicData>
            </a:graphic>
          </wp:inline>
        </w:drawing>
      </w:r>
    </w:p>
    <w:p w14:paraId="6DFF141C" w14:textId="77777777" w:rsidR="00D51752" w:rsidRDefault="00D51752" w:rsidP="00D51752">
      <w:pPr>
        <w:pStyle w:val="ConcHead"/>
        <w:keepNext w:val="0"/>
        <w:widowControl w:val="0"/>
        <w:jc w:val="both"/>
        <w:rPr>
          <w:rFonts w:ascii="Arial" w:hAnsi="Arial" w:cs="Arial"/>
          <w:bCs/>
          <w:caps w:val="0"/>
          <w:sz w:val="20"/>
        </w:rPr>
      </w:pPr>
    </w:p>
    <w:p w14:paraId="6DB36D3B" w14:textId="3C2487F1" w:rsidR="00D51752" w:rsidRDefault="00D51752" w:rsidP="00D51752">
      <w:pPr>
        <w:pStyle w:val="ConcHead"/>
        <w:keepNext w:val="0"/>
        <w:widowControl w:val="0"/>
        <w:jc w:val="both"/>
        <w:rPr>
          <w:rFonts w:ascii="Arial" w:hAnsi="Arial" w:cs="Arial"/>
          <w:b w:val="0"/>
          <w:caps w:val="0"/>
          <w:sz w:val="20"/>
        </w:rPr>
      </w:pPr>
      <w:r w:rsidRPr="00EA5A9C">
        <w:rPr>
          <w:rFonts w:ascii="Arial" w:hAnsi="Arial" w:cs="Arial"/>
          <w:bCs/>
          <w:caps w:val="0"/>
          <w:sz w:val="20"/>
        </w:rPr>
        <w:t>3.4.2</w:t>
      </w:r>
      <w:r w:rsidR="006A737C">
        <w:rPr>
          <w:rFonts w:ascii="Arial" w:hAnsi="Arial" w:cs="Arial"/>
          <w:bCs/>
          <w:caps w:val="0"/>
          <w:sz w:val="20"/>
        </w:rPr>
        <w:t>.</w:t>
      </w:r>
      <w:r w:rsidRPr="00EA5A9C">
        <w:rPr>
          <w:rFonts w:ascii="Arial" w:hAnsi="Arial" w:cs="Arial"/>
          <w:bCs/>
          <w:caps w:val="0"/>
          <w:sz w:val="20"/>
        </w:rPr>
        <w:t xml:space="preserve"> Fruit girth (cm</w:t>
      </w:r>
      <w:r w:rsidRPr="00EA5A9C">
        <w:rPr>
          <w:rFonts w:ascii="Arial" w:hAnsi="Arial" w:cs="Arial"/>
          <w:b w:val="0"/>
          <w:caps w:val="0"/>
          <w:sz w:val="20"/>
        </w:rPr>
        <w:t>)</w:t>
      </w:r>
    </w:p>
    <w:p w14:paraId="17726267" w14:textId="77777777" w:rsidR="00D51752" w:rsidRDefault="00D51752" w:rsidP="00D51752">
      <w:pPr>
        <w:pStyle w:val="ConcHead"/>
        <w:keepNext w:val="0"/>
        <w:widowControl w:val="0"/>
        <w:jc w:val="both"/>
        <w:rPr>
          <w:rFonts w:ascii="Arial" w:hAnsi="Arial" w:cs="Arial"/>
          <w:b w:val="0"/>
          <w:caps w:val="0"/>
          <w:sz w:val="20"/>
        </w:rPr>
      </w:pPr>
      <w:r w:rsidRPr="00F668A2">
        <w:rPr>
          <w:rFonts w:ascii="Arial" w:hAnsi="Arial" w:cs="Arial"/>
          <w:b w:val="0"/>
          <w:caps w:val="0"/>
          <w:sz w:val="20"/>
        </w:rPr>
        <w:t>Significant variation was observed in fruit girth among treatments.</w:t>
      </w:r>
      <w:r>
        <w:rPr>
          <w:rFonts w:ascii="Arial" w:hAnsi="Arial" w:cs="Arial"/>
          <w:b w:val="0"/>
          <w:caps w:val="0"/>
          <w:sz w:val="20"/>
        </w:rPr>
        <w:t xml:space="preserve"> </w:t>
      </w:r>
      <w:r w:rsidRPr="00F668A2">
        <w:rPr>
          <w:rFonts w:ascii="Arial" w:hAnsi="Arial" w:cs="Arial"/>
          <w:b w:val="0"/>
          <w:caps w:val="0"/>
          <w:sz w:val="20"/>
        </w:rPr>
        <w:t>The highest fruit girth (15.31 cm) was recorded in T</w:t>
      </w:r>
      <w:r w:rsidRPr="000E7825">
        <w:rPr>
          <w:rFonts w:ascii="Arial" w:hAnsi="Arial" w:cs="Arial"/>
          <w:b w:val="0"/>
          <w:caps w:val="0"/>
          <w:sz w:val="20"/>
          <w:vertAlign w:val="subscript"/>
        </w:rPr>
        <w:t>7</w:t>
      </w:r>
      <w:r w:rsidRPr="00F668A2">
        <w:rPr>
          <w:rFonts w:ascii="Arial" w:hAnsi="Arial" w:cs="Arial"/>
          <w:b w:val="0"/>
          <w:caps w:val="0"/>
          <w:sz w:val="20"/>
        </w:rPr>
        <w:t>, followed by T</w:t>
      </w:r>
      <w:r w:rsidRPr="000E7825">
        <w:rPr>
          <w:rFonts w:ascii="Arial" w:hAnsi="Arial" w:cs="Arial"/>
          <w:b w:val="0"/>
          <w:caps w:val="0"/>
          <w:sz w:val="20"/>
          <w:vertAlign w:val="subscript"/>
        </w:rPr>
        <w:t>9</w:t>
      </w:r>
      <w:r w:rsidRPr="00F668A2">
        <w:rPr>
          <w:rFonts w:ascii="Arial" w:hAnsi="Arial" w:cs="Arial"/>
          <w:b w:val="0"/>
          <w:caps w:val="0"/>
          <w:sz w:val="20"/>
        </w:rPr>
        <w:t>, which was statistically on par with T</w:t>
      </w:r>
      <w:r w:rsidRPr="000E7825">
        <w:rPr>
          <w:rFonts w:ascii="Arial" w:hAnsi="Arial" w:cs="Arial"/>
          <w:b w:val="0"/>
          <w:caps w:val="0"/>
          <w:sz w:val="20"/>
          <w:vertAlign w:val="subscript"/>
        </w:rPr>
        <w:t>10</w:t>
      </w:r>
      <w:r w:rsidRPr="00F668A2">
        <w:rPr>
          <w:rFonts w:ascii="Arial" w:hAnsi="Arial" w:cs="Arial"/>
          <w:b w:val="0"/>
          <w:caps w:val="0"/>
          <w:sz w:val="20"/>
        </w:rPr>
        <w:t>, T</w:t>
      </w:r>
      <w:r w:rsidRPr="000E7825">
        <w:rPr>
          <w:rFonts w:ascii="Arial" w:hAnsi="Arial" w:cs="Arial"/>
          <w:b w:val="0"/>
          <w:caps w:val="0"/>
          <w:sz w:val="20"/>
          <w:vertAlign w:val="subscript"/>
        </w:rPr>
        <w:t>4</w:t>
      </w:r>
      <w:r w:rsidRPr="00F668A2">
        <w:rPr>
          <w:rFonts w:ascii="Arial" w:hAnsi="Arial" w:cs="Arial"/>
          <w:b w:val="0"/>
          <w:caps w:val="0"/>
          <w:sz w:val="20"/>
        </w:rPr>
        <w:t>, T</w:t>
      </w:r>
      <w:r w:rsidRPr="000E7825">
        <w:rPr>
          <w:rFonts w:ascii="Arial" w:hAnsi="Arial" w:cs="Arial"/>
          <w:b w:val="0"/>
          <w:caps w:val="0"/>
          <w:sz w:val="20"/>
          <w:vertAlign w:val="subscript"/>
        </w:rPr>
        <w:t>6</w:t>
      </w:r>
      <w:r w:rsidRPr="00F668A2">
        <w:rPr>
          <w:rFonts w:ascii="Arial" w:hAnsi="Arial" w:cs="Arial"/>
          <w:b w:val="0"/>
          <w:caps w:val="0"/>
          <w:sz w:val="20"/>
        </w:rPr>
        <w:t>, and T</w:t>
      </w:r>
      <w:r w:rsidRPr="000E7825">
        <w:rPr>
          <w:rFonts w:ascii="Arial" w:hAnsi="Arial" w:cs="Arial"/>
          <w:b w:val="0"/>
          <w:caps w:val="0"/>
          <w:sz w:val="20"/>
          <w:vertAlign w:val="subscript"/>
        </w:rPr>
        <w:t>5</w:t>
      </w:r>
      <w:r w:rsidRPr="00F668A2">
        <w:rPr>
          <w:rFonts w:ascii="Arial" w:hAnsi="Arial" w:cs="Arial"/>
          <w:b w:val="0"/>
          <w:caps w:val="0"/>
          <w:sz w:val="20"/>
        </w:rPr>
        <w:t>. The minimum fruit girth was recorded in T</w:t>
      </w:r>
      <w:r w:rsidRPr="000E7825">
        <w:rPr>
          <w:rFonts w:ascii="Arial" w:hAnsi="Arial" w:cs="Arial"/>
          <w:b w:val="0"/>
          <w:caps w:val="0"/>
          <w:sz w:val="20"/>
          <w:vertAlign w:val="subscript"/>
        </w:rPr>
        <w:t>3</w:t>
      </w:r>
      <w:r>
        <w:rPr>
          <w:rFonts w:ascii="Arial" w:hAnsi="Arial" w:cs="Arial"/>
          <w:b w:val="0"/>
          <w:caps w:val="0"/>
          <w:sz w:val="20"/>
        </w:rPr>
        <w:t>.</w:t>
      </w:r>
    </w:p>
    <w:p w14:paraId="1A35C789" w14:textId="608005AF" w:rsidR="00D51752" w:rsidRPr="00EA5A9C" w:rsidRDefault="00D51752" w:rsidP="00D51752">
      <w:pPr>
        <w:pStyle w:val="ConcHead"/>
        <w:keepNext w:val="0"/>
        <w:widowControl w:val="0"/>
        <w:jc w:val="both"/>
        <w:rPr>
          <w:rFonts w:ascii="Arial" w:hAnsi="Arial" w:cs="Arial"/>
          <w:bCs/>
          <w:caps w:val="0"/>
          <w:sz w:val="20"/>
        </w:rPr>
      </w:pPr>
      <w:r w:rsidRPr="00EA5A9C">
        <w:rPr>
          <w:rFonts w:ascii="Arial" w:hAnsi="Arial" w:cs="Arial"/>
          <w:bCs/>
          <w:caps w:val="0"/>
          <w:sz w:val="20"/>
        </w:rPr>
        <w:t>3.4.</w:t>
      </w:r>
      <w:r>
        <w:rPr>
          <w:rFonts w:ascii="Arial" w:hAnsi="Arial" w:cs="Arial"/>
          <w:bCs/>
          <w:caps w:val="0"/>
          <w:sz w:val="20"/>
        </w:rPr>
        <w:t>3</w:t>
      </w:r>
      <w:r w:rsidR="006A737C">
        <w:rPr>
          <w:rFonts w:ascii="Arial" w:hAnsi="Arial" w:cs="Arial"/>
          <w:bCs/>
          <w:caps w:val="0"/>
          <w:sz w:val="20"/>
        </w:rPr>
        <w:t>.</w:t>
      </w:r>
      <w:r w:rsidRPr="00EA5A9C">
        <w:rPr>
          <w:rFonts w:ascii="Arial" w:hAnsi="Arial" w:cs="Arial"/>
          <w:bCs/>
          <w:caps w:val="0"/>
          <w:sz w:val="20"/>
        </w:rPr>
        <w:t xml:space="preserve"> Fruit volume (</w:t>
      </w:r>
      <w:r>
        <w:rPr>
          <w:rFonts w:ascii="Arial" w:hAnsi="Arial" w:cs="Arial"/>
          <w:bCs/>
          <w:caps w:val="0"/>
          <w:sz w:val="20"/>
        </w:rPr>
        <w:t>cm</w:t>
      </w:r>
      <w:r w:rsidRPr="00EA5A9C">
        <w:rPr>
          <w:rFonts w:ascii="Arial" w:hAnsi="Arial" w:cs="Arial"/>
          <w:bCs/>
          <w:caps w:val="0"/>
          <w:sz w:val="20"/>
          <w:vertAlign w:val="superscript"/>
        </w:rPr>
        <w:t>3</w:t>
      </w:r>
      <w:r w:rsidRPr="00EA5A9C">
        <w:rPr>
          <w:rFonts w:ascii="Arial" w:hAnsi="Arial" w:cs="Arial"/>
          <w:bCs/>
          <w:caps w:val="0"/>
          <w:sz w:val="20"/>
        </w:rPr>
        <w:t>)</w:t>
      </w:r>
    </w:p>
    <w:p w14:paraId="1C349C80" w14:textId="77777777" w:rsidR="00D51752" w:rsidRDefault="00D51752" w:rsidP="00D51752">
      <w:pPr>
        <w:pStyle w:val="ConcHead"/>
        <w:keepNext w:val="0"/>
        <w:widowControl w:val="0"/>
        <w:jc w:val="both"/>
        <w:rPr>
          <w:rFonts w:ascii="Arial" w:hAnsi="Arial" w:cs="Arial"/>
          <w:b w:val="0"/>
          <w:caps w:val="0"/>
          <w:sz w:val="20"/>
        </w:rPr>
      </w:pPr>
      <w:r w:rsidRPr="00F668A2">
        <w:rPr>
          <w:rFonts w:ascii="Arial" w:hAnsi="Arial" w:cs="Arial"/>
          <w:b w:val="0"/>
          <w:caps w:val="0"/>
          <w:sz w:val="20"/>
        </w:rPr>
        <w:lastRenderedPageBreak/>
        <w:t xml:space="preserve"> Fruit volume varied significantly across treatments. T</w:t>
      </w:r>
      <w:r w:rsidRPr="000E7825">
        <w:rPr>
          <w:rFonts w:ascii="Arial" w:hAnsi="Arial" w:cs="Arial"/>
          <w:b w:val="0"/>
          <w:caps w:val="0"/>
          <w:sz w:val="20"/>
          <w:vertAlign w:val="subscript"/>
        </w:rPr>
        <w:t>7</w:t>
      </w:r>
      <w:r w:rsidRPr="00F668A2">
        <w:rPr>
          <w:rFonts w:ascii="Arial" w:hAnsi="Arial" w:cs="Arial"/>
          <w:b w:val="0"/>
          <w:caps w:val="0"/>
          <w:sz w:val="20"/>
        </w:rPr>
        <w:t xml:space="preserve"> recorded the maximum fruit volume (38.20 cm³), followed by T</w:t>
      </w:r>
      <w:r w:rsidRPr="000E7825">
        <w:rPr>
          <w:rFonts w:ascii="Arial" w:hAnsi="Arial" w:cs="Arial"/>
          <w:b w:val="0"/>
          <w:caps w:val="0"/>
          <w:sz w:val="20"/>
          <w:vertAlign w:val="subscript"/>
        </w:rPr>
        <w:t>9</w:t>
      </w:r>
      <w:r w:rsidRPr="00F668A2">
        <w:rPr>
          <w:rFonts w:ascii="Arial" w:hAnsi="Arial" w:cs="Arial"/>
          <w:b w:val="0"/>
          <w:caps w:val="0"/>
          <w:sz w:val="20"/>
        </w:rPr>
        <w:t>, which was on par with T</w:t>
      </w:r>
      <w:r w:rsidRPr="000E7825">
        <w:rPr>
          <w:rFonts w:ascii="Arial" w:hAnsi="Arial" w:cs="Arial"/>
          <w:b w:val="0"/>
          <w:caps w:val="0"/>
          <w:sz w:val="20"/>
          <w:vertAlign w:val="subscript"/>
        </w:rPr>
        <w:t>10</w:t>
      </w:r>
      <w:r w:rsidRPr="00F668A2">
        <w:rPr>
          <w:rFonts w:ascii="Arial" w:hAnsi="Arial" w:cs="Arial"/>
          <w:b w:val="0"/>
          <w:caps w:val="0"/>
          <w:sz w:val="20"/>
        </w:rPr>
        <w:t>, while T</w:t>
      </w:r>
      <w:r w:rsidRPr="000E7825">
        <w:rPr>
          <w:rFonts w:ascii="Arial" w:hAnsi="Arial" w:cs="Arial"/>
          <w:b w:val="0"/>
          <w:caps w:val="0"/>
          <w:sz w:val="20"/>
          <w:vertAlign w:val="subscript"/>
        </w:rPr>
        <w:t>3</w:t>
      </w:r>
      <w:r w:rsidRPr="00F668A2">
        <w:rPr>
          <w:rFonts w:ascii="Arial" w:hAnsi="Arial" w:cs="Arial"/>
          <w:b w:val="0"/>
          <w:caps w:val="0"/>
          <w:sz w:val="20"/>
        </w:rPr>
        <w:t xml:space="preserve"> recorded the lowest fruit volume. </w:t>
      </w:r>
    </w:p>
    <w:p w14:paraId="2964AA27" w14:textId="2A670250" w:rsidR="00D51752" w:rsidRPr="00EA5A9C" w:rsidRDefault="00D51752" w:rsidP="00D51752">
      <w:pPr>
        <w:pStyle w:val="ConcHead"/>
        <w:jc w:val="both"/>
        <w:rPr>
          <w:rFonts w:ascii="Arial" w:hAnsi="Arial" w:cs="Arial"/>
          <w:bCs/>
          <w:caps w:val="0"/>
          <w:sz w:val="20"/>
        </w:rPr>
      </w:pPr>
      <w:r w:rsidRPr="00EA5A9C">
        <w:rPr>
          <w:rFonts w:ascii="Arial" w:hAnsi="Arial" w:cs="Arial"/>
          <w:bCs/>
          <w:caps w:val="0"/>
          <w:sz w:val="20"/>
        </w:rPr>
        <w:t>3.4.4</w:t>
      </w:r>
      <w:r w:rsidR="006A737C">
        <w:rPr>
          <w:rFonts w:ascii="Arial" w:hAnsi="Arial" w:cs="Arial"/>
          <w:bCs/>
          <w:caps w:val="0"/>
          <w:sz w:val="20"/>
        </w:rPr>
        <w:t>.</w:t>
      </w:r>
      <w:r w:rsidRPr="00EA5A9C">
        <w:rPr>
          <w:rFonts w:ascii="Arial" w:hAnsi="Arial" w:cs="Arial"/>
          <w:bCs/>
          <w:caps w:val="0"/>
          <w:sz w:val="20"/>
        </w:rPr>
        <w:t xml:space="preserve"> Flesh thickness (mm)</w:t>
      </w:r>
    </w:p>
    <w:p w14:paraId="15E050DE" w14:textId="77777777" w:rsidR="00D51752" w:rsidRDefault="00D51752" w:rsidP="00D51752">
      <w:pPr>
        <w:pStyle w:val="ConcHead"/>
        <w:jc w:val="both"/>
        <w:rPr>
          <w:rFonts w:ascii="Arial" w:hAnsi="Arial" w:cs="Arial"/>
          <w:b w:val="0"/>
          <w:caps w:val="0"/>
          <w:sz w:val="20"/>
        </w:rPr>
      </w:pPr>
      <w:r w:rsidRPr="00F668A2">
        <w:rPr>
          <w:rFonts w:ascii="Arial" w:hAnsi="Arial" w:cs="Arial"/>
          <w:b w:val="0"/>
          <w:caps w:val="0"/>
          <w:sz w:val="20"/>
        </w:rPr>
        <w:t>Flesh thickness showed significant differences among treatments. The maximum flesh thickness was recorded in T</w:t>
      </w:r>
      <w:r w:rsidRPr="00A27FE3">
        <w:rPr>
          <w:rFonts w:ascii="Arial" w:hAnsi="Arial" w:cs="Arial"/>
          <w:b w:val="0"/>
          <w:caps w:val="0"/>
          <w:sz w:val="20"/>
          <w:vertAlign w:val="subscript"/>
        </w:rPr>
        <w:t>2</w:t>
      </w:r>
      <w:r w:rsidRPr="00F668A2">
        <w:rPr>
          <w:rFonts w:ascii="Arial" w:hAnsi="Arial" w:cs="Arial"/>
          <w:b w:val="0"/>
          <w:caps w:val="0"/>
          <w:sz w:val="20"/>
        </w:rPr>
        <w:t xml:space="preserve"> (3.43 mm), followed by T</w:t>
      </w:r>
      <w:r w:rsidRPr="00A27FE3">
        <w:rPr>
          <w:rFonts w:ascii="Arial" w:hAnsi="Arial" w:cs="Arial"/>
          <w:b w:val="0"/>
          <w:caps w:val="0"/>
          <w:sz w:val="20"/>
          <w:vertAlign w:val="subscript"/>
        </w:rPr>
        <w:t>7</w:t>
      </w:r>
      <w:r w:rsidRPr="00F668A2">
        <w:rPr>
          <w:rFonts w:ascii="Arial" w:hAnsi="Arial" w:cs="Arial"/>
          <w:b w:val="0"/>
          <w:caps w:val="0"/>
          <w:sz w:val="20"/>
        </w:rPr>
        <w:t xml:space="preserve"> (3.27 mm), which was statistically on par with T</w:t>
      </w:r>
      <w:r w:rsidRPr="00A27FE3">
        <w:rPr>
          <w:rFonts w:ascii="Arial" w:hAnsi="Arial" w:cs="Arial"/>
          <w:b w:val="0"/>
          <w:caps w:val="0"/>
          <w:sz w:val="20"/>
          <w:vertAlign w:val="subscript"/>
        </w:rPr>
        <w:t>6</w:t>
      </w:r>
      <w:r w:rsidRPr="00F668A2">
        <w:rPr>
          <w:rFonts w:ascii="Arial" w:hAnsi="Arial" w:cs="Arial"/>
          <w:b w:val="0"/>
          <w:caps w:val="0"/>
          <w:sz w:val="20"/>
        </w:rPr>
        <w:t>, T</w:t>
      </w:r>
      <w:r w:rsidRPr="00A27FE3">
        <w:rPr>
          <w:rFonts w:ascii="Arial" w:hAnsi="Arial" w:cs="Arial"/>
          <w:b w:val="0"/>
          <w:caps w:val="0"/>
          <w:sz w:val="20"/>
          <w:vertAlign w:val="subscript"/>
        </w:rPr>
        <w:t>8</w:t>
      </w:r>
      <w:r w:rsidRPr="00F668A2">
        <w:rPr>
          <w:rFonts w:ascii="Arial" w:hAnsi="Arial" w:cs="Arial"/>
          <w:b w:val="0"/>
          <w:caps w:val="0"/>
          <w:sz w:val="20"/>
        </w:rPr>
        <w:t>,</w:t>
      </w:r>
      <w:r>
        <w:rPr>
          <w:rFonts w:ascii="Arial" w:hAnsi="Arial" w:cs="Arial"/>
          <w:b w:val="0"/>
          <w:caps w:val="0"/>
          <w:sz w:val="20"/>
        </w:rPr>
        <w:t xml:space="preserve"> </w:t>
      </w:r>
      <w:r w:rsidRPr="00F668A2">
        <w:rPr>
          <w:rFonts w:ascii="Arial" w:hAnsi="Arial" w:cs="Arial"/>
          <w:b w:val="0"/>
          <w:caps w:val="0"/>
          <w:sz w:val="20"/>
        </w:rPr>
        <w:t>T</w:t>
      </w:r>
      <w:r w:rsidRPr="00A27FE3">
        <w:rPr>
          <w:rFonts w:ascii="Arial" w:hAnsi="Arial" w:cs="Arial"/>
          <w:b w:val="0"/>
          <w:caps w:val="0"/>
          <w:sz w:val="20"/>
          <w:vertAlign w:val="subscript"/>
        </w:rPr>
        <w:t>9</w:t>
      </w:r>
      <w:r w:rsidRPr="00F668A2">
        <w:rPr>
          <w:rFonts w:ascii="Arial" w:hAnsi="Arial" w:cs="Arial"/>
          <w:b w:val="0"/>
          <w:caps w:val="0"/>
          <w:sz w:val="20"/>
        </w:rPr>
        <w:t>, and T</w:t>
      </w:r>
      <w:r w:rsidRPr="00A27FE3">
        <w:rPr>
          <w:rFonts w:ascii="Arial" w:hAnsi="Arial" w:cs="Arial"/>
          <w:b w:val="0"/>
          <w:caps w:val="0"/>
          <w:sz w:val="20"/>
          <w:vertAlign w:val="subscript"/>
        </w:rPr>
        <w:t>4</w:t>
      </w:r>
      <w:r w:rsidRPr="00F668A2">
        <w:rPr>
          <w:rFonts w:ascii="Arial" w:hAnsi="Arial" w:cs="Arial"/>
          <w:b w:val="0"/>
          <w:caps w:val="0"/>
          <w:sz w:val="20"/>
        </w:rPr>
        <w:t>. The minimum flesh thickness (2.72 mm) was observed in T</w:t>
      </w:r>
      <w:r w:rsidRPr="00A27FE3">
        <w:rPr>
          <w:rFonts w:ascii="Arial" w:hAnsi="Arial" w:cs="Arial"/>
          <w:b w:val="0"/>
          <w:caps w:val="0"/>
          <w:sz w:val="20"/>
          <w:vertAlign w:val="subscript"/>
        </w:rPr>
        <w:t>3</w:t>
      </w:r>
      <w:r w:rsidRPr="00F668A2">
        <w:rPr>
          <w:rFonts w:ascii="Arial" w:hAnsi="Arial" w:cs="Arial"/>
          <w:b w:val="0"/>
          <w:caps w:val="0"/>
          <w:sz w:val="20"/>
        </w:rPr>
        <w:t>.</w:t>
      </w:r>
    </w:p>
    <w:p w14:paraId="598B1F0D" w14:textId="77777777"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Fruit biometric characters such as weight, girth, volume</w:t>
      </w:r>
      <w:r>
        <w:rPr>
          <w:rFonts w:ascii="Arial" w:hAnsi="Arial" w:cs="Arial"/>
          <w:b w:val="0"/>
          <w:caps w:val="0"/>
          <w:sz w:val="20"/>
        </w:rPr>
        <w:t xml:space="preserve"> and</w:t>
      </w:r>
      <w:r w:rsidRPr="00F668A2">
        <w:rPr>
          <w:rFonts w:ascii="Arial" w:hAnsi="Arial" w:cs="Arial"/>
          <w:b w:val="0"/>
          <w:caps w:val="0"/>
          <w:sz w:val="20"/>
        </w:rPr>
        <w:t xml:space="preserve"> flesh thickness</w:t>
      </w:r>
      <w:r>
        <w:rPr>
          <w:rFonts w:ascii="Arial" w:hAnsi="Arial" w:cs="Arial"/>
          <w:b w:val="0"/>
          <w:caps w:val="0"/>
          <w:sz w:val="20"/>
        </w:rPr>
        <w:t xml:space="preserve"> </w:t>
      </w:r>
      <w:r w:rsidRPr="00F668A2">
        <w:rPr>
          <w:rFonts w:ascii="Arial" w:hAnsi="Arial" w:cs="Arial"/>
          <w:b w:val="0"/>
          <w:caps w:val="0"/>
          <w:sz w:val="20"/>
        </w:rPr>
        <w:t>are important quality and yield</w:t>
      </w:r>
      <w:r>
        <w:rPr>
          <w:rFonts w:ascii="Arial" w:hAnsi="Arial" w:cs="Arial"/>
          <w:b w:val="0"/>
          <w:caps w:val="0"/>
          <w:sz w:val="20"/>
        </w:rPr>
        <w:t xml:space="preserve"> </w:t>
      </w:r>
      <w:r w:rsidRPr="00F668A2">
        <w:rPr>
          <w:rFonts w:ascii="Arial" w:hAnsi="Arial" w:cs="Arial"/>
          <w:b w:val="0"/>
          <w:caps w:val="0"/>
          <w:sz w:val="20"/>
        </w:rPr>
        <w:t>determining traits in tomato. The superior performance of T</w:t>
      </w:r>
      <w:r w:rsidRPr="00A27FE3">
        <w:rPr>
          <w:rFonts w:ascii="Arial" w:hAnsi="Arial" w:cs="Arial"/>
          <w:b w:val="0"/>
          <w:caps w:val="0"/>
          <w:sz w:val="20"/>
          <w:vertAlign w:val="subscript"/>
        </w:rPr>
        <w:t>7</w:t>
      </w:r>
      <w:r w:rsidRPr="00F668A2">
        <w:rPr>
          <w:rFonts w:ascii="Arial" w:hAnsi="Arial" w:cs="Arial"/>
          <w:b w:val="0"/>
          <w:caps w:val="0"/>
          <w:sz w:val="20"/>
        </w:rPr>
        <w:t xml:space="preserve"> (combined application of FYM with </w:t>
      </w:r>
      <w:proofErr w:type="spellStart"/>
      <w:r w:rsidRPr="00EA5A9C">
        <w:rPr>
          <w:rFonts w:ascii="Arial" w:hAnsi="Arial" w:cs="Arial"/>
          <w:b w:val="0"/>
          <w:i/>
          <w:iCs/>
          <w:caps w:val="0"/>
          <w:sz w:val="20"/>
        </w:rPr>
        <w:t>Azospirillum</w:t>
      </w:r>
      <w:proofErr w:type="spellEnd"/>
      <w:r w:rsidRPr="00F668A2">
        <w:rPr>
          <w:rFonts w:ascii="Arial" w:hAnsi="Arial" w:cs="Arial"/>
          <w:b w:val="0"/>
          <w:caps w:val="0"/>
          <w:sz w:val="20"/>
        </w:rPr>
        <w:t xml:space="preserve">, AMF, and </w:t>
      </w:r>
      <w:proofErr w:type="spellStart"/>
      <w:r w:rsidRPr="002A1817">
        <w:rPr>
          <w:rFonts w:ascii="Arial" w:hAnsi="Arial" w:cs="Arial"/>
          <w:b w:val="0"/>
          <w:i/>
          <w:iCs/>
          <w:caps w:val="0"/>
          <w:sz w:val="20"/>
        </w:rPr>
        <w:t>Frateuria</w:t>
      </w:r>
      <w:proofErr w:type="spellEnd"/>
      <w:r w:rsidRPr="00F668A2">
        <w:rPr>
          <w:rFonts w:ascii="Arial" w:hAnsi="Arial" w:cs="Arial"/>
          <w:b w:val="0"/>
          <w:caps w:val="0"/>
          <w:sz w:val="20"/>
        </w:rPr>
        <w:t xml:space="preserve"> </w:t>
      </w:r>
      <w:r w:rsidRPr="002A1817">
        <w:rPr>
          <w:rFonts w:ascii="Arial" w:hAnsi="Arial" w:cs="Arial"/>
          <w:b w:val="0"/>
          <w:i/>
          <w:iCs/>
          <w:caps w:val="0"/>
          <w:sz w:val="20"/>
        </w:rPr>
        <w:t>aurantia</w:t>
      </w:r>
      <w:r w:rsidRPr="00F668A2">
        <w:rPr>
          <w:rFonts w:ascii="Arial" w:hAnsi="Arial" w:cs="Arial"/>
          <w:b w:val="0"/>
          <w:caps w:val="0"/>
          <w:sz w:val="20"/>
        </w:rPr>
        <w:t>) for most fruit attributes indicates the beneficial synergistic effect of organic manures and biofertilizers.</w:t>
      </w:r>
    </w:p>
    <w:p w14:paraId="49331DB9" w14:textId="77777777"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Enhanced fruit size and weight under T</w:t>
      </w:r>
      <w:r w:rsidRPr="00A27FE3">
        <w:rPr>
          <w:rFonts w:ascii="Arial" w:hAnsi="Arial" w:cs="Arial"/>
          <w:b w:val="0"/>
          <w:caps w:val="0"/>
          <w:sz w:val="20"/>
          <w:vertAlign w:val="subscript"/>
        </w:rPr>
        <w:t>7</w:t>
      </w:r>
      <w:r w:rsidRPr="00F668A2">
        <w:rPr>
          <w:rFonts w:ascii="Arial" w:hAnsi="Arial" w:cs="Arial"/>
          <w:b w:val="0"/>
          <w:caps w:val="0"/>
          <w:sz w:val="20"/>
        </w:rPr>
        <w:t xml:space="preserve"> may be attributed to increased photosynthetic efficiency and greater accumulation of carbohydrates, leading to the development of larger and heavier fruits (Sharma, 1995). Improved soil fertility, microbial activity, and nutrient availability under FYM application likely enhanced nutrient uptake and metabolic activity, resulting in improved fruit biochemical characteristics. Similar improvements in fruit weight and girth with combined biofertilizer application have been reported in okra (Anisa, 2011).</w:t>
      </w:r>
    </w:p>
    <w:p w14:paraId="4908208B" w14:textId="1610F89D"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 xml:space="preserve">Farmyard manure also improves soil physical, chemical, and biological properties, including water-holding capacity and humus content, thereby creating a favorable environment for the establishment and activity of inoculated microorganisms (Hayworth </w:t>
      </w:r>
      <w:r w:rsidRPr="0092555C">
        <w:rPr>
          <w:rFonts w:ascii="Arial" w:hAnsi="Arial" w:cs="Arial"/>
          <w:b w:val="0"/>
          <w:i/>
          <w:iCs/>
          <w:caps w:val="0"/>
          <w:sz w:val="20"/>
        </w:rPr>
        <w:t>et al</w:t>
      </w:r>
      <w:r w:rsidRPr="00F668A2">
        <w:rPr>
          <w:rFonts w:ascii="Arial" w:hAnsi="Arial" w:cs="Arial"/>
          <w:b w:val="0"/>
          <w:caps w:val="0"/>
          <w:sz w:val="20"/>
        </w:rPr>
        <w:t xml:space="preserve">., 1996). Growth-promoting substances such as </w:t>
      </w:r>
      <w:proofErr w:type="spellStart"/>
      <w:r w:rsidRPr="00F668A2">
        <w:rPr>
          <w:rFonts w:ascii="Arial" w:hAnsi="Arial" w:cs="Arial"/>
          <w:b w:val="0"/>
          <w:caps w:val="0"/>
          <w:sz w:val="20"/>
        </w:rPr>
        <w:t>cytokinins</w:t>
      </w:r>
      <w:proofErr w:type="spellEnd"/>
      <w:r w:rsidRPr="00F668A2">
        <w:rPr>
          <w:rFonts w:ascii="Arial" w:hAnsi="Arial" w:cs="Arial"/>
          <w:b w:val="0"/>
          <w:caps w:val="0"/>
          <w:sz w:val="20"/>
        </w:rPr>
        <w:t xml:space="preserve"> produced by biofertilizers may have enhanced enzymatic activity and cell metabolism, leading to increased fruit size and flesh thickness </w:t>
      </w:r>
      <w:r w:rsidRPr="00281EFD">
        <w:rPr>
          <w:rFonts w:ascii="Arial" w:hAnsi="Arial" w:cs="Arial"/>
          <w:b w:val="0"/>
          <w:caps w:val="0"/>
          <w:color w:val="EE0000"/>
          <w:sz w:val="20"/>
        </w:rPr>
        <w:t>(Subbaiah, 1991)</w:t>
      </w:r>
      <w:r w:rsidRPr="00F668A2">
        <w:rPr>
          <w:rFonts w:ascii="Arial" w:hAnsi="Arial" w:cs="Arial"/>
          <w:b w:val="0"/>
          <w:caps w:val="0"/>
          <w:sz w:val="20"/>
        </w:rPr>
        <w:t>.</w:t>
      </w:r>
      <w:r w:rsidR="001A2D5A">
        <w:rPr>
          <w:rFonts w:ascii="Arial" w:hAnsi="Arial" w:cs="Arial"/>
          <w:b w:val="0"/>
          <w:caps w:val="0"/>
          <w:sz w:val="20"/>
        </w:rPr>
        <w:t xml:space="preserve"> </w:t>
      </w:r>
      <w:r w:rsidR="001A2D5A" w:rsidRPr="00281EFD">
        <w:rPr>
          <w:rFonts w:ascii="Arial" w:hAnsi="Arial" w:cs="Arial"/>
          <w:color w:val="EE0000"/>
        </w:rPr>
        <w:t>– No reference in references</w:t>
      </w:r>
    </w:p>
    <w:p w14:paraId="57D54245" w14:textId="77777777"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The higher flesh thickness observed under T</w:t>
      </w:r>
      <w:r w:rsidRPr="00A27FE3">
        <w:rPr>
          <w:rFonts w:ascii="Arial" w:hAnsi="Arial" w:cs="Arial"/>
          <w:b w:val="0"/>
          <w:caps w:val="0"/>
          <w:sz w:val="20"/>
          <w:vertAlign w:val="subscript"/>
        </w:rPr>
        <w:t>2</w:t>
      </w:r>
      <w:r w:rsidRPr="00F668A2">
        <w:rPr>
          <w:rFonts w:ascii="Arial" w:hAnsi="Arial" w:cs="Arial"/>
          <w:b w:val="0"/>
          <w:caps w:val="0"/>
          <w:sz w:val="20"/>
        </w:rPr>
        <w:t xml:space="preserve"> and T</w:t>
      </w:r>
      <w:r w:rsidRPr="00A27FE3">
        <w:rPr>
          <w:rFonts w:ascii="Arial" w:hAnsi="Arial" w:cs="Arial"/>
          <w:b w:val="0"/>
          <w:caps w:val="0"/>
          <w:sz w:val="20"/>
          <w:vertAlign w:val="subscript"/>
        </w:rPr>
        <w:t>7</w:t>
      </w:r>
      <w:r w:rsidRPr="00F668A2">
        <w:rPr>
          <w:rFonts w:ascii="Arial" w:hAnsi="Arial" w:cs="Arial"/>
          <w:b w:val="0"/>
          <w:caps w:val="0"/>
          <w:sz w:val="20"/>
        </w:rPr>
        <w:t xml:space="preserve"> suggests a positive influence of AMF on nutrient uptake, particularly phosphorus, which plays a key role in fruit tissue development. </w:t>
      </w:r>
    </w:p>
    <w:p w14:paraId="2B5C3FBD" w14:textId="4CD07494" w:rsidR="00D51752" w:rsidRPr="00BF1D0A" w:rsidRDefault="00D51752" w:rsidP="00D51752">
      <w:pPr>
        <w:pStyle w:val="ConcHead"/>
        <w:jc w:val="both"/>
        <w:rPr>
          <w:rFonts w:ascii="Arial" w:hAnsi="Arial" w:cs="Arial"/>
          <w:bCs/>
          <w:caps w:val="0"/>
          <w:szCs w:val="22"/>
        </w:rPr>
      </w:pPr>
      <w:r w:rsidRPr="00BF1D0A">
        <w:rPr>
          <w:rFonts w:ascii="Arial" w:hAnsi="Arial" w:cs="Arial"/>
          <w:bCs/>
          <w:caps w:val="0"/>
          <w:szCs w:val="22"/>
        </w:rPr>
        <w:t>3.5</w:t>
      </w:r>
      <w:r w:rsidR="006A737C">
        <w:rPr>
          <w:rFonts w:ascii="Arial" w:hAnsi="Arial" w:cs="Arial"/>
          <w:bCs/>
          <w:caps w:val="0"/>
          <w:szCs w:val="22"/>
        </w:rPr>
        <w:t>.</w:t>
      </w:r>
      <w:r w:rsidRPr="00BF1D0A">
        <w:rPr>
          <w:rFonts w:ascii="Arial" w:hAnsi="Arial" w:cs="Arial"/>
          <w:bCs/>
          <w:caps w:val="0"/>
          <w:szCs w:val="22"/>
        </w:rPr>
        <w:t xml:space="preserve"> Yield characteristics</w:t>
      </w:r>
    </w:p>
    <w:p w14:paraId="0D05F401" w14:textId="77777777" w:rsidR="00D51752" w:rsidRDefault="00D51752" w:rsidP="00D51752">
      <w:pPr>
        <w:pStyle w:val="ConcHead"/>
        <w:jc w:val="both"/>
        <w:rPr>
          <w:rFonts w:ascii="Arial" w:hAnsi="Arial" w:cs="Arial"/>
        </w:rPr>
      </w:pPr>
      <w:r w:rsidRPr="00F668A2">
        <w:rPr>
          <w:rFonts w:ascii="Arial" w:hAnsi="Arial" w:cs="Arial"/>
          <w:b w:val="0"/>
          <w:caps w:val="0"/>
          <w:sz w:val="20"/>
        </w:rPr>
        <w:t>Yield represents the integrated outcome of morphological, physiological, and biochemical processes, reflecting the efficiency with which plants intercept solar radiation and convert nutrients into economic yield (Humphries, 1969). Yield improvement can be achieved either by enhancing the growth performance of existing cultivars under given environmental conditions or by modifying assimilate partitioning towards economically important plant parts.</w:t>
      </w:r>
      <w:r w:rsidRPr="009E5C94">
        <w:rPr>
          <w:rFonts w:ascii="Arial" w:hAnsi="Arial" w:cs="Arial"/>
        </w:rPr>
        <w:t xml:space="preserve"> </w:t>
      </w:r>
    </w:p>
    <w:p w14:paraId="386E82A3" w14:textId="77777777" w:rsidR="00D51752" w:rsidRPr="00F668A2" w:rsidRDefault="00D51752" w:rsidP="00D51752">
      <w:pPr>
        <w:pStyle w:val="ConcHead"/>
        <w:jc w:val="both"/>
        <w:rPr>
          <w:rFonts w:ascii="Arial" w:hAnsi="Arial" w:cs="Arial"/>
          <w:b w:val="0"/>
          <w:caps w:val="0"/>
          <w:sz w:val="20"/>
        </w:rPr>
      </w:pPr>
      <w:bookmarkStart w:id="0" w:name="_Hlk217386390"/>
      <w:r>
        <w:rPr>
          <w:rFonts w:ascii="Arial" w:hAnsi="Arial" w:cs="Arial"/>
        </w:rPr>
        <w:t>3.5.1 n</w:t>
      </w:r>
      <w:r>
        <w:rPr>
          <w:rFonts w:ascii="Arial" w:hAnsi="Arial" w:cs="Arial"/>
          <w:caps w:val="0"/>
        </w:rPr>
        <w:t>umber of fruits per plant</w:t>
      </w:r>
    </w:p>
    <w:bookmarkEnd w:id="0"/>
    <w:p w14:paraId="61EEB5C7" w14:textId="1A347A89" w:rsidR="00D51752" w:rsidRPr="00A22D19" w:rsidRDefault="00D51752" w:rsidP="00D51752">
      <w:pPr>
        <w:pStyle w:val="ConcHead"/>
        <w:jc w:val="both"/>
        <w:rPr>
          <w:rFonts w:ascii="Arial" w:hAnsi="Arial" w:cs="Arial"/>
          <w:b w:val="0"/>
          <w:caps w:val="0"/>
          <w:sz w:val="20"/>
        </w:rPr>
      </w:pPr>
      <w:r w:rsidRPr="00F668A2">
        <w:rPr>
          <w:rFonts w:ascii="Arial" w:hAnsi="Arial" w:cs="Arial"/>
          <w:b w:val="0"/>
          <w:caps w:val="0"/>
          <w:sz w:val="20"/>
        </w:rPr>
        <w:t>In the present study, the number of fruits per plant varied significantly among treatments (Table 3). The combined application of all biofertilizers with the full recommended dose of NPK (T9) recorded the highest number of fruits per plant (28.16), representing a 20.60% increase over the control. Similar increases in fruit number due to combined application of biofertilizers and 100% recommended fertilizer dose have been reported in tomato (</w:t>
      </w:r>
      <w:proofErr w:type="spellStart"/>
      <w:r w:rsidRPr="00F668A2">
        <w:rPr>
          <w:rFonts w:ascii="Arial" w:hAnsi="Arial" w:cs="Arial"/>
          <w:b w:val="0"/>
          <w:caps w:val="0"/>
          <w:sz w:val="20"/>
        </w:rPr>
        <w:t>Sendur</w:t>
      </w:r>
      <w:proofErr w:type="spellEnd"/>
      <w:r w:rsidRPr="00F668A2">
        <w:rPr>
          <w:rFonts w:ascii="Arial" w:hAnsi="Arial" w:cs="Arial"/>
          <w:b w:val="0"/>
          <w:caps w:val="0"/>
          <w:sz w:val="20"/>
        </w:rPr>
        <w:t xml:space="preserve"> </w:t>
      </w:r>
      <w:r w:rsidRPr="00AC58F2">
        <w:rPr>
          <w:rFonts w:ascii="Arial" w:hAnsi="Arial" w:cs="Arial"/>
          <w:b w:val="0"/>
          <w:i/>
          <w:iCs/>
          <w:caps w:val="0"/>
          <w:sz w:val="20"/>
        </w:rPr>
        <w:t>et a</w:t>
      </w:r>
      <w:r w:rsidRPr="00A22D19">
        <w:rPr>
          <w:rFonts w:ascii="Arial" w:hAnsi="Arial" w:cs="Arial"/>
          <w:b w:val="0"/>
          <w:i/>
          <w:iCs/>
          <w:caps w:val="0"/>
          <w:color w:val="EE0000"/>
          <w:sz w:val="20"/>
        </w:rPr>
        <w:t>l</w:t>
      </w:r>
      <w:r w:rsidRPr="00F668A2">
        <w:rPr>
          <w:rFonts w:ascii="Arial" w:hAnsi="Arial" w:cs="Arial"/>
          <w:b w:val="0"/>
          <w:caps w:val="0"/>
          <w:sz w:val="20"/>
        </w:rPr>
        <w:t>., 1998) and in brinjal (</w:t>
      </w:r>
      <w:proofErr w:type="spellStart"/>
      <w:r w:rsidRPr="00F668A2">
        <w:rPr>
          <w:rFonts w:ascii="Arial" w:hAnsi="Arial" w:cs="Arial"/>
          <w:b w:val="0"/>
          <w:caps w:val="0"/>
          <w:sz w:val="20"/>
        </w:rPr>
        <w:t>Anburani</w:t>
      </w:r>
      <w:proofErr w:type="spellEnd"/>
      <w:r w:rsidRPr="00F668A2">
        <w:rPr>
          <w:rFonts w:ascii="Arial" w:hAnsi="Arial" w:cs="Arial"/>
          <w:b w:val="0"/>
          <w:caps w:val="0"/>
          <w:sz w:val="20"/>
        </w:rPr>
        <w:t xml:space="preserve"> and Manivannan, 2002; Kiran, 2006). The increase in fruit number under T9 may be attributed to enhanced uptake of N, P, and K, leading to improved photosynthetic efficiency and greater assimilate availability. In addition, growth regulators </w:t>
      </w:r>
      <w:r w:rsidRPr="00F668A2">
        <w:rPr>
          <w:rFonts w:ascii="Arial" w:hAnsi="Arial" w:cs="Arial"/>
          <w:b w:val="0"/>
          <w:caps w:val="0"/>
          <w:sz w:val="20"/>
        </w:rPr>
        <w:lastRenderedPageBreak/>
        <w:t>produced by inoculated microorganisms may have stimulated reproductive development and increased truss formation.</w:t>
      </w:r>
      <w:r w:rsidRPr="002A1817">
        <w:rPr>
          <w:rFonts w:ascii="Arial" w:hAnsi="Arial" w:cs="Arial"/>
        </w:rPr>
        <w:t xml:space="preserve"> </w:t>
      </w:r>
    </w:p>
    <w:p w14:paraId="1DC07AD9" w14:textId="77777777" w:rsidR="00D51752" w:rsidRPr="009E5C94" w:rsidRDefault="00D51752" w:rsidP="00D51752">
      <w:pPr>
        <w:pStyle w:val="ConcHead"/>
        <w:jc w:val="both"/>
        <w:rPr>
          <w:rFonts w:ascii="Arial" w:hAnsi="Arial" w:cs="Arial"/>
          <w:b w:val="0"/>
          <w:caps w:val="0"/>
          <w:sz w:val="20"/>
        </w:rPr>
      </w:pPr>
      <w:r>
        <w:rPr>
          <w:rFonts w:ascii="Arial" w:hAnsi="Arial" w:cs="Arial"/>
        </w:rPr>
        <w:t>3.5.2 F</w:t>
      </w:r>
      <w:r>
        <w:rPr>
          <w:rFonts w:ascii="Arial" w:hAnsi="Arial" w:cs="Arial"/>
          <w:caps w:val="0"/>
        </w:rPr>
        <w:t>ruit yield per plant</w:t>
      </w:r>
    </w:p>
    <w:p w14:paraId="7C358B5A" w14:textId="77777777" w:rsidR="00D51752" w:rsidRDefault="00D51752" w:rsidP="00D51752">
      <w:pPr>
        <w:pStyle w:val="ConcHead"/>
        <w:jc w:val="both"/>
        <w:rPr>
          <w:rFonts w:ascii="Arial" w:hAnsi="Arial" w:cs="Arial"/>
          <w:b w:val="0"/>
          <w:caps w:val="0"/>
          <w:sz w:val="20"/>
        </w:rPr>
      </w:pPr>
      <w:r w:rsidRPr="00F668A2">
        <w:rPr>
          <w:rFonts w:ascii="Arial" w:hAnsi="Arial" w:cs="Arial"/>
          <w:b w:val="0"/>
          <w:caps w:val="0"/>
          <w:sz w:val="20"/>
        </w:rPr>
        <w:t xml:space="preserve">Significant differences were also observed in fruit yield per plant. </w:t>
      </w:r>
      <w:r>
        <w:rPr>
          <w:rFonts w:ascii="Arial" w:hAnsi="Arial" w:cs="Arial"/>
          <w:b w:val="0"/>
          <w:caps w:val="0"/>
          <w:sz w:val="20"/>
        </w:rPr>
        <w:t xml:space="preserve">The treatment, </w:t>
      </w:r>
      <w:r w:rsidRPr="00F668A2">
        <w:rPr>
          <w:rFonts w:ascii="Arial" w:hAnsi="Arial" w:cs="Arial"/>
          <w:b w:val="0"/>
          <w:caps w:val="0"/>
          <w:sz w:val="20"/>
        </w:rPr>
        <w:t>T</w:t>
      </w:r>
      <w:r w:rsidRPr="004A3578">
        <w:rPr>
          <w:rFonts w:ascii="Arial" w:hAnsi="Arial" w:cs="Arial"/>
          <w:b w:val="0"/>
          <w:caps w:val="0"/>
          <w:sz w:val="20"/>
          <w:vertAlign w:val="subscript"/>
        </w:rPr>
        <w:t>9</w:t>
      </w:r>
      <w:r w:rsidRPr="00F668A2">
        <w:rPr>
          <w:rFonts w:ascii="Arial" w:hAnsi="Arial" w:cs="Arial"/>
          <w:b w:val="0"/>
          <w:caps w:val="0"/>
          <w:sz w:val="20"/>
        </w:rPr>
        <w:t xml:space="preserve"> recorded the highest yield (814.70 g </w:t>
      </w:r>
      <w:r>
        <w:rPr>
          <w:rFonts w:ascii="Arial" w:hAnsi="Arial" w:cs="Arial"/>
          <w:b w:val="0"/>
          <w:caps w:val="0"/>
          <w:sz w:val="20"/>
        </w:rPr>
        <w:t xml:space="preserve">per </w:t>
      </w:r>
      <w:r w:rsidRPr="00F668A2">
        <w:rPr>
          <w:rFonts w:ascii="Arial" w:hAnsi="Arial" w:cs="Arial"/>
          <w:b w:val="0"/>
          <w:caps w:val="0"/>
          <w:sz w:val="20"/>
        </w:rPr>
        <w:t>plant), followed by T</w:t>
      </w:r>
      <w:r w:rsidRPr="004A3578">
        <w:rPr>
          <w:rFonts w:ascii="Arial" w:hAnsi="Arial" w:cs="Arial"/>
          <w:b w:val="0"/>
          <w:caps w:val="0"/>
          <w:sz w:val="20"/>
          <w:vertAlign w:val="subscript"/>
        </w:rPr>
        <w:t>8</w:t>
      </w:r>
      <w:r w:rsidRPr="00F668A2">
        <w:rPr>
          <w:rFonts w:ascii="Arial" w:hAnsi="Arial" w:cs="Arial"/>
          <w:b w:val="0"/>
          <w:caps w:val="0"/>
          <w:sz w:val="20"/>
        </w:rPr>
        <w:t xml:space="preserve"> (664.90 g </w:t>
      </w:r>
      <w:r>
        <w:rPr>
          <w:rFonts w:ascii="Arial" w:hAnsi="Arial" w:cs="Arial"/>
          <w:b w:val="0"/>
          <w:caps w:val="0"/>
          <w:sz w:val="20"/>
        </w:rPr>
        <w:t xml:space="preserve">per </w:t>
      </w:r>
      <w:r w:rsidRPr="00F668A2">
        <w:rPr>
          <w:rFonts w:ascii="Arial" w:hAnsi="Arial" w:cs="Arial"/>
          <w:b w:val="0"/>
          <w:caps w:val="0"/>
          <w:sz w:val="20"/>
        </w:rPr>
        <w:t xml:space="preserve">plant) and the control (629.50 g </w:t>
      </w:r>
      <w:r>
        <w:rPr>
          <w:rFonts w:ascii="Arial" w:hAnsi="Arial" w:cs="Arial"/>
          <w:b w:val="0"/>
          <w:caps w:val="0"/>
          <w:sz w:val="20"/>
        </w:rPr>
        <w:t xml:space="preserve">per </w:t>
      </w:r>
      <w:r w:rsidRPr="00F668A2">
        <w:rPr>
          <w:rFonts w:ascii="Arial" w:hAnsi="Arial" w:cs="Arial"/>
          <w:b w:val="0"/>
          <w:caps w:val="0"/>
          <w:sz w:val="20"/>
        </w:rPr>
        <w:t>plant). The yield under T</w:t>
      </w:r>
      <w:r w:rsidRPr="004A3578">
        <w:rPr>
          <w:rFonts w:ascii="Arial" w:hAnsi="Arial" w:cs="Arial"/>
          <w:b w:val="0"/>
          <w:caps w:val="0"/>
          <w:sz w:val="20"/>
          <w:vertAlign w:val="subscript"/>
        </w:rPr>
        <w:t xml:space="preserve">9 </w:t>
      </w:r>
      <w:r w:rsidRPr="00F668A2">
        <w:rPr>
          <w:rFonts w:ascii="Arial" w:hAnsi="Arial" w:cs="Arial"/>
          <w:b w:val="0"/>
          <w:caps w:val="0"/>
          <w:sz w:val="20"/>
        </w:rPr>
        <w:t xml:space="preserve">was 29.40% higher than the control. </w:t>
      </w:r>
    </w:p>
    <w:p w14:paraId="2D300890" w14:textId="77777777" w:rsidR="00D51752" w:rsidRPr="009E5C94" w:rsidRDefault="00D51752" w:rsidP="00D51752">
      <w:pPr>
        <w:pStyle w:val="ConcHead"/>
        <w:jc w:val="both"/>
        <w:rPr>
          <w:rFonts w:ascii="Arial" w:hAnsi="Arial" w:cs="Arial"/>
          <w:b w:val="0"/>
          <w:caps w:val="0"/>
          <w:sz w:val="20"/>
        </w:rPr>
      </w:pPr>
      <w:r>
        <w:rPr>
          <w:rFonts w:ascii="Arial" w:hAnsi="Arial" w:cs="Arial"/>
        </w:rPr>
        <w:t>3.5.3 Y</w:t>
      </w:r>
      <w:r>
        <w:rPr>
          <w:rFonts w:ascii="Arial" w:hAnsi="Arial" w:cs="Arial"/>
          <w:caps w:val="0"/>
        </w:rPr>
        <w:t>ield per hectare</w:t>
      </w:r>
    </w:p>
    <w:p w14:paraId="26C5425F" w14:textId="77777777" w:rsidR="00D51752" w:rsidRDefault="00D51752" w:rsidP="00D51752">
      <w:pPr>
        <w:pStyle w:val="ConcHead"/>
        <w:jc w:val="both"/>
        <w:rPr>
          <w:rFonts w:ascii="Arial" w:hAnsi="Arial" w:cs="Arial"/>
        </w:rPr>
      </w:pPr>
      <w:r>
        <w:rPr>
          <w:rFonts w:ascii="Arial" w:hAnsi="Arial" w:cs="Arial"/>
          <w:b w:val="0"/>
          <w:caps w:val="0"/>
          <w:sz w:val="20"/>
        </w:rPr>
        <w:t>T</w:t>
      </w:r>
      <w:r w:rsidRPr="00F668A2">
        <w:rPr>
          <w:rFonts w:ascii="Arial" w:hAnsi="Arial" w:cs="Arial"/>
          <w:b w:val="0"/>
          <w:caps w:val="0"/>
          <w:sz w:val="20"/>
        </w:rPr>
        <w:t>otal fruit yield per hectare was maximum under T</w:t>
      </w:r>
      <w:r w:rsidRPr="004A3578">
        <w:rPr>
          <w:rFonts w:ascii="Arial" w:hAnsi="Arial" w:cs="Arial"/>
          <w:b w:val="0"/>
          <w:caps w:val="0"/>
          <w:sz w:val="20"/>
          <w:vertAlign w:val="subscript"/>
        </w:rPr>
        <w:t>9</w:t>
      </w:r>
      <w:r w:rsidRPr="00F668A2">
        <w:rPr>
          <w:rFonts w:ascii="Arial" w:hAnsi="Arial" w:cs="Arial"/>
          <w:b w:val="0"/>
          <w:caps w:val="0"/>
          <w:sz w:val="20"/>
        </w:rPr>
        <w:t xml:space="preserve"> (20.81 t ha</w:t>
      </w:r>
      <w:r w:rsidRPr="00F668A2">
        <w:rPr>
          <w:rFonts w:ascii="Cambria Math" w:hAnsi="Cambria Math" w:cs="Cambria Math"/>
          <w:b w:val="0"/>
          <w:caps w:val="0"/>
          <w:sz w:val="20"/>
        </w:rPr>
        <w:t>⁻</w:t>
      </w:r>
      <w:r w:rsidRPr="00F668A2">
        <w:rPr>
          <w:rFonts w:ascii="Arial" w:hAnsi="Arial" w:cs="Arial"/>
          <w:b w:val="0"/>
          <w:caps w:val="0"/>
          <w:sz w:val="20"/>
        </w:rPr>
        <w:t>¹), representing a 22.84% increase over the control, followed by T</w:t>
      </w:r>
      <w:r w:rsidRPr="004A3578">
        <w:rPr>
          <w:rFonts w:ascii="Arial" w:hAnsi="Arial" w:cs="Arial"/>
          <w:b w:val="0"/>
          <w:caps w:val="0"/>
          <w:sz w:val="20"/>
          <w:vertAlign w:val="subscript"/>
        </w:rPr>
        <w:t>8</w:t>
      </w:r>
      <w:r w:rsidRPr="00F668A2">
        <w:rPr>
          <w:rFonts w:ascii="Arial" w:hAnsi="Arial" w:cs="Arial"/>
          <w:b w:val="0"/>
          <w:caps w:val="0"/>
          <w:sz w:val="20"/>
        </w:rPr>
        <w:t xml:space="preserve"> (16.95 t ha</w:t>
      </w:r>
      <w:r w:rsidRPr="00F668A2">
        <w:rPr>
          <w:rFonts w:ascii="Cambria Math" w:hAnsi="Cambria Math" w:cs="Cambria Math"/>
          <w:b w:val="0"/>
          <w:caps w:val="0"/>
          <w:sz w:val="20"/>
        </w:rPr>
        <w:t>⁻</w:t>
      </w:r>
      <w:r w:rsidRPr="00F668A2">
        <w:rPr>
          <w:rFonts w:ascii="Arial" w:hAnsi="Arial" w:cs="Arial"/>
          <w:b w:val="0"/>
          <w:caps w:val="0"/>
          <w:sz w:val="20"/>
        </w:rPr>
        <w:t>¹) and the control (16.06 t ha</w:t>
      </w:r>
      <w:r w:rsidRPr="00F668A2">
        <w:rPr>
          <w:rFonts w:ascii="Cambria Math" w:hAnsi="Cambria Math" w:cs="Cambria Math"/>
          <w:b w:val="0"/>
          <w:caps w:val="0"/>
          <w:sz w:val="20"/>
        </w:rPr>
        <w:t>⁻</w:t>
      </w:r>
      <w:r w:rsidRPr="00F668A2">
        <w:rPr>
          <w:rFonts w:ascii="Arial" w:hAnsi="Arial" w:cs="Arial"/>
          <w:b w:val="0"/>
          <w:caps w:val="0"/>
          <w:sz w:val="20"/>
        </w:rPr>
        <w:t>¹). Comparable improvements in yield due to integrated application of biofertilizers and inorganic fertilizers have been reported in brinjal (</w:t>
      </w:r>
      <w:proofErr w:type="spellStart"/>
      <w:r w:rsidRPr="00F668A2">
        <w:rPr>
          <w:rFonts w:ascii="Arial" w:hAnsi="Arial" w:cs="Arial"/>
          <w:b w:val="0"/>
          <w:caps w:val="0"/>
          <w:sz w:val="20"/>
        </w:rPr>
        <w:t>Anburani</w:t>
      </w:r>
      <w:proofErr w:type="spellEnd"/>
      <w:r w:rsidRPr="00F668A2">
        <w:rPr>
          <w:rFonts w:ascii="Arial" w:hAnsi="Arial" w:cs="Arial"/>
          <w:b w:val="0"/>
          <w:caps w:val="0"/>
          <w:sz w:val="20"/>
        </w:rPr>
        <w:t xml:space="preserve"> and Manivannan, 2002; Kiran, 2006) and </w:t>
      </w:r>
      <w:proofErr w:type="spellStart"/>
      <w:r w:rsidRPr="00F668A2">
        <w:rPr>
          <w:rFonts w:ascii="Arial" w:hAnsi="Arial" w:cs="Arial"/>
          <w:b w:val="0"/>
          <w:caps w:val="0"/>
          <w:sz w:val="20"/>
        </w:rPr>
        <w:t>chilli</w:t>
      </w:r>
      <w:proofErr w:type="spellEnd"/>
      <w:r w:rsidRPr="00F668A2">
        <w:rPr>
          <w:rFonts w:ascii="Arial" w:hAnsi="Arial" w:cs="Arial"/>
          <w:b w:val="0"/>
          <w:caps w:val="0"/>
          <w:sz w:val="20"/>
        </w:rPr>
        <w:t xml:space="preserve"> (Talukder and Jana, 2009).</w:t>
      </w:r>
      <w:r w:rsidRPr="007B7E0D">
        <w:rPr>
          <w:rFonts w:ascii="Arial" w:hAnsi="Arial" w:cs="Arial"/>
        </w:rPr>
        <w:t xml:space="preserve"> </w:t>
      </w:r>
    </w:p>
    <w:p w14:paraId="789009FB" w14:textId="77777777" w:rsidR="00D51752" w:rsidRDefault="00D51752" w:rsidP="00D51752">
      <w:pPr>
        <w:pStyle w:val="ConcHead"/>
        <w:jc w:val="both"/>
        <w:rPr>
          <w:rFonts w:ascii="Arial" w:hAnsi="Arial" w:cs="Arial"/>
        </w:rPr>
      </w:pPr>
    </w:p>
    <w:p w14:paraId="48DBC95C" w14:textId="77777777" w:rsidR="00D51752" w:rsidRPr="00F668A2" w:rsidRDefault="00D51752" w:rsidP="00A22D19">
      <w:pPr>
        <w:pStyle w:val="ConcHead"/>
        <w:jc w:val="center"/>
        <w:rPr>
          <w:rFonts w:ascii="Arial" w:hAnsi="Arial" w:cs="Arial"/>
          <w:b w:val="0"/>
          <w:caps w:val="0"/>
          <w:sz w:val="20"/>
        </w:rPr>
      </w:pPr>
      <w:r>
        <w:rPr>
          <w:rFonts w:ascii="Arial" w:hAnsi="Arial" w:cs="Arial"/>
          <w:bCs/>
          <w:sz w:val="20"/>
        </w:rPr>
        <w:t xml:space="preserve">Table 3. </w:t>
      </w:r>
      <w:r w:rsidRPr="00C633E1">
        <w:rPr>
          <w:rFonts w:ascii="Arial" w:hAnsi="Arial" w:cs="Arial"/>
          <w:bCs/>
          <w:sz w:val="20"/>
        </w:rPr>
        <w:t xml:space="preserve">Response of biofertilizers on </w:t>
      </w:r>
      <w:r>
        <w:rPr>
          <w:rFonts w:ascii="Arial" w:hAnsi="Arial" w:cs="Arial"/>
          <w:bCs/>
          <w:sz w:val="20"/>
        </w:rPr>
        <w:t>yield</w:t>
      </w:r>
      <w:r w:rsidRPr="00C633E1">
        <w:rPr>
          <w:rFonts w:ascii="Arial" w:hAnsi="Arial" w:cs="Arial"/>
          <w:bCs/>
          <w:sz w:val="20"/>
        </w:rPr>
        <w:t xml:space="preserve"> characteristics</w:t>
      </w:r>
    </w:p>
    <w:p w14:paraId="32C8ACE8" w14:textId="77777777" w:rsidR="00D51752" w:rsidRDefault="00D51752" w:rsidP="00A22D19">
      <w:pPr>
        <w:pStyle w:val="ConcHead"/>
        <w:jc w:val="center"/>
        <w:rPr>
          <w:rFonts w:ascii="Arial" w:hAnsi="Arial" w:cs="Arial"/>
          <w:b w:val="0"/>
          <w:caps w:val="0"/>
          <w:sz w:val="20"/>
        </w:rPr>
      </w:pPr>
      <w:r w:rsidRPr="007B7E0D">
        <w:rPr>
          <w:noProof/>
        </w:rPr>
        <w:drawing>
          <wp:inline distT="0" distB="0" distL="0" distR="0" wp14:anchorId="312D0FD8" wp14:editId="28C5A7CA">
            <wp:extent cx="4244197" cy="3294392"/>
            <wp:effectExtent l="0" t="0" r="4445" b="0"/>
            <wp:docPr id="18204556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6749"/>
                    <a:stretch>
                      <a:fillRect/>
                    </a:stretch>
                  </pic:blipFill>
                  <pic:spPr bwMode="auto">
                    <a:xfrm>
                      <a:off x="0" y="0"/>
                      <a:ext cx="4249138" cy="3298227"/>
                    </a:xfrm>
                    <a:prstGeom prst="rect">
                      <a:avLst/>
                    </a:prstGeom>
                    <a:noFill/>
                    <a:ln>
                      <a:noFill/>
                    </a:ln>
                    <a:extLst>
                      <a:ext uri="{53640926-AAD7-44D8-BBD7-CCE9431645EC}">
                        <a14:shadowObscured xmlns:a14="http://schemas.microsoft.com/office/drawing/2010/main"/>
                      </a:ext>
                    </a:extLst>
                  </pic:spPr>
                </pic:pic>
              </a:graphicData>
            </a:graphic>
          </wp:inline>
        </w:drawing>
      </w:r>
    </w:p>
    <w:p w14:paraId="3741497B" w14:textId="66198730"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The superior yield performance under T</w:t>
      </w:r>
      <w:r w:rsidRPr="004A3578">
        <w:rPr>
          <w:rFonts w:ascii="Arial" w:hAnsi="Arial" w:cs="Arial"/>
          <w:b w:val="0"/>
          <w:caps w:val="0"/>
          <w:sz w:val="20"/>
          <w:vertAlign w:val="subscript"/>
        </w:rPr>
        <w:t>9</w:t>
      </w:r>
      <w:r w:rsidRPr="00F668A2">
        <w:rPr>
          <w:rFonts w:ascii="Arial" w:hAnsi="Arial" w:cs="Arial"/>
          <w:b w:val="0"/>
          <w:caps w:val="0"/>
          <w:sz w:val="20"/>
        </w:rPr>
        <w:t xml:space="preserve"> may be attributed to enhanced synthesis of metabolites and improved nutrient uptake resulting from the combined application of inorganic fertilizers, biofertilizers, and FYM. This integrated nutrient management approach promoted improved plant growth in terms of plant height, leaf number, branching, and inflorescence development, all of which showed positive associations with yield. Application of FYM likely improved soil physical, chemical, and biological properties, facilitating rapid multiplication of</w:t>
      </w:r>
      <w:r w:rsidR="00A22D19">
        <w:rPr>
          <w:rFonts w:ascii="Arial" w:hAnsi="Arial" w:cs="Arial"/>
          <w:b w:val="0"/>
          <w:caps w:val="0"/>
          <w:sz w:val="20"/>
        </w:rPr>
        <w:t xml:space="preserve"> </w:t>
      </w:r>
      <w:r w:rsidRPr="00F668A2">
        <w:rPr>
          <w:rFonts w:ascii="Arial" w:hAnsi="Arial" w:cs="Arial"/>
          <w:b w:val="0"/>
          <w:caps w:val="0"/>
          <w:sz w:val="20"/>
        </w:rPr>
        <w:t xml:space="preserve">inoculated microorganisms, enhanced mobilization of bound nutrients, and improved soil aggregation (Nirmala and Vadivel, 1999). FYM also supplies both macro- and micronutrients, </w:t>
      </w:r>
      <w:r w:rsidRPr="00F668A2">
        <w:rPr>
          <w:rFonts w:ascii="Arial" w:hAnsi="Arial" w:cs="Arial"/>
          <w:b w:val="0"/>
          <w:caps w:val="0"/>
          <w:sz w:val="20"/>
        </w:rPr>
        <w:lastRenderedPageBreak/>
        <w:t>increases water-holding capacity, and improves soil aeration, thereby supporting better root development and nutrient absorption (</w:t>
      </w:r>
      <w:proofErr w:type="spellStart"/>
      <w:r w:rsidRPr="00F668A2">
        <w:rPr>
          <w:rFonts w:ascii="Arial" w:hAnsi="Arial" w:cs="Arial"/>
          <w:b w:val="0"/>
          <w:caps w:val="0"/>
          <w:sz w:val="20"/>
        </w:rPr>
        <w:t>Kirad</w:t>
      </w:r>
      <w:proofErr w:type="spellEnd"/>
      <w:r w:rsidRPr="00F668A2">
        <w:rPr>
          <w:rFonts w:ascii="Arial" w:hAnsi="Arial" w:cs="Arial"/>
          <w:b w:val="0"/>
          <w:caps w:val="0"/>
          <w:sz w:val="20"/>
        </w:rPr>
        <w:t xml:space="preserve"> </w:t>
      </w:r>
      <w:r w:rsidRPr="009E5C94">
        <w:rPr>
          <w:rFonts w:ascii="Arial" w:hAnsi="Arial" w:cs="Arial"/>
          <w:b w:val="0"/>
          <w:i/>
          <w:iCs/>
          <w:caps w:val="0"/>
          <w:sz w:val="20"/>
        </w:rPr>
        <w:t>et al.,</w:t>
      </w:r>
      <w:r w:rsidRPr="00F668A2">
        <w:rPr>
          <w:rFonts w:ascii="Arial" w:hAnsi="Arial" w:cs="Arial"/>
          <w:b w:val="0"/>
          <w:caps w:val="0"/>
          <w:sz w:val="20"/>
        </w:rPr>
        <w:t xml:space="preserve"> 2010). Collectively, these factors enhanced photosynthetic rate and assimilate translocation, ultimately resulting in higher fruit yield.</w:t>
      </w:r>
    </w:p>
    <w:p w14:paraId="5EACCB46" w14:textId="77777777" w:rsidR="00D51752" w:rsidRPr="00F668A2" w:rsidRDefault="00D51752" w:rsidP="00D51752">
      <w:pPr>
        <w:pStyle w:val="ConcHead"/>
        <w:jc w:val="both"/>
        <w:rPr>
          <w:rFonts w:ascii="Arial" w:hAnsi="Arial" w:cs="Arial"/>
          <w:bCs/>
          <w:caps w:val="0"/>
          <w:szCs w:val="22"/>
        </w:rPr>
      </w:pPr>
      <w:r w:rsidRPr="00F668A2">
        <w:rPr>
          <w:rFonts w:ascii="Arial" w:hAnsi="Arial" w:cs="Arial"/>
          <w:bCs/>
          <w:caps w:val="0"/>
          <w:szCs w:val="22"/>
        </w:rPr>
        <w:t xml:space="preserve">4. CONCLUSION </w:t>
      </w:r>
    </w:p>
    <w:p w14:paraId="25FF233C" w14:textId="77777777"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 xml:space="preserve">The present study clearly demonstrates that integrated nutrient management involving biofertilizers, organic manure, and inorganic fertilizers significantly influences growth, earliness, yield, and fruit quality of tomato. Combined application of </w:t>
      </w:r>
      <w:proofErr w:type="spellStart"/>
      <w:r w:rsidRPr="002A1817">
        <w:rPr>
          <w:rFonts w:ascii="Arial" w:hAnsi="Arial" w:cs="Arial"/>
          <w:b w:val="0"/>
          <w:i/>
          <w:iCs/>
          <w:caps w:val="0"/>
          <w:sz w:val="20"/>
        </w:rPr>
        <w:t>Azospirillum</w:t>
      </w:r>
      <w:proofErr w:type="spellEnd"/>
      <w:r w:rsidRPr="00F668A2">
        <w:rPr>
          <w:rFonts w:ascii="Arial" w:hAnsi="Arial" w:cs="Arial"/>
          <w:b w:val="0"/>
          <w:caps w:val="0"/>
          <w:sz w:val="20"/>
        </w:rPr>
        <w:t xml:space="preserve">, AMF, and </w:t>
      </w:r>
      <w:proofErr w:type="spellStart"/>
      <w:r w:rsidRPr="004A3578">
        <w:rPr>
          <w:rFonts w:ascii="Arial" w:hAnsi="Arial" w:cs="Arial"/>
          <w:b w:val="0"/>
          <w:i/>
          <w:iCs/>
          <w:caps w:val="0"/>
          <w:sz w:val="20"/>
        </w:rPr>
        <w:t>Frateuria</w:t>
      </w:r>
      <w:proofErr w:type="spellEnd"/>
      <w:r w:rsidRPr="004A3578">
        <w:rPr>
          <w:rFonts w:ascii="Arial" w:hAnsi="Arial" w:cs="Arial"/>
          <w:b w:val="0"/>
          <w:i/>
          <w:iCs/>
          <w:caps w:val="0"/>
          <w:sz w:val="20"/>
        </w:rPr>
        <w:t xml:space="preserve"> aurantia</w:t>
      </w:r>
      <w:r w:rsidRPr="00F668A2">
        <w:rPr>
          <w:rFonts w:ascii="Arial" w:hAnsi="Arial" w:cs="Arial"/>
          <w:b w:val="0"/>
          <w:caps w:val="0"/>
          <w:sz w:val="20"/>
        </w:rPr>
        <w:t xml:space="preserve"> along with FYM and the full recommended dose of NPK (T</w:t>
      </w:r>
      <w:r w:rsidRPr="004A3578">
        <w:rPr>
          <w:rFonts w:ascii="Arial" w:hAnsi="Arial" w:cs="Arial"/>
          <w:b w:val="0"/>
          <w:caps w:val="0"/>
          <w:sz w:val="20"/>
          <w:vertAlign w:val="subscript"/>
        </w:rPr>
        <w:t>9</w:t>
      </w:r>
      <w:r w:rsidRPr="00F668A2">
        <w:rPr>
          <w:rFonts w:ascii="Arial" w:hAnsi="Arial" w:cs="Arial"/>
          <w:b w:val="0"/>
          <w:caps w:val="0"/>
          <w:sz w:val="20"/>
        </w:rPr>
        <w:t>) proved most effective in enhancing yield attributes, fruit yield per plant, and total yield per hectare, primarily through improved nutrient uptake, enhanced photosynthetic efficiency, and better assimilate partitioning. Notably, treatments involving biofertilizers with reduced chemical fertilizer inputs also performed comparably for several growth and yield parameters, indicating the potential for partial substitution of inorganic fertilizers.</w:t>
      </w:r>
    </w:p>
    <w:p w14:paraId="47F7705D" w14:textId="77777777" w:rsidR="00D51752" w:rsidRPr="00F668A2" w:rsidRDefault="00D51752" w:rsidP="00D51752">
      <w:pPr>
        <w:pStyle w:val="ConcHead"/>
        <w:jc w:val="both"/>
        <w:rPr>
          <w:rFonts w:ascii="Arial" w:hAnsi="Arial" w:cs="Arial"/>
          <w:b w:val="0"/>
          <w:caps w:val="0"/>
          <w:sz w:val="20"/>
        </w:rPr>
      </w:pPr>
      <w:r w:rsidRPr="00F668A2">
        <w:rPr>
          <w:rFonts w:ascii="Arial" w:hAnsi="Arial" w:cs="Arial"/>
          <w:b w:val="0"/>
          <w:caps w:val="0"/>
          <w:sz w:val="20"/>
        </w:rPr>
        <w:t>Improved vegetative growth, increased branching, early flowering, enhanced fruit biometric traits, and number of fruits per plant under biofertilizer-based treatments highlight the role of</w:t>
      </w:r>
      <w:r>
        <w:rPr>
          <w:rFonts w:ascii="Arial" w:hAnsi="Arial" w:cs="Arial"/>
          <w:b w:val="0"/>
          <w:caps w:val="0"/>
          <w:sz w:val="20"/>
        </w:rPr>
        <w:t xml:space="preserve"> </w:t>
      </w:r>
      <w:r w:rsidRPr="00F668A2">
        <w:rPr>
          <w:rFonts w:ascii="Arial" w:hAnsi="Arial" w:cs="Arial"/>
          <w:b w:val="0"/>
          <w:caps w:val="0"/>
          <w:sz w:val="20"/>
        </w:rPr>
        <w:t>beneficial microorganisms in regulating physiological and hormonal processes essential for productivity. The synergistic effect of FYM and biofertilizers further improved soil fertility, microbial activity, and nutrient-use efficiency, contributing to sustained crop performance.</w:t>
      </w:r>
    </w:p>
    <w:p w14:paraId="7A9E8922" w14:textId="77777777" w:rsidR="00D51752" w:rsidRDefault="00D51752" w:rsidP="00D51752">
      <w:pPr>
        <w:pStyle w:val="ConcHead"/>
        <w:spacing w:after="0"/>
        <w:jc w:val="both"/>
        <w:rPr>
          <w:rFonts w:ascii="Arial" w:hAnsi="Arial" w:cs="Arial"/>
        </w:rPr>
      </w:pPr>
      <w:r w:rsidRPr="00F668A2">
        <w:rPr>
          <w:rFonts w:ascii="Arial" w:hAnsi="Arial" w:cs="Arial"/>
          <w:b w:val="0"/>
          <w:caps w:val="0"/>
          <w:sz w:val="20"/>
        </w:rPr>
        <w:t>Overall, the findings emphasize that the integration of biofertilizers with organic and inorganic nutrient sources is a viable and sustainable strategy for improving tomato productivity while reducing dependency on chemical fertilizers. Adoption of such integrated nutrient management practices can enhance yield, maintain soil health, and support environmentally sustainable vegetable production systems.</w:t>
      </w:r>
    </w:p>
    <w:p w14:paraId="2EFFC607" w14:textId="77777777" w:rsidR="00D51752" w:rsidRPr="00F668A2" w:rsidRDefault="00D51752" w:rsidP="00D51752">
      <w:pPr>
        <w:pStyle w:val="ConcHead"/>
        <w:spacing w:after="0"/>
        <w:jc w:val="both"/>
        <w:rPr>
          <w:rFonts w:ascii="Arial" w:hAnsi="Arial" w:cs="Arial"/>
          <w:bCs/>
        </w:rPr>
      </w:pPr>
    </w:p>
    <w:p w14:paraId="255CCAF1" w14:textId="77777777" w:rsidR="00D51752" w:rsidRPr="00F668A2" w:rsidRDefault="00D51752" w:rsidP="00D51752">
      <w:pPr>
        <w:pStyle w:val="ReferHead"/>
        <w:jc w:val="both"/>
        <w:rPr>
          <w:rFonts w:ascii="Arial" w:hAnsi="Arial" w:cs="Arial"/>
          <w:bCs/>
          <w:caps w:val="0"/>
          <w:szCs w:val="22"/>
        </w:rPr>
      </w:pPr>
      <w:r w:rsidRPr="00F668A2">
        <w:rPr>
          <w:rFonts w:ascii="Arial" w:hAnsi="Arial" w:cs="Arial"/>
          <w:bCs/>
          <w:caps w:val="0"/>
          <w:szCs w:val="22"/>
        </w:rPr>
        <w:t>DISCLAIMER (ARTIFICIAL INTELLIGENCE)</w:t>
      </w:r>
    </w:p>
    <w:p w14:paraId="73E25591" w14:textId="77777777" w:rsidR="00D51752" w:rsidRPr="00F668A2" w:rsidRDefault="00D51752" w:rsidP="00D51752">
      <w:pPr>
        <w:pStyle w:val="ReferHead"/>
        <w:jc w:val="both"/>
        <w:rPr>
          <w:rFonts w:ascii="Arial" w:hAnsi="Arial" w:cs="Arial"/>
          <w:b w:val="0"/>
          <w:caps w:val="0"/>
          <w:sz w:val="20"/>
        </w:rPr>
      </w:pPr>
      <w:r w:rsidRPr="00F668A2">
        <w:rPr>
          <w:rFonts w:ascii="Arial" w:hAnsi="Arial" w:cs="Arial"/>
          <w:b w:val="0"/>
          <w:caps w:val="0"/>
          <w:sz w:val="20"/>
        </w:rPr>
        <w:t>Artificial intelligence tools</w:t>
      </w:r>
      <w:r>
        <w:rPr>
          <w:rFonts w:ascii="Arial" w:hAnsi="Arial" w:cs="Arial"/>
          <w:b w:val="0"/>
          <w:caps w:val="0"/>
          <w:sz w:val="20"/>
        </w:rPr>
        <w:t xml:space="preserve"> (Chat GPT)</w:t>
      </w:r>
      <w:r w:rsidRPr="00F668A2">
        <w:rPr>
          <w:rFonts w:ascii="Arial" w:hAnsi="Arial" w:cs="Arial"/>
          <w:b w:val="0"/>
          <w:caps w:val="0"/>
          <w:sz w:val="20"/>
        </w:rPr>
        <w:t xml:space="preserve"> were used only for language editing and improving readability. All scientific content and interpretations are the sole responsibility of the author.</w:t>
      </w:r>
    </w:p>
    <w:p w14:paraId="4CF98998" w14:textId="77777777" w:rsidR="00D51752" w:rsidRPr="00F668A2" w:rsidRDefault="00D51752" w:rsidP="00D51752">
      <w:pPr>
        <w:pStyle w:val="ReferHead"/>
        <w:jc w:val="both"/>
        <w:rPr>
          <w:rFonts w:ascii="Arial" w:hAnsi="Arial" w:cs="Arial"/>
          <w:bCs/>
          <w:caps w:val="0"/>
          <w:szCs w:val="22"/>
        </w:rPr>
      </w:pPr>
      <w:r w:rsidRPr="00F668A2">
        <w:rPr>
          <w:rFonts w:ascii="Arial" w:hAnsi="Arial" w:cs="Arial"/>
          <w:bCs/>
          <w:caps w:val="0"/>
          <w:szCs w:val="22"/>
        </w:rPr>
        <w:t>COMPETING INTERESTS</w:t>
      </w:r>
    </w:p>
    <w:p w14:paraId="1C20780B" w14:textId="77777777" w:rsidR="00D51752" w:rsidRDefault="00D51752" w:rsidP="00D51752">
      <w:pPr>
        <w:pStyle w:val="ReferHead"/>
        <w:spacing w:after="0"/>
        <w:jc w:val="both"/>
        <w:rPr>
          <w:rFonts w:ascii="Arial" w:hAnsi="Arial" w:cs="Arial"/>
          <w:b w:val="0"/>
          <w:caps w:val="0"/>
          <w:sz w:val="20"/>
        </w:rPr>
      </w:pPr>
      <w:r w:rsidRPr="00F668A2">
        <w:rPr>
          <w:rFonts w:ascii="Arial" w:hAnsi="Arial" w:cs="Arial"/>
          <w:b w:val="0"/>
          <w:caps w:val="0"/>
          <w:sz w:val="20"/>
        </w:rPr>
        <w:t>Authors have declared that no competing interests exist.</w:t>
      </w:r>
    </w:p>
    <w:p w14:paraId="24AA0016" w14:textId="77777777" w:rsidR="00D51752" w:rsidRDefault="00D51752" w:rsidP="00D51752">
      <w:pPr>
        <w:pStyle w:val="ReferHead"/>
        <w:spacing w:after="0"/>
        <w:jc w:val="both"/>
        <w:rPr>
          <w:rFonts w:ascii="Arial" w:hAnsi="Arial" w:cs="Arial"/>
          <w:b w:val="0"/>
          <w:caps w:val="0"/>
          <w:sz w:val="20"/>
        </w:rPr>
      </w:pPr>
    </w:p>
    <w:p w14:paraId="28D20769" w14:textId="77777777" w:rsidR="00D51752" w:rsidRDefault="00D51752" w:rsidP="00D51752">
      <w:pPr>
        <w:pStyle w:val="ReferHead"/>
        <w:spacing w:after="0"/>
        <w:jc w:val="both"/>
        <w:rPr>
          <w:rFonts w:ascii="Arial" w:hAnsi="Arial" w:cs="Arial"/>
        </w:rPr>
      </w:pPr>
      <w:r w:rsidRPr="00FB3A86">
        <w:rPr>
          <w:rFonts w:ascii="Arial" w:hAnsi="Arial" w:cs="Arial"/>
        </w:rPr>
        <w:t>References</w:t>
      </w:r>
    </w:p>
    <w:p w14:paraId="1C73228F" w14:textId="77777777" w:rsidR="00D51752" w:rsidRPr="00576283" w:rsidRDefault="00D51752" w:rsidP="00D51752">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Amirthalingam, S. and Balakrishnan, R. 1988. Studies on the effect of </w:t>
      </w:r>
      <w:proofErr w:type="spellStart"/>
      <w:r w:rsidRPr="00576283">
        <w:rPr>
          <w:rFonts w:ascii="Arial" w:eastAsia="Calibri" w:hAnsi="Arial" w:cs="Arial"/>
          <w:kern w:val="2"/>
          <w:lang w:val="en-IN"/>
        </w:rPr>
        <w:t>Azospirillum</w:t>
      </w:r>
      <w:proofErr w:type="spellEnd"/>
      <w:r w:rsidRPr="00576283">
        <w:rPr>
          <w:rFonts w:ascii="Arial" w:eastAsia="Calibri" w:hAnsi="Arial" w:cs="Arial"/>
          <w:kern w:val="2"/>
          <w:lang w:val="en-IN"/>
        </w:rPr>
        <w:t xml:space="preserve">, nitrogen and NAA on growth and yield of chilli (Capsicum annuum L.) cv. K.1. South Indian Hort., </w:t>
      </w:r>
      <w:proofErr w:type="gramStart"/>
      <w:r w:rsidRPr="00576283">
        <w:rPr>
          <w:rFonts w:ascii="Arial" w:eastAsia="Calibri" w:hAnsi="Arial" w:cs="Arial"/>
          <w:kern w:val="2"/>
          <w:lang w:val="en-IN"/>
        </w:rPr>
        <w:t>36 :</w:t>
      </w:r>
      <w:proofErr w:type="gramEnd"/>
      <w:r w:rsidRPr="00576283">
        <w:rPr>
          <w:rFonts w:ascii="Arial" w:eastAsia="Calibri" w:hAnsi="Arial" w:cs="Arial"/>
          <w:kern w:val="2"/>
          <w:lang w:val="en-IN"/>
        </w:rPr>
        <w:t xml:space="preserve"> 218.  </w:t>
      </w:r>
    </w:p>
    <w:p w14:paraId="08019282" w14:textId="77777777" w:rsidR="00D51752" w:rsidRPr="00576283" w:rsidRDefault="00D51752" w:rsidP="00D51752">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Anburani</w:t>
      </w:r>
      <w:proofErr w:type="spellEnd"/>
      <w:r w:rsidRPr="00576283">
        <w:rPr>
          <w:rFonts w:ascii="Arial" w:eastAsia="Calibri" w:hAnsi="Arial" w:cs="Arial"/>
          <w:kern w:val="2"/>
          <w:lang w:val="en-IN"/>
        </w:rPr>
        <w:t xml:space="preserve">, A. and Manivannan, K. 2002. Effect of integrated nutrient management on growth in brinjal (Solanum melongena L.) cv. Annamalai.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50(4/6):377-386.</w:t>
      </w:r>
    </w:p>
    <w:p w14:paraId="3F5E2E70" w14:textId="77777777" w:rsidR="00D51752" w:rsidRPr="00576283" w:rsidRDefault="00D51752" w:rsidP="00D51752">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Anisa, N. A. 2011. Response of okra (Abelmoschus esculentus (L.) Moench) to biofertilizers. M. Sc. (Hort.) thesis, Kerala Agricultural University, Vellanikkara, Thrissur, 98p.</w:t>
      </w:r>
    </w:p>
    <w:p w14:paraId="1B2854C8" w14:textId="77777777" w:rsidR="00D51752" w:rsidRPr="00576283" w:rsidRDefault="00D51752" w:rsidP="00D51752">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Chaurasia, S. N. S., Singh, A. K., Singh, K. P., Rai, A. J., Singh, C. P. N., and Rai, M. 2008. Effect of integrated nutrient management on yield and quality of cauliflower (Brassica </w:t>
      </w:r>
      <w:proofErr w:type="spellStart"/>
      <w:r w:rsidRPr="00576283">
        <w:rPr>
          <w:rFonts w:ascii="Arial" w:eastAsia="Calibri" w:hAnsi="Arial" w:cs="Arial"/>
          <w:kern w:val="2"/>
          <w:lang w:val="en-IN"/>
        </w:rPr>
        <w:t>oleraceae</w:t>
      </w:r>
      <w:proofErr w:type="spellEnd"/>
      <w:r w:rsidRPr="00576283">
        <w:rPr>
          <w:rFonts w:ascii="Arial" w:eastAsia="Calibri" w:hAnsi="Arial" w:cs="Arial"/>
          <w:kern w:val="2"/>
          <w:lang w:val="en-IN"/>
        </w:rPr>
        <w:t xml:space="preserve"> var. botrytis) variety Pusa Snowball K-1. Veg. Sci. 35(1):41-44.</w:t>
      </w:r>
    </w:p>
    <w:p w14:paraId="75494B2E" w14:textId="77777777" w:rsidR="00D51752" w:rsidRDefault="00D51752" w:rsidP="00D51752">
      <w:pPr>
        <w:spacing w:after="160" w:line="259" w:lineRule="auto"/>
        <w:ind w:hanging="567"/>
        <w:jc w:val="both"/>
        <w:rPr>
          <w:color w:val="EE0000"/>
        </w:rPr>
      </w:pPr>
      <w:r w:rsidRPr="00281EFD">
        <w:rPr>
          <w:rFonts w:ascii="Arial" w:eastAsia="Calibri" w:hAnsi="Arial" w:cs="Arial"/>
          <w:color w:val="EE0000"/>
          <w:kern w:val="2"/>
          <w:lang w:val="en-IN"/>
        </w:rPr>
        <w:lastRenderedPageBreak/>
        <w:t xml:space="preserve">Latham, M. C. (1997). Human nutrition in the developing world (FAO Food and Nutrition Series No. 29). Food and Agriculture Organization of the United Nations. </w:t>
      </w:r>
      <w:hyperlink r:id="rId20" w:history="1">
        <w:r w:rsidRPr="00281EFD">
          <w:rPr>
            <w:rStyle w:val="Hyperlink"/>
            <w:rFonts w:ascii="Arial" w:eastAsia="Calibri" w:hAnsi="Arial" w:cs="Arial"/>
            <w:color w:val="EE0000"/>
            <w:kern w:val="2"/>
            <w:lang w:val="en-IN"/>
          </w:rPr>
          <w:t>https://digitallibrary.un.org/record/234000?ln=en</w:t>
        </w:r>
      </w:hyperlink>
    </w:p>
    <w:p w14:paraId="5CA79810" w14:textId="767E1732" w:rsidR="00281EFD" w:rsidRPr="00281EFD" w:rsidRDefault="00281EFD" w:rsidP="00D51752">
      <w:pPr>
        <w:spacing w:after="160" w:line="259" w:lineRule="auto"/>
        <w:ind w:hanging="567"/>
        <w:jc w:val="both"/>
        <w:rPr>
          <w:rFonts w:ascii="Arial" w:eastAsia="Calibri" w:hAnsi="Arial" w:cs="Arial"/>
          <w:color w:val="EE0000"/>
          <w:kern w:val="2"/>
          <w:lang w:val="en-IN"/>
        </w:rPr>
      </w:pPr>
      <w:r>
        <w:rPr>
          <w:color w:val="EE0000"/>
        </w:rPr>
        <w:t>Reference not referred in manuscript</w:t>
      </w:r>
    </w:p>
    <w:p w14:paraId="17D60B57" w14:textId="5D6C9BE1" w:rsidR="00D51752" w:rsidRPr="00576283" w:rsidRDefault="00D51752" w:rsidP="00D51752">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Govindarajan, K. and Thangaraju, M. 2001. </w:t>
      </w:r>
      <w:proofErr w:type="spellStart"/>
      <w:r w:rsidRPr="00576283">
        <w:rPr>
          <w:rFonts w:ascii="Arial" w:eastAsia="Calibri" w:hAnsi="Arial" w:cs="Arial"/>
          <w:kern w:val="2"/>
          <w:lang w:val="en-IN"/>
        </w:rPr>
        <w:t>Azospirillum</w:t>
      </w:r>
      <w:proofErr w:type="spellEnd"/>
      <w:r w:rsidR="00281EFD">
        <w:rPr>
          <w:rFonts w:ascii="Arial" w:eastAsia="Calibri" w:hAnsi="Arial" w:cs="Arial"/>
          <w:kern w:val="2"/>
          <w:lang w:val="en-IN"/>
        </w:rPr>
        <w:t xml:space="preserve"> </w:t>
      </w:r>
      <w:r w:rsidRPr="00576283">
        <w:rPr>
          <w:rFonts w:ascii="Arial" w:eastAsia="Calibri" w:hAnsi="Arial" w:cs="Arial"/>
          <w:kern w:val="2"/>
          <w:lang w:val="en-IN"/>
        </w:rPr>
        <w:t xml:space="preserve">- a </w:t>
      </w:r>
      <w:proofErr w:type="gramStart"/>
      <w:r w:rsidRPr="00576283">
        <w:rPr>
          <w:rFonts w:ascii="Arial" w:eastAsia="Calibri" w:hAnsi="Arial" w:cs="Arial"/>
          <w:kern w:val="2"/>
          <w:lang w:val="en-IN"/>
        </w:rPr>
        <w:t>potential</w:t>
      </w:r>
      <w:r w:rsidR="00281EFD">
        <w:rPr>
          <w:rFonts w:ascii="Arial" w:eastAsia="Calibri" w:hAnsi="Arial" w:cs="Arial"/>
          <w:kern w:val="2"/>
          <w:lang w:val="en-IN"/>
        </w:rPr>
        <w:t xml:space="preserve"> </w:t>
      </w:r>
      <w:r w:rsidRPr="00576283">
        <w:rPr>
          <w:rFonts w:ascii="Arial" w:eastAsia="Calibri" w:hAnsi="Arial" w:cs="Arial"/>
          <w:kern w:val="2"/>
          <w:lang w:val="en-IN"/>
        </w:rPr>
        <w:t>inoculants</w:t>
      </w:r>
      <w:proofErr w:type="gramEnd"/>
      <w:r w:rsidRPr="00576283">
        <w:rPr>
          <w:rFonts w:ascii="Arial" w:eastAsia="Calibri" w:hAnsi="Arial" w:cs="Arial"/>
          <w:kern w:val="2"/>
          <w:lang w:val="en-IN"/>
        </w:rPr>
        <w:t xml:space="preserve"> for horticultural crops.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49:233-235.</w:t>
      </w:r>
    </w:p>
    <w:p w14:paraId="097DC42D" w14:textId="77777777" w:rsidR="00D51752" w:rsidRPr="00576283" w:rsidRDefault="00D51752" w:rsidP="00D51752">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Hayworth, F., </w:t>
      </w:r>
      <w:proofErr w:type="spellStart"/>
      <w:r w:rsidRPr="00576283">
        <w:rPr>
          <w:rFonts w:ascii="Arial" w:eastAsia="Calibri" w:hAnsi="Arial" w:cs="Arial"/>
          <w:kern w:val="2"/>
          <w:lang w:val="en-IN"/>
        </w:rPr>
        <w:t>Cleawer</w:t>
      </w:r>
      <w:proofErr w:type="spellEnd"/>
      <w:r w:rsidRPr="00576283">
        <w:rPr>
          <w:rFonts w:ascii="Arial" w:eastAsia="Calibri" w:hAnsi="Arial" w:cs="Arial"/>
          <w:kern w:val="2"/>
          <w:lang w:val="en-IN"/>
        </w:rPr>
        <w:t xml:space="preserve">, T. J., and Bran, J. M. 1996. The effects of different manurial treatments on the yield and mineral composition of early potato. J.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xml:space="preserve"> Sci. 41(3):225-241.</w:t>
      </w:r>
    </w:p>
    <w:p w14:paraId="38DBB556" w14:textId="3444FA9B" w:rsidR="00D51752" w:rsidRDefault="00D51752" w:rsidP="00D51752">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fr-FR"/>
        </w:rPr>
        <w:t>Hinson</w:t>
      </w:r>
      <w:proofErr w:type="spellEnd"/>
      <w:r w:rsidRPr="00B80ECC">
        <w:rPr>
          <w:rFonts w:ascii="Arial" w:eastAsia="Calibri" w:hAnsi="Arial" w:cs="Arial"/>
          <w:kern w:val="2"/>
          <w:lang w:val="fr-FR"/>
        </w:rPr>
        <w:t>, K.,</w:t>
      </w:r>
      <w:r w:rsidR="00281EFD">
        <w:rPr>
          <w:rFonts w:ascii="Arial" w:eastAsia="Calibri" w:hAnsi="Arial" w:cs="Arial"/>
          <w:kern w:val="2"/>
          <w:lang w:val="fr-FR"/>
        </w:rPr>
        <w:t xml:space="preserve"> </w:t>
      </w:r>
      <w:r w:rsidR="00281EFD" w:rsidRPr="00281EFD">
        <w:rPr>
          <w:rFonts w:ascii="Arial" w:eastAsia="Calibri" w:hAnsi="Arial" w:cs="Arial"/>
          <w:color w:val="EE0000"/>
          <w:kern w:val="2"/>
          <w:lang w:val="fr-FR"/>
        </w:rPr>
        <w:t>and</w:t>
      </w:r>
      <w:r w:rsidRPr="00B80ECC">
        <w:rPr>
          <w:rFonts w:ascii="Arial" w:eastAsia="Calibri" w:hAnsi="Arial" w:cs="Arial"/>
          <w:kern w:val="2"/>
          <w:lang w:val="fr-FR"/>
        </w:rPr>
        <w:t xml:space="preserve"> Hanson, W. D. (1962). </w:t>
      </w:r>
      <w:r w:rsidRPr="00B80ECC">
        <w:rPr>
          <w:rFonts w:ascii="Arial" w:eastAsia="Calibri" w:hAnsi="Arial" w:cs="Arial"/>
          <w:kern w:val="2"/>
          <w:lang w:val="en-IN"/>
        </w:rPr>
        <w:t xml:space="preserve">Competition studies in soybean. Crop Science, 2, 117-123. </w:t>
      </w:r>
      <w:r w:rsidRPr="00281EFD">
        <w:rPr>
          <w:rFonts w:ascii="Arial" w:eastAsia="Calibri" w:hAnsi="Arial" w:cs="Arial"/>
          <w:kern w:val="2"/>
          <w:lang w:val="en-IN"/>
        </w:rPr>
        <w:t>https://doi.org/10.2135/cropsci1962.0011183X000200020010x</w:t>
      </w:r>
    </w:p>
    <w:p w14:paraId="5FC8668D" w14:textId="77777777" w:rsidR="00D51752" w:rsidRDefault="00D51752" w:rsidP="00D51752">
      <w:pPr>
        <w:spacing w:after="160" w:line="259" w:lineRule="auto"/>
        <w:ind w:hanging="567"/>
        <w:jc w:val="both"/>
        <w:rPr>
          <w:color w:val="EE0000"/>
        </w:rPr>
      </w:pPr>
      <w:r w:rsidRPr="00281EFD">
        <w:rPr>
          <w:rFonts w:ascii="Arial" w:eastAsia="Calibri" w:hAnsi="Arial" w:cs="Arial"/>
          <w:color w:val="EE0000"/>
          <w:kern w:val="2"/>
          <w:lang w:val="en-IN"/>
        </w:rPr>
        <w:t xml:space="preserve">Singh, P. K., Dasgupta, S. K., &amp; Tripathi, S. K. (Eds.). (2004). Hybrid vegetable development. CRC Press. </w:t>
      </w:r>
      <w:hyperlink r:id="rId21" w:history="1">
        <w:r w:rsidRPr="00281EFD">
          <w:rPr>
            <w:rStyle w:val="Hyperlink"/>
            <w:rFonts w:ascii="Arial" w:eastAsia="Calibri" w:hAnsi="Arial" w:cs="Arial"/>
            <w:color w:val="EE0000"/>
            <w:kern w:val="2"/>
            <w:lang w:val="en-IN"/>
          </w:rPr>
          <w:t>https://doi.org/10.1201/9781482282863</w:t>
        </w:r>
      </w:hyperlink>
    </w:p>
    <w:p w14:paraId="5B647BAA" w14:textId="77777777" w:rsidR="00281EFD" w:rsidRPr="00281EFD" w:rsidRDefault="00281EFD" w:rsidP="00281EFD">
      <w:pPr>
        <w:spacing w:after="160" w:line="259" w:lineRule="auto"/>
        <w:ind w:hanging="567"/>
        <w:jc w:val="both"/>
        <w:rPr>
          <w:rFonts w:ascii="Arial" w:eastAsia="Calibri" w:hAnsi="Arial" w:cs="Arial"/>
          <w:color w:val="EE0000"/>
          <w:kern w:val="2"/>
          <w:lang w:val="en-IN"/>
        </w:rPr>
      </w:pPr>
      <w:r>
        <w:rPr>
          <w:color w:val="EE0000"/>
        </w:rPr>
        <w:t>Reference not referred in manuscript</w:t>
      </w:r>
    </w:p>
    <w:p w14:paraId="261325E9" w14:textId="3B315BA5" w:rsidR="00D51752" w:rsidRDefault="00D51752" w:rsidP="00D51752">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en-IN"/>
        </w:rPr>
        <w:t xml:space="preserve">Kerala Agricultural University. (2011). Package of practices recommendations: Crops (14th ed.). Kerala Agricultural University. </w:t>
      </w:r>
      <w:r w:rsidRPr="00281EFD">
        <w:rPr>
          <w:rFonts w:ascii="Arial" w:eastAsia="Calibri" w:hAnsi="Arial" w:cs="Arial"/>
          <w:kern w:val="2"/>
          <w:lang w:val="en-IN"/>
        </w:rPr>
        <w:t>https://www.kau.in/documents/package-practices-crops</w:t>
      </w:r>
    </w:p>
    <w:p w14:paraId="47A22AB2" w14:textId="586ABD28" w:rsidR="00D51752" w:rsidRDefault="00D51752" w:rsidP="00D51752">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en-IN"/>
        </w:rPr>
        <w:t xml:space="preserve">Kinet, J. M., &amp; Peet, M. M. (1997). Tomato. In H. C. Wien (Ed.), The physiology of vegetable crops (pp. 207-258). CAB International. </w:t>
      </w:r>
      <w:r w:rsidRPr="00281EFD">
        <w:rPr>
          <w:rFonts w:ascii="Arial" w:eastAsia="Calibri" w:hAnsi="Arial" w:cs="Arial"/>
          <w:kern w:val="2"/>
          <w:lang w:val="en-IN"/>
        </w:rPr>
        <w:t>https://www.cabi.org/cabebooks/book/20053000007</w:t>
      </w:r>
    </w:p>
    <w:p w14:paraId="334CBA58" w14:textId="77777777" w:rsidR="00D51752" w:rsidRPr="00576283" w:rsidRDefault="00D51752" w:rsidP="00D51752">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Kirad</w:t>
      </w:r>
      <w:proofErr w:type="spellEnd"/>
      <w:r w:rsidRPr="00576283">
        <w:rPr>
          <w:rFonts w:ascii="Arial" w:eastAsia="Calibri" w:hAnsi="Arial" w:cs="Arial"/>
          <w:kern w:val="2"/>
          <w:lang w:val="en-IN"/>
        </w:rPr>
        <w:t xml:space="preserve">, K. S., </w:t>
      </w:r>
      <w:proofErr w:type="spellStart"/>
      <w:r w:rsidRPr="00576283">
        <w:rPr>
          <w:rFonts w:ascii="Arial" w:eastAsia="Calibri" w:hAnsi="Arial" w:cs="Arial"/>
          <w:kern w:val="2"/>
          <w:lang w:val="en-IN"/>
        </w:rPr>
        <w:t>Barche</w:t>
      </w:r>
      <w:proofErr w:type="spellEnd"/>
      <w:r w:rsidRPr="00576283">
        <w:rPr>
          <w:rFonts w:ascii="Arial" w:eastAsia="Calibri" w:hAnsi="Arial" w:cs="Arial"/>
          <w:kern w:val="2"/>
          <w:lang w:val="en-IN"/>
        </w:rPr>
        <w:t>, S., and Singh, D. B. 2010. Integrated nutrient management on growth, yield and quality of carrot. Karnataka J. Agric. Sci. 23(3):542-543.</w:t>
      </w:r>
    </w:p>
    <w:p w14:paraId="219586FB" w14:textId="3BD16BEF" w:rsidR="00D51752" w:rsidRPr="00576283" w:rsidRDefault="00D51752" w:rsidP="00D51752">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Kiran, J. 2006. Effect of fertilizer, biofertilizer and micronutrients on seed yield and quality of brinjal (solanum </w:t>
      </w:r>
      <w:r w:rsidRPr="001A2D5A">
        <w:rPr>
          <w:rFonts w:ascii="Arial" w:eastAsia="Calibri" w:hAnsi="Arial" w:cs="Arial"/>
          <w:color w:val="EE0000"/>
          <w:kern w:val="2"/>
          <w:lang w:val="en-IN"/>
        </w:rPr>
        <w:t>m</w:t>
      </w:r>
      <w:r w:rsidR="001A2D5A" w:rsidRPr="001A2D5A">
        <w:rPr>
          <w:rFonts w:ascii="Arial" w:eastAsia="Calibri" w:hAnsi="Arial" w:cs="Arial"/>
          <w:color w:val="EE0000"/>
          <w:kern w:val="2"/>
          <w:lang w:val="en-IN"/>
        </w:rPr>
        <w:t>e</w:t>
      </w:r>
      <w:r w:rsidRPr="001A2D5A">
        <w:rPr>
          <w:rFonts w:ascii="Arial" w:eastAsia="Calibri" w:hAnsi="Arial" w:cs="Arial"/>
          <w:color w:val="EE0000"/>
          <w:kern w:val="2"/>
          <w:lang w:val="en-IN"/>
        </w:rPr>
        <w:t xml:space="preserve">longena </w:t>
      </w:r>
      <w:r w:rsidRPr="00576283">
        <w:rPr>
          <w:rFonts w:ascii="Arial" w:eastAsia="Calibri" w:hAnsi="Arial" w:cs="Arial"/>
          <w:kern w:val="2"/>
          <w:lang w:val="en-IN"/>
        </w:rPr>
        <w:t>l.). M. Sc. (Ag) thesis, University of Agricultural Sciences, Dharwad, 78p.</w:t>
      </w:r>
    </w:p>
    <w:p w14:paraId="006809D4" w14:textId="7CE74250" w:rsidR="00D51752" w:rsidRDefault="00D51752" w:rsidP="00D51752">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en-IN"/>
        </w:rPr>
        <w:t>Mahanty</w:t>
      </w:r>
      <w:proofErr w:type="spellEnd"/>
      <w:r w:rsidRPr="00B80ECC">
        <w:rPr>
          <w:rFonts w:ascii="Arial" w:eastAsia="Calibri" w:hAnsi="Arial" w:cs="Arial"/>
          <w:kern w:val="2"/>
          <w:lang w:val="en-IN"/>
        </w:rPr>
        <w:t xml:space="preserve">, T., Bhattacharjee, S., Goswami, M., Bhattacharyya, P., Das, B., Ghosh, A., &amp; </w:t>
      </w:r>
      <w:proofErr w:type="spellStart"/>
      <w:r w:rsidRPr="00B80ECC">
        <w:rPr>
          <w:rFonts w:ascii="Arial" w:eastAsia="Calibri" w:hAnsi="Arial" w:cs="Arial"/>
          <w:kern w:val="2"/>
          <w:lang w:val="en-IN"/>
        </w:rPr>
        <w:t>Tribedi</w:t>
      </w:r>
      <w:proofErr w:type="spellEnd"/>
      <w:r w:rsidRPr="00B80ECC">
        <w:rPr>
          <w:rFonts w:ascii="Arial" w:eastAsia="Calibri" w:hAnsi="Arial" w:cs="Arial"/>
          <w:kern w:val="2"/>
          <w:lang w:val="en-IN"/>
        </w:rPr>
        <w:t xml:space="preserve">, P. (2017). Biofertilizers: a potential approach for sustainable agriculture development. Environmental Science and Pollution Research, 24, 3315-3335. </w:t>
      </w:r>
      <w:r w:rsidRPr="00281EFD">
        <w:rPr>
          <w:rFonts w:ascii="Arial" w:eastAsia="Calibri" w:hAnsi="Arial" w:cs="Arial"/>
          <w:kern w:val="2"/>
          <w:lang w:val="en-IN"/>
        </w:rPr>
        <w:t>https://doi.org/10.1007/s11356-016-8104-0</w:t>
      </w:r>
    </w:p>
    <w:p w14:paraId="324DB7CC" w14:textId="77777777" w:rsidR="00D51752" w:rsidRPr="00576283" w:rsidRDefault="00D51752" w:rsidP="00D51752">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Nirmala, R. and Vadivel, E. 1999. Effect of combined application of organic manures and biofertilizers on growth and productivity of cucumber.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47(1-6):252-254.</w:t>
      </w:r>
    </w:p>
    <w:p w14:paraId="6A90E646" w14:textId="4DC37E47" w:rsidR="00D51752" w:rsidRDefault="00D51752" w:rsidP="00D51752">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pt-BR"/>
        </w:rPr>
        <w:t xml:space="preserve">Oyetunji, O. J., &amp; Osonubi, O. (2005). </w:t>
      </w:r>
      <w:r w:rsidRPr="00B80ECC">
        <w:rPr>
          <w:rFonts w:ascii="Arial" w:eastAsia="Calibri" w:hAnsi="Arial" w:cs="Arial"/>
          <w:kern w:val="2"/>
          <w:lang w:val="en-IN"/>
        </w:rPr>
        <w:t xml:space="preserve">Influence of arbuscular mycorrhizae on the performance of chilli (Bell) pepper (Capsicum annuum L.). Journal of Applied Horticulture, 7(2), 133-136. </w:t>
      </w:r>
      <w:r w:rsidRPr="00281EFD">
        <w:rPr>
          <w:rFonts w:ascii="Arial" w:eastAsia="Calibri" w:hAnsi="Arial" w:cs="Arial"/>
          <w:kern w:val="2"/>
          <w:lang w:val="en-IN"/>
        </w:rPr>
        <w:t>https://doi.org/10.37855/jah.2005.v07i02.34</w:t>
      </w:r>
    </w:p>
    <w:p w14:paraId="53DEF980" w14:textId="77777777" w:rsidR="00D51752" w:rsidRPr="00576283" w:rsidRDefault="00D51752" w:rsidP="00D51752">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Premsekhar</w:t>
      </w:r>
      <w:proofErr w:type="spellEnd"/>
      <w:r w:rsidRPr="00576283">
        <w:rPr>
          <w:rFonts w:ascii="Arial" w:eastAsia="Calibri" w:hAnsi="Arial" w:cs="Arial"/>
          <w:kern w:val="2"/>
          <w:lang w:val="en-IN"/>
        </w:rPr>
        <w:t>, M. and Rajashree, V. 2009. Influence of biofertilizers on the growth characters, yield and quality of tomato. Am.-Eur. J. Sustain. Agric. 3(1):68-70.</w:t>
      </w:r>
    </w:p>
    <w:p w14:paraId="2C1676D2" w14:textId="57546644" w:rsidR="00D51752" w:rsidRDefault="00D51752" w:rsidP="00D51752">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en-IN"/>
        </w:rPr>
        <w:t>Prusty</w:t>
      </w:r>
      <w:proofErr w:type="spellEnd"/>
      <w:r w:rsidRPr="00B80ECC">
        <w:rPr>
          <w:rFonts w:ascii="Arial" w:eastAsia="Calibri" w:hAnsi="Arial" w:cs="Arial"/>
          <w:kern w:val="2"/>
          <w:lang w:val="en-IN"/>
        </w:rPr>
        <w:t xml:space="preserve">, M., Mishra, N., Kar, D.S., &amp; Pal, S. (2019). Effect of Integrated Nutrient Management on Growth and Yield of Onion (Allium cepa L.) cv. Bhima Super. International Journal of Agriculture Sciences, 11(4), 7910-7912. </w:t>
      </w:r>
      <w:r w:rsidRPr="00281EFD">
        <w:rPr>
          <w:rFonts w:ascii="Arial" w:eastAsia="Calibri" w:hAnsi="Arial" w:cs="Arial"/>
          <w:kern w:val="2"/>
          <w:lang w:val="en-IN"/>
        </w:rPr>
        <w:t>https://www.bioinfopublication.org/viewarticle.php?id=29900</w:t>
      </w:r>
    </w:p>
    <w:p w14:paraId="74D92F87" w14:textId="77777777" w:rsidR="00D51752" w:rsidRPr="00576283" w:rsidRDefault="00D51752" w:rsidP="00D51752">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Rademacher, W. 1991. Biochemical effects of plant growth retardants. In: Harold, and Gausman, W. (eds.), Plant Biochemical Regulations. Marcel Dekker Inc. New York, pp. 169-200.</w:t>
      </w:r>
    </w:p>
    <w:p w14:paraId="4B0134B2" w14:textId="77777777" w:rsidR="00D51752" w:rsidRPr="00576283" w:rsidRDefault="00D51752" w:rsidP="00D51752">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lastRenderedPageBreak/>
        <w:t>Sendur</w:t>
      </w:r>
      <w:proofErr w:type="spellEnd"/>
      <w:r w:rsidRPr="00576283">
        <w:rPr>
          <w:rFonts w:ascii="Arial" w:eastAsia="Calibri" w:hAnsi="Arial" w:cs="Arial"/>
          <w:kern w:val="2"/>
          <w:lang w:val="en-IN"/>
        </w:rPr>
        <w:t xml:space="preserve">, K. S., Natarajan, S., and </w:t>
      </w:r>
      <w:proofErr w:type="spellStart"/>
      <w:r w:rsidRPr="00576283">
        <w:rPr>
          <w:rFonts w:ascii="Arial" w:eastAsia="Calibri" w:hAnsi="Arial" w:cs="Arial"/>
          <w:kern w:val="2"/>
          <w:lang w:val="en-IN"/>
        </w:rPr>
        <w:t>Thamburaj</w:t>
      </w:r>
      <w:proofErr w:type="spellEnd"/>
      <w:r w:rsidRPr="00576283">
        <w:rPr>
          <w:rFonts w:ascii="Arial" w:eastAsia="Calibri" w:hAnsi="Arial" w:cs="Arial"/>
          <w:kern w:val="2"/>
          <w:lang w:val="en-IN"/>
        </w:rPr>
        <w:t xml:space="preserve">, S. 1998. Effect of </w:t>
      </w:r>
      <w:proofErr w:type="spellStart"/>
      <w:r w:rsidRPr="00576283">
        <w:rPr>
          <w:rFonts w:ascii="Arial" w:eastAsia="Calibri" w:hAnsi="Arial" w:cs="Arial"/>
          <w:kern w:val="2"/>
          <w:lang w:val="en-IN"/>
        </w:rPr>
        <w:t>organics</w:t>
      </w:r>
      <w:proofErr w:type="spellEnd"/>
      <w:r w:rsidRPr="00576283">
        <w:rPr>
          <w:rFonts w:ascii="Arial" w:eastAsia="Calibri" w:hAnsi="Arial" w:cs="Arial"/>
          <w:kern w:val="2"/>
          <w:lang w:val="en-IN"/>
        </w:rPr>
        <w:t xml:space="preserve"> and inorganic fertilizers on growth, yield and quality of tomato.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46(3-4):203-205.</w:t>
      </w:r>
    </w:p>
    <w:p w14:paraId="084F64D0" w14:textId="77777777" w:rsidR="00D51752" w:rsidRPr="00576283" w:rsidRDefault="00D51752" w:rsidP="00D51752">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Sharma, S. K. 1995. Response of triacontanol application on certain morphological characters, fruit and seed yield and quality of tomato seed. Ann. Agric. Res. 16: 128-130.</w:t>
      </w:r>
    </w:p>
    <w:p w14:paraId="68DB325D" w14:textId="77777777" w:rsidR="00D51752" w:rsidRPr="00576283" w:rsidRDefault="00D51752" w:rsidP="00D51752">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Sreenivasa, M. N. 1994. VA mycorrhizal in conjunction with organic amendments improves growth and yield of chilli. Environ. Ecol. 12(2):312-314.</w:t>
      </w:r>
    </w:p>
    <w:p w14:paraId="3C27F978" w14:textId="77777777" w:rsidR="00D51752" w:rsidRDefault="00D51752" w:rsidP="00D51752">
      <w:pPr>
        <w:spacing w:after="160" w:line="259" w:lineRule="auto"/>
        <w:ind w:hanging="567"/>
        <w:jc w:val="both"/>
        <w:rPr>
          <w:rFonts w:ascii="Arial" w:eastAsia="Calibri" w:hAnsi="Arial" w:cs="Arial"/>
          <w:color w:val="EE0000"/>
          <w:kern w:val="2"/>
          <w:lang w:val="en-IN"/>
        </w:rPr>
      </w:pPr>
      <w:r w:rsidRPr="00281EFD">
        <w:rPr>
          <w:rFonts w:ascii="Arial" w:eastAsia="Calibri" w:hAnsi="Arial" w:cs="Arial"/>
          <w:color w:val="EE0000"/>
          <w:kern w:val="2"/>
          <w:lang w:val="en-IN"/>
        </w:rPr>
        <w:t xml:space="preserve">Subbiah, K. 1991. Studies on the effect of nitrogen and </w:t>
      </w:r>
      <w:proofErr w:type="spellStart"/>
      <w:r w:rsidRPr="00281EFD">
        <w:rPr>
          <w:rFonts w:ascii="Arial" w:eastAsia="Calibri" w:hAnsi="Arial" w:cs="Arial"/>
          <w:color w:val="EE0000"/>
          <w:kern w:val="2"/>
          <w:lang w:val="en-IN"/>
        </w:rPr>
        <w:t>Azospirillum</w:t>
      </w:r>
      <w:proofErr w:type="spellEnd"/>
      <w:r w:rsidRPr="00281EFD">
        <w:rPr>
          <w:rFonts w:ascii="Arial" w:eastAsia="Calibri" w:hAnsi="Arial" w:cs="Arial"/>
          <w:color w:val="EE0000"/>
          <w:kern w:val="2"/>
          <w:lang w:val="en-IN"/>
        </w:rPr>
        <w:t xml:space="preserve"> on okra. S. Indian </w:t>
      </w:r>
      <w:proofErr w:type="spellStart"/>
      <w:r w:rsidRPr="00281EFD">
        <w:rPr>
          <w:rFonts w:ascii="Arial" w:eastAsia="Calibri" w:hAnsi="Arial" w:cs="Arial"/>
          <w:color w:val="EE0000"/>
          <w:kern w:val="2"/>
          <w:lang w:val="en-IN"/>
        </w:rPr>
        <w:t>Hortic</w:t>
      </w:r>
      <w:proofErr w:type="spellEnd"/>
      <w:r w:rsidRPr="00281EFD">
        <w:rPr>
          <w:rFonts w:ascii="Arial" w:eastAsia="Calibri" w:hAnsi="Arial" w:cs="Arial"/>
          <w:color w:val="EE0000"/>
          <w:kern w:val="2"/>
          <w:lang w:val="en-IN"/>
        </w:rPr>
        <w:t>. 39(1):37-44.</w:t>
      </w:r>
    </w:p>
    <w:p w14:paraId="6352CA19" w14:textId="77777777" w:rsidR="00281EFD" w:rsidRPr="00281EFD" w:rsidRDefault="00281EFD" w:rsidP="00281EFD">
      <w:pPr>
        <w:spacing w:after="160" w:line="259" w:lineRule="auto"/>
        <w:ind w:hanging="567"/>
        <w:jc w:val="both"/>
        <w:rPr>
          <w:rFonts w:ascii="Arial" w:eastAsia="Calibri" w:hAnsi="Arial" w:cs="Arial"/>
          <w:color w:val="EE0000"/>
          <w:kern w:val="2"/>
          <w:lang w:val="en-IN"/>
        </w:rPr>
      </w:pPr>
      <w:r>
        <w:rPr>
          <w:color w:val="EE0000"/>
        </w:rPr>
        <w:t>Reference not referred in manuscript</w:t>
      </w:r>
    </w:p>
    <w:p w14:paraId="649A48B5" w14:textId="77777777" w:rsidR="00D51752" w:rsidRDefault="00D51752" w:rsidP="00D51752">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en-IN"/>
        </w:rPr>
        <w:t>Talukder, B., &amp; Jana, J. C. (2009). Integrated nutrient management for better growth, yield and quality of green chilli (Capsicum annuum) in terai region of West Bengal. *Indian Journal of Agricultural Sciences*, *79*(8), 600–603. https://epubs.icar.org.in/ejournal/index.php/IJAgS/issue/archive (Navigate to Volume 79, Issue 8, 2009)</w:t>
      </w:r>
    </w:p>
    <w:p w14:paraId="0DE438F9" w14:textId="77777777" w:rsidR="00D51752" w:rsidRPr="00576283" w:rsidRDefault="00D51752" w:rsidP="00D51752">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Veeraraghavathatham</w:t>
      </w:r>
      <w:proofErr w:type="spellEnd"/>
      <w:r w:rsidRPr="00576283">
        <w:rPr>
          <w:rFonts w:ascii="Arial" w:eastAsia="Calibri" w:hAnsi="Arial" w:cs="Arial"/>
          <w:kern w:val="2"/>
          <w:lang w:val="en-IN"/>
        </w:rPr>
        <w:t xml:space="preserve">, D., </w:t>
      </w:r>
      <w:proofErr w:type="spellStart"/>
      <w:r w:rsidRPr="00576283">
        <w:rPr>
          <w:rFonts w:ascii="Arial" w:eastAsia="Calibri" w:hAnsi="Arial" w:cs="Arial"/>
          <w:kern w:val="2"/>
          <w:lang w:val="en-IN"/>
        </w:rPr>
        <w:t>Sunderarajan</w:t>
      </w:r>
      <w:proofErr w:type="spellEnd"/>
      <w:r w:rsidRPr="00576283">
        <w:rPr>
          <w:rFonts w:ascii="Arial" w:eastAsia="Calibri" w:hAnsi="Arial" w:cs="Arial"/>
          <w:kern w:val="2"/>
          <w:lang w:val="en-IN"/>
        </w:rPr>
        <w:t xml:space="preserve">, S., Jayashankar, S., Vadivel, E., and </w:t>
      </w:r>
      <w:proofErr w:type="spellStart"/>
      <w:r w:rsidRPr="00576283">
        <w:rPr>
          <w:rFonts w:ascii="Arial" w:eastAsia="Calibri" w:hAnsi="Arial" w:cs="Arial"/>
          <w:kern w:val="2"/>
          <w:lang w:val="en-IN"/>
        </w:rPr>
        <w:t>Shanmugavelu</w:t>
      </w:r>
      <w:proofErr w:type="spellEnd"/>
      <w:r w:rsidRPr="00576283">
        <w:rPr>
          <w:rFonts w:ascii="Arial" w:eastAsia="Calibri" w:hAnsi="Arial" w:cs="Arial"/>
          <w:kern w:val="2"/>
          <w:lang w:val="en-IN"/>
        </w:rPr>
        <w:t xml:space="preserve">, K. G. 1988. Effect of N and P application and </w:t>
      </w:r>
      <w:proofErr w:type="spellStart"/>
      <w:r w:rsidRPr="00576283">
        <w:rPr>
          <w:rFonts w:ascii="Arial" w:eastAsia="Calibri" w:hAnsi="Arial" w:cs="Arial"/>
          <w:kern w:val="2"/>
          <w:lang w:val="en-IN"/>
        </w:rPr>
        <w:t>Azospirillum</w:t>
      </w:r>
      <w:proofErr w:type="spellEnd"/>
      <w:r w:rsidRPr="00576283">
        <w:rPr>
          <w:rFonts w:ascii="Arial" w:eastAsia="Calibri" w:hAnsi="Arial" w:cs="Arial"/>
          <w:kern w:val="2"/>
          <w:lang w:val="en-IN"/>
        </w:rPr>
        <w:t xml:space="preserve"> inoculation on chilli (Capsicum annuum L.), In: Proceedings of National Seminar on Chillies, Turmeric and Ginger, 11-12 Jan. 1988, Hyderabad, pp. 65-70.</w:t>
      </w:r>
    </w:p>
    <w:p w14:paraId="076A6D8B" w14:textId="77777777" w:rsidR="00D51752" w:rsidRDefault="00D51752" w:rsidP="00D51752">
      <w:pPr>
        <w:pStyle w:val="ReferHead"/>
        <w:spacing w:after="0"/>
        <w:jc w:val="both"/>
        <w:rPr>
          <w:rFonts w:ascii="Arial" w:hAnsi="Arial" w:cs="Arial"/>
        </w:rPr>
      </w:pPr>
    </w:p>
    <w:p w14:paraId="18F9331B" w14:textId="77777777" w:rsidR="00D51752" w:rsidRDefault="00D51752" w:rsidP="00D51752">
      <w:pPr>
        <w:pStyle w:val="Appendix"/>
        <w:spacing w:after="0"/>
        <w:jc w:val="both"/>
        <w:rPr>
          <w:rFonts w:ascii="Arial" w:hAnsi="Arial" w:cs="Arial"/>
          <w:b w:val="0"/>
        </w:rPr>
      </w:pPr>
    </w:p>
    <w:p w14:paraId="2B2A62D5" w14:textId="77777777" w:rsidR="00D51752" w:rsidRPr="00FB3A86" w:rsidRDefault="00D51752" w:rsidP="00D51752">
      <w:pPr>
        <w:pStyle w:val="Appendix"/>
        <w:spacing w:after="0"/>
        <w:jc w:val="both"/>
        <w:rPr>
          <w:rFonts w:ascii="Arial" w:hAnsi="Arial" w:cs="Arial"/>
          <w:b w:val="0"/>
        </w:rPr>
        <w:sectPr w:rsidR="00D51752" w:rsidRPr="00FB3A86" w:rsidSect="00D51752">
          <w:type w:val="continuous"/>
          <w:pgSz w:w="12240" w:h="15840"/>
          <w:pgMar w:top="1440" w:right="2016" w:bottom="2016" w:left="2016" w:header="720" w:footer="1123" w:gutter="0"/>
          <w:cols w:space="720"/>
          <w:docGrid w:linePitch="272"/>
        </w:sectPr>
      </w:pPr>
    </w:p>
    <w:p w14:paraId="141E5EEC" w14:textId="77777777" w:rsidR="00D51752" w:rsidRPr="00FB3A86" w:rsidRDefault="00D51752" w:rsidP="00D51752">
      <w:pPr>
        <w:pStyle w:val="Appendix"/>
        <w:spacing w:after="0"/>
        <w:jc w:val="both"/>
        <w:rPr>
          <w:rFonts w:ascii="Arial" w:hAnsi="Arial" w:cs="Arial"/>
          <w:b w:val="0"/>
        </w:rPr>
      </w:pPr>
    </w:p>
    <w:p w14:paraId="4B085C96" w14:textId="77777777" w:rsidR="005B320A" w:rsidRDefault="005B320A"/>
    <w:sectPr w:rsidR="005B320A" w:rsidSect="00D5175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DCA7" w14:textId="77777777" w:rsidR="00D51752" w:rsidRDefault="00D51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2BB0" w14:textId="77777777" w:rsidR="00D51752" w:rsidRDefault="00D51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8DDD" w14:textId="77777777" w:rsidR="00D51752" w:rsidRDefault="00D51752">
    <w:pPr>
      <w:pStyle w:val="Footer"/>
      <w:rPr>
        <w:rFonts w:ascii="Arial" w:hAnsi="Arial" w:cs="Arial"/>
        <w:sz w:val="16"/>
      </w:rPr>
    </w:pPr>
  </w:p>
  <w:p w14:paraId="3A8F1447" w14:textId="77777777" w:rsidR="00D51752" w:rsidRDefault="00D5175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09BC17" w14:textId="77777777" w:rsidR="00D51752" w:rsidRDefault="00D51752">
    <w:pPr>
      <w:pStyle w:val="Footer"/>
      <w:rPr>
        <w:rFonts w:ascii="Arial" w:hAnsi="Arial" w:cs="Arial"/>
        <w:sz w:val="16"/>
      </w:rPr>
    </w:pPr>
  </w:p>
  <w:p w14:paraId="76817F17" w14:textId="77777777" w:rsidR="00D51752" w:rsidRPr="009E048A" w:rsidRDefault="00D5175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B5C0" w14:textId="77777777" w:rsidR="00D51752" w:rsidRPr="00C37E61" w:rsidRDefault="00D51752" w:rsidP="00C37E6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00A" w14:textId="77777777" w:rsidR="00D51752" w:rsidRDefault="00D51752">
    <w:pPr>
      <w:pStyle w:val="Header"/>
    </w:pPr>
    <w:r>
      <w:rPr>
        <w:noProof/>
      </w:rPr>
      <w:pict w14:anchorId="41C2A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5"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4889" w14:textId="77777777" w:rsidR="00D51752" w:rsidRDefault="00D51752">
    <w:pPr>
      <w:pStyle w:val="Header"/>
    </w:pPr>
    <w:r>
      <w:rPr>
        <w:noProof/>
      </w:rPr>
      <w:pict w14:anchorId="337A6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6" o:spid="_x0000_s1026"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80C1" w14:textId="77777777" w:rsidR="00D51752" w:rsidRPr="00296529" w:rsidRDefault="00D51752" w:rsidP="00296529">
    <w:pPr>
      <w:ind w:left="2160"/>
      <w:jc w:val="center"/>
      <w:rPr>
        <w:rFonts w:ascii="Times New Roman" w:eastAsia="Calibri" w:hAnsi="Times New Roman"/>
        <w:i/>
        <w:sz w:val="18"/>
        <w:szCs w:val="22"/>
      </w:rPr>
    </w:pPr>
    <w:r>
      <w:rPr>
        <w:noProof/>
      </w:rPr>
      <w:pict w14:anchorId="4C908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4" o:spid="_x0000_s1027" type="#_x0000_t136" style="position:absolute;left:0;text-align:left;margin-left:0;margin-top:0;width:519.9pt;height:5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2E61AC" w14:textId="77777777" w:rsidR="00D51752" w:rsidRPr="00296529" w:rsidRDefault="00D5175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7660377" w14:textId="77777777" w:rsidR="00D51752" w:rsidRPr="00296529" w:rsidRDefault="00D5175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9FA900" w14:textId="77777777" w:rsidR="00D51752" w:rsidRPr="00296529" w:rsidRDefault="00D5175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232463" w14:textId="77777777" w:rsidR="00D51752" w:rsidRDefault="00D5175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37DD6F" w14:textId="77777777" w:rsidR="00D51752" w:rsidRDefault="00D5175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0369B5B" w14:textId="77777777" w:rsidR="00D51752" w:rsidRDefault="00D5175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3085" w14:textId="77777777" w:rsidR="00D51752" w:rsidRDefault="00D51752">
    <w:pPr>
      <w:pStyle w:val="Header"/>
    </w:pPr>
    <w:r>
      <w:rPr>
        <w:noProof/>
      </w:rPr>
      <w:pict w14:anchorId="481B6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8" o:spid="_x0000_s1028"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E8C1" w14:textId="77777777" w:rsidR="00D51752" w:rsidRDefault="00D51752">
    <w:pPr>
      <w:pStyle w:val="Header"/>
    </w:pPr>
    <w:r>
      <w:rPr>
        <w:noProof/>
      </w:rPr>
      <w:pict w14:anchorId="28915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9" o:spid="_x0000_s102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0BC6" w14:textId="77777777" w:rsidR="00D51752" w:rsidRDefault="00D51752">
    <w:pPr>
      <w:pStyle w:val="Header"/>
    </w:pPr>
    <w:r>
      <w:rPr>
        <w:noProof/>
      </w:rPr>
      <w:pict w14:anchorId="631D9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7" o:spid="_x0000_s1030"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75"/>
    <w:rsid w:val="001A2D5A"/>
    <w:rsid w:val="00281EFD"/>
    <w:rsid w:val="002D207B"/>
    <w:rsid w:val="005B320A"/>
    <w:rsid w:val="006A737C"/>
    <w:rsid w:val="006A7F41"/>
    <w:rsid w:val="00A22D19"/>
    <w:rsid w:val="00D46E75"/>
    <w:rsid w:val="00D51752"/>
    <w:rsid w:val="00EC62AC"/>
    <w:rsid w:val="00EE39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53036"/>
  <w15:chartTrackingRefBased/>
  <w15:docId w15:val="{BACC2487-8D5A-4B39-906A-2E1DFA01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5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46E7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D46E7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D46E7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D46E7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D46E7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D46E7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D46E7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D46E7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D46E7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E75"/>
    <w:rPr>
      <w:rFonts w:eastAsiaTheme="majorEastAsia" w:cstheme="majorBidi"/>
      <w:color w:val="272727" w:themeColor="text1" w:themeTint="D8"/>
    </w:rPr>
  </w:style>
  <w:style w:type="paragraph" w:styleId="Title">
    <w:name w:val="Title"/>
    <w:basedOn w:val="Normal"/>
    <w:next w:val="Normal"/>
    <w:link w:val="TitleChar"/>
    <w:qFormat/>
    <w:rsid w:val="00D46E75"/>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D46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E7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D46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E7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D46E75"/>
    <w:rPr>
      <w:i/>
      <w:iCs/>
      <w:color w:val="404040" w:themeColor="text1" w:themeTint="BF"/>
    </w:rPr>
  </w:style>
  <w:style w:type="paragraph" w:styleId="ListParagraph">
    <w:name w:val="List Paragraph"/>
    <w:basedOn w:val="Normal"/>
    <w:uiPriority w:val="34"/>
    <w:qFormat/>
    <w:rsid w:val="00D46E75"/>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character" w:styleId="IntenseEmphasis">
    <w:name w:val="Intense Emphasis"/>
    <w:basedOn w:val="DefaultParagraphFont"/>
    <w:uiPriority w:val="21"/>
    <w:qFormat/>
    <w:rsid w:val="00D46E75"/>
    <w:rPr>
      <w:i/>
      <w:iCs/>
      <w:color w:val="2F5496" w:themeColor="accent1" w:themeShade="BF"/>
    </w:rPr>
  </w:style>
  <w:style w:type="paragraph" w:styleId="IntenseQuote">
    <w:name w:val="Intense Quote"/>
    <w:basedOn w:val="Normal"/>
    <w:next w:val="Normal"/>
    <w:link w:val="IntenseQuoteChar"/>
    <w:uiPriority w:val="30"/>
    <w:qFormat/>
    <w:rsid w:val="00D46E7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D46E75"/>
    <w:rPr>
      <w:i/>
      <w:iCs/>
      <w:color w:val="2F5496" w:themeColor="accent1" w:themeShade="BF"/>
    </w:rPr>
  </w:style>
  <w:style w:type="character" w:styleId="IntenseReference">
    <w:name w:val="Intense Reference"/>
    <w:basedOn w:val="DefaultParagraphFont"/>
    <w:uiPriority w:val="32"/>
    <w:qFormat/>
    <w:rsid w:val="00D46E75"/>
    <w:rPr>
      <w:b/>
      <w:bCs/>
      <w:smallCaps/>
      <w:color w:val="2F5496" w:themeColor="accent1" w:themeShade="BF"/>
      <w:spacing w:val="5"/>
    </w:rPr>
  </w:style>
  <w:style w:type="paragraph" w:customStyle="1" w:styleId="Author">
    <w:name w:val="Author"/>
    <w:basedOn w:val="Normal"/>
    <w:rsid w:val="00D51752"/>
    <w:pPr>
      <w:spacing w:line="280" w:lineRule="exact"/>
      <w:jc w:val="right"/>
    </w:pPr>
    <w:rPr>
      <w:b/>
      <w:sz w:val="24"/>
    </w:rPr>
  </w:style>
  <w:style w:type="paragraph" w:customStyle="1" w:styleId="Affiliation">
    <w:name w:val="Affiliation"/>
    <w:basedOn w:val="Normal"/>
    <w:rsid w:val="00D51752"/>
    <w:pPr>
      <w:spacing w:after="240" w:line="240" w:lineRule="exact"/>
      <w:jc w:val="right"/>
    </w:pPr>
  </w:style>
  <w:style w:type="paragraph" w:customStyle="1" w:styleId="Body">
    <w:name w:val="Body"/>
    <w:basedOn w:val="Normal"/>
    <w:rsid w:val="00D51752"/>
    <w:pPr>
      <w:spacing w:after="240"/>
      <w:jc w:val="both"/>
    </w:pPr>
  </w:style>
  <w:style w:type="paragraph" w:customStyle="1" w:styleId="AbstHead">
    <w:name w:val="Abst Head"/>
    <w:basedOn w:val="Normal"/>
    <w:rsid w:val="00D51752"/>
    <w:pPr>
      <w:keepNext/>
      <w:spacing w:after="240"/>
    </w:pPr>
    <w:rPr>
      <w:b/>
      <w:caps/>
      <w:sz w:val="22"/>
    </w:rPr>
  </w:style>
  <w:style w:type="paragraph" w:customStyle="1" w:styleId="ConcHead">
    <w:name w:val="Conc Head"/>
    <w:basedOn w:val="Normal"/>
    <w:rsid w:val="00D51752"/>
    <w:pPr>
      <w:keepNext/>
      <w:spacing w:after="240"/>
    </w:pPr>
    <w:rPr>
      <w:b/>
      <w:caps/>
      <w:sz w:val="22"/>
    </w:rPr>
  </w:style>
  <w:style w:type="paragraph" w:customStyle="1" w:styleId="ReferHead">
    <w:name w:val="Refer Head"/>
    <w:basedOn w:val="Normal"/>
    <w:rsid w:val="00D51752"/>
    <w:pPr>
      <w:keepNext/>
      <w:spacing w:after="240"/>
    </w:pPr>
    <w:rPr>
      <w:b/>
      <w:caps/>
      <w:sz w:val="22"/>
    </w:rPr>
  </w:style>
  <w:style w:type="paragraph" w:customStyle="1" w:styleId="Copyright">
    <w:name w:val="Copyright"/>
    <w:basedOn w:val="Normal"/>
    <w:rsid w:val="00D51752"/>
    <w:pPr>
      <w:spacing w:after="960" w:line="200" w:lineRule="exact"/>
    </w:pPr>
    <w:rPr>
      <w:sz w:val="16"/>
    </w:rPr>
  </w:style>
  <w:style w:type="paragraph" w:customStyle="1" w:styleId="Head1">
    <w:name w:val="Head1"/>
    <w:basedOn w:val="Normal"/>
    <w:rsid w:val="00D51752"/>
    <w:pPr>
      <w:keepNext/>
      <w:spacing w:after="240"/>
    </w:pPr>
    <w:rPr>
      <w:b/>
      <w:caps/>
      <w:sz w:val="22"/>
    </w:rPr>
  </w:style>
  <w:style w:type="paragraph" w:customStyle="1" w:styleId="Appendix">
    <w:name w:val="Appendix"/>
    <w:basedOn w:val="Normal"/>
    <w:rsid w:val="00D51752"/>
    <w:pPr>
      <w:keepNext/>
      <w:spacing w:after="240"/>
    </w:pPr>
    <w:rPr>
      <w:b/>
      <w:caps/>
      <w:sz w:val="22"/>
    </w:rPr>
  </w:style>
  <w:style w:type="paragraph" w:styleId="Footer">
    <w:name w:val="footer"/>
    <w:basedOn w:val="Normal"/>
    <w:link w:val="FooterChar"/>
    <w:rsid w:val="00D51752"/>
    <w:pPr>
      <w:tabs>
        <w:tab w:val="center" w:pos="4320"/>
        <w:tab w:val="right" w:pos="8640"/>
      </w:tabs>
    </w:pPr>
  </w:style>
  <w:style w:type="character" w:customStyle="1" w:styleId="FooterChar">
    <w:name w:val="Footer Char"/>
    <w:basedOn w:val="DefaultParagraphFont"/>
    <w:link w:val="Footer"/>
    <w:rsid w:val="00D51752"/>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D51752"/>
    <w:pPr>
      <w:tabs>
        <w:tab w:val="center" w:pos="4320"/>
        <w:tab w:val="right" w:pos="8640"/>
      </w:tabs>
    </w:pPr>
  </w:style>
  <w:style w:type="character" w:customStyle="1" w:styleId="HeaderChar">
    <w:name w:val="Header Char"/>
    <w:basedOn w:val="DefaultParagraphFont"/>
    <w:link w:val="Header"/>
    <w:rsid w:val="00D51752"/>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D51752"/>
    <w:rPr>
      <w:color w:val="FF0080"/>
      <w:u w:val="single"/>
    </w:rPr>
  </w:style>
  <w:style w:type="paragraph" w:styleId="Caption">
    <w:name w:val="caption"/>
    <w:basedOn w:val="Normal"/>
    <w:next w:val="Normal"/>
    <w:unhideWhenUsed/>
    <w:qFormat/>
    <w:rsid w:val="00D5175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image" Target="media/image5.emf"/><Relationship Id="rId3" Type="http://schemas.openxmlformats.org/officeDocument/2006/relationships/webSettings" Target="webSettings.xml"/><Relationship Id="rId21" Type="http://schemas.openxmlformats.org/officeDocument/2006/relationships/hyperlink" Target="https://doi.org/10.1201/9781482282863" TargetMode="External"/><Relationship Id="rId7" Type="http://schemas.openxmlformats.org/officeDocument/2006/relationships/footer" Target="footer2.xml"/><Relationship Id="rId12" Type="http://schemas.openxmlformats.org/officeDocument/2006/relationships/footer" Target="footer4.xml"/><Relationship Id="rId17" Type="http://schemas.openxmlformats.org/officeDocument/2006/relationships/image" Target="media/image4.emf"/><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s://digitallibrary.un.org/record/234000?ln=en"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5.xml"/><Relationship Id="rId5" Type="http://schemas.openxmlformats.org/officeDocument/2006/relationships/header" Target="header2.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image" Target="media/image6.emf"/><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4634</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 Sankaran</dc:creator>
  <cp:keywords/>
  <dc:description/>
  <cp:lastModifiedBy>Raji Sankaran</cp:lastModifiedBy>
  <cp:revision>2</cp:revision>
  <dcterms:created xsi:type="dcterms:W3CDTF">2025-12-30T08:56:00Z</dcterms:created>
  <dcterms:modified xsi:type="dcterms:W3CDTF">2025-12-30T09:49:00Z</dcterms:modified>
</cp:coreProperties>
</file>