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69" w:rsidRDefault="001C1769" w:rsidP="009E1651">
      <w:pPr>
        <w:pStyle w:val="Author"/>
        <w:spacing w:line="240" w:lineRule="auto"/>
        <w:rPr>
          <w:rFonts w:ascii="Arial" w:hAnsi="Arial" w:cs="Arial"/>
          <w:bCs/>
          <w:iCs/>
          <w:kern w:val="28"/>
          <w:sz w:val="36"/>
        </w:rPr>
      </w:pPr>
      <w:r w:rsidRPr="001C1769">
        <w:rPr>
          <w:rFonts w:ascii="Arial" w:hAnsi="Arial" w:cs="Arial"/>
          <w:bCs/>
          <w:iCs/>
          <w:kern w:val="28"/>
          <w:sz w:val="36"/>
        </w:rPr>
        <w:t>Original Research Article</w:t>
      </w:r>
    </w:p>
    <w:p w:rsidR="001C1769" w:rsidRDefault="001C1769" w:rsidP="009E1651">
      <w:pPr>
        <w:pStyle w:val="Author"/>
        <w:spacing w:line="240" w:lineRule="auto"/>
        <w:rPr>
          <w:rFonts w:ascii="Arial" w:hAnsi="Arial" w:cs="Arial"/>
          <w:bCs/>
          <w:iCs/>
          <w:kern w:val="28"/>
          <w:sz w:val="36"/>
        </w:rPr>
      </w:pPr>
    </w:p>
    <w:p w:rsidR="009E1651" w:rsidRPr="00C5563E" w:rsidRDefault="0077543E" w:rsidP="009E1651">
      <w:pPr>
        <w:pStyle w:val="Author"/>
        <w:spacing w:line="240" w:lineRule="auto"/>
        <w:rPr>
          <w:rFonts w:ascii="Arial" w:hAnsi="Arial" w:cs="Arial"/>
          <w:bCs/>
          <w:iCs/>
          <w:kern w:val="28"/>
          <w:sz w:val="36"/>
        </w:rPr>
      </w:pPr>
      <w:r>
        <w:rPr>
          <w:rFonts w:ascii="Arial" w:hAnsi="Arial" w:cs="Arial"/>
          <w:bCs/>
          <w:iCs/>
          <w:kern w:val="28"/>
          <w:sz w:val="36"/>
        </w:rPr>
        <w:t xml:space="preserve">Impact </w:t>
      </w:r>
      <w:r w:rsidR="009E1651">
        <w:rPr>
          <w:rFonts w:ascii="Arial" w:hAnsi="Arial" w:cs="Arial"/>
          <w:bCs/>
          <w:iCs/>
          <w:kern w:val="28"/>
          <w:sz w:val="36"/>
        </w:rPr>
        <w:t>of rubber tree providin</w:t>
      </w:r>
      <w:r>
        <w:rPr>
          <w:rFonts w:ascii="Arial" w:hAnsi="Arial" w:cs="Arial"/>
          <w:bCs/>
          <w:iCs/>
          <w:kern w:val="28"/>
          <w:sz w:val="36"/>
        </w:rPr>
        <w:t>g shade conditions on physi</w:t>
      </w:r>
      <w:r w:rsidR="009E1651">
        <w:rPr>
          <w:rFonts w:ascii="Arial" w:hAnsi="Arial" w:cs="Arial"/>
          <w:bCs/>
          <w:iCs/>
          <w:kern w:val="28"/>
          <w:sz w:val="36"/>
        </w:rPr>
        <w:t>cal processes of tea</w:t>
      </w:r>
    </w:p>
    <w:p w:rsidR="009E1651" w:rsidRPr="00163BC4" w:rsidRDefault="009E1651" w:rsidP="009E1651">
      <w:pPr>
        <w:pStyle w:val="Author"/>
        <w:spacing w:line="240" w:lineRule="auto"/>
        <w:rPr>
          <w:rFonts w:ascii="Arial" w:hAnsi="Arial" w:cs="Arial"/>
          <w:bCs/>
          <w:iCs/>
          <w:kern w:val="28"/>
          <w:sz w:val="36"/>
        </w:rPr>
      </w:pPr>
    </w:p>
    <w:p w:rsidR="009E1651" w:rsidRPr="00790ADA" w:rsidRDefault="009E1651" w:rsidP="009E1651">
      <w:pPr>
        <w:pStyle w:val="Author"/>
        <w:spacing w:line="240" w:lineRule="auto"/>
        <w:jc w:val="both"/>
        <w:rPr>
          <w:rFonts w:ascii="Arial" w:hAnsi="Arial" w:cs="Arial"/>
          <w:sz w:val="36"/>
        </w:rPr>
      </w:pPr>
    </w:p>
    <w:p w:rsidR="009E1651" w:rsidRDefault="009E1651" w:rsidP="009E1651">
      <w:pPr>
        <w:pStyle w:val="Affiliation"/>
        <w:spacing w:after="0" w:line="240" w:lineRule="auto"/>
        <w:jc w:val="both"/>
        <w:rPr>
          <w:rFonts w:ascii="Arial" w:hAnsi="Arial" w:cs="Arial"/>
        </w:rPr>
      </w:pPr>
      <w:bookmarkStart w:id="0" w:name="_GoBack"/>
      <w:bookmarkEnd w:id="0"/>
    </w:p>
    <w:p w:rsidR="009E1651" w:rsidRPr="00FB3A86" w:rsidRDefault="009E1651" w:rsidP="009E1651">
      <w:pPr>
        <w:pStyle w:val="Affiliation"/>
        <w:spacing w:after="0" w:line="240" w:lineRule="auto"/>
        <w:jc w:val="both"/>
        <w:rPr>
          <w:rFonts w:ascii="Arial" w:hAnsi="Arial" w:cs="Arial"/>
        </w:rPr>
      </w:pPr>
    </w:p>
    <w:p w:rsidR="009E1651" w:rsidRDefault="002F6732" w:rsidP="009E1651">
      <w:pPr>
        <w:pStyle w:val="Copyright"/>
        <w:spacing w:after="0" w:line="240" w:lineRule="auto"/>
        <w:jc w:val="both"/>
        <w:rPr>
          <w:rFonts w:ascii="Arial" w:hAnsi="Arial" w:cs="Arial"/>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9E1651">
        <w:rPr>
          <w:rFonts w:ascii="Arial" w:hAnsi="Arial" w:cs="Arial"/>
        </w:rPr>
        <w:t>.</w:t>
      </w:r>
    </w:p>
    <w:p w:rsidR="009E1651" w:rsidRDefault="009E1651" w:rsidP="009E1651">
      <w:pPr>
        <w:pStyle w:val="Copyright"/>
        <w:spacing w:after="0" w:line="240" w:lineRule="auto"/>
        <w:jc w:val="both"/>
        <w:rPr>
          <w:rFonts w:ascii="Arial" w:hAnsi="Arial" w:cs="Arial"/>
        </w:rPr>
      </w:pPr>
    </w:p>
    <w:p w:rsidR="009E1651" w:rsidRPr="009761A6" w:rsidRDefault="009E1651" w:rsidP="009E1651">
      <w:pPr>
        <w:pStyle w:val="Copyright"/>
        <w:spacing w:after="0" w:line="240" w:lineRule="auto"/>
        <w:jc w:val="both"/>
        <w:rPr>
          <w:rFonts w:ascii="Arial" w:hAnsi="Arial" w:cs="Arial"/>
          <w:b/>
          <w:sz w:val="22"/>
          <w:szCs w:val="22"/>
        </w:rPr>
      </w:pPr>
      <w:r w:rsidRPr="009761A6">
        <w:rPr>
          <w:rFonts w:ascii="Arial" w:hAnsi="Arial" w:cs="Arial"/>
          <w:b/>
          <w:sz w:val="22"/>
          <w:szCs w:val="22"/>
        </w:rPr>
        <w:t>ABSTRACT</w:t>
      </w:r>
    </w:p>
    <w:p w:rsidR="009E1651" w:rsidRDefault="009E1651" w:rsidP="009E1651">
      <w:pPr>
        <w:pStyle w:val="Copyright"/>
        <w:spacing w:after="0" w:line="240" w:lineRule="auto"/>
        <w:jc w:val="both"/>
        <w:rPr>
          <w:rFonts w:ascii="Arial" w:hAnsi="Arial" w:cs="Arial"/>
        </w:rPr>
      </w:pPr>
    </w:p>
    <w:p w:rsidR="009E1651" w:rsidRDefault="009E1651" w:rsidP="009761A6">
      <w:pPr>
        <w:spacing w:line="240" w:lineRule="auto"/>
        <w:jc w:val="both"/>
        <w:rPr>
          <w:rFonts w:ascii="Arial" w:hAnsi="Arial" w:cs="Arial"/>
          <w:bCs/>
          <w:sz w:val="20"/>
          <w:szCs w:val="20"/>
        </w:rPr>
      </w:pPr>
      <w:commentRangeStart w:id="1"/>
      <w:r w:rsidRPr="009761A6">
        <w:rPr>
          <w:rFonts w:ascii="Arial" w:hAnsi="Arial" w:cs="Arial"/>
          <w:bCs/>
          <w:sz w:val="20"/>
          <w:szCs w:val="20"/>
        </w:rPr>
        <w:t xml:space="preserve">Tea </w:t>
      </w:r>
      <w:r w:rsidRPr="009761A6">
        <w:rPr>
          <w:rFonts w:ascii="Arial" w:hAnsi="Arial" w:cs="Arial"/>
          <w:sz w:val="20"/>
          <w:szCs w:val="20"/>
        </w:rPr>
        <w:t>(</w:t>
      </w:r>
      <w:r w:rsidRPr="009761A6">
        <w:rPr>
          <w:rFonts w:ascii="Arial" w:hAnsi="Arial" w:cs="Arial"/>
          <w:i/>
          <w:sz w:val="20"/>
          <w:szCs w:val="20"/>
        </w:rPr>
        <w:t>Camellia sinensis</w:t>
      </w:r>
      <w:r w:rsidRPr="009761A6">
        <w:rPr>
          <w:rFonts w:ascii="Arial" w:hAnsi="Arial" w:cs="Arial"/>
          <w:sz w:val="20"/>
          <w:szCs w:val="20"/>
        </w:rPr>
        <w:t xml:space="preserve"> (L.) O. Kuntze) </w:t>
      </w:r>
      <w:r w:rsidRPr="009761A6">
        <w:rPr>
          <w:rFonts w:ascii="Arial" w:hAnsi="Arial" w:cs="Arial"/>
          <w:bCs/>
          <w:sz w:val="20"/>
          <w:szCs w:val="20"/>
        </w:rPr>
        <w:t xml:space="preserve">is one of the most popular beverages, which is being consumed by over two thirds of the world’s population due to its refreshing, nutritional and medicinal properties. Owing to the geography of Assam, shade is an </w:t>
      </w:r>
      <w:r w:rsidR="0077543E" w:rsidRPr="009761A6">
        <w:rPr>
          <w:rFonts w:ascii="Arial" w:hAnsi="Arial" w:cs="Arial"/>
          <w:bCs/>
          <w:sz w:val="20"/>
          <w:szCs w:val="20"/>
        </w:rPr>
        <w:t>integral part of tea plantation</w:t>
      </w:r>
      <w:r w:rsidR="0077543E">
        <w:rPr>
          <w:rFonts w:ascii="Arial" w:hAnsi="Arial" w:cs="Arial"/>
          <w:bCs/>
          <w:sz w:val="20"/>
          <w:szCs w:val="20"/>
        </w:rPr>
        <w:t xml:space="preserve"> of </w:t>
      </w:r>
      <w:r w:rsidRPr="009761A6">
        <w:rPr>
          <w:rFonts w:ascii="Arial" w:hAnsi="Arial" w:cs="Arial"/>
          <w:bCs/>
          <w:sz w:val="20"/>
          <w:szCs w:val="20"/>
        </w:rPr>
        <w:t>this region. Though tea cultivation is considered as a mono cropping system, it is the only plantation crop integrated with other crops</w:t>
      </w:r>
      <w:r w:rsidR="00A26CC9">
        <w:rPr>
          <w:rFonts w:ascii="Arial" w:hAnsi="Arial" w:cs="Arial"/>
          <w:bCs/>
          <w:sz w:val="20"/>
          <w:szCs w:val="20"/>
        </w:rPr>
        <w:t xml:space="preserve"> of economic importance </w:t>
      </w:r>
      <w:r w:rsidRPr="009761A6">
        <w:rPr>
          <w:rFonts w:ascii="Arial" w:hAnsi="Arial" w:cs="Arial"/>
          <w:bCs/>
          <w:sz w:val="20"/>
          <w:szCs w:val="20"/>
        </w:rPr>
        <w:t xml:space="preserve">to maximize productivity in tea plantations. Rubber </w:t>
      </w:r>
      <w:r w:rsidRPr="009761A6">
        <w:rPr>
          <w:rFonts w:ascii="Arial" w:hAnsi="Arial" w:cs="Arial"/>
          <w:sz w:val="20"/>
          <w:szCs w:val="20"/>
          <w:lang w:val="en-IN"/>
        </w:rPr>
        <w:t>(</w:t>
      </w:r>
      <w:r w:rsidRPr="009761A6">
        <w:rPr>
          <w:rFonts w:ascii="Arial" w:hAnsi="Arial" w:cs="Arial"/>
          <w:i/>
          <w:iCs/>
          <w:sz w:val="20"/>
          <w:szCs w:val="20"/>
          <w:lang w:val="en-IN"/>
        </w:rPr>
        <w:t>Heveabrasilensis</w:t>
      </w:r>
      <w:r w:rsidRPr="009761A6">
        <w:rPr>
          <w:rFonts w:ascii="Arial" w:hAnsi="Arial" w:cs="Arial"/>
          <w:sz w:val="20"/>
          <w:szCs w:val="20"/>
          <w:lang w:val="en-IN"/>
        </w:rPr>
        <w:t>Muell Arg</w:t>
      </w:r>
      <w:r w:rsidRPr="009761A6">
        <w:rPr>
          <w:rFonts w:ascii="Arial" w:hAnsi="Arial" w:cs="Arial"/>
          <w:i/>
          <w:iCs/>
          <w:sz w:val="20"/>
          <w:szCs w:val="20"/>
          <w:lang w:val="en-IN"/>
        </w:rPr>
        <w:t>.</w:t>
      </w:r>
      <w:r w:rsidRPr="009761A6">
        <w:rPr>
          <w:rFonts w:ascii="Arial" w:hAnsi="Arial" w:cs="Arial"/>
          <w:sz w:val="20"/>
          <w:szCs w:val="20"/>
          <w:lang w:val="en-IN"/>
        </w:rPr>
        <w:t>)</w:t>
      </w:r>
      <w:r w:rsidRPr="009761A6">
        <w:rPr>
          <w:rFonts w:ascii="Arial" w:hAnsi="Arial" w:cs="Arial"/>
          <w:bCs/>
          <w:sz w:val="20"/>
          <w:szCs w:val="20"/>
        </w:rPr>
        <w:t xml:space="preserve"> is an economically important crop. It may be used as an alternative to commercial shade trees. In this experiment the impact of rubber tree shade on some physica</w:t>
      </w:r>
      <w:r w:rsidR="0077543E">
        <w:rPr>
          <w:rFonts w:ascii="Arial" w:hAnsi="Arial" w:cs="Arial"/>
          <w:bCs/>
          <w:sz w:val="20"/>
          <w:szCs w:val="20"/>
        </w:rPr>
        <w:t xml:space="preserve">l processes of tea was studied </w:t>
      </w:r>
      <w:r w:rsidR="0077543E">
        <w:rPr>
          <w:rFonts w:ascii="Arial" w:hAnsi="Arial" w:cs="Arial"/>
          <w:sz w:val="20"/>
          <w:szCs w:val="20"/>
        </w:rPr>
        <w:t xml:space="preserve">in the </w:t>
      </w:r>
      <w:r w:rsidRPr="009761A6">
        <w:rPr>
          <w:rFonts w:ascii="Arial" w:hAnsi="Arial" w:cs="Arial"/>
          <w:sz w:val="20"/>
          <w:szCs w:val="20"/>
        </w:rPr>
        <w:t xml:space="preserve">Experimental Garden for Plantation Crops, Department of Tea Husbandry and Technology, Assam Agricultural University, Jorhat. The experiment was conducted under two cropping situations </w:t>
      </w:r>
      <w:r w:rsidR="00744B4F" w:rsidRPr="009761A6">
        <w:rPr>
          <w:rFonts w:ascii="Arial" w:hAnsi="Arial" w:cs="Arial"/>
          <w:sz w:val="20"/>
          <w:szCs w:val="20"/>
        </w:rPr>
        <w:t>i.e.;</w:t>
      </w:r>
      <w:r w:rsidRPr="009761A6">
        <w:rPr>
          <w:rFonts w:ascii="Arial" w:hAnsi="Arial" w:cs="Arial"/>
          <w:sz w:val="20"/>
          <w:szCs w:val="20"/>
        </w:rPr>
        <w:t xml:space="preserve"> one involves tea grown as monocrop (conventional shade) and other involves tea – </w:t>
      </w:r>
      <w:r w:rsidR="00744B4F" w:rsidRPr="009761A6">
        <w:rPr>
          <w:rFonts w:ascii="Arial" w:hAnsi="Arial" w:cs="Arial"/>
          <w:sz w:val="20"/>
          <w:szCs w:val="20"/>
        </w:rPr>
        <w:t>rubber</w:t>
      </w:r>
      <w:r w:rsidR="00744B4F">
        <w:rPr>
          <w:rFonts w:ascii="Arial" w:hAnsi="Arial" w:cs="Arial"/>
          <w:sz w:val="20"/>
          <w:szCs w:val="20"/>
        </w:rPr>
        <w:t>-based</w:t>
      </w:r>
      <w:r w:rsidRPr="009761A6">
        <w:rPr>
          <w:rFonts w:ascii="Arial" w:hAnsi="Arial" w:cs="Arial"/>
          <w:sz w:val="20"/>
          <w:szCs w:val="20"/>
        </w:rPr>
        <w:t xml:space="preserve"> cr</w:t>
      </w:r>
      <w:r w:rsidR="00A26CC9">
        <w:rPr>
          <w:rFonts w:ascii="Arial" w:hAnsi="Arial" w:cs="Arial"/>
          <w:sz w:val="20"/>
          <w:szCs w:val="20"/>
        </w:rPr>
        <w:t>opping system (rubber as shade)</w:t>
      </w:r>
      <w:r w:rsidRPr="009761A6">
        <w:rPr>
          <w:rFonts w:ascii="Arial" w:hAnsi="Arial" w:cs="Arial"/>
          <w:bCs/>
          <w:sz w:val="20"/>
          <w:szCs w:val="20"/>
        </w:rPr>
        <w:t>. The effect on photosynthetic related parameters along with the physical condition of the microclimate such as light transmission, Photosyn</w:t>
      </w:r>
      <w:r w:rsidR="009761A6">
        <w:rPr>
          <w:rFonts w:ascii="Arial" w:hAnsi="Arial" w:cs="Arial"/>
          <w:bCs/>
          <w:sz w:val="20"/>
          <w:szCs w:val="20"/>
        </w:rPr>
        <w:t>thetically Active Radiation was</w:t>
      </w:r>
      <w:r w:rsidRPr="009761A6">
        <w:rPr>
          <w:rFonts w:ascii="Arial" w:hAnsi="Arial" w:cs="Arial"/>
          <w:bCs/>
          <w:sz w:val="20"/>
          <w:szCs w:val="20"/>
        </w:rPr>
        <w:t xml:space="preserve"> observed. The effect of rubber leaf canopy on the tea bushes </w:t>
      </w:r>
      <w:r w:rsidR="00744B4F" w:rsidRPr="009761A6">
        <w:rPr>
          <w:rFonts w:ascii="Arial" w:hAnsi="Arial" w:cs="Arial"/>
          <w:bCs/>
          <w:sz w:val="20"/>
          <w:szCs w:val="20"/>
        </w:rPr>
        <w:t>was</w:t>
      </w:r>
      <w:r w:rsidRPr="009761A6">
        <w:rPr>
          <w:rFonts w:ascii="Arial" w:hAnsi="Arial" w:cs="Arial"/>
          <w:bCs/>
          <w:sz w:val="20"/>
          <w:szCs w:val="20"/>
        </w:rPr>
        <w:t xml:space="preserve"> compared with that of traditional shade tree. From the study, it may be concluded that there is a significant variation in the physical parameters in tea bushes under rubber shade over conventional shade. The study generated a considerable amount of important information on the effect of </w:t>
      </w:r>
      <w:r w:rsidRPr="009761A6">
        <w:rPr>
          <w:rFonts w:ascii="Arial" w:hAnsi="Arial" w:cs="Arial"/>
          <w:bCs/>
          <w:i/>
          <w:iCs/>
          <w:sz w:val="20"/>
          <w:szCs w:val="20"/>
        </w:rPr>
        <w:t>Albizzia chinensis</w:t>
      </w:r>
      <w:r w:rsidRPr="009761A6">
        <w:rPr>
          <w:rFonts w:ascii="Arial" w:hAnsi="Arial" w:cs="Arial"/>
          <w:bCs/>
          <w:sz w:val="20"/>
          <w:szCs w:val="20"/>
        </w:rPr>
        <w:t xml:space="preserve"> shade and rubber shade on physical parameters. Better performance was noticed under conventional shade which is due to the availability of necessary photosynthetically active radiation and light intensity that maintains the leaf temperature of the plants.</w:t>
      </w:r>
      <w:commentRangeEnd w:id="1"/>
      <w:r w:rsidR="009C51EB">
        <w:rPr>
          <w:rStyle w:val="CommentReference"/>
        </w:rPr>
        <w:commentReference w:id="1"/>
      </w:r>
    </w:p>
    <w:p w:rsidR="00674633" w:rsidRPr="009761A6" w:rsidRDefault="00674633" w:rsidP="009761A6">
      <w:pPr>
        <w:spacing w:line="240" w:lineRule="auto"/>
        <w:jc w:val="both"/>
        <w:rPr>
          <w:rFonts w:ascii="Arial" w:hAnsi="Arial" w:cs="Arial"/>
          <w:bCs/>
          <w:sz w:val="20"/>
          <w:szCs w:val="20"/>
        </w:rPr>
      </w:pPr>
      <w:r>
        <w:rPr>
          <w:rFonts w:ascii="Arial" w:hAnsi="Arial" w:cs="Arial"/>
          <w:bCs/>
          <w:sz w:val="20"/>
          <w:szCs w:val="20"/>
        </w:rPr>
        <w:t>Keywords: tea, rubber, shade tree, light intensity, chlorophyll content</w:t>
      </w:r>
    </w:p>
    <w:p w:rsidR="009E1651" w:rsidRDefault="009E1651" w:rsidP="009761A6">
      <w:pPr>
        <w:pStyle w:val="Body"/>
        <w:spacing w:after="0"/>
        <w:rPr>
          <w:rFonts w:ascii="Arial" w:eastAsia="Calibri" w:hAnsi="Arial" w:cs="Arial"/>
          <w:b/>
          <w:szCs w:val="22"/>
        </w:rPr>
      </w:pPr>
    </w:p>
    <w:p w:rsidR="009E1651" w:rsidRPr="00FB3A86" w:rsidRDefault="009E1651" w:rsidP="009761A6">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rsidR="00431BD4" w:rsidRPr="00431BD4" w:rsidRDefault="00431BD4" w:rsidP="00431BD4">
      <w:pPr>
        <w:spacing w:before="120" w:after="120" w:line="240" w:lineRule="auto"/>
        <w:jc w:val="both"/>
        <w:rPr>
          <w:rFonts w:ascii="Arial" w:hAnsi="Arial" w:cs="Arial"/>
          <w:bCs/>
          <w:sz w:val="20"/>
          <w:szCs w:val="20"/>
        </w:rPr>
      </w:pPr>
      <w:r w:rsidRPr="00431BD4">
        <w:rPr>
          <w:rFonts w:ascii="Arial" w:hAnsi="Arial" w:cs="Arial"/>
          <w:sz w:val="20"/>
          <w:szCs w:val="20"/>
        </w:rPr>
        <w:t>Tea (</w:t>
      </w:r>
      <w:r w:rsidRPr="00431BD4">
        <w:rPr>
          <w:rFonts w:ascii="Arial" w:hAnsi="Arial" w:cs="Arial"/>
          <w:i/>
          <w:sz w:val="20"/>
          <w:szCs w:val="20"/>
        </w:rPr>
        <w:t>Camellia sinensis</w:t>
      </w:r>
      <w:r w:rsidRPr="00431BD4">
        <w:rPr>
          <w:rFonts w:ascii="Arial" w:hAnsi="Arial" w:cs="Arial"/>
          <w:sz w:val="20"/>
          <w:szCs w:val="20"/>
        </w:rPr>
        <w:t xml:space="preserve"> (L.) O. Kuntze</w:t>
      </w:r>
      <w:r>
        <w:rPr>
          <w:rFonts w:ascii="Arial" w:hAnsi="Arial" w:cs="Arial"/>
          <w:sz w:val="20"/>
          <w:szCs w:val="20"/>
        </w:rPr>
        <w:t xml:space="preserve">) </w:t>
      </w:r>
      <w:r w:rsidRPr="00431BD4">
        <w:rPr>
          <w:rFonts w:ascii="Arial" w:hAnsi="Arial" w:cs="Arial"/>
          <w:sz w:val="20"/>
          <w:szCs w:val="20"/>
        </w:rPr>
        <w:t>is one of th</w:t>
      </w:r>
      <w:r>
        <w:rPr>
          <w:rFonts w:ascii="Arial" w:hAnsi="Arial" w:cs="Arial"/>
          <w:sz w:val="20"/>
          <w:szCs w:val="20"/>
        </w:rPr>
        <w:t xml:space="preserve">e most popular beverages </w:t>
      </w:r>
      <w:r w:rsidRPr="00431BD4">
        <w:rPr>
          <w:rFonts w:ascii="Arial" w:hAnsi="Arial" w:cs="Arial"/>
          <w:sz w:val="20"/>
          <w:szCs w:val="20"/>
        </w:rPr>
        <w:t>being consumed by over two thirds of the world’s population</w:t>
      </w:r>
      <w:r>
        <w:rPr>
          <w:rFonts w:ascii="Arial" w:hAnsi="Arial" w:cs="Arial"/>
          <w:sz w:val="20"/>
          <w:szCs w:val="20"/>
        </w:rPr>
        <w:t>.</w:t>
      </w:r>
    </w:p>
    <w:p w:rsidR="00B510F6"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Air temperatures above 30°C and below 13°C are harmful for growth of tea plant. However, in the plains of N.E. India including Assam, the air temperature remains above 30</w:t>
      </w:r>
      <w:r w:rsidRPr="009761A6">
        <w:rPr>
          <w:rFonts w:ascii="Times New Roman" w:hAnsi="Times New Roman" w:cs="Arial"/>
          <w:sz w:val="20"/>
          <w:szCs w:val="20"/>
        </w:rPr>
        <w:t>℃</w:t>
      </w:r>
      <w:r w:rsidRPr="009761A6">
        <w:rPr>
          <w:rFonts w:ascii="Arial" w:hAnsi="Arial" w:cs="Arial"/>
          <w:sz w:val="20"/>
          <w:szCs w:val="20"/>
        </w:rPr>
        <w:t xml:space="preserve"> for a greater part of the harvesting period. Hence shade trees are inter-planted in tea gardens to keep the temperature below a level where it cannot affect the photosynthesis adversely. Wind velocity is useful in reducing high leaf temperature. However, the velocity of wind in Assam is low due to the shelter effect of the hills on either side of the valley. </w:t>
      </w:r>
      <w:r w:rsidR="00744B4F" w:rsidRPr="009761A6">
        <w:rPr>
          <w:rFonts w:ascii="Arial" w:hAnsi="Arial" w:cs="Arial"/>
          <w:sz w:val="20"/>
          <w:szCs w:val="20"/>
        </w:rPr>
        <w:t>So,</w:t>
      </w:r>
      <w:r w:rsidRPr="009761A6">
        <w:rPr>
          <w:rFonts w:ascii="Arial" w:hAnsi="Arial" w:cs="Arial"/>
          <w:sz w:val="20"/>
          <w:szCs w:val="20"/>
        </w:rPr>
        <w:t xml:space="preserve"> shade is needed in a tea plantation to keep the leaf temperature down. Owing to the geographical location of Assam, shade is an essential component for this region.</w:t>
      </w:r>
      <w:r w:rsidR="000352BC" w:rsidRPr="009761A6">
        <w:rPr>
          <w:rFonts w:ascii="Arial" w:hAnsi="Arial" w:cs="Arial"/>
          <w:sz w:val="20"/>
          <w:szCs w:val="20"/>
        </w:rPr>
        <w:t xml:space="preserve">According </w:t>
      </w:r>
      <w:r w:rsidR="000352BC" w:rsidRPr="007C40A6">
        <w:rPr>
          <w:rFonts w:ascii="Arial" w:hAnsi="Arial" w:cs="Arial"/>
          <w:sz w:val="20"/>
          <w:szCs w:val="20"/>
        </w:rPr>
        <w:t xml:space="preserve">to Barua and </w:t>
      </w:r>
      <w:r w:rsidR="000352BC" w:rsidRPr="007C40A6">
        <w:rPr>
          <w:rFonts w:ascii="Arial" w:hAnsi="Arial" w:cs="Arial"/>
          <w:sz w:val="20"/>
          <w:szCs w:val="20"/>
        </w:rPr>
        <w:lastRenderedPageBreak/>
        <w:t>Gogoi (</w:t>
      </w:r>
      <w:commentRangeStart w:id="2"/>
      <w:r w:rsidR="000352BC" w:rsidRPr="007C40A6">
        <w:rPr>
          <w:rFonts w:ascii="Arial" w:hAnsi="Arial" w:cs="Arial"/>
          <w:sz w:val="20"/>
          <w:szCs w:val="20"/>
        </w:rPr>
        <w:t>1979</w:t>
      </w:r>
      <w:commentRangeEnd w:id="2"/>
      <w:r w:rsidR="009C51EB">
        <w:rPr>
          <w:rStyle w:val="CommentReference"/>
        </w:rPr>
        <w:commentReference w:id="2"/>
      </w:r>
      <w:r w:rsidR="000352BC" w:rsidRPr="007C40A6">
        <w:rPr>
          <w:rFonts w:ascii="Arial" w:hAnsi="Arial" w:cs="Arial"/>
          <w:sz w:val="20"/>
          <w:szCs w:val="20"/>
        </w:rPr>
        <w:t>),</w:t>
      </w:r>
      <w:r w:rsidR="000352BC" w:rsidRPr="009761A6">
        <w:rPr>
          <w:rFonts w:ascii="Arial" w:hAnsi="Arial" w:cs="Arial"/>
          <w:sz w:val="20"/>
          <w:szCs w:val="20"/>
        </w:rPr>
        <w:t xml:space="preserve"> the absence of shade caused a 50% decline in tea production when compared to shaded tea plants in North East India. </w:t>
      </w:r>
    </w:p>
    <w:p w:rsidR="00431BD4"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 xml:space="preserve">At an ambient temperature of 30-32°C, the temperature of a horizontal and erect leaf in direct sunlight may reach 40-45°C. However, in leaves that receive shade, they can survive at a temperature that is just 1-2°C higher than the surrounding air </w:t>
      </w:r>
      <w:r w:rsidRPr="00FD624C">
        <w:rPr>
          <w:rFonts w:ascii="Arial" w:hAnsi="Arial" w:cs="Arial"/>
          <w:sz w:val="20"/>
          <w:szCs w:val="20"/>
        </w:rPr>
        <w:t>(Hadfield, 1968</w:t>
      </w:r>
      <w:r w:rsidRPr="009761A6">
        <w:rPr>
          <w:rFonts w:ascii="Arial" w:hAnsi="Arial" w:cs="Arial"/>
          <w:sz w:val="20"/>
          <w:szCs w:val="20"/>
        </w:rPr>
        <w:t xml:space="preserve">). </w:t>
      </w:r>
      <w:r w:rsidR="000352BC" w:rsidRPr="009761A6">
        <w:rPr>
          <w:rFonts w:ascii="Arial" w:hAnsi="Arial" w:cs="Arial"/>
          <w:sz w:val="20"/>
          <w:szCs w:val="20"/>
        </w:rPr>
        <w:t xml:space="preserve">According to </w:t>
      </w:r>
      <w:r w:rsidR="000352BC" w:rsidRPr="00FD624C">
        <w:rPr>
          <w:rFonts w:ascii="Arial" w:hAnsi="Arial" w:cs="Arial"/>
          <w:sz w:val="20"/>
          <w:szCs w:val="20"/>
        </w:rPr>
        <w:t>Barua (1969</w:t>
      </w:r>
      <w:r w:rsidR="000352BC" w:rsidRPr="009761A6">
        <w:rPr>
          <w:rFonts w:ascii="Arial" w:hAnsi="Arial" w:cs="Arial"/>
          <w:sz w:val="20"/>
          <w:szCs w:val="20"/>
        </w:rPr>
        <w:t xml:space="preserve">), plants that were cultivated in surroundings with a light intensity of 35% produced more tea than those that were grown in full sun. </w:t>
      </w:r>
    </w:p>
    <w:p w:rsidR="009E1651" w:rsidRPr="009761A6"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 xml:space="preserve">Though tea cultivation is considered as a mono cropping system, it is the only plantation crop integrated with other crops of economic importance such as pepper, coffee, arecanut, etc. to maximize productivity in tea plantations. </w:t>
      </w:r>
    </w:p>
    <w:p w:rsidR="009E1651" w:rsidRPr="009761A6" w:rsidRDefault="009E1651" w:rsidP="009761A6">
      <w:pPr>
        <w:spacing w:before="120" w:after="120" w:line="240" w:lineRule="auto"/>
        <w:jc w:val="both"/>
        <w:rPr>
          <w:rFonts w:ascii="Arial" w:hAnsi="Arial" w:cs="Arial"/>
          <w:sz w:val="20"/>
          <w:szCs w:val="20"/>
        </w:rPr>
      </w:pPr>
      <w:r w:rsidRPr="009761A6">
        <w:rPr>
          <w:rFonts w:ascii="Arial" w:hAnsi="Arial" w:cs="Arial"/>
          <w:sz w:val="20"/>
          <w:szCs w:val="20"/>
        </w:rPr>
        <w:t>Rubber is an economica</w:t>
      </w:r>
      <w:r w:rsidR="00431BD4">
        <w:rPr>
          <w:rFonts w:ascii="Arial" w:hAnsi="Arial" w:cs="Arial"/>
          <w:sz w:val="20"/>
          <w:szCs w:val="20"/>
        </w:rPr>
        <w:t xml:space="preserve">lly important crop which </w:t>
      </w:r>
      <w:r w:rsidRPr="009761A6">
        <w:rPr>
          <w:rFonts w:ascii="Arial" w:hAnsi="Arial" w:cs="Arial"/>
          <w:sz w:val="20"/>
          <w:szCs w:val="20"/>
        </w:rPr>
        <w:t xml:space="preserve">may be used as an alternative to commercial shade trees. In this experiment we will examine the impact of rubber tree shade on some physical processes of tea. The effect on photosynthetic related parameters along with the physical condition of the microclimate such as light transmission, photosynthetically active radiation (PAR) </w:t>
      </w:r>
      <w:r w:rsidR="00744B4F" w:rsidRPr="009761A6">
        <w:rPr>
          <w:rFonts w:ascii="Arial" w:hAnsi="Arial" w:cs="Arial"/>
          <w:sz w:val="20"/>
          <w:szCs w:val="20"/>
        </w:rPr>
        <w:t>was</w:t>
      </w:r>
      <w:r w:rsidRPr="009761A6">
        <w:rPr>
          <w:rFonts w:ascii="Arial" w:hAnsi="Arial" w:cs="Arial"/>
          <w:sz w:val="20"/>
          <w:szCs w:val="20"/>
        </w:rPr>
        <w:t xml:space="preserve"> observed. Moreover, rubber tree in addition to providing shade would also act as a cash crop and thus might act as a source of additional income. The effect of rubber leaf canopy on the tea bushes </w:t>
      </w:r>
      <w:r w:rsidR="00744B4F" w:rsidRPr="009761A6">
        <w:rPr>
          <w:rFonts w:ascii="Arial" w:hAnsi="Arial" w:cs="Arial"/>
          <w:sz w:val="20"/>
          <w:szCs w:val="20"/>
        </w:rPr>
        <w:t>was</w:t>
      </w:r>
      <w:r w:rsidRPr="009761A6">
        <w:rPr>
          <w:rFonts w:ascii="Arial" w:hAnsi="Arial" w:cs="Arial"/>
          <w:sz w:val="20"/>
          <w:szCs w:val="20"/>
        </w:rPr>
        <w:t xml:space="preserve"> compared with that of traditional shade tree.</w:t>
      </w:r>
    </w:p>
    <w:p w:rsidR="009E1651" w:rsidRDefault="000352BC" w:rsidP="009761A6">
      <w:pPr>
        <w:spacing w:before="120" w:after="120" w:line="240" w:lineRule="auto"/>
        <w:jc w:val="both"/>
        <w:rPr>
          <w:rFonts w:ascii="Arial" w:hAnsi="Arial" w:cs="Arial"/>
          <w:sz w:val="20"/>
          <w:szCs w:val="20"/>
        </w:rPr>
      </w:pPr>
      <w:r w:rsidRPr="00FD624C">
        <w:rPr>
          <w:rFonts w:ascii="Arial" w:hAnsi="Arial" w:cs="Arial"/>
          <w:sz w:val="20"/>
          <w:szCs w:val="20"/>
        </w:rPr>
        <w:t>Masters (1863)</w:t>
      </w:r>
      <w:r>
        <w:rPr>
          <w:rFonts w:ascii="Arial" w:hAnsi="Arial" w:cs="Arial"/>
          <w:sz w:val="20"/>
          <w:szCs w:val="20"/>
        </w:rPr>
        <w:t xml:space="preserve"> voiced </w:t>
      </w:r>
      <w:r w:rsidR="009E1651" w:rsidRPr="009761A6">
        <w:rPr>
          <w:rFonts w:ascii="Arial" w:hAnsi="Arial" w:cs="Arial"/>
          <w:sz w:val="20"/>
          <w:szCs w:val="20"/>
        </w:rPr>
        <w:t>his feeling more than a hundred years ago by stating that “the Assam plant does not appear to thrive in the inferior soils when exposed to the full influence of the sun”. He recommended partial shade for tea. Heavy shade was considered bad for quality as it induced long and stalky growth.</w:t>
      </w:r>
    </w:p>
    <w:p w:rsidR="009761A6" w:rsidRPr="009761A6" w:rsidRDefault="009761A6" w:rsidP="009761A6">
      <w:pPr>
        <w:spacing w:before="120" w:after="120" w:line="240" w:lineRule="auto"/>
        <w:jc w:val="both"/>
        <w:rPr>
          <w:rFonts w:ascii="Arial" w:hAnsi="Arial" w:cs="Arial"/>
          <w:sz w:val="20"/>
          <w:szCs w:val="20"/>
        </w:rPr>
      </w:pPr>
    </w:p>
    <w:p w:rsidR="009E1651" w:rsidRDefault="009E1651" w:rsidP="009761A6">
      <w:pPr>
        <w:pStyle w:val="AbstHead"/>
        <w:spacing w:after="0"/>
        <w:jc w:val="both"/>
        <w:rPr>
          <w:rFonts w:ascii="Arial" w:hAnsi="Arial" w:cs="Arial"/>
        </w:rPr>
      </w:pPr>
      <w:r>
        <w:rPr>
          <w:rFonts w:ascii="Arial" w:hAnsi="Arial" w:cs="Arial"/>
        </w:rPr>
        <w:t xml:space="preserve">2. material and methods / experimental details / methodology </w:t>
      </w:r>
    </w:p>
    <w:p w:rsidR="001468CA" w:rsidRPr="002F0C75" w:rsidRDefault="001468CA" w:rsidP="002F0C75">
      <w:pPr>
        <w:spacing w:after="0" w:line="240" w:lineRule="auto"/>
        <w:jc w:val="both"/>
        <w:rPr>
          <w:rFonts w:ascii="Arial" w:hAnsi="Arial" w:cs="Arial"/>
          <w:b/>
          <w:sz w:val="20"/>
          <w:szCs w:val="20"/>
        </w:rPr>
      </w:pPr>
    </w:p>
    <w:p w:rsidR="00553E72" w:rsidRPr="002F0C75" w:rsidRDefault="001468CA" w:rsidP="00553E72">
      <w:pPr>
        <w:spacing w:before="120" w:after="120" w:line="240" w:lineRule="auto"/>
        <w:jc w:val="both"/>
        <w:rPr>
          <w:rFonts w:ascii="Arial" w:hAnsi="Arial" w:cs="Arial"/>
          <w:sz w:val="20"/>
          <w:szCs w:val="20"/>
        </w:rPr>
      </w:pPr>
      <w:r w:rsidRPr="002F0C75">
        <w:rPr>
          <w:rFonts w:ascii="Arial" w:hAnsi="Arial" w:cs="Arial"/>
          <w:sz w:val="20"/>
          <w:szCs w:val="20"/>
        </w:rPr>
        <w:t>The experiment was laid out and studied in the Experimental Garden for Plantation Crops, Department of Tea Husbandry and Technology, Assam Agricul</w:t>
      </w:r>
      <w:r w:rsidR="00E16E88">
        <w:rPr>
          <w:rFonts w:ascii="Arial" w:hAnsi="Arial" w:cs="Arial"/>
          <w:sz w:val="20"/>
          <w:szCs w:val="20"/>
        </w:rPr>
        <w:t xml:space="preserve">tural University, Jorhat, Assam. </w:t>
      </w:r>
      <w:r w:rsidRPr="002F0C75">
        <w:rPr>
          <w:rFonts w:ascii="Arial" w:hAnsi="Arial" w:cs="Arial"/>
          <w:sz w:val="20"/>
          <w:szCs w:val="20"/>
        </w:rPr>
        <w:t xml:space="preserve">Both tea and rubber were planted in 2013. </w:t>
      </w:r>
      <w:r w:rsidR="00553E72">
        <w:rPr>
          <w:rFonts w:ascii="Arial" w:hAnsi="Arial" w:cs="Arial"/>
          <w:sz w:val="20"/>
          <w:szCs w:val="20"/>
        </w:rPr>
        <w:t xml:space="preserve">The planting material used for tea was TV 23 and for rubber was RRIM 600 </w:t>
      </w:r>
      <w:r w:rsidR="00553E72" w:rsidRPr="002F0C75">
        <w:rPr>
          <w:rFonts w:ascii="Arial" w:hAnsi="Arial" w:cs="Arial"/>
          <w:sz w:val="20"/>
          <w:szCs w:val="20"/>
          <w:lang w:val="en-IN"/>
        </w:rPr>
        <w:t>(</w:t>
      </w:r>
      <w:r w:rsidR="00553E72" w:rsidRPr="002F0C75">
        <w:rPr>
          <w:rFonts w:ascii="Arial" w:hAnsi="Arial" w:cs="Arial"/>
          <w:i/>
          <w:iCs/>
          <w:sz w:val="20"/>
          <w:szCs w:val="20"/>
          <w:lang w:val="en-IN"/>
        </w:rPr>
        <w:t>Heveabrasilensis</w:t>
      </w:r>
      <w:r w:rsidR="00553E72" w:rsidRPr="002F0C75">
        <w:rPr>
          <w:rFonts w:ascii="Arial" w:hAnsi="Arial" w:cs="Arial"/>
          <w:sz w:val="20"/>
          <w:szCs w:val="20"/>
          <w:lang w:val="en-IN"/>
        </w:rPr>
        <w:t>Muell Arg</w:t>
      </w:r>
      <w:r w:rsidR="00553E72" w:rsidRPr="002F0C75">
        <w:rPr>
          <w:rFonts w:ascii="Arial" w:hAnsi="Arial" w:cs="Arial"/>
          <w:i/>
          <w:iCs/>
          <w:sz w:val="20"/>
          <w:szCs w:val="20"/>
          <w:lang w:val="en-IN"/>
        </w:rPr>
        <w:t>.</w:t>
      </w:r>
      <w:r w:rsidR="00553E72" w:rsidRPr="002F0C75">
        <w:rPr>
          <w:rFonts w:ascii="Arial" w:hAnsi="Arial" w:cs="Arial"/>
          <w:sz w:val="20"/>
          <w:szCs w:val="20"/>
          <w:lang w:val="en-IN"/>
        </w:rPr>
        <w:t>)</w:t>
      </w:r>
    </w:p>
    <w:p w:rsidR="001468CA" w:rsidRDefault="001468CA" w:rsidP="00744B4F">
      <w:pPr>
        <w:spacing w:before="120" w:after="120" w:line="240" w:lineRule="auto"/>
        <w:jc w:val="both"/>
        <w:rPr>
          <w:rFonts w:ascii="Arial" w:hAnsi="Arial" w:cs="Arial"/>
          <w:sz w:val="20"/>
          <w:szCs w:val="20"/>
        </w:rPr>
      </w:pPr>
      <w:r w:rsidRPr="002F0C75">
        <w:rPr>
          <w:rFonts w:ascii="Arial" w:hAnsi="Arial" w:cs="Arial"/>
          <w:sz w:val="20"/>
          <w:szCs w:val="20"/>
        </w:rPr>
        <w:t xml:space="preserve">The experiment was conducted under two cropping situations </w:t>
      </w:r>
      <w:r w:rsidR="00744B4F" w:rsidRPr="002F0C75">
        <w:rPr>
          <w:rFonts w:ascii="Arial" w:hAnsi="Arial" w:cs="Arial"/>
          <w:sz w:val="20"/>
          <w:szCs w:val="20"/>
        </w:rPr>
        <w:t>i.e.;</w:t>
      </w:r>
      <w:r w:rsidRPr="002F0C75">
        <w:rPr>
          <w:rFonts w:ascii="Arial" w:hAnsi="Arial" w:cs="Arial"/>
          <w:sz w:val="20"/>
          <w:szCs w:val="20"/>
        </w:rPr>
        <w:t xml:space="preserve"> one involves tea grown as monocrop (conventional shade) and other involves tea – </w:t>
      </w:r>
      <w:r w:rsidR="00744B4F" w:rsidRPr="002F0C75">
        <w:rPr>
          <w:rFonts w:ascii="Arial" w:hAnsi="Arial" w:cs="Arial"/>
          <w:sz w:val="20"/>
          <w:szCs w:val="20"/>
        </w:rPr>
        <w:t>rubber-based</w:t>
      </w:r>
      <w:r w:rsidRPr="002F0C75">
        <w:rPr>
          <w:rFonts w:ascii="Arial" w:hAnsi="Arial" w:cs="Arial"/>
          <w:sz w:val="20"/>
          <w:szCs w:val="20"/>
        </w:rPr>
        <w:t xml:space="preserve"> cropping system (rubber as shade).</w:t>
      </w:r>
      <w:r w:rsidR="00553E72">
        <w:rPr>
          <w:rFonts w:ascii="Arial" w:hAnsi="Arial" w:cs="Arial"/>
          <w:sz w:val="20"/>
          <w:szCs w:val="20"/>
        </w:rPr>
        <w:t xml:space="preserve"> The experiment was done from </w:t>
      </w:r>
      <w:r w:rsidR="00865B77" w:rsidRPr="006349C8">
        <w:rPr>
          <w:rFonts w:ascii="Arial" w:hAnsi="Arial" w:cs="Arial"/>
          <w:sz w:val="20"/>
          <w:szCs w:val="20"/>
        </w:rPr>
        <w:t xml:space="preserve">March, 2022 </w:t>
      </w:r>
      <w:r w:rsidR="00553E72" w:rsidRPr="006349C8">
        <w:rPr>
          <w:rFonts w:ascii="Arial" w:hAnsi="Arial" w:cs="Arial"/>
          <w:sz w:val="20"/>
          <w:szCs w:val="20"/>
        </w:rPr>
        <w:t>to November, 2022</w:t>
      </w:r>
      <w:r w:rsidR="00B84D0C">
        <w:rPr>
          <w:rFonts w:ascii="Arial" w:hAnsi="Arial" w:cs="Arial"/>
          <w:sz w:val="20"/>
          <w:szCs w:val="20"/>
        </w:rPr>
        <w:t xml:space="preserve"> with the help of </w:t>
      </w:r>
      <w:r w:rsidR="00B84D0C" w:rsidRPr="002F0C75">
        <w:rPr>
          <w:rFonts w:ascii="Arial" w:hAnsi="Arial" w:cs="Arial"/>
          <w:sz w:val="20"/>
          <w:szCs w:val="20"/>
          <w:lang w:val="en-IN"/>
        </w:rPr>
        <w:t>Randomized Block Design</w:t>
      </w:r>
      <w:r w:rsidR="00B84D0C">
        <w:rPr>
          <w:rFonts w:ascii="Arial" w:hAnsi="Arial" w:cs="Arial"/>
          <w:sz w:val="20"/>
          <w:szCs w:val="20"/>
          <w:lang w:val="en-IN"/>
        </w:rPr>
        <w:t xml:space="preserve">. A total of 4 treatments were done under 4 replications. Each treatment was carried out </w:t>
      </w:r>
      <w:r w:rsidR="008E1DDF">
        <w:rPr>
          <w:rFonts w:ascii="Arial" w:hAnsi="Arial" w:cs="Arial"/>
          <w:sz w:val="20"/>
          <w:szCs w:val="20"/>
          <w:lang w:val="en-IN"/>
        </w:rPr>
        <w:t xml:space="preserve">in an area of 66 </w:t>
      </w:r>
      <w:r w:rsidR="008E1DDF" w:rsidRPr="002F0C75">
        <w:rPr>
          <w:rFonts w:ascii="Arial" w:hAnsi="Arial" w:cs="Arial"/>
          <w:bCs/>
          <w:sz w:val="20"/>
          <w:szCs w:val="20"/>
        </w:rPr>
        <w:t>m</w:t>
      </w:r>
      <w:r w:rsidR="008E1DDF" w:rsidRPr="002F0C75">
        <w:rPr>
          <w:rFonts w:ascii="Arial" w:hAnsi="Arial" w:cs="Arial"/>
          <w:bCs/>
          <w:sz w:val="20"/>
          <w:szCs w:val="20"/>
          <w:vertAlign w:val="superscript"/>
        </w:rPr>
        <w:t>2</w:t>
      </w:r>
      <w:r w:rsidR="008E1DDF">
        <w:rPr>
          <w:rFonts w:ascii="Arial" w:hAnsi="Arial" w:cs="Arial"/>
          <w:sz w:val="20"/>
          <w:szCs w:val="20"/>
        </w:rPr>
        <w:t>where 105 tea plants per plot were considered. In the control plot 6 number of shade trees were observed whereas in the other treatment plots 4 rubber plants were observed.</w:t>
      </w:r>
    </w:p>
    <w:p w:rsidR="005F42D5" w:rsidRPr="005F42D5" w:rsidRDefault="005F42D5" w:rsidP="005F42D5">
      <w:pPr>
        <w:spacing w:before="120" w:after="120" w:line="240" w:lineRule="auto"/>
        <w:jc w:val="both"/>
        <w:rPr>
          <w:rFonts w:ascii="Arial" w:hAnsi="Arial" w:cs="Arial"/>
          <w:b/>
          <w:sz w:val="20"/>
          <w:szCs w:val="20"/>
          <w:lang w:val="en-IN"/>
        </w:rPr>
      </w:pPr>
      <w:r w:rsidRPr="005F42D5">
        <w:rPr>
          <w:rFonts w:ascii="Arial" w:hAnsi="Arial" w:cs="Arial"/>
          <w:b/>
          <w:sz w:val="20"/>
          <w:szCs w:val="20"/>
          <w:lang w:val="en-IN"/>
        </w:rPr>
        <w:t>Treatment details</w:t>
      </w:r>
    </w:p>
    <w:p w:rsidR="005F42D5" w:rsidRPr="002F0C75" w:rsidRDefault="005F42D5" w:rsidP="00744B4F">
      <w:pPr>
        <w:spacing w:before="120" w:after="120" w:line="240" w:lineRule="auto"/>
        <w:jc w:val="both"/>
        <w:rPr>
          <w:rFonts w:ascii="Arial" w:hAnsi="Arial" w:cs="Arial"/>
          <w:sz w:val="20"/>
          <w:szCs w:val="20"/>
        </w:rPr>
      </w:pPr>
      <w:r w:rsidRPr="002F0C75">
        <w:rPr>
          <w:rFonts w:ascii="Arial" w:hAnsi="Arial" w:cs="Arial"/>
          <w:sz w:val="20"/>
          <w:szCs w:val="20"/>
        </w:rPr>
        <w:t>Tea bushes were planted at a spacing of 105cm x 60cm</w:t>
      </w:r>
      <w:r>
        <w:rPr>
          <w:rFonts w:ascii="Arial" w:hAnsi="Arial" w:cs="Arial"/>
          <w:sz w:val="20"/>
          <w:szCs w:val="20"/>
        </w:rPr>
        <w:t>.</w:t>
      </w:r>
      <w:r w:rsidRPr="002F0C75">
        <w:rPr>
          <w:rFonts w:ascii="Arial" w:hAnsi="Arial" w:cs="Arial"/>
          <w:i/>
          <w:sz w:val="20"/>
          <w:szCs w:val="20"/>
        </w:rPr>
        <w:t>Albizzia chinensis</w:t>
      </w:r>
      <w:r w:rsidRPr="002F0C75">
        <w:rPr>
          <w:rFonts w:ascii="Arial" w:hAnsi="Arial" w:cs="Arial"/>
          <w:sz w:val="20"/>
          <w:szCs w:val="20"/>
          <w:lang w:val="en-IN"/>
        </w:rPr>
        <w:t xml:space="preserve">(Spacing 5.5m x 5.5m) </w:t>
      </w:r>
      <w:r w:rsidRPr="002F0C75">
        <w:rPr>
          <w:rFonts w:ascii="Arial" w:hAnsi="Arial" w:cs="Arial"/>
          <w:sz w:val="20"/>
          <w:szCs w:val="20"/>
        </w:rPr>
        <w:t xml:space="preserve">trees were </w:t>
      </w:r>
      <w:r>
        <w:rPr>
          <w:rFonts w:ascii="Arial" w:hAnsi="Arial" w:cs="Arial"/>
          <w:sz w:val="20"/>
          <w:szCs w:val="20"/>
        </w:rPr>
        <w:t>planted as permanent shade tree in the control plot (T1),</w:t>
      </w:r>
      <w:r w:rsidRPr="002F0C75">
        <w:rPr>
          <w:rFonts w:ascii="Arial" w:hAnsi="Arial" w:cs="Arial"/>
          <w:sz w:val="20"/>
          <w:szCs w:val="20"/>
        </w:rPr>
        <w:t>while rubber trees were planted at 3 different spacings: (8.5m x5.5m),</w:t>
      </w:r>
      <w:r>
        <w:rPr>
          <w:rFonts w:ascii="Arial" w:hAnsi="Arial" w:cs="Arial"/>
          <w:sz w:val="20"/>
          <w:szCs w:val="20"/>
        </w:rPr>
        <w:t xml:space="preserve"> (9.5m x 5.5m) and (12m x 5.5m) which are considered as T2, T3 and T4 treatments respectively.</w:t>
      </w:r>
    </w:p>
    <w:p w:rsidR="001468CA" w:rsidRPr="002F0C75" w:rsidRDefault="001468CA" w:rsidP="002F0C75">
      <w:pPr>
        <w:spacing w:line="240" w:lineRule="auto"/>
        <w:jc w:val="both"/>
        <w:rPr>
          <w:rFonts w:ascii="Arial" w:hAnsi="Arial" w:cs="Arial"/>
          <w:sz w:val="20"/>
          <w:szCs w:val="20"/>
        </w:rPr>
      </w:pPr>
      <w:r w:rsidRPr="002F0C75">
        <w:rPr>
          <w:rFonts w:ascii="Arial" w:hAnsi="Arial" w:cs="Arial"/>
          <w:sz w:val="20"/>
          <w:szCs w:val="20"/>
        </w:rPr>
        <w:t>The period of experiment divided into four flushes as follows:</w:t>
      </w:r>
    </w:p>
    <w:p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First flush: March, 2022- April, 2022</w:t>
      </w:r>
    </w:p>
    <w:p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Second flush: May, 2022- June, 2022</w:t>
      </w:r>
    </w:p>
    <w:p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Rain flush: July, 2022- September, 2022</w:t>
      </w:r>
    </w:p>
    <w:p w:rsidR="001468CA" w:rsidRPr="002F0C75" w:rsidRDefault="001468CA" w:rsidP="002F0C75">
      <w:pPr>
        <w:pStyle w:val="ListParagraph"/>
        <w:numPr>
          <w:ilvl w:val="0"/>
          <w:numId w:val="2"/>
        </w:numPr>
        <w:spacing w:line="240" w:lineRule="auto"/>
        <w:jc w:val="both"/>
        <w:rPr>
          <w:rFonts w:ascii="Arial" w:hAnsi="Arial" w:cs="Arial"/>
          <w:sz w:val="20"/>
          <w:szCs w:val="20"/>
        </w:rPr>
      </w:pPr>
      <w:r w:rsidRPr="002F0C75">
        <w:rPr>
          <w:rFonts w:ascii="Arial" w:hAnsi="Arial" w:cs="Arial"/>
          <w:sz w:val="20"/>
          <w:szCs w:val="20"/>
        </w:rPr>
        <w:t>Autumn flush: October, 2022- November, 2022</w:t>
      </w:r>
    </w:p>
    <w:p w:rsidR="001468CA" w:rsidRPr="002F0C75" w:rsidRDefault="000352BC" w:rsidP="001468CA">
      <w:pPr>
        <w:tabs>
          <w:tab w:val="left" w:pos="90"/>
        </w:tabs>
        <w:spacing w:before="120" w:after="120" w:line="360" w:lineRule="auto"/>
        <w:rPr>
          <w:rFonts w:ascii="Arial" w:hAnsi="Arial" w:cs="Arial"/>
          <w:b/>
          <w:sz w:val="20"/>
          <w:szCs w:val="20"/>
        </w:rPr>
      </w:pPr>
      <w:r>
        <w:rPr>
          <w:rFonts w:ascii="Arial" w:hAnsi="Arial" w:cs="Arial"/>
          <w:b/>
          <w:sz w:val="20"/>
          <w:szCs w:val="20"/>
        </w:rPr>
        <w:lastRenderedPageBreak/>
        <w:t>2.1.</w:t>
      </w:r>
      <w:r w:rsidR="00BD5120" w:rsidRPr="00BD5120">
        <w:rPr>
          <w:rFonts w:ascii="Arial" w:hAnsi="Arial" w:cs="Arial"/>
          <w:b/>
          <w:sz w:val="20"/>
          <w:szCs w:val="20"/>
        </w:rPr>
        <w:t>Measurement of</w:t>
      </w:r>
      <w:r w:rsidR="001468CA" w:rsidRPr="002F0C75">
        <w:rPr>
          <w:rFonts w:ascii="Arial" w:hAnsi="Arial" w:cs="Arial"/>
          <w:b/>
          <w:sz w:val="20"/>
          <w:szCs w:val="20"/>
        </w:rPr>
        <w:t>Photosynthetically Active radiation (PAR)</w:t>
      </w:r>
    </w:p>
    <w:p w:rsidR="001468CA" w:rsidRPr="001468CA" w:rsidRDefault="001468CA" w:rsidP="001468CA">
      <w:pPr>
        <w:tabs>
          <w:tab w:val="left" w:pos="90"/>
        </w:tabs>
        <w:spacing w:before="120" w:after="120" w:line="240" w:lineRule="auto"/>
        <w:jc w:val="both"/>
        <w:rPr>
          <w:rFonts w:ascii="Arial" w:hAnsi="Arial" w:cs="Arial"/>
          <w:sz w:val="20"/>
          <w:szCs w:val="20"/>
        </w:rPr>
      </w:pPr>
      <w:r w:rsidRPr="001468CA">
        <w:rPr>
          <w:rFonts w:ascii="Arial" w:hAnsi="Arial" w:cs="Arial"/>
          <w:sz w:val="20"/>
          <w:szCs w:val="20"/>
        </w:rPr>
        <w:t xml:space="preserve">Line Quantum Sensor can be effectively used to measure the visible wavelength band within the range of 0.4 to 0.7 micron. The components of PAR taken into consideration are- Incident IPAR (IPAR), Reflected PAR (RPAR) and Transmitted PAR (TPAR) and following the method described by </w:t>
      </w:r>
      <w:r w:rsidRPr="00FD624C">
        <w:rPr>
          <w:rFonts w:ascii="Arial" w:hAnsi="Arial" w:cs="Arial"/>
          <w:color w:val="FF0000"/>
          <w:sz w:val="20"/>
          <w:szCs w:val="20"/>
        </w:rPr>
        <w:t>Sivakumar and Virmani (1984),</w:t>
      </w:r>
      <w:r w:rsidRPr="001468CA">
        <w:rPr>
          <w:rFonts w:ascii="Arial" w:hAnsi="Arial" w:cs="Arial"/>
          <w:sz w:val="20"/>
          <w:szCs w:val="20"/>
        </w:rPr>
        <w:t xml:space="preserve"> the above three components of PAR were measured on individual plot of tea crop at weekly intervals with the aid of a line quantum sensor (Model No. MQ 301) at around11 am.</w:t>
      </w:r>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 xml:space="preserve">In this study, the percentage of intercepted PAR (iPAR) in the crop canopy was determined by using the formula below in accordance with </w:t>
      </w:r>
      <w:r w:rsidRPr="00FD624C">
        <w:rPr>
          <w:rFonts w:ascii="Arial" w:hAnsi="Arial" w:cs="Arial"/>
          <w:sz w:val="20"/>
          <w:szCs w:val="20"/>
        </w:rPr>
        <w:t xml:space="preserve">Kumar </w:t>
      </w:r>
      <w:r w:rsidRPr="00FD624C">
        <w:rPr>
          <w:rFonts w:ascii="Arial" w:hAnsi="Arial" w:cs="Arial"/>
          <w:i/>
          <w:iCs/>
          <w:sz w:val="20"/>
          <w:szCs w:val="20"/>
        </w:rPr>
        <w:t>et al.</w:t>
      </w:r>
      <w:r w:rsidRPr="00FD624C">
        <w:rPr>
          <w:rFonts w:ascii="Arial" w:hAnsi="Arial" w:cs="Arial"/>
          <w:sz w:val="20"/>
          <w:szCs w:val="20"/>
        </w:rPr>
        <w:t xml:space="preserve"> (2008) and Dhaliwal </w:t>
      </w:r>
      <w:r w:rsidRPr="00FD624C">
        <w:rPr>
          <w:rFonts w:ascii="Arial" w:hAnsi="Arial" w:cs="Arial"/>
          <w:i/>
          <w:iCs/>
          <w:sz w:val="20"/>
          <w:szCs w:val="20"/>
        </w:rPr>
        <w:t>et al.</w:t>
      </w:r>
      <w:r w:rsidRPr="00FD624C">
        <w:rPr>
          <w:rFonts w:ascii="Arial" w:hAnsi="Arial" w:cs="Arial"/>
          <w:sz w:val="20"/>
          <w:szCs w:val="20"/>
        </w:rPr>
        <w:t xml:space="preserve"> (2019).</w:t>
      </w:r>
    </w:p>
    <w:p w:rsidR="001468CA" w:rsidRPr="001468CA" w:rsidRDefault="001468CA" w:rsidP="001468CA">
      <w:pPr>
        <w:spacing w:before="120" w:after="120" w:line="240" w:lineRule="auto"/>
        <w:jc w:val="both"/>
        <w:rPr>
          <w:rFonts w:ascii="Arial" w:hAnsi="Arial" w:cs="Arial"/>
          <w:sz w:val="20"/>
          <w:szCs w:val="20"/>
        </w:rPr>
      </w:pPr>
      <m:oMath>
        <m:r>
          <w:rPr>
            <w:rFonts w:ascii="Cambria Math" w:hAnsi="Cambria Math" w:cs="Arial"/>
            <w:sz w:val="20"/>
            <w:szCs w:val="20"/>
          </w:rPr>
          <m:t>iPAR</m:t>
        </m:r>
        <m:r>
          <w:rPr>
            <w:rFonts w:ascii="Cambria Math" w:hAnsi="Arial" w:cs="Arial"/>
            <w:sz w:val="20"/>
            <w:szCs w:val="20"/>
          </w:rPr>
          <m:t xml:space="preserve"> (%)</m:t>
        </m:r>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IPAR</m:t>
            </m:r>
            <m:r>
              <m:rPr>
                <m:sty m:val="p"/>
              </m:rPr>
              <w:rPr>
                <w:rFonts w:ascii="Cambria Math" w:hAnsi="Arial" w:cs="Arial"/>
                <w:sz w:val="20"/>
                <w:szCs w:val="20"/>
              </w:rPr>
              <m:t>-</m:t>
            </m:r>
            <m:r>
              <m:rPr>
                <m:sty m:val="p"/>
              </m:rPr>
              <w:rPr>
                <w:rFonts w:ascii="Cambria Math" w:hAnsi="Arial" w:cs="Arial"/>
                <w:sz w:val="20"/>
                <w:szCs w:val="20"/>
              </w:rPr>
              <m:t>(TPAR+RPAR)</m:t>
            </m:r>
          </m:num>
          <m:den>
            <m:r>
              <m:rPr>
                <m:sty m:val="p"/>
              </m:rPr>
              <w:rPr>
                <w:rFonts w:ascii="Cambria Math" w:hAnsi="Arial" w:cs="Arial"/>
                <w:sz w:val="20"/>
                <w:szCs w:val="20"/>
              </w:rPr>
              <m:t>IPAR</m:t>
            </m:r>
          </m:den>
        </m:f>
      </m:oMath>
      <w:r w:rsidRPr="001468CA">
        <w:rPr>
          <w:rFonts w:ascii="Arial" w:hAnsi="Arial" w:cs="Arial"/>
          <w:sz w:val="20"/>
          <w:szCs w:val="20"/>
        </w:rPr>
        <w:t xml:space="preserve"> x 100</w:t>
      </w:r>
    </w:p>
    <w:p w:rsidR="001468CA" w:rsidRPr="001468CA" w:rsidRDefault="000352BC" w:rsidP="001468CA">
      <w:pPr>
        <w:spacing w:before="120" w:after="120" w:line="240" w:lineRule="auto"/>
        <w:jc w:val="both"/>
        <w:rPr>
          <w:rFonts w:ascii="Arial" w:hAnsi="Arial" w:cs="Arial"/>
          <w:b/>
          <w:sz w:val="20"/>
          <w:szCs w:val="20"/>
        </w:rPr>
      </w:pPr>
      <w:r>
        <w:rPr>
          <w:rFonts w:ascii="Arial" w:hAnsi="Arial" w:cs="Arial"/>
          <w:b/>
          <w:sz w:val="20"/>
          <w:szCs w:val="20"/>
        </w:rPr>
        <w:t>2.2.</w:t>
      </w:r>
      <w:r w:rsidR="001468CA" w:rsidRPr="001468CA">
        <w:rPr>
          <w:rFonts w:ascii="Arial" w:hAnsi="Arial" w:cs="Arial"/>
          <w:b/>
          <w:sz w:val="20"/>
          <w:szCs w:val="20"/>
        </w:rPr>
        <w:t xml:space="preserve">Measurement of SPAD value and Chlorophyll content through non-destructive method </w:t>
      </w:r>
    </w:p>
    <w:p w:rsidR="00B6632F" w:rsidRDefault="001468CA" w:rsidP="00B6632F">
      <w:pPr>
        <w:autoSpaceDE w:val="0"/>
        <w:autoSpaceDN w:val="0"/>
        <w:adjustRightInd w:val="0"/>
        <w:spacing w:before="120" w:after="120" w:line="240" w:lineRule="auto"/>
        <w:jc w:val="both"/>
        <w:rPr>
          <w:rFonts w:ascii="Arial" w:hAnsi="Arial" w:cs="Arial"/>
          <w:b/>
          <w:sz w:val="20"/>
          <w:szCs w:val="20"/>
        </w:rPr>
      </w:pPr>
      <w:r w:rsidRPr="001468CA">
        <w:rPr>
          <w:rFonts w:ascii="Arial" w:hAnsi="Arial" w:cs="Arial"/>
          <w:sz w:val="20"/>
          <w:szCs w:val="20"/>
        </w:rPr>
        <w:t>Estimation of chlorophyll content by nondestructive methods using handheld chlorophyll meter may be considered to improve efficiency (</w:t>
      </w:r>
      <w:r w:rsidRPr="000B623C">
        <w:rPr>
          <w:rFonts w:ascii="Arial" w:hAnsi="Arial" w:cs="Arial"/>
          <w:color w:val="000000" w:themeColor="text1"/>
          <w:sz w:val="20"/>
          <w:szCs w:val="20"/>
        </w:rPr>
        <w:t xml:space="preserve">Cahyo </w:t>
      </w:r>
      <w:r w:rsidRPr="000B623C">
        <w:rPr>
          <w:rFonts w:ascii="Arial" w:hAnsi="Arial" w:cs="Arial"/>
          <w:i/>
          <w:iCs/>
          <w:color w:val="000000" w:themeColor="text1"/>
          <w:sz w:val="20"/>
          <w:szCs w:val="20"/>
        </w:rPr>
        <w:t>et al.</w:t>
      </w:r>
      <w:r w:rsidRPr="000B623C">
        <w:rPr>
          <w:rFonts w:ascii="Arial" w:hAnsi="Arial" w:cs="Arial"/>
          <w:color w:val="000000" w:themeColor="text1"/>
          <w:sz w:val="20"/>
          <w:szCs w:val="20"/>
        </w:rPr>
        <w:t>, 2020</w:t>
      </w:r>
      <w:r w:rsidRPr="001468CA">
        <w:rPr>
          <w:rFonts w:ascii="Arial" w:hAnsi="Arial" w:cs="Arial"/>
          <w:sz w:val="20"/>
          <w:szCs w:val="20"/>
        </w:rPr>
        <w:t>). The AtLEAF CHL PLUS Chlorophyll meter provide simple, quick and inexpensive measurement of chlorophyll content (</w:t>
      </w:r>
      <w:r w:rsidRPr="000B623C">
        <w:rPr>
          <w:rFonts w:ascii="Arial" w:hAnsi="Arial" w:cs="Arial"/>
          <w:color w:val="000000" w:themeColor="text1"/>
          <w:sz w:val="20"/>
          <w:szCs w:val="20"/>
        </w:rPr>
        <w:t xml:space="preserve">Coste </w:t>
      </w:r>
      <w:r w:rsidRPr="000B623C">
        <w:rPr>
          <w:rFonts w:ascii="Arial" w:hAnsi="Arial" w:cs="Arial"/>
          <w:i/>
          <w:iCs/>
          <w:color w:val="000000" w:themeColor="text1"/>
          <w:sz w:val="20"/>
          <w:szCs w:val="20"/>
        </w:rPr>
        <w:t>et al</w:t>
      </w:r>
      <w:r w:rsidRPr="000B623C">
        <w:rPr>
          <w:rFonts w:ascii="Arial" w:hAnsi="Arial" w:cs="Arial"/>
          <w:color w:val="000000" w:themeColor="text1"/>
          <w:sz w:val="20"/>
          <w:szCs w:val="20"/>
        </w:rPr>
        <w:t>., 2010</w:t>
      </w:r>
      <w:r w:rsidR="00B6632F">
        <w:rPr>
          <w:rFonts w:ascii="Arial" w:hAnsi="Arial" w:cs="Arial"/>
          <w:sz w:val="20"/>
          <w:szCs w:val="20"/>
        </w:rPr>
        <w:t xml:space="preserve">). </w:t>
      </w:r>
      <w:r w:rsidRPr="001468CA">
        <w:rPr>
          <w:rFonts w:ascii="Arial" w:hAnsi="Arial" w:cs="Arial"/>
          <w:sz w:val="20"/>
          <w:szCs w:val="20"/>
        </w:rPr>
        <w:t xml:space="preserve">In this present study, SPAD values were measured at 11AM (except the dormant period). </w:t>
      </w:r>
    </w:p>
    <w:p w:rsidR="001468CA" w:rsidRPr="00B6632F" w:rsidRDefault="000352BC" w:rsidP="00B6632F">
      <w:pPr>
        <w:autoSpaceDE w:val="0"/>
        <w:autoSpaceDN w:val="0"/>
        <w:adjustRightInd w:val="0"/>
        <w:spacing w:before="120" w:after="120" w:line="240" w:lineRule="auto"/>
        <w:jc w:val="both"/>
        <w:rPr>
          <w:rFonts w:ascii="Arial" w:hAnsi="Arial" w:cs="Arial"/>
          <w:sz w:val="20"/>
          <w:szCs w:val="20"/>
        </w:rPr>
      </w:pPr>
      <w:r>
        <w:rPr>
          <w:rFonts w:ascii="Arial" w:hAnsi="Arial" w:cs="Arial"/>
          <w:b/>
          <w:sz w:val="20"/>
          <w:szCs w:val="20"/>
        </w:rPr>
        <w:t>2.3.</w:t>
      </w:r>
      <w:r w:rsidR="00BD5120">
        <w:rPr>
          <w:rFonts w:ascii="Arial" w:hAnsi="Arial" w:cs="Arial"/>
          <w:b/>
          <w:sz w:val="20"/>
          <w:szCs w:val="20"/>
        </w:rPr>
        <w:t xml:space="preserve">Measurement of </w:t>
      </w:r>
      <w:r w:rsidR="001468CA" w:rsidRPr="001468CA">
        <w:rPr>
          <w:rFonts w:ascii="Arial" w:hAnsi="Arial" w:cs="Arial"/>
          <w:b/>
          <w:sz w:val="20"/>
          <w:szCs w:val="20"/>
        </w:rPr>
        <w:t>Light intensity</w:t>
      </w:r>
    </w:p>
    <w:p w:rsidR="001468CA" w:rsidRPr="001468CA" w:rsidRDefault="001468CA" w:rsidP="00B6632F">
      <w:pPr>
        <w:spacing w:before="120" w:after="120" w:line="240" w:lineRule="auto"/>
        <w:jc w:val="both"/>
        <w:rPr>
          <w:rFonts w:ascii="Arial" w:hAnsi="Arial" w:cs="Arial"/>
          <w:sz w:val="20"/>
          <w:szCs w:val="20"/>
        </w:rPr>
      </w:pPr>
      <w:r w:rsidRPr="001468CA">
        <w:rPr>
          <w:rFonts w:ascii="Arial" w:hAnsi="Arial" w:cs="Arial"/>
          <w:sz w:val="20"/>
          <w:szCs w:val="20"/>
        </w:rPr>
        <w:t xml:space="preserve">The light incidence on tea plants under each cropping system was measured using a lux meter (Model No.: LX101A). Three tea bush samples from each replication were randomly selected for lux meter readings. At 11 a.m., the reading of the lux meter was taken above and below the canopy for each sample of bush. The reading was taken at weekly interval. The percentage of light incidence was determined by applying the following formula, which was reported by </w:t>
      </w:r>
      <w:r w:rsidRPr="00FD624C">
        <w:rPr>
          <w:rFonts w:ascii="Arial" w:hAnsi="Arial" w:cs="Arial"/>
          <w:sz w:val="20"/>
          <w:szCs w:val="20"/>
        </w:rPr>
        <w:t>Das and Yaduraju (2008</w:t>
      </w:r>
      <w:r w:rsidRPr="001468CA">
        <w:rPr>
          <w:rFonts w:ascii="Arial" w:hAnsi="Arial" w:cs="Arial"/>
          <w:sz w:val="20"/>
          <w:szCs w:val="20"/>
        </w:rPr>
        <w:t>), to the average of all the data observed for the three sample plants in each plot.</w:t>
      </w:r>
    </w:p>
    <w:p w:rsidR="001468CA" w:rsidRPr="001468CA" w:rsidRDefault="001468CA" w:rsidP="001468CA">
      <w:pPr>
        <w:spacing w:before="120" w:after="120" w:line="240" w:lineRule="auto"/>
        <w:ind w:firstLine="720"/>
        <w:jc w:val="both"/>
        <w:rPr>
          <w:rFonts w:ascii="Arial" w:hAnsi="Arial" w:cs="Arial"/>
          <w:sz w:val="20"/>
          <w:szCs w:val="20"/>
        </w:rPr>
      </w:pPr>
      <m:oMathPara>
        <m:oMath>
          <m:r>
            <w:rPr>
              <w:rFonts w:ascii="Cambria Math" w:hAnsi="Cambria Math" w:cs="Arial"/>
              <w:sz w:val="20"/>
              <w:szCs w:val="20"/>
            </w:rPr>
            <m:t>percentlig</m:t>
          </m:r>
          <m:r>
            <w:rPr>
              <w:rFonts w:ascii="Arial" w:hAnsi="Cambria Math" w:cs="Arial"/>
              <w:sz w:val="20"/>
              <w:szCs w:val="20"/>
            </w:rPr>
            <m:t>h</m:t>
          </m:r>
          <m:r>
            <w:rPr>
              <w:rFonts w:ascii="Cambria Math" w:hAnsi="Cambria Math" w:cs="Arial"/>
              <w:sz w:val="20"/>
              <w:szCs w:val="20"/>
            </w:rPr>
            <m:t>tincidence</m:t>
          </m:r>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B</m:t>
              </m:r>
            </m:num>
            <m:den>
              <m:r>
                <m:rPr>
                  <m:sty m:val="p"/>
                </m:rPr>
                <w:rPr>
                  <w:rFonts w:ascii="Cambria Math" w:hAnsi="Arial" w:cs="Arial"/>
                  <w:sz w:val="20"/>
                  <w:szCs w:val="20"/>
                </w:rPr>
                <m:t>T</m:t>
              </m:r>
            </m:den>
          </m:f>
          <m:r>
            <m:rPr>
              <m:sty m:val="p"/>
            </m:rPr>
            <w:rPr>
              <w:rFonts w:ascii="Cambria Math" w:hAnsi="Arial" w:cs="Arial"/>
              <w:sz w:val="20"/>
              <w:szCs w:val="20"/>
            </w:rPr>
            <m:t xml:space="preserve"> x 100</m:t>
          </m:r>
        </m:oMath>
      </m:oMathPara>
    </w:p>
    <w:p w:rsidR="00841031" w:rsidRDefault="001468CA" w:rsidP="00841031">
      <w:pPr>
        <w:spacing w:before="120" w:after="120" w:line="240" w:lineRule="auto"/>
        <w:ind w:firstLine="720"/>
        <w:jc w:val="both"/>
        <w:rPr>
          <w:rFonts w:ascii="Arial" w:hAnsi="Arial" w:cs="Arial"/>
          <w:sz w:val="20"/>
          <w:szCs w:val="20"/>
        </w:rPr>
      </w:pPr>
      <w:r w:rsidRPr="001468CA">
        <w:rPr>
          <w:rFonts w:ascii="Arial" w:hAnsi="Arial" w:cs="Arial"/>
          <w:sz w:val="20"/>
          <w:szCs w:val="20"/>
        </w:rPr>
        <w:t>Where, T and B are the values of light incident at the top of the crop canopy and at the ground level, respectively.</w:t>
      </w:r>
    </w:p>
    <w:p w:rsidR="001468CA" w:rsidRPr="00841031" w:rsidRDefault="000352BC" w:rsidP="00841031">
      <w:pPr>
        <w:spacing w:before="120" w:after="120" w:line="240" w:lineRule="auto"/>
        <w:jc w:val="both"/>
        <w:rPr>
          <w:rFonts w:ascii="Arial" w:hAnsi="Arial" w:cs="Arial"/>
          <w:sz w:val="20"/>
          <w:szCs w:val="20"/>
        </w:rPr>
      </w:pPr>
      <w:r>
        <w:rPr>
          <w:rFonts w:ascii="Arial" w:hAnsi="Arial" w:cs="Arial"/>
          <w:b/>
          <w:sz w:val="20"/>
          <w:szCs w:val="20"/>
        </w:rPr>
        <w:t>2.4.</w:t>
      </w:r>
      <w:r w:rsidR="00841031">
        <w:rPr>
          <w:rFonts w:ascii="Arial" w:hAnsi="Arial" w:cs="Arial"/>
          <w:b/>
          <w:sz w:val="20"/>
          <w:szCs w:val="20"/>
        </w:rPr>
        <w:t>Determining</w:t>
      </w:r>
      <w:r w:rsidR="001468CA" w:rsidRPr="001468CA">
        <w:rPr>
          <w:rFonts w:ascii="Arial" w:hAnsi="Arial" w:cs="Arial"/>
          <w:b/>
          <w:sz w:val="20"/>
          <w:szCs w:val="20"/>
        </w:rPr>
        <w:t>Chlorophyll content of tea leaves</w:t>
      </w:r>
    </w:p>
    <w:p w:rsidR="001468CA" w:rsidRPr="001468CA" w:rsidRDefault="001468CA" w:rsidP="00B6632F">
      <w:pPr>
        <w:spacing w:before="120" w:after="120" w:line="240" w:lineRule="auto"/>
        <w:jc w:val="both"/>
        <w:rPr>
          <w:rFonts w:ascii="Arial" w:hAnsi="Arial" w:cs="Arial"/>
          <w:sz w:val="20"/>
          <w:szCs w:val="20"/>
        </w:rPr>
      </w:pPr>
      <w:r w:rsidRPr="001468CA">
        <w:rPr>
          <w:rFonts w:ascii="Arial" w:hAnsi="Arial" w:cs="Arial"/>
          <w:sz w:val="20"/>
          <w:szCs w:val="20"/>
        </w:rPr>
        <w:t xml:space="preserve">Leaf chlorophyll was extracted by using Dimethyl sulphoxide (DMSO) </w:t>
      </w:r>
      <w:r w:rsidRPr="00FD624C">
        <w:rPr>
          <w:rFonts w:ascii="Arial" w:hAnsi="Arial" w:cs="Arial"/>
          <w:sz w:val="20"/>
          <w:szCs w:val="20"/>
        </w:rPr>
        <w:t>(Hiscox and Israrelstam, 1979</w:t>
      </w:r>
      <w:r w:rsidRPr="001468CA">
        <w:rPr>
          <w:rFonts w:ascii="Arial" w:hAnsi="Arial" w:cs="Arial"/>
          <w:sz w:val="20"/>
          <w:szCs w:val="20"/>
        </w:rPr>
        <w:t xml:space="preserve">), and the spectrophotometer (Model: GS571055, EC India Ltd.) read the absorbance at 663nm and 645nm. The absorption coefficient was used to determine the quantity of chlorophyll present. Fresh leaf material (0.1 g) was placed in a test tube with 5 ml of DMSO and maintained at 65°C for 4 hours. In a test tube, chlorophyll was extracted, and DMSO was used to make the volume 10 ml. The formula proposed by </w:t>
      </w:r>
      <w:r w:rsidRPr="00FD624C">
        <w:rPr>
          <w:rFonts w:ascii="Arial" w:hAnsi="Arial" w:cs="Arial"/>
          <w:sz w:val="20"/>
          <w:szCs w:val="20"/>
        </w:rPr>
        <w:t>Arnon (1949</w:t>
      </w:r>
      <w:r w:rsidRPr="001468CA">
        <w:rPr>
          <w:rFonts w:ascii="Arial" w:hAnsi="Arial" w:cs="Arial"/>
          <w:sz w:val="20"/>
          <w:szCs w:val="20"/>
        </w:rPr>
        <w:t>) is used to calculate the chlorophyll content, which was represented as mg/g of leaf fresh weight.</w:t>
      </w:r>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Chlorophyll a = [12.7(A</w:t>
      </w:r>
      <w:r w:rsidRPr="001468CA">
        <w:rPr>
          <w:rFonts w:ascii="Arial" w:hAnsi="Arial" w:cs="Arial"/>
          <w:sz w:val="20"/>
          <w:szCs w:val="20"/>
          <w:vertAlign w:val="subscript"/>
        </w:rPr>
        <w:t>663</w:t>
      </w:r>
      <w:r w:rsidRPr="001468CA">
        <w:rPr>
          <w:rFonts w:ascii="Arial" w:hAnsi="Arial" w:cs="Arial"/>
          <w:sz w:val="20"/>
          <w:szCs w:val="20"/>
        </w:rPr>
        <w:t>) – 2.69 (A</w:t>
      </w:r>
      <w:r w:rsidRPr="001468CA">
        <w:rPr>
          <w:rFonts w:ascii="Arial" w:hAnsi="Arial" w:cs="Arial"/>
          <w:sz w:val="20"/>
          <w:szCs w:val="20"/>
          <w:vertAlign w:val="subscript"/>
        </w:rPr>
        <w:t>645</w:t>
      </w:r>
      <w:r w:rsidRPr="001468CA">
        <w:rPr>
          <w:rFonts w:ascii="Arial" w:hAnsi="Arial" w:cs="Arial"/>
          <w:sz w:val="20"/>
          <w:szCs w:val="20"/>
        </w:rPr>
        <w:t xml:space="preserve">)] x </w:t>
      </w:r>
      <m:oMath>
        <m:f>
          <m:fPr>
            <m:ctrlPr>
              <w:rPr>
                <w:rFonts w:ascii="Cambria Math" w:hAnsi="Arial" w:cs="Arial"/>
                <w:sz w:val="20"/>
                <w:szCs w:val="20"/>
              </w:rPr>
            </m:ctrlPr>
          </m:fPr>
          <m:num>
            <m:r>
              <m:rPr>
                <m:sty m:val="p"/>
              </m:rPr>
              <w:rPr>
                <w:rFonts w:ascii="Cambria Math" w:hAnsi="Arial" w:cs="Arial"/>
                <w:sz w:val="20"/>
                <w:szCs w:val="20"/>
              </w:rPr>
              <m:t>V</m:t>
            </m:r>
          </m:num>
          <m:den>
            <m:r>
              <m:rPr>
                <m:sty m:val="p"/>
              </m:rPr>
              <w:rPr>
                <w:rFonts w:ascii="Cambria Math" w:hAnsi="Arial" w:cs="Arial"/>
                <w:sz w:val="20"/>
                <w:szCs w:val="20"/>
              </w:rPr>
              <m:t>1000 x W</m:t>
            </m:r>
          </m:den>
        </m:f>
      </m:oMath>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Chlorophyll b = [22.9 (A</w:t>
      </w:r>
      <w:r w:rsidRPr="001468CA">
        <w:rPr>
          <w:rFonts w:ascii="Arial" w:hAnsi="Arial" w:cs="Arial"/>
          <w:sz w:val="20"/>
          <w:szCs w:val="20"/>
          <w:vertAlign w:val="subscript"/>
        </w:rPr>
        <w:t>645</w:t>
      </w:r>
      <w:r w:rsidRPr="001468CA">
        <w:rPr>
          <w:rFonts w:ascii="Arial" w:hAnsi="Arial" w:cs="Arial"/>
          <w:sz w:val="20"/>
          <w:szCs w:val="20"/>
        </w:rPr>
        <w:t>) – 4.68 (A</w:t>
      </w:r>
      <w:r w:rsidRPr="001468CA">
        <w:rPr>
          <w:rFonts w:ascii="Arial" w:hAnsi="Arial" w:cs="Arial"/>
          <w:sz w:val="20"/>
          <w:szCs w:val="20"/>
          <w:vertAlign w:val="subscript"/>
        </w:rPr>
        <w:t>663</w:t>
      </w:r>
      <w:r w:rsidRPr="001468CA">
        <w:rPr>
          <w:rFonts w:ascii="Arial" w:hAnsi="Arial" w:cs="Arial"/>
          <w:sz w:val="20"/>
          <w:szCs w:val="20"/>
        </w:rPr>
        <w:t xml:space="preserve">)] x </w:t>
      </w:r>
      <m:oMath>
        <m:f>
          <m:fPr>
            <m:ctrlPr>
              <w:rPr>
                <w:rFonts w:ascii="Cambria Math" w:hAnsi="Arial" w:cs="Arial"/>
                <w:sz w:val="20"/>
                <w:szCs w:val="20"/>
              </w:rPr>
            </m:ctrlPr>
          </m:fPr>
          <m:num>
            <m:r>
              <m:rPr>
                <m:sty m:val="p"/>
              </m:rPr>
              <w:rPr>
                <w:rFonts w:ascii="Cambria Math" w:hAnsi="Arial" w:cs="Arial"/>
                <w:sz w:val="20"/>
                <w:szCs w:val="20"/>
              </w:rPr>
              <m:t>V</m:t>
            </m:r>
          </m:num>
          <m:den>
            <m:r>
              <m:rPr>
                <m:sty m:val="p"/>
              </m:rPr>
              <w:rPr>
                <w:rFonts w:ascii="Cambria Math" w:hAnsi="Arial" w:cs="Arial"/>
                <w:sz w:val="20"/>
                <w:szCs w:val="20"/>
              </w:rPr>
              <m:t>1000 x W</m:t>
            </m:r>
          </m:den>
        </m:f>
      </m:oMath>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Total Chlorophyll = [20.2 (A</w:t>
      </w:r>
      <w:r w:rsidRPr="001468CA">
        <w:rPr>
          <w:rFonts w:ascii="Arial" w:hAnsi="Arial" w:cs="Arial"/>
          <w:sz w:val="20"/>
          <w:szCs w:val="20"/>
          <w:vertAlign w:val="subscript"/>
        </w:rPr>
        <w:t>645</w:t>
      </w:r>
      <w:r w:rsidRPr="001468CA">
        <w:rPr>
          <w:rFonts w:ascii="Arial" w:hAnsi="Arial" w:cs="Arial"/>
          <w:sz w:val="20"/>
          <w:szCs w:val="20"/>
        </w:rPr>
        <w:t>) + 8.02 (A</w:t>
      </w:r>
      <w:r w:rsidRPr="001468CA">
        <w:rPr>
          <w:rFonts w:ascii="Arial" w:hAnsi="Arial" w:cs="Arial"/>
          <w:sz w:val="20"/>
          <w:szCs w:val="20"/>
          <w:vertAlign w:val="subscript"/>
        </w:rPr>
        <w:t>663</w:t>
      </w:r>
      <w:r w:rsidRPr="001468CA">
        <w:rPr>
          <w:rFonts w:ascii="Arial" w:hAnsi="Arial" w:cs="Arial"/>
          <w:sz w:val="20"/>
          <w:szCs w:val="20"/>
        </w:rPr>
        <w:t xml:space="preserve">)] x </w:t>
      </w:r>
      <m:oMath>
        <m:f>
          <m:fPr>
            <m:ctrlPr>
              <w:rPr>
                <w:rFonts w:ascii="Cambria Math" w:hAnsi="Arial" w:cs="Arial"/>
                <w:sz w:val="20"/>
                <w:szCs w:val="20"/>
              </w:rPr>
            </m:ctrlPr>
          </m:fPr>
          <m:num>
            <m:r>
              <m:rPr>
                <m:sty m:val="p"/>
              </m:rPr>
              <w:rPr>
                <w:rFonts w:ascii="Cambria Math" w:hAnsi="Arial" w:cs="Arial"/>
                <w:sz w:val="20"/>
                <w:szCs w:val="20"/>
              </w:rPr>
              <m:t>V</m:t>
            </m:r>
          </m:num>
          <m:den>
            <m:r>
              <m:rPr>
                <m:sty m:val="p"/>
              </m:rPr>
              <w:rPr>
                <w:rFonts w:ascii="Cambria Math" w:hAnsi="Arial" w:cs="Arial"/>
                <w:sz w:val="20"/>
                <w:szCs w:val="20"/>
              </w:rPr>
              <m:t>1000 x W</m:t>
            </m:r>
          </m:den>
        </m:f>
      </m:oMath>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Where,A=Absorbance at specific wavelength</w:t>
      </w:r>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t>V= Final volume of the chlorophyll extract</w:t>
      </w:r>
    </w:p>
    <w:p w:rsidR="001468CA" w:rsidRPr="001468CA" w:rsidRDefault="001468CA" w:rsidP="001468CA">
      <w:pPr>
        <w:spacing w:before="120" w:after="120" w:line="240" w:lineRule="auto"/>
        <w:jc w:val="both"/>
        <w:rPr>
          <w:rFonts w:ascii="Arial" w:hAnsi="Arial" w:cs="Arial"/>
          <w:sz w:val="20"/>
          <w:szCs w:val="20"/>
        </w:rPr>
      </w:pPr>
      <w:r w:rsidRPr="001468CA">
        <w:rPr>
          <w:rFonts w:ascii="Arial" w:hAnsi="Arial" w:cs="Arial"/>
          <w:sz w:val="20"/>
          <w:szCs w:val="20"/>
        </w:rPr>
        <w:lastRenderedPageBreak/>
        <w:t>W= Fresh weight (g) of the leaf tissue used for extraction</w:t>
      </w:r>
    </w:p>
    <w:p w:rsidR="00427995" w:rsidRDefault="00427995" w:rsidP="001468CA">
      <w:pPr>
        <w:pStyle w:val="AbstHead"/>
        <w:spacing w:after="0"/>
        <w:jc w:val="both"/>
        <w:rPr>
          <w:rFonts w:ascii="Arial" w:hAnsi="Arial" w:cs="Arial"/>
          <w:sz w:val="20"/>
        </w:rPr>
      </w:pPr>
    </w:p>
    <w:p w:rsidR="009E1651" w:rsidRPr="00427995" w:rsidRDefault="00427995" w:rsidP="001468CA">
      <w:pPr>
        <w:pStyle w:val="AbstHead"/>
        <w:spacing w:after="0"/>
        <w:jc w:val="both"/>
        <w:rPr>
          <w:rFonts w:ascii="Arial" w:hAnsi="Arial" w:cs="Arial"/>
          <w:szCs w:val="22"/>
        </w:rPr>
      </w:pPr>
      <w:r w:rsidRPr="00427995">
        <w:rPr>
          <w:rFonts w:ascii="Arial" w:hAnsi="Arial" w:cs="Arial"/>
          <w:szCs w:val="22"/>
        </w:rPr>
        <w:t xml:space="preserve">3. </w:t>
      </w:r>
      <w:r w:rsidR="00307CFF" w:rsidRPr="00427995">
        <w:rPr>
          <w:rFonts w:ascii="Arial" w:hAnsi="Arial" w:cs="Arial"/>
          <w:szCs w:val="22"/>
        </w:rPr>
        <w:t>RESULTS</w:t>
      </w:r>
    </w:p>
    <w:p w:rsidR="000F10AC" w:rsidRDefault="002F44EB" w:rsidP="000F10AC">
      <w:pPr>
        <w:tabs>
          <w:tab w:val="left" w:pos="90"/>
        </w:tabs>
        <w:spacing w:before="120" w:after="120" w:line="240" w:lineRule="auto"/>
        <w:jc w:val="both"/>
        <w:rPr>
          <w:rFonts w:ascii="Arial" w:hAnsi="Arial" w:cs="Arial"/>
          <w:b/>
          <w:sz w:val="20"/>
          <w:szCs w:val="20"/>
        </w:rPr>
      </w:pPr>
      <w:r>
        <w:rPr>
          <w:rFonts w:ascii="Arial" w:hAnsi="Arial" w:cs="Arial"/>
          <w:b/>
          <w:sz w:val="20"/>
          <w:szCs w:val="20"/>
        </w:rPr>
        <w:t>3.1.</w:t>
      </w:r>
      <w:r w:rsidR="000F10AC" w:rsidRPr="002F0C75">
        <w:rPr>
          <w:rFonts w:ascii="Arial" w:hAnsi="Arial" w:cs="Arial"/>
          <w:b/>
          <w:sz w:val="20"/>
          <w:szCs w:val="20"/>
        </w:rPr>
        <w:t>Photosynthetically Active radiation (PAR)</w:t>
      </w:r>
      <w:r w:rsidR="000F10AC" w:rsidRPr="000F10AC">
        <w:rPr>
          <w:rFonts w:ascii="Arial" w:hAnsi="Arial" w:cs="Arial"/>
          <w:b/>
          <w:sz w:val="20"/>
          <w:szCs w:val="20"/>
        </w:rPr>
        <w:t>using Line Quantum Sensor</w:t>
      </w:r>
    </w:p>
    <w:p w:rsidR="00307CFF" w:rsidRPr="000F10AC" w:rsidRDefault="00B6632F" w:rsidP="000F10AC">
      <w:pPr>
        <w:tabs>
          <w:tab w:val="left" w:pos="90"/>
        </w:tabs>
        <w:spacing w:before="120" w:after="120" w:line="240" w:lineRule="auto"/>
        <w:jc w:val="both"/>
        <w:rPr>
          <w:rFonts w:ascii="Arial" w:hAnsi="Arial" w:cs="Arial"/>
          <w:b/>
          <w:sz w:val="20"/>
          <w:szCs w:val="20"/>
        </w:rPr>
      </w:pPr>
      <w:r>
        <w:rPr>
          <w:rFonts w:ascii="Arial" w:hAnsi="Arial" w:cs="Arial"/>
          <w:sz w:val="20"/>
          <w:szCs w:val="20"/>
        </w:rPr>
        <w:t>The data presented in Table</w:t>
      </w:r>
      <w:r w:rsidR="00427995">
        <w:rPr>
          <w:rFonts w:ascii="Arial" w:hAnsi="Arial" w:cs="Arial"/>
          <w:sz w:val="20"/>
          <w:szCs w:val="20"/>
        </w:rPr>
        <w:t>1.</w:t>
      </w:r>
      <w:r w:rsidR="00307CFF" w:rsidRPr="00B6632F">
        <w:rPr>
          <w:rFonts w:ascii="Arial" w:hAnsi="Arial" w:cs="Arial"/>
          <w:sz w:val="20"/>
          <w:szCs w:val="20"/>
        </w:rPr>
        <w:t xml:space="preserve">shows the Incident Photosynthetically Active Radiation (IPAR) in all the treatments and in all the four flushes. It represents the IPAR that falls on the canopy of </w:t>
      </w:r>
      <w:commentRangeStart w:id="3"/>
      <w:r w:rsidR="00307CFF" w:rsidRPr="00B6632F">
        <w:rPr>
          <w:rFonts w:ascii="Arial" w:hAnsi="Arial" w:cs="Arial"/>
          <w:i/>
          <w:sz w:val="20"/>
          <w:szCs w:val="20"/>
        </w:rPr>
        <w:t>Albizzia chinensis</w:t>
      </w:r>
      <w:r w:rsidR="00307CFF" w:rsidRPr="00B6632F">
        <w:rPr>
          <w:rFonts w:ascii="Arial" w:hAnsi="Arial" w:cs="Arial"/>
          <w:sz w:val="20"/>
          <w:szCs w:val="20"/>
        </w:rPr>
        <w:t xml:space="preserve">and </w:t>
      </w:r>
      <w:commentRangeEnd w:id="3"/>
      <w:r w:rsidR="009C51EB">
        <w:rPr>
          <w:rStyle w:val="CommentReference"/>
        </w:rPr>
        <w:commentReference w:id="3"/>
      </w:r>
      <w:r w:rsidR="00307CFF" w:rsidRPr="00B6632F">
        <w:rPr>
          <w:rFonts w:ascii="Arial" w:hAnsi="Arial" w:cs="Arial"/>
          <w:sz w:val="20"/>
          <w:szCs w:val="20"/>
        </w:rPr>
        <w:t>rubber tree.</w:t>
      </w:r>
    </w:p>
    <w:p w:rsidR="00307CFF" w:rsidRPr="00B6632F" w:rsidRDefault="00B6632F" w:rsidP="00B6632F">
      <w:pPr>
        <w:spacing w:line="240" w:lineRule="auto"/>
        <w:jc w:val="both"/>
        <w:rPr>
          <w:rFonts w:ascii="Arial" w:hAnsi="Arial" w:cs="Arial"/>
          <w:b/>
          <w:sz w:val="20"/>
          <w:szCs w:val="20"/>
        </w:rPr>
      </w:pPr>
      <w:r>
        <w:rPr>
          <w:rFonts w:ascii="Arial" w:hAnsi="Arial" w:cs="Arial"/>
          <w:b/>
          <w:sz w:val="20"/>
          <w:szCs w:val="20"/>
        </w:rPr>
        <w:t>Table</w:t>
      </w:r>
      <w:r w:rsidR="00427995">
        <w:rPr>
          <w:rFonts w:ascii="Arial" w:hAnsi="Arial" w:cs="Arial"/>
          <w:b/>
          <w:sz w:val="20"/>
          <w:szCs w:val="20"/>
        </w:rPr>
        <w:t>1.</w:t>
      </w:r>
      <w:r w:rsidR="00307CFF" w:rsidRPr="00B6632F">
        <w:rPr>
          <w:rFonts w:ascii="Arial" w:hAnsi="Arial" w:cs="Arial"/>
          <w:b/>
          <w:sz w:val="20"/>
          <w:szCs w:val="20"/>
        </w:rPr>
        <w:t>Mean Incident Photosynthetically Active Radiation (µmol m</w:t>
      </w:r>
      <w:r w:rsidR="00307CFF" w:rsidRPr="00B6632F">
        <w:rPr>
          <w:rFonts w:ascii="Arial" w:hAnsi="Arial" w:cs="Arial"/>
          <w:b/>
          <w:sz w:val="20"/>
          <w:szCs w:val="20"/>
          <w:vertAlign w:val="superscript"/>
        </w:rPr>
        <w:t xml:space="preserve">-2 </w:t>
      </w:r>
      <w:r w:rsidR="00307CFF" w:rsidRPr="00B6632F">
        <w:rPr>
          <w:rFonts w:ascii="Arial" w:hAnsi="Arial" w:cs="Arial"/>
          <w:b/>
          <w:sz w:val="20"/>
          <w:szCs w:val="20"/>
        </w:rPr>
        <w:t>s</w:t>
      </w:r>
      <w:r w:rsidR="00307CFF" w:rsidRPr="00B6632F">
        <w:rPr>
          <w:rFonts w:ascii="Arial" w:hAnsi="Arial" w:cs="Arial"/>
          <w:b/>
          <w:sz w:val="20"/>
          <w:szCs w:val="20"/>
          <w:vertAlign w:val="superscript"/>
        </w:rPr>
        <w:t>-1</w:t>
      </w:r>
      <w:r w:rsidR="00307CFF" w:rsidRPr="00B6632F">
        <w:rPr>
          <w:rFonts w:ascii="Arial" w:hAnsi="Arial" w:cs="Arial"/>
          <w:b/>
          <w:sz w:val="20"/>
          <w:szCs w:val="20"/>
        </w:rPr>
        <w:t>) on the tea bushes through conventional shade and rubber tree shade</w:t>
      </w:r>
    </w:p>
    <w:tbl>
      <w:tblPr>
        <w:tblStyle w:val="TableGrid"/>
        <w:tblpPr w:leftFromText="180" w:rightFromText="180" w:vertAnchor="text" w:horzAnchor="margin" w:tblpX="-95" w:tblpY="144"/>
        <w:tblW w:w="7657" w:type="dxa"/>
        <w:tblLayout w:type="fixed"/>
        <w:tblLook w:val="04A0"/>
      </w:tblPr>
      <w:tblGrid>
        <w:gridCol w:w="1400"/>
        <w:gridCol w:w="1448"/>
        <w:gridCol w:w="1503"/>
        <w:gridCol w:w="1503"/>
        <w:gridCol w:w="1803"/>
      </w:tblGrid>
      <w:tr w:rsidR="00307CFF" w:rsidRPr="00B6632F" w:rsidTr="0065368B">
        <w:trPr>
          <w:trHeight w:val="417"/>
        </w:trPr>
        <w:tc>
          <w:tcPr>
            <w:tcW w:w="1400"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IPAR</w:t>
            </w:r>
          </w:p>
        </w:tc>
        <w:tc>
          <w:tcPr>
            <w:tcW w:w="1448"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8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307CFF" w:rsidRPr="00B6632F" w:rsidTr="0065368B">
        <w:trPr>
          <w:trHeight w:val="417"/>
        </w:trPr>
        <w:tc>
          <w:tcPr>
            <w:tcW w:w="1400"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448"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238.81</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740.45</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432.61</w:t>
            </w:r>
          </w:p>
        </w:tc>
        <w:tc>
          <w:tcPr>
            <w:tcW w:w="18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463.02</w:t>
            </w:r>
          </w:p>
        </w:tc>
      </w:tr>
      <w:tr w:rsidR="00307CFF" w:rsidRPr="00B6632F" w:rsidTr="0065368B">
        <w:trPr>
          <w:trHeight w:val="417"/>
        </w:trPr>
        <w:tc>
          <w:tcPr>
            <w:tcW w:w="1400"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448"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62.08</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173.6</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69.39</w:t>
            </w:r>
          </w:p>
        </w:tc>
        <w:tc>
          <w:tcPr>
            <w:tcW w:w="18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50.12</w:t>
            </w:r>
          </w:p>
        </w:tc>
      </w:tr>
      <w:tr w:rsidR="00307CFF" w:rsidRPr="00B6632F" w:rsidTr="0065368B">
        <w:trPr>
          <w:trHeight w:val="417"/>
        </w:trPr>
        <w:tc>
          <w:tcPr>
            <w:tcW w:w="1400"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448"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52.20</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227.06</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84.51</w:t>
            </w:r>
          </w:p>
        </w:tc>
        <w:tc>
          <w:tcPr>
            <w:tcW w:w="18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55.48</w:t>
            </w:r>
          </w:p>
        </w:tc>
      </w:tr>
      <w:tr w:rsidR="00307CFF" w:rsidRPr="00B6632F" w:rsidTr="0065368B">
        <w:trPr>
          <w:trHeight w:val="417"/>
        </w:trPr>
        <w:tc>
          <w:tcPr>
            <w:tcW w:w="1400"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448"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135.04</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400</w:t>
            </w:r>
          </w:p>
        </w:tc>
        <w:tc>
          <w:tcPr>
            <w:tcW w:w="15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360.37</w:t>
            </w:r>
          </w:p>
        </w:tc>
        <w:tc>
          <w:tcPr>
            <w:tcW w:w="180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169.23</w:t>
            </w:r>
          </w:p>
        </w:tc>
      </w:tr>
    </w:tbl>
    <w:p w:rsidR="0065368B" w:rsidRDefault="0065368B" w:rsidP="00B6632F">
      <w:pPr>
        <w:spacing w:before="120" w:after="100" w:afterAutospacing="1" w:line="240" w:lineRule="auto"/>
        <w:jc w:val="both"/>
        <w:rPr>
          <w:rFonts w:ascii="Arial" w:hAnsi="Arial" w:cs="Arial"/>
          <w:sz w:val="20"/>
          <w:szCs w:val="20"/>
        </w:rPr>
      </w:pPr>
    </w:p>
    <w:p w:rsidR="0065368B" w:rsidRDefault="0065368B" w:rsidP="00B6632F">
      <w:pPr>
        <w:spacing w:before="120" w:after="100" w:afterAutospacing="1" w:line="240" w:lineRule="auto"/>
        <w:jc w:val="both"/>
        <w:rPr>
          <w:rFonts w:ascii="Arial" w:hAnsi="Arial" w:cs="Arial"/>
          <w:sz w:val="20"/>
          <w:szCs w:val="20"/>
        </w:rPr>
      </w:pPr>
    </w:p>
    <w:p w:rsidR="0065368B" w:rsidRDefault="0065368B" w:rsidP="00B6632F">
      <w:pPr>
        <w:spacing w:before="120" w:after="100" w:afterAutospacing="1" w:line="240" w:lineRule="auto"/>
        <w:jc w:val="both"/>
        <w:rPr>
          <w:rFonts w:ascii="Arial" w:hAnsi="Arial" w:cs="Arial"/>
          <w:sz w:val="20"/>
          <w:szCs w:val="20"/>
        </w:rPr>
      </w:pPr>
    </w:p>
    <w:p w:rsidR="0065368B" w:rsidRDefault="0065368B" w:rsidP="00B6632F">
      <w:pPr>
        <w:spacing w:before="120" w:after="100" w:afterAutospacing="1" w:line="240" w:lineRule="auto"/>
        <w:jc w:val="both"/>
        <w:rPr>
          <w:rFonts w:ascii="Arial" w:hAnsi="Arial" w:cs="Arial"/>
          <w:sz w:val="20"/>
          <w:szCs w:val="20"/>
        </w:rPr>
      </w:pPr>
    </w:p>
    <w:p w:rsidR="0065368B" w:rsidRDefault="0065368B" w:rsidP="00B6632F">
      <w:pPr>
        <w:spacing w:before="120" w:after="100" w:afterAutospacing="1" w:line="240" w:lineRule="auto"/>
        <w:jc w:val="both"/>
        <w:rPr>
          <w:rFonts w:ascii="Arial" w:hAnsi="Arial" w:cs="Arial"/>
          <w:sz w:val="20"/>
          <w:szCs w:val="20"/>
        </w:rPr>
      </w:pPr>
    </w:p>
    <w:p w:rsidR="00307CFF" w:rsidRPr="00B6632F" w:rsidRDefault="00B6632F" w:rsidP="00B6632F">
      <w:pPr>
        <w:spacing w:before="120" w:after="100" w:afterAutospacing="1" w:line="240" w:lineRule="auto"/>
        <w:jc w:val="both"/>
        <w:rPr>
          <w:rFonts w:ascii="Arial" w:hAnsi="Arial" w:cs="Arial"/>
          <w:sz w:val="20"/>
          <w:szCs w:val="20"/>
        </w:rPr>
      </w:pPr>
      <w:r>
        <w:rPr>
          <w:rFonts w:ascii="Arial" w:hAnsi="Arial" w:cs="Arial"/>
          <w:sz w:val="20"/>
          <w:szCs w:val="20"/>
        </w:rPr>
        <w:t>Table</w:t>
      </w:r>
      <w:r w:rsidR="00427995">
        <w:rPr>
          <w:rFonts w:ascii="Arial" w:hAnsi="Arial" w:cs="Arial"/>
          <w:sz w:val="20"/>
          <w:szCs w:val="20"/>
        </w:rPr>
        <w:t>1.</w:t>
      </w:r>
      <w:r w:rsidR="00307CFF" w:rsidRPr="00B6632F">
        <w:rPr>
          <w:rFonts w:ascii="Arial" w:hAnsi="Arial" w:cs="Arial"/>
          <w:sz w:val="20"/>
          <w:szCs w:val="20"/>
        </w:rPr>
        <w:t>shows that the IPAR varied between (</w:t>
      </w:r>
      <w:r w:rsidR="00307CFF" w:rsidRPr="00B6632F">
        <w:rPr>
          <w:rFonts w:ascii="Arial" w:eastAsia="Times New Roman" w:hAnsi="Arial" w:cs="Arial"/>
          <w:color w:val="000000"/>
          <w:sz w:val="20"/>
          <w:szCs w:val="20"/>
        </w:rPr>
        <w:t xml:space="preserve">238.81-52.2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)in the first flush and between (</w:t>
      </w:r>
      <w:r w:rsidR="00307CFF" w:rsidRPr="00B6632F">
        <w:rPr>
          <w:rFonts w:ascii="Arial" w:eastAsia="Times New Roman" w:hAnsi="Arial" w:cs="Arial"/>
          <w:color w:val="000000"/>
          <w:sz w:val="20"/>
          <w:szCs w:val="20"/>
        </w:rPr>
        <w:t xml:space="preserve">740.45- 173.6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second flush. Similarly, IPAR varied between (</w:t>
      </w:r>
      <w:r w:rsidR="00307CFF" w:rsidRPr="00B6632F">
        <w:rPr>
          <w:rFonts w:ascii="Arial" w:eastAsia="Times New Roman" w:hAnsi="Arial" w:cs="Arial"/>
          <w:color w:val="000000"/>
          <w:sz w:val="20"/>
          <w:szCs w:val="20"/>
        </w:rPr>
        <w:t xml:space="preserve">432.61 - 69.39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rain flush and between (</w:t>
      </w:r>
      <w:r w:rsidR="00307CFF" w:rsidRPr="00B6632F">
        <w:rPr>
          <w:rFonts w:ascii="Arial" w:eastAsia="Times New Roman" w:hAnsi="Arial" w:cs="Arial"/>
          <w:color w:val="000000"/>
          <w:sz w:val="20"/>
          <w:szCs w:val="20"/>
        </w:rPr>
        <w:t xml:space="preserve">463.02-50.12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autumn flush. The IPAR values were found to be significant over control for the first, second and rain flush but in autumn flush there was no significant differences amongst the treatments. In the first flush, IPAR was found to be highest in T1 (238.81 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followed by T4 (135.04 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was found in T3 (52.2 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second flush, IPAR was found to be highest in T1 (</w:t>
      </w:r>
      <w:r w:rsidR="00307CFF" w:rsidRPr="00B6632F">
        <w:rPr>
          <w:rFonts w:ascii="Arial" w:eastAsia="Times New Roman" w:hAnsi="Arial" w:cs="Arial"/>
          <w:color w:val="000000"/>
          <w:sz w:val="20"/>
          <w:szCs w:val="20"/>
        </w:rPr>
        <w:t xml:space="preserve">740.45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in T2 (</w:t>
      </w:r>
      <w:r w:rsidR="00307CFF" w:rsidRPr="00B6632F">
        <w:rPr>
          <w:rFonts w:ascii="Arial" w:eastAsia="Times New Roman" w:hAnsi="Arial" w:cs="Arial"/>
          <w:color w:val="000000"/>
          <w:sz w:val="20"/>
          <w:szCs w:val="20"/>
        </w:rPr>
        <w:t>173.6</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In the rain flush, the highest IPAR was found in T1 (</w:t>
      </w:r>
      <w:r w:rsidR="00307CFF" w:rsidRPr="00B6632F">
        <w:rPr>
          <w:rFonts w:ascii="Arial" w:eastAsia="Times New Roman" w:hAnsi="Arial" w:cs="Arial"/>
          <w:color w:val="000000"/>
          <w:sz w:val="20"/>
          <w:szCs w:val="20"/>
        </w:rPr>
        <w:t xml:space="preserve">432.61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in T2 (</w:t>
      </w:r>
      <w:r w:rsidR="00307CFF" w:rsidRPr="00B6632F">
        <w:rPr>
          <w:rFonts w:ascii="Arial" w:eastAsia="Times New Roman" w:hAnsi="Arial" w:cs="Arial"/>
          <w:color w:val="000000"/>
          <w:sz w:val="20"/>
          <w:szCs w:val="20"/>
        </w:rPr>
        <w:t xml:space="preserve">69.39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Similarly in autumn flush the highest was found in T1 (</w:t>
      </w:r>
      <w:r w:rsidR="00307CFF" w:rsidRPr="00B6632F">
        <w:rPr>
          <w:rFonts w:ascii="Arial" w:eastAsia="Times New Roman" w:hAnsi="Arial" w:cs="Arial"/>
          <w:color w:val="000000"/>
          <w:sz w:val="20"/>
          <w:szCs w:val="20"/>
        </w:rPr>
        <w:t xml:space="preserve">463.02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and lowest in T2 (</w:t>
      </w:r>
      <w:r w:rsidR="00307CFF" w:rsidRPr="00B6632F">
        <w:rPr>
          <w:rFonts w:ascii="Arial" w:eastAsia="Times New Roman" w:hAnsi="Arial" w:cs="Arial"/>
          <w:color w:val="000000"/>
          <w:sz w:val="20"/>
          <w:szCs w:val="20"/>
        </w:rPr>
        <w:t xml:space="preserve">50.12 </w:t>
      </w:r>
      <w:r w:rsidR="00307CFF" w:rsidRPr="00B6632F">
        <w:rPr>
          <w:rFonts w:ascii="Arial" w:hAnsi="Arial" w:cs="Arial"/>
          <w:sz w:val="20"/>
          <w:szCs w:val="20"/>
        </w:rPr>
        <w:t>µmol m</w:t>
      </w:r>
      <w:r w:rsidR="00307CFF" w:rsidRPr="00B6632F">
        <w:rPr>
          <w:rFonts w:ascii="Arial" w:hAnsi="Arial" w:cs="Arial"/>
          <w:sz w:val="20"/>
          <w:szCs w:val="20"/>
          <w:vertAlign w:val="superscript"/>
        </w:rPr>
        <w:t xml:space="preserve">-2 </w:t>
      </w:r>
      <w:r w:rsidR="00307CFF" w:rsidRPr="00B6632F">
        <w:rPr>
          <w:rFonts w:ascii="Arial" w:hAnsi="Arial" w:cs="Arial"/>
          <w:sz w:val="20"/>
          <w:szCs w:val="20"/>
        </w:rPr>
        <w:t>s</w:t>
      </w:r>
      <w:r w:rsidR="00307CFF" w:rsidRPr="00B6632F">
        <w:rPr>
          <w:rFonts w:ascii="Arial" w:hAnsi="Arial" w:cs="Arial"/>
          <w:sz w:val="20"/>
          <w:szCs w:val="20"/>
          <w:vertAlign w:val="superscript"/>
        </w:rPr>
        <w:t>-1</w:t>
      </w:r>
      <w:r w:rsidR="00307CFF" w:rsidRPr="00B6632F">
        <w:rPr>
          <w:rFonts w:ascii="Arial" w:hAnsi="Arial" w:cs="Arial"/>
          <w:sz w:val="20"/>
          <w:szCs w:val="20"/>
        </w:rPr>
        <w:t xml:space="preserve">). </w:t>
      </w:r>
    </w:p>
    <w:p w:rsidR="00307CFF" w:rsidRPr="00B6632F" w:rsidRDefault="00B6632F" w:rsidP="00B6632F">
      <w:pPr>
        <w:tabs>
          <w:tab w:val="left" w:pos="2454"/>
        </w:tabs>
        <w:spacing w:line="240" w:lineRule="auto"/>
        <w:jc w:val="both"/>
        <w:rPr>
          <w:rFonts w:ascii="Arial" w:hAnsi="Arial" w:cs="Arial"/>
          <w:b/>
          <w:sz w:val="20"/>
          <w:szCs w:val="20"/>
        </w:rPr>
      </w:pPr>
      <w:r>
        <w:rPr>
          <w:rFonts w:ascii="Arial" w:hAnsi="Arial" w:cs="Arial"/>
          <w:b/>
          <w:sz w:val="20"/>
          <w:szCs w:val="20"/>
        </w:rPr>
        <w:t>Table</w:t>
      </w:r>
      <w:r w:rsidR="00427995">
        <w:rPr>
          <w:rFonts w:ascii="Arial" w:hAnsi="Arial" w:cs="Arial"/>
          <w:b/>
          <w:sz w:val="20"/>
          <w:szCs w:val="20"/>
        </w:rPr>
        <w:t>2.</w:t>
      </w:r>
      <w:r w:rsidR="00307CFF" w:rsidRPr="00B6632F">
        <w:rPr>
          <w:rFonts w:ascii="Arial" w:hAnsi="Arial" w:cs="Arial"/>
          <w:b/>
          <w:sz w:val="20"/>
          <w:szCs w:val="20"/>
        </w:rPr>
        <w:t>Mean Intercepted Photosynthetically Active Radiation (%) by the tea bushes</w:t>
      </w:r>
    </w:p>
    <w:tbl>
      <w:tblPr>
        <w:tblW w:w="7561" w:type="dxa"/>
        <w:tblLayout w:type="fixed"/>
        <w:tblLook w:val="04A0"/>
      </w:tblPr>
      <w:tblGrid>
        <w:gridCol w:w="1421"/>
        <w:gridCol w:w="1421"/>
        <w:gridCol w:w="1422"/>
        <w:gridCol w:w="1422"/>
        <w:gridCol w:w="1875"/>
      </w:tblGrid>
      <w:tr w:rsidR="00307CFF" w:rsidRPr="00B6632F" w:rsidTr="00B01602">
        <w:trPr>
          <w:trHeight w:val="328"/>
        </w:trPr>
        <w:tc>
          <w:tcPr>
            <w:tcW w:w="1421" w:type="dxa"/>
            <w:tcBorders>
              <w:top w:val="single" w:sz="8" w:space="0" w:color="000000"/>
              <w:left w:val="single" w:sz="8" w:space="0" w:color="000000"/>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ipar%</w:t>
            </w:r>
          </w:p>
        </w:tc>
        <w:tc>
          <w:tcPr>
            <w:tcW w:w="1421" w:type="dxa"/>
            <w:tcBorders>
              <w:top w:val="single" w:sz="8" w:space="0" w:color="000000"/>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422" w:type="dxa"/>
            <w:tcBorders>
              <w:top w:val="single" w:sz="8" w:space="0" w:color="000000"/>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422" w:type="dxa"/>
            <w:tcBorders>
              <w:top w:val="single" w:sz="8" w:space="0" w:color="000000"/>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875" w:type="dxa"/>
            <w:tcBorders>
              <w:top w:val="single" w:sz="8" w:space="0" w:color="000000"/>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307CFF" w:rsidRPr="00B6632F" w:rsidTr="00B01602">
        <w:trPr>
          <w:trHeight w:val="328"/>
        </w:trPr>
        <w:tc>
          <w:tcPr>
            <w:tcW w:w="1421" w:type="dxa"/>
            <w:tcBorders>
              <w:top w:val="nil"/>
              <w:left w:val="single" w:sz="8" w:space="0" w:color="000000"/>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421"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90.03</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91.14</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82.19</w:t>
            </w:r>
          </w:p>
        </w:tc>
        <w:tc>
          <w:tcPr>
            <w:tcW w:w="1875"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91.73</w:t>
            </w:r>
          </w:p>
        </w:tc>
      </w:tr>
      <w:tr w:rsidR="00307CFF" w:rsidRPr="00B6632F" w:rsidTr="00B01602">
        <w:trPr>
          <w:trHeight w:val="328"/>
        </w:trPr>
        <w:tc>
          <w:tcPr>
            <w:tcW w:w="1421" w:type="dxa"/>
            <w:tcBorders>
              <w:top w:val="nil"/>
              <w:left w:val="single" w:sz="8" w:space="0" w:color="000000"/>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421"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78.99</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84.27</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80.84</w:t>
            </w:r>
          </w:p>
        </w:tc>
        <w:tc>
          <w:tcPr>
            <w:tcW w:w="1875"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81.76</w:t>
            </w:r>
          </w:p>
        </w:tc>
      </w:tr>
      <w:tr w:rsidR="00307CFF" w:rsidRPr="00B6632F" w:rsidTr="00B01602">
        <w:trPr>
          <w:trHeight w:val="328"/>
        </w:trPr>
        <w:tc>
          <w:tcPr>
            <w:tcW w:w="1421" w:type="dxa"/>
            <w:tcBorders>
              <w:top w:val="nil"/>
              <w:left w:val="single" w:sz="8" w:space="0" w:color="000000"/>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421"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77.39</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83.01</w:t>
            </w:r>
          </w:p>
        </w:tc>
        <w:tc>
          <w:tcPr>
            <w:tcW w:w="1422"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81.65</w:t>
            </w:r>
          </w:p>
        </w:tc>
        <w:tc>
          <w:tcPr>
            <w:tcW w:w="1875" w:type="dxa"/>
            <w:tcBorders>
              <w:top w:val="nil"/>
              <w:left w:val="nil"/>
              <w:bottom w:val="single" w:sz="8" w:space="0" w:color="000000"/>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81.87</w:t>
            </w:r>
          </w:p>
        </w:tc>
      </w:tr>
      <w:tr w:rsidR="00307CFF" w:rsidRPr="00B6632F" w:rsidTr="00B01602">
        <w:trPr>
          <w:trHeight w:val="328"/>
        </w:trPr>
        <w:tc>
          <w:tcPr>
            <w:tcW w:w="1421" w:type="dxa"/>
            <w:tcBorders>
              <w:top w:val="nil"/>
              <w:left w:val="single" w:sz="8" w:space="0" w:color="000000"/>
              <w:bottom w:val="single" w:sz="4" w:space="0" w:color="auto"/>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421" w:type="dxa"/>
            <w:tcBorders>
              <w:top w:val="nil"/>
              <w:left w:val="nil"/>
              <w:bottom w:val="single" w:sz="4" w:space="0" w:color="auto"/>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83.64</w:t>
            </w:r>
          </w:p>
        </w:tc>
        <w:tc>
          <w:tcPr>
            <w:tcW w:w="1422" w:type="dxa"/>
            <w:tcBorders>
              <w:top w:val="nil"/>
              <w:left w:val="nil"/>
              <w:bottom w:val="single" w:sz="4" w:space="0" w:color="auto"/>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85.88</w:t>
            </w:r>
          </w:p>
        </w:tc>
        <w:tc>
          <w:tcPr>
            <w:tcW w:w="1422" w:type="dxa"/>
            <w:tcBorders>
              <w:top w:val="nil"/>
              <w:left w:val="nil"/>
              <w:bottom w:val="single" w:sz="4" w:space="0" w:color="auto"/>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81.77</w:t>
            </w:r>
          </w:p>
        </w:tc>
        <w:tc>
          <w:tcPr>
            <w:tcW w:w="1875" w:type="dxa"/>
            <w:tcBorders>
              <w:top w:val="nil"/>
              <w:left w:val="nil"/>
              <w:bottom w:val="single" w:sz="4" w:space="0" w:color="auto"/>
              <w:right w:val="single" w:sz="8" w:space="0" w:color="000000"/>
            </w:tcBorders>
            <w:noWrap/>
            <w:hideMark/>
          </w:tcPr>
          <w:p w:rsidR="00307CFF" w:rsidRPr="00B6632F" w:rsidRDefault="00307CFF" w:rsidP="00B6632F">
            <w:pPr>
              <w:spacing w:after="0" w:line="240" w:lineRule="auto"/>
              <w:jc w:val="both"/>
              <w:rPr>
                <w:rFonts w:ascii="Arial" w:eastAsia="Times New Roman" w:hAnsi="Arial" w:cs="Arial"/>
                <w:color w:val="000000"/>
                <w:sz w:val="20"/>
                <w:szCs w:val="20"/>
              </w:rPr>
            </w:pPr>
            <w:r w:rsidRPr="00B6632F">
              <w:rPr>
                <w:rFonts w:ascii="Arial" w:eastAsia="Times New Roman" w:hAnsi="Arial" w:cs="Arial"/>
                <w:color w:val="000000"/>
                <w:sz w:val="20"/>
                <w:szCs w:val="20"/>
              </w:rPr>
              <w:t>88.45</w:t>
            </w:r>
          </w:p>
        </w:tc>
      </w:tr>
    </w:tbl>
    <w:p w:rsidR="00B6632F" w:rsidRDefault="00427995" w:rsidP="00B6632F">
      <w:pPr>
        <w:spacing w:before="120" w:after="100" w:afterAutospacing="1" w:line="240" w:lineRule="auto"/>
        <w:jc w:val="both"/>
        <w:rPr>
          <w:rFonts w:ascii="Arial" w:eastAsia="Times New Roman" w:hAnsi="Arial" w:cs="Arial"/>
          <w:color w:val="000000"/>
          <w:sz w:val="20"/>
          <w:szCs w:val="20"/>
        </w:rPr>
      </w:pPr>
      <w:r>
        <w:rPr>
          <w:rFonts w:ascii="Arial" w:hAnsi="Arial" w:cs="Arial"/>
          <w:sz w:val="20"/>
          <w:szCs w:val="20"/>
        </w:rPr>
        <w:t>The data presented in Table 2.</w:t>
      </w:r>
      <w:r w:rsidR="00307CFF" w:rsidRPr="00B6632F">
        <w:rPr>
          <w:rFonts w:ascii="Arial" w:hAnsi="Arial" w:cs="Arial"/>
          <w:sz w:val="20"/>
          <w:szCs w:val="20"/>
        </w:rPr>
        <w:t xml:space="preserve"> shows the Intercepted Photosynthetically Active Radiation (ipar) in percentage for all the treatments and in all the four flushes. In the first flush, the interception was highest in T1 (</w:t>
      </w:r>
      <w:r w:rsidR="00307CFF" w:rsidRPr="00B6632F">
        <w:rPr>
          <w:rFonts w:ascii="Arial" w:eastAsia="Times New Roman" w:hAnsi="Arial" w:cs="Arial"/>
          <w:color w:val="000000"/>
          <w:sz w:val="20"/>
          <w:szCs w:val="20"/>
        </w:rPr>
        <w:t>90.03%) and lowest was found in T3 (77.39%). In the second flush, the highest interception was found to be in T1 (91.14%) and lowest was found to be in T3 (83.01%). In the rain flush, the highest interception was found in T1 (82.19%) and lowest was found in T2 (80.84%). Similarly, in the autumn flush, the intercepted PAR was found to be highest in T1 (91.73%) and lowest was found to be in T2 (81.76%).</w:t>
      </w:r>
    </w:p>
    <w:p w:rsidR="00307CFF" w:rsidRPr="00B6632F" w:rsidRDefault="00307CFF" w:rsidP="00B6632F">
      <w:pPr>
        <w:spacing w:before="120" w:after="100" w:afterAutospacing="1" w:line="240" w:lineRule="auto"/>
        <w:jc w:val="both"/>
        <w:rPr>
          <w:rFonts w:ascii="Arial" w:eastAsia="Times New Roman" w:hAnsi="Arial" w:cs="Arial"/>
          <w:color w:val="000000"/>
          <w:sz w:val="20"/>
          <w:szCs w:val="20"/>
        </w:rPr>
      </w:pPr>
      <w:r w:rsidRPr="00B6632F">
        <w:rPr>
          <w:rFonts w:ascii="Arial" w:hAnsi="Arial" w:cs="Arial"/>
          <w:sz w:val="20"/>
          <w:szCs w:val="20"/>
        </w:rPr>
        <w:lastRenderedPageBreak/>
        <w:t>The ipar (%) values were found to be significant over control for the first, second and autumn flush but in rain flush there was no significant differences amongst the treatments.</w:t>
      </w:r>
    </w:p>
    <w:p w:rsidR="00307CFF" w:rsidRDefault="000F10AC" w:rsidP="00B6632F">
      <w:pPr>
        <w:spacing w:before="120" w:after="100" w:afterAutospacing="1" w:line="240" w:lineRule="auto"/>
        <w:ind w:firstLine="720"/>
        <w:jc w:val="both"/>
        <w:rPr>
          <w:rFonts w:ascii="Arial" w:hAnsi="Arial" w:cs="Arial"/>
          <w:sz w:val="20"/>
          <w:szCs w:val="20"/>
        </w:rPr>
      </w:pPr>
      <w:r>
        <w:rPr>
          <w:rFonts w:ascii="Arial" w:hAnsi="Arial" w:cs="Arial"/>
          <w:noProof/>
          <w:sz w:val="20"/>
          <w:szCs w:val="20"/>
          <w:lang w:bidi="hi-IN"/>
        </w:rPr>
        <w:drawing>
          <wp:anchor distT="0" distB="0" distL="114300" distR="114300" simplePos="0" relativeHeight="251659264" behindDoc="1" locked="0" layoutInCell="1" allowOverlap="1">
            <wp:simplePos x="0" y="0"/>
            <wp:positionH relativeFrom="column">
              <wp:posOffset>-3149</wp:posOffset>
            </wp:positionH>
            <wp:positionV relativeFrom="paragraph">
              <wp:posOffset>1983</wp:posOffset>
            </wp:positionV>
            <wp:extent cx="4468381" cy="182880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0F10AC" w:rsidRDefault="000F10AC" w:rsidP="00B6632F">
      <w:pPr>
        <w:spacing w:before="120" w:after="100" w:afterAutospacing="1" w:line="240" w:lineRule="auto"/>
        <w:ind w:firstLine="720"/>
        <w:jc w:val="both"/>
        <w:rPr>
          <w:rFonts w:ascii="Arial" w:hAnsi="Arial" w:cs="Arial"/>
          <w:sz w:val="20"/>
          <w:szCs w:val="20"/>
        </w:rPr>
      </w:pPr>
    </w:p>
    <w:p w:rsidR="000F10AC" w:rsidRDefault="000F10AC" w:rsidP="00B6632F">
      <w:pPr>
        <w:spacing w:before="120" w:after="100" w:afterAutospacing="1" w:line="240" w:lineRule="auto"/>
        <w:ind w:firstLine="720"/>
        <w:jc w:val="both"/>
        <w:rPr>
          <w:rFonts w:ascii="Arial" w:hAnsi="Arial" w:cs="Arial"/>
          <w:sz w:val="20"/>
          <w:szCs w:val="20"/>
        </w:rPr>
      </w:pPr>
    </w:p>
    <w:p w:rsidR="000F10AC" w:rsidRDefault="000F10AC" w:rsidP="00B6632F">
      <w:pPr>
        <w:spacing w:before="120" w:after="100" w:afterAutospacing="1" w:line="240" w:lineRule="auto"/>
        <w:ind w:firstLine="720"/>
        <w:jc w:val="both"/>
        <w:rPr>
          <w:rFonts w:ascii="Arial" w:hAnsi="Arial" w:cs="Arial"/>
          <w:sz w:val="20"/>
          <w:szCs w:val="20"/>
        </w:rPr>
      </w:pPr>
    </w:p>
    <w:p w:rsidR="000F10AC" w:rsidRDefault="000F10AC" w:rsidP="00B6632F">
      <w:pPr>
        <w:spacing w:before="120" w:after="100" w:afterAutospacing="1" w:line="240" w:lineRule="auto"/>
        <w:ind w:firstLine="720"/>
        <w:jc w:val="both"/>
        <w:rPr>
          <w:rFonts w:ascii="Arial" w:hAnsi="Arial" w:cs="Arial"/>
          <w:sz w:val="20"/>
          <w:szCs w:val="20"/>
        </w:rPr>
      </w:pPr>
    </w:p>
    <w:p w:rsidR="000F10AC" w:rsidRDefault="000F10AC" w:rsidP="00B6632F">
      <w:pPr>
        <w:spacing w:before="120" w:after="100" w:afterAutospacing="1" w:line="240" w:lineRule="auto"/>
        <w:ind w:firstLine="720"/>
        <w:jc w:val="both"/>
        <w:rPr>
          <w:rFonts w:ascii="Arial" w:hAnsi="Arial" w:cs="Arial"/>
          <w:sz w:val="20"/>
          <w:szCs w:val="20"/>
        </w:rPr>
      </w:pPr>
    </w:p>
    <w:p w:rsidR="000F10AC" w:rsidRPr="000F10AC" w:rsidRDefault="000F10AC" w:rsidP="000F10AC">
      <w:pPr>
        <w:tabs>
          <w:tab w:val="left" w:pos="2454"/>
        </w:tabs>
        <w:spacing w:line="240" w:lineRule="auto"/>
        <w:jc w:val="center"/>
        <w:rPr>
          <w:rFonts w:ascii="Arial" w:hAnsi="Arial" w:cs="Arial"/>
          <w:sz w:val="20"/>
          <w:szCs w:val="20"/>
        </w:rPr>
      </w:pPr>
      <w:r w:rsidRPr="000F10AC">
        <w:rPr>
          <w:rFonts w:ascii="Arial" w:hAnsi="Arial" w:cs="Arial"/>
          <w:sz w:val="20"/>
          <w:szCs w:val="20"/>
        </w:rPr>
        <w:t>FIG.</w:t>
      </w:r>
      <w:r>
        <w:rPr>
          <w:rFonts w:ascii="Arial" w:hAnsi="Arial" w:cs="Arial"/>
          <w:sz w:val="20"/>
          <w:szCs w:val="20"/>
        </w:rPr>
        <w:t xml:space="preserve"> 1</w:t>
      </w:r>
      <w:r w:rsidRPr="000F10AC">
        <w:rPr>
          <w:rFonts w:ascii="Arial" w:hAnsi="Arial" w:cs="Arial"/>
          <w:sz w:val="20"/>
          <w:szCs w:val="20"/>
        </w:rPr>
        <w:t>. INCIDENT PAR ON THE TEA BUSHES AND INTERCEPTED PAR BY THE TEA BUSHES UNDER CONVENTIONAL SHADE AND RUBBER TREE SHADE</w:t>
      </w:r>
    </w:p>
    <w:p w:rsidR="000F10AC" w:rsidRDefault="000352BC" w:rsidP="000F10AC">
      <w:pPr>
        <w:spacing w:after="100" w:afterAutospacing="1" w:line="240" w:lineRule="auto"/>
        <w:jc w:val="both"/>
        <w:rPr>
          <w:rFonts w:ascii="Arial" w:hAnsi="Arial" w:cs="Arial"/>
          <w:sz w:val="20"/>
          <w:szCs w:val="20"/>
        </w:rPr>
      </w:pPr>
      <w:r>
        <w:rPr>
          <w:rFonts w:ascii="Arial" w:hAnsi="Arial" w:cs="Arial"/>
          <w:b/>
          <w:sz w:val="20"/>
          <w:szCs w:val="20"/>
        </w:rPr>
        <w:t>3.2.</w:t>
      </w:r>
      <w:r w:rsidR="000F10AC" w:rsidRPr="000F10AC">
        <w:rPr>
          <w:rFonts w:ascii="Arial" w:hAnsi="Arial" w:cs="Arial"/>
          <w:b/>
          <w:sz w:val="20"/>
          <w:szCs w:val="20"/>
        </w:rPr>
        <w:t>Percent of light transmission using Lux Meter:</w:t>
      </w:r>
    </w:p>
    <w:p w:rsidR="00307CFF" w:rsidRPr="000F10AC" w:rsidRDefault="00307CFF" w:rsidP="000F10AC">
      <w:pPr>
        <w:spacing w:after="100" w:afterAutospacing="1" w:line="240" w:lineRule="auto"/>
        <w:jc w:val="both"/>
        <w:rPr>
          <w:rFonts w:ascii="Arial" w:hAnsi="Arial" w:cs="Arial"/>
          <w:sz w:val="20"/>
          <w:szCs w:val="20"/>
        </w:rPr>
      </w:pPr>
      <w:r w:rsidRPr="00B6632F">
        <w:rPr>
          <w:rFonts w:ascii="Arial" w:hAnsi="Arial" w:cs="Arial"/>
          <w:sz w:val="20"/>
          <w:szCs w:val="20"/>
        </w:rPr>
        <w:t xml:space="preserve">Data on per cent of light transmission through </w:t>
      </w:r>
      <w:r w:rsidRPr="00B6632F">
        <w:rPr>
          <w:rFonts w:ascii="Arial" w:hAnsi="Arial" w:cs="Arial"/>
          <w:i/>
          <w:sz w:val="20"/>
          <w:szCs w:val="20"/>
        </w:rPr>
        <w:t>Albizzia chinensis</w:t>
      </w:r>
      <w:r w:rsidRPr="00B6632F">
        <w:rPr>
          <w:rFonts w:ascii="Arial" w:hAnsi="Arial" w:cs="Arial"/>
          <w:sz w:val="20"/>
          <w:szCs w:val="20"/>
        </w:rPr>
        <w:t xml:space="preserve"> in T1 and rubber in T2, T3 and T4 </w:t>
      </w:r>
      <w:r w:rsidR="00B6632F">
        <w:rPr>
          <w:rFonts w:ascii="Arial" w:hAnsi="Arial" w:cs="Arial"/>
          <w:sz w:val="20"/>
          <w:szCs w:val="20"/>
        </w:rPr>
        <w:t>are presented in Table</w:t>
      </w:r>
      <w:r w:rsidR="00427995">
        <w:rPr>
          <w:rFonts w:ascii="Arial" w:hAnsi="Arial" w:cs="Arial"/>
          <w:sz w:val="20"/>
          <w:szCs w:val="20"/>
        </w:rPr>
        <w:t xml:space="preserve"> 3</w:t>
      </w:r>
      <w:r w:rsidRPr="00B6632F">
        <w:rPr>
          <w:rFonts w:ascii="Arial" w:hAnsi="Arial" w:cs="Arial"/>
          <w:sz w:val="20"/>
          <w:szCs w:val="20"/>
        </w:rPr>
        <w:t xml:space="preserve">. </w:t>
      </w:r>
    </w:p>
    <w:p w:rsidR="00307CFF" w:rsidRPr="00B6632F" w:rsidRDefault="00307CFF" w:rsidP="00B6632F">
      <w:pPr>
        <w:spacing w:line="240" w:lineRule="auto"/>
        <w:jc w:val="both"/>
        <w:rPr>
          <w:rFonts w:ascii="Arial" w:hAnsi="Arial" w:cs="Arial"/>
          <w:b/>
          <w:sz w:val="20"/>
          <w:szCs w:val="20"/>
        </w:rPr>
      </w:pPr>
      <w:r w:rsidRPr="00B6632F">
        <w:rPr>
          <w:rFonts w:ascii="Arial" w:hAnsi="Arial" w:cs="Arial"/>
          <w:b/>
          <w:sz w:val="20"/>
          <w:szCs w:val="20"/>
        </w:rPr>
        <w:t>Table</w:t>
      </w:r>
      <w:r w:rsidR="00427995">
        <w:rPr>
          <w:rFonts w:ascii="Arial" w:hAnsi="Arial" w:cs="Arial"/>
          <w:b/>
          <w:sz w:val="20"/>
          <w:szCs w:val="20"/>
        </w:rPr>
        <w:t>3</w:t>
      </w:r>
      <w:r w:rsidRPr="00B6632F">
        <w:rPr>
          <w:rFonts w:ascii="Arial" w:hAnsi="Arial" w:cs="Arial"/>
          <w:b/>
          <w:sz w:val="20"/>
          <w:szCs w:val="20"/>
        </w:rPr>
        <w:t>. Mean Light incidence on tea bushes under different treatment</w:t>
      </w:r>
    </w:p>
    <w:tbl>
      <w:tblPr>
        <w:tblStyle w:val="TableGrid"/>
        <w:tblW w:w="6406" w:type="dxa"/>
        <w:tblInd w:w="1110" w:type="dxa"/>
        <w:tblLook w:val="04A0"/>
      </w:tblPr>
      <w:tblGrid>
        <w:gridCol w:w="1243"/>
        <w:gridCol w:w="1262"/>
        <w:gridCol w:w="1262"/>
        <w:gridCol w:w="1262"/>
        <w:gridCol w:w="1377"/>
      </w:tblGrid>
      <w:tr w:rsidR="00307CFF" w:rsidRPr="00B6632F" w:rsidTr="0065368B">
        <w:trPr>
          <w:trHeight w:val="408"/>
        </w:trPr>
        <w:tc>
          <w:tcPr>
            <w:tcW w:w="1243" w:type="dxa"/>
            <w:noWrap/>
            <w:hideMark/>
          </w:tcPr>
          <w:p w:rsidR="00307CFF" w:rsidRPr="00B6632F" w:rsidRDefault="00307CFF" w:rsidP="00B6632F">
            <w:pPr>
              <w:jc w:val="both"/>
              <w:rPr>
                <w:rFonts w:ascii="Arial" w:eastAsia="Times New Roman" w:hAnsi="Arial" w:cs="Arial"/>
                <w:color w:val="000000"/>
                <w:sz w:val="20"/>
                <w:szCs w:val="20"/>
              </w:rPr>
            </w:pP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377"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307CFF" w:rsidRPr="00B6632F" w:rsidTr="0065368B">
        <w:trPr>
          <w:trHeight w:val="408"/>
        </w:trPr>
        <w:tc>
          <w:tcPr>
            <w:tcW w:w="124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28.63</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49.06</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48.09</w:t>
            </w:r>
          </w:p>
        </w:tc>
        <w:tc>
          <w:tcPr>
            <w:tcW w:w="1377"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29.38</w:t>
            </w:r>
          </w:p>
        </w:tc>
      </w:tr>
      <w:tr w:rsidR="00307CFF" w:rsidRPr="00B6632F" w:rsidTr="0065368B">
        <w:trPr>
          <w:trHeight w:val="408"/>
        </w:trPr>
        <w:tc>
          <w:tcPr>
            <w:tcW w:w="124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5.68</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7.50</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5.98</w:t>
            </w:r>
          </w:p>
        </w:tc>
        <w:tc>
          <w:tcPr>
            <w:tcW w:w="1377"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3.39</w:t>
            </w:r>
          </w:p>
        </w:tc>
      </w:tr>
      <w:tr w:rsidR="00307CFF" w:rsidRPr="00B6632F" w:rsidTr="0065368B">
        <w:trPr>
          <w:trHeight w:val="408"/>
        </w:trPr>
        <w:tc>
          <w:tcPr>
            <w:tcW w:w="124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5.75</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9.78</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6.30</w:t>
            </w:r>
          </w:p>
        </w:tc>
        <w:tc>
          <w:tcPr>
            <w:tcW w:w="1377"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4.41</w:t>
            </w:r>
          </w:p>
        </w:tc>
      </w:tr>
      <w:tr w:rsidR="00307CFF" w:rsidRPr="00B6632F" w:rsidTr="0065368B">
        <w:trPr>
          <w:trHeight w:val="408"/>
        </w:trPr>
        <w:tc>
          <w:tcPr>
            <w:tcW w:w="1243"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13.23</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35.63</w:t>
            </w:r>
          </w:p>
        </w:tc>
        <w:tc>
          <w:tcPr>
            <w:tcW w:w="1262"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34.44</w:t>
            </w:r>
          </w:p>
        </w:tc>
        <w:tc>
          <w:tcPr>
            <w:tcW w:w="1377" w:type="dxa"/>
            <w:noWrap/>
            <w:hideMark/>
          </w:tcPr>
          <w:p w:rsidR="00307CFF" w:rsidRPr="00B6632F" w:rsidRDefault="00307CFF"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16.80</w:t>
            </w:r>
          </w:p>
        </w:tc>
      </w:tr>
    </w:tbl>
    <w:p w:rsidR="00F466A1" w:rsidRPr="00B6632F" w:rsidRDefault="00F466A1" w:rsidP="00B6632F">
      <w:pPr>
        <w:spacing w:before="120" w:after="120" w:line="240" w:lineRule="auto"/>
        <w:jc w:val="both"/>
        <w:rPr>
          <w:rFonts w:ascii="Arial" w:eastAsia="Times New Roman" w:hAnsi="Arial" w:cs="Arial"/>
          <w:color w:val="000000"/>
          <w:sz w:val="20"/>
          <w:szCs w:val="20"/>
        </w:rPr>
      </w:pPr>
      <w:r w:rsidRPr="00B6632F">
        <w:rPr>
          <w:rFonts w:ascii="Arial" w:hAnsi="Arial" w:cs="Arial"/>
          <w:sz w:val="20"/>
          <w:szCs w:val="20"/>
        </w:rPr>
        <w:t>The light transmitted through the canopy of shade tree bushes is the incident light falling on the tea bushes. The data revealed that percentage of light incidence on tea bushes (or per cent of light transmission through shade trees) in the first flush was found to be highest in T1 (</w:t>
      </w:r>
      <w:r w:rsidRPr="00B6632F">
        <w:rPr>
          <w:rFonts w:ascii="Arial" w:eastAsia="Times New Roman" w:hAnsi="Arial" w:cs="Arial"/>
          <w:color w:val="000000"/>
          <w:sz w:val="20"/>
          <w:szCs w:val="20"/>
        </w:rPr>
        <w:t xml:space="preserve">28.63 %) and the lowest was found in T2 (5.68 %). Similarly, </w:t>
      </w:r>
      <w:r w:rsidRPr="00B6632F">
        <w:rPr>
          <w:rFonts w:ascii="Arial" w:hAnsi="Arial" w:cs="Arial"/>
          <w:sz w:val="20"/>
          <w:szCs w:val="20"/>
        </w:rPr>
        <w:t>in the second flush the percentage of light incidence on tea bushes to be highest in T1 (</w:t>
      </w:r>
      <w:r w:rsidRPr="00B6632F">
        <w:rPr>
          <w:rFonts w:ascii="Arial" w:eastAsia="Times New Roman" w:hAnsi="Arial" w:cs="Arial"/>
          <w:color w:val="000000"/>
          <w:sz w:val="20"/>
          <w:szCs w:val="20"/>
        </w:rPr>
        <w:t xml:space="preserve">49.06 %) and the lowest was found in T2 (7.50 %). In the rain flush, the highest </w:t>
      </w:r>
      <w:r w:rsidRPr="00B6632F">
        <w:rPr>
          <w:rFonts w:ascii="Arial" w:hAnsi="Arial" w:cs="Arial"/>
          <w:sz w:val="20"/>
          <w:szCs w:val="20"/>
        </w:rPr>
        <w:t xml:space="preserve">percentage of light incidence on tea bushes was found in T1 (48.09 %) and lowest was found in T2 (5.98 %). In the autumn flush, </w:t>
      </w:r>
      <w:r w:rsidRPr="00B6632F">
        <w:rPr>
          <w:rFonts w:ascii="Arial" w:eastAsia="Times New Roman" w:hAnsi="Arial" w:cs="Arial"/>
          <w:color w:val="000000"/>
          <w:sz w:val="20"/>
          <w:szCs w:val="20"/>
        </w:rPr>
        <w:t xml:space="preserve">the highest </w:t>
      </w:r>
      <w:r w:rsidRPr="00B6632F">
        <w:rPr>
          <w:rFonts w:ascii="Arial" w:hAnsi="Arial" w:cs="Arial"/>
          <w:sz w:val="20"/>
          <w:szCs w:val="20"/>
        </w:rPr>
        <w:t>percentage of light incidence on tea bushes was found in T1 (29.38 %) and lowest was found in T2 (3.39 %).</w:t>
      </w:r>
    </w:p>
    <w:p w:rsidR="00307CFF" w:rsidRDefault="00307CFF" w:rsidP="00B6632F">
      <w:pPr>
        <w:spacing w:before="120" w:after="100" w:afterAutospacing="1" w:line="240" w:lineRule="auto"/>
        <w:ind w:firstLine="720"/>
        <w:jc w:val="both"/>
        <w:rPr>
          <w:rFonts w:ascii="Arial" w:hAnsi="Arial" w:cs="Arial"/>
          <w:sz w:val="20"/>
          <w:szCs w:val="20"/>
        </w:rPr>
      </w:pPr>
    </w:p>
    <w:p w:rsidR="000F10AC" w:rsidRDefault="000F10AC" w:rsidP="00B6632F">
      <w:pPr>
        <w:spacing w:before="120" w:after="100" w:afterAutospacing="1" w:line="240" w:lineRule="auto"/>
        <w:ind w:firstLine="720"/>
        <w:jc w:val="both"/>
        <w:rPr>
          <w:rFonts w:ascii="Arial" w:hAnsi="Arial" w:cs="Arial"/>
          <w:sz w:val="20"/>
          <w:szCs w:val="20"/>
        </w:rPr>
      </w:pPr>
      <w:r w:rsidRPr="000F10AC">
        <w:rPr>
          <w:rFonts w:ascii="Arial" w:hAnsi="Arial" w:cs="Arial"/>
          <w:noProof/>
          <w:sz w:val="20"/>
          <w:szCs w:val="20"/>
          <w:lang w:bidi="hi-IN"/>
        </w:rPr>
        <w:lastRenderedPageBreak/>
        <w:drawing>
          <wp:inline distT="0" distB="0" distL="0" distR="0">
            <wp:extent cx="4246388" cy="1643806"/>
            <wp:effectExtent l="0" t="0" r="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F10AC" w:rsidRPr="000F10AC" w:rsidRDefault="000F10AC" w:rsidP="000F10AC">
      <w:pPr>
        <w:jc w:val="center"/>
        <w:rPr>
          <w:rFonts w:ascii="Arial" w:hAnsi="Arial" w:cs="Arial"/>
          <w:sz w:val="20"/>
          <w:szCs w:val="20"/>
        </w:rPr>
      </w:pPr>
      <w:r w:rsidRPr="000F10AC">
        <w:rPr>
          <w:rFonts w:ascii="Arial" w:hAnsi="Arial" w:cs="Arial"/>
          <w:sz w:val="20"/>
          <w:szCs w:val="20"/>
        </w:rPr>
        <w:t>FIG.</w:t>
      </w:r>
      <w:r>
        <w:rPr>
          <w:rFonts w:ascii="Arial" w:hAnsi="Arial" w:cs="Arial"/>
          <w:sz w:val="20"/>
          <w:szCs w:val="20"/>
        </w:rPr>
        <w:t xml:space="preserve"> 2</w:t>
      </w:r>
      <w:r w:rsidRPr="000F10AC">
        <w:rPr>
          <w:rFonts w:ascii="Arial" w:hAnsi="Arial" w:cs="Arial"/>
          <w:sz w:val="20"/>
          <w:szCs w:val="20"/>
        </w:rPr>
        <w:t>. LIGHT INCIDENCE ON TEA BUSHES UNDER DIFFERENT TREATMENT</w:t>
      </w:r>
    </w:p>
    <w:p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The per cent of light transmission through tea bushes is s</w:t>
      </w:r>
      <w:r w:rsidR="00B6632F">
        <w:rPr>
          <w:rFonts w:ascii="Arial" w:hAnsi="Arial" w:cs="Arial"/>
          <w:sz w:val="20"/>
          <w:szCs w:val="20"/>
        </w:rPr>
        <w:t>hown in Table</w:t>
      </w:r>
      <w:r w:rsidRPr="00B6632F">
        <w:rPr>
          <w:rFonts w:ascii="Arial" w:hAnsi="Arial" w:cs="Arial"/>
          <w:sz w:val="20"/>
          <w:szCs w:val="20"/>
        </w:rPr>
        <w:t xml:space="preserve">. The data shows that the per cent of light transmission (%) through the tea canopy varies in each treatment. </w:t>
      </w:r>
    </w:p>
    <w:p w:rsidR="00F466A1" w:rsidRPr="00B6632F" w:rsidRDefault="00B6632F" w:rsidP="00B6632F">
      <w:pPr>
        <w:spacing w:line="240" w:lineRule="auto"/>
        <w:jc w:val="both"/>
        <w:rPr>
          <w:rFonts w:ascii="Arial" w:hAnsi="Arial" w:cs="Arial"/>
          <w:b/>
          <w:sz w:val="20"/>
          <w:szCs w:val="20"/>
        </w:rPr>
      </w:pPr>
      <w:r>
        <w:rPr>
          <w:rFonts w:ascii="Arial" w:hAnsi="Arial" w:cs="Arial"/>
          <w:b/>
          <w:sz w:val="20"/>
          <w:szCs w:val="20"/>
        </w:rPr>
        <w:t xml:space="preserve">Table </w:t>
      </w:r>
      <w:r w:rsidR="00427995">
        <w:rPr>
          <w:rFonts w:ascii="Arial" w:hAnsi="Arial" w:cs="Arial"/>
          <w:b/>
          <w:sz w:val="20"/>
          <w:szCs w:val="20"/>
        </w:rPr>
        <w:t>4</w:t>
      </w:r>
      <w:r w:rsidR="00F466A1" w:rsidRPr="00B6632F">
        <w:rPr>
          <w:rFonts w:ascii="Arial" w:hAnsi="Arial" w:cs="Arial"/>
          <w:b/>
          <w:sz w:val="20"/>
          <w:szCs w:val="20"/>
        </w:rPr>
        <w:t>. Mean Per cent of light transmission (%) through tea bushes under different treatments</w:t>
      </w:r>
    </w:p>
    <w:tbl>
      <w:tblPr>
        <w:tblStyle w:val="TableGrid"/>
        <w:tblW w:w="6397" w:type="dxa"/>
        <w:tblInd w:w="903" w:type="dxa"/>
        <w:tblLook w:val="04A0"/>
      </w:tblPr>
      <w:tblGrid>
        <w:gridCol w:w="1334"/>
        <w:gridCol w:w="1238"/>
        <w:gridCol w:w="1238"/>
        <w:gridCol w:w="1238"/>
        <w:gridCol w:w="1349"/>
      </w:tblGrid>
      <w:tr w:rsidR="00F466A1" w:rsidRPr="00B6632F" w:rsidTr="00B01602">
        <w:trPr>
          <w:trHeight w:val="324"/>
        </w:trPr>
        <w:tc>
          <w:tcPr>
            <w:tcW w:w="1334" w:type="dxa"/>
            <w:noWrap/>
            <w:hideMark/>
          </w:tcPr>
          <w:p w:rsidR="00F466A1" w:rsidRPr="00B6632F" w:rsidRDefault="00F466A1" w:rsidP="00B6632F">
            <w:pPr>
              <w:jc w:val="both"/>
              <w:rPr>
                <w:rFonts w:ascii="Arial" w:eastAsia="Times New Roman" w:hAnsi="Arial" w:cs="Arial"/>
                <w:color w:val="000000"/>
                <w:sz w:val="20"/>
                <w:szCs w:val="20"/>
              </w:rPr>
            </w:pP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34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F466A1" w:rsidRPr="00B6632F" w:rsidTr="00B01602">
        <w:trPr>
          <w:trHeight w:val="324"/>
        </w:trPr>
        <w:tc>
          <w:tcPr>
            <w:tcW w:w="133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2.24</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2.34</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5.78</w:t>
            </w:r>
          </w:p>
        </w:tc>
        <w:tc>
          <w:tcPr>
            <w:tcW w:w="134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1.66</w:t>
            </w:r>
          </w:p>
        </w:tc>
      </w:tr>
      <w:tr w:rsidR="00F466A1" w:rsidRPr="00B6632F" w:rsidTr="00B01602">
        <w:trPr>
          <w:trHeight w:val="324"/>
        </w:trPr>
        <w:tc>
          <w:tcPr>
            <w:tcW w:w="133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5.45</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6.06</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8.75</w:t>
            </w:r>
          </w:p>
        </w:tc>
        <w:tc>
          <w:tcPr>
            <w:tcW w:w="134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4.65</w:t>
            </w:r>
          </w:p>
        </w:tc>
      </w:tr>
      <w:tr w:rsidR="00F466A1" w:rsidRPr="00B6632F" w:rsidTr="00B01602">
        <w:trPr>
          <w:trHeight w:val="324"/>
        </w:trPr>
        <w:tc>
          <w:tcPr>
            <w:tcW w:w="133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3.58</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5.72</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7.42</w:t>
            </w:r>
          </w:p>
        </w:tc>
        <w:tc>
          <w:tcPr>
            <w:tcW w:w="134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3.94</w:t>
            </w:r>
          </w:p>
        </w:tc>
      </w:tr>
      <w:tr w:rsidR="00F466A1" w:rsidRPr="00B6632F" w:rsidTr="00B01602">
        <w:trPr>
          <w:trHeight w:val="324"/>
        </w:trPr>
        <w:tc>
          <w:tcPr>
            <w:tcW w:w="133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2.83</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3.09</w:t>
            </w:r>
          </w:p>
        </w:tc>
        <w:tc>
          <w:tcPr>
            <w:tcW w:w="12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5.38</w:t>
            </w:r>
          </w:p>
        </w:tc>
        <w:tc>
          <w:tcPr>
            <w:tcW w:w="134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3.42</w:t>
            </w:r>
          </w:p>
        </w:tc>
      </w:tr>
    </w:tbl>
    <w:p w:rsidR="000F10AC" w:rsidRDefault="00B6632F" w:rsidP="00B01602">
      <w:pPr>
        <w:spacing w:before="120" w:after="120" w:line="240" w:lineRule="auto"/>
        <w:ind w:firstLine="720"/>
        <w:jc w:val="both"/>
        <w:rPr>
          <w:rFonts w:ascii="Arial" w:hAnsi="Arial" w:cs="Arial"/>
          <w:sz w:val="20"/>
          <w:szCs w:val="20"/>
        </w:rPr>
      </w:pPr>
      <w:r>
        <w:rPr>
          <w:rFonts w:ascii="Arial" w:hAnsi="Arial" w:cs="Arial"/>
          <w:sz w:val="20"/>
          <w:szCs w:val="20"/>
        </w:rPr>
        <w:t xml:space="preserve">Table </w:t>
      </w:r>
      <w:r w:rsidR="00427995">
        <w:rPr>
          <w:rFonts w:ascii="Arial" w:hAnsi="Arial" w:cs="Arial"/>
          <w:sz w:val="20"/>
          <w:szCs w:val="20"/>
        </w:rPr>
        <w:t>4.</w:t>
      </w:r>
      <w:r w:rsidR="00F466A1" w:rsidRPr="00B6632F">
        <w:rPr>
          <w:rFonts w:ascii="Arial" w:hAnsi="Arial" w:cs="Arial"/>
          <w:sz w:val="20"/>
          <w:szCs w:val="20"/>
        </w:rPr>
        <w:t xml:space="preserve"> reveals that in the first flush, the per cent of light transmission through tea bushes was found to be highest in T2 (</w:t>
      </w:r>
      <w:r w:rsidR="00F466A1" w:rsidRPr="00B6632F">
        <w:rPr>
          <w:rFonts w:ascii="Arial" w:eastAsia="Times New Roman" w:hAnsi="Arial" w:cs="Arial"/>
          <w:color w:val="000000"/>
          <w:sz w:val="20"/>
          <w:szCs w:val="20"/>
        </w:rPr>
        <w:t xml:space="preserve">5.45 %) and lowest in T1 (2.24 %). In the second flush, </w:t>
      </w:r>
      <w:r w:rsidR="00F466A1" w:rsidRPr="00B6632F">
        <w:rPr>
          <w:rFonts w:ascii="Arial" w:hAnsi="Arial" w:cs="Arial"/>
          <w:sz w:val="20"/>
          <w:szCs w:val="20"/>
        </w:rPr>
        <w:t>the per cent of light transmission through tea bushes was found to be highest in T2 (</w:t>
      </w:r>
      <w:r w:rsidR="00F466A1" w:rsidRPr="00B6632F">
        <w:rPr>
          <w:rFonts w:ascii="Arial" w:eastAsia="Times New Roman" w:hAnsi="Arial" w:cs="Arial"/>
          <w:color w:val="000000"/>
          <w:sz w:val="20"/>
          <w:szCs w:val="20"/>
        </w:rPr>
        <w:t xml:space="preserve">6.06 %) and lowest in T1 (2.34 %). In the rain flush, </w:t>
      </w:r>
      <w:r w:rsidR="00F466A1" w:rsidRPr="00B6632F">
        <w:rPr>
          <w:rFonts w:ascii="Arial" w:hAnsi="Arial" w:cs="Arial"/>
          <w:sz w:val="20"/>
          <w:szCs w:val="20"/>
        </w:rPr>
        <w:t>the per cent of light transmission through tea bushes was found to be highest in T2 (</w:t>
      </w:r>
      <w:r w:rsidR="00F466A1" w:rsidRPr="00B6632F">
        <w:rPr>
          <w:rFonts w:ascii="Arial" w:eastAsia="Times New Roman" w:hAnsi="Arial" w:cs="Arial"/>
          <w:color w:val="000000"/>
          <w:sz w:val="20"/>
          <w:szCs w:val="20"/>
        </w:rPr>
        <w:t xml:space="preserve">8.75 %) and lowest in T4 (5.38 %). In the autumn flush, </w:t>
      </w:r>
      <w:r w:rsidR="00F466A1" w:rsidRPr="00B6632F">
        <w:rPr>
          <w:rFonts w:ascii="Arial" w:hAnsi="Arial" w:cs="Arial"/>
          <w:sz w:val="20"/>
          <w:szCs w:val="20"/>
        </w:rPr>
        <w:t>the per cent of light transmission through tea bushes was found to be highest in T2 (</w:t>
      </w:r>
      <w:r w:rsidR="00F466A1" w:rsidRPr="00B6632F">
        <w:rPr>
          <w:rFonts w:ascii="Arial" w:eastAsia="Times New Roman" w:hAnsi="Arial" w:cs="Arial"/>
          <w:color w:val="000000"/>
          <w:sz w:val="20"/>
          <w:szCs w:val="20"/>
        </w:rPr>
        <w:t xml:space="preserve">4.65 %) and lowest in T1 (1.66 %). The </w:t>
      </w:r>
      <w:r w:rsidR="00F466A1" w:rsidRPr="00B6632F">
        <w:rPr>
          <w:rFonts w:ascii="Arial" w:hAnsi="Arial" w:cs="Arial"/>
          <w:sz w:val="20"/>
          <w:szCs w:val="20"/>
        </w:rPr>
        <w:t>mean per cent of light transmission (%) through tea bushes under different treatments was found to be significant over control in all the four flushes.</w:t>
      </w:r>
    </w:p>
    <w:p w:rsidR="000F10AC" w:rsidRDefault="0065368B" w:rsidP="00B6632F">
      <w:pPr>
        <w:spacing w:before="120" w:after="120" w:line="240" w:lineRule="auto"/>
        <w:jc w:val="both"/>
        <w:rPr>
          <w:rFonts w:ascii="Arial" w:hAnsi="Arial" w:cs="Arial"/>
          <w:sz w:val="20"/>
          <w:szCs w:val="20"/>
        </w:rPr>
      </w:pPr>
      <w:r w:rsidRPr="00EB6C69">
        <w:rPr>
          <w:rFonts w:ascii="Arial" w:hAnsi="Arial" w:cs="Arial"/>
          <w:noProof/>
          <w:sz w:val="20"/>
          <w:szCs w:val="20"/>
          <w:lang w:bidi="hi-IN"/>
        </w:rPr>
        <w:drawing>
          <wp:anchor distT="0" distB="0" distL="114300" distR="114300" simplePos="0" relativeHeight="251658752" behindDoc="1" locked="0" layoutInCell="1" allowOverlap="1">
            <wp:simplePos x="0" y="0"/>
            <wp:positionH relativeFrom="column">
              <wp:posOffset>72765</wp:posOffset>
            </wp:positionH>
            <wp:positionV relativeFrom="paragraph">
              <wp:posOffset>3102</wp:posOffset>
            </wp:positionV>
            <wp:extent cx="4412167" cy="1241113"/>
            <wp:effectExtent l="0" t="0" r="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B6C69" w:rsidRDefault="00EB6C69" w:rsidP="00B6632F">
      <w:pPr>
        <w:spacing w:before="120" w:after="120" w:line="240" w:lineRule="auto"/>
        <w:jc w:val="both"/>
        <w:rPr>
          <w:rFonts w:ascii="Arial" w:hAnsi="Arial" w:cs="Arial"/>
          <w:sz w:val="20"/>
          <w:szCs w:val="20"/>
        </w:rPr>
      </w:pPr>
    </w:p>
    <w:p w:rsidR="00431BD4" w:rsidRDefault="00431BD4" w:rsidP="0065368B">
      <w:pPr>
        <w:spacing w:line="240" w:lineRule="auto"/>
        <w:rPr>
          <w:rFonts w:ascii="Arial" w:hAnsi="Arial" w:cs="Arial"/>
          <w:sz w:val="20"/>
          <w:szCs w:val="20"/>
        </w:rPr>
      </w:pPr>
    </w:p>
    <w:p w:rsidR="00FD624C" w:rsidRDefault="00FD624C" w:rsidP="00EB6C69">
      <w:pPr>
        <w:spacing w:line="240" w:lineRule="auto"/>
        <w:jc w:val="center"/>
        <w:rPr>
          <w:rFonts w:ascii="Arial" w:hAnsi="Arial" w:cs="Arial"/>
          <w:sz w:val="20"/>
          <w:szCs w:val="20"/>
        </w:rPr>
      </w:pPr>
    </w:p>
    <w:p w:rsidR="00EB6C69" w:rsidRPr="00EB6C69" w:rsidRDefault="00EB6C69" w:rsidP="00EB6C69">
      <w:pPr>
        <w:spacing w:line="240" w:lineRule="auto"/>
        <w:jc w:val="center"/>
        <w:rPr>
          <w:rFonts w:ascii="Arial" w:hAnsi="Arial" w:cs="Arial"/>
          <w:sz w:val="20"/>
          <w:szCs w:val="20"/>
        </w:rPr>
      </w:pPr>
      <w:r w:rsidRPr="00EB6C69">
        <w:rPr>
          <w:rFonts w:ascii="Arial" w:hAnsi="Arial" w:cs="Arial"/>
          <w:sz w:val="20"/>
          <w:szCs w:val="20"/>
        </w:rPr>
        <w:t>FIG.</w:t>
      </w:r>
      <w:r>
        <w:rPr>
          <w:rFonts w:ascii="Arial" w:hAnsi="Arial" w:cs="Arial"/>
          <w:sz w:val="20"/>
          <w:szCs w:val="20"/>
        </w:rPr>
        <w:t xml:space="preserve"> 3</w:t>
      </w:r>
      <w:r w:rsidRPr="00EB6C69">
        <w:rPr>
          <w:rFonts w:ascii="Arial" w:hAnsi="Arial" w:cs="Arial"/>
          <w:sz w:val="20"/>
          <w:szCs w:val="20"/>
        </w:rPr>
        <w:t>. PER CENT OF LIGHT TRANSMISSION (%) THROUGH TEA BUSHES UNDER DIFFERENT TREATMENTS</w:t>
      </w:r>
    </w:p>
    <w:p w:rsidR="00A21CA8" w:rsidRPr="00A21CA8" w:rsidRDefault="000352BC" w:rsidP="00A21CA8">
      <w:pPr>
        <w:rPr>
          <w:rFonts w:ascii="Arial" w:hAnsi="Arial" w:cs="Arial"/>
          <w:b/>
          <w:sz w:val="20"/>
          <w:szCs w:val="20"/>
        </w:rPr>
      </w:pPr>
      <w:r>
        <w:rPr>
          <w:rFonts w:ascii="Arial" w:hAnsi="Arial" w:cs="Arial"/>
          <w:b/>
          <w:sz w:val="20"/>
          <w:szCs w:val="20"/>
        </w:rPr>
        <w:t>3.3</w:t>
      </w:r>
      <w:r w:rsidR="002F44EB">
        <w:rPr>
          <w:rFonts w:ascii="Arial" w:hAnsi="Arial" w:cs="Arial"/>
          <w:b/>
          <w:sz w:val="20"/>
          <w:szCs w:val="20"/>
        </w:rPr>
        <w:t>.</w:t>
      </w:r>
      <w:r w:rsidR="00A21CA8" w:rsidRPr="00A21CA8">
        <w:rPr>
          <w:rFonts w:ascii="Arial" w:hAnsi="Arial" w:cs="Arial"/>
          <w:b/>
          <w:sz w:val="20"/>
          <w:szCs w:val="20"/>
        </w:rPr>
        <w:t>Measurement of SPAD unit</w:t>
      </w:r>
    </w:p>
    <w:p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The data pertaining to SPAD value at different treat</w:t>
      </w:r>
      <w:r w:rsidR="00B6632F">
        <w:rPr>
          <w:rFonts w:ascii="Arial" w:hAnsi="Arial" w:cs="Arial"/>
          <w:sz w:val="20"/>
          <w:szCs w:val="20"/>
        </w:rPr>
        <w:t xml:space="preserve">ments are presented in Table </w:t>
      </w:r>
      <w:r w:rsidR="00427995">
        <w:rPr>
          <w:rFonts w:ascii="Arial" w:hAnsi="Arial" w:cs="Arial"/>
          <w:sz w:val="20"/>
          <w:szCs w:val="20"/>
        </w:rPr>
        <w:t>5.</w:t>
      </w:r>
    </w:p>
    <w:p w:rsidR="00F466A1" w:rsidRPr="00B6632F" w:rsidRDefault="00427995" w:rsidP="00B6632F">
      <w:pPr>
        <w:tabs>
          <w:tab w:val="left" w:pos="90"/>
        </w:tabs>
        <w:spacing w:line="240" w:lineRule="auto"/>
        <w:jc w:val="both"/>
        <w:rPr>
          <w:rFonts w:ascii="Arial" w:hAnsi="Arial" w:cs="Arial"/>
          <w:b/>
          <w:sz w:val="20"/>
          <w:szCs w:val="20"/>
        </w:rPr>
      </w:pPr>
      <w:r>
        <w:rPr>
          <w:rFonts w:ascii="Arial" w:hAnsi="Arial" w:cs="Arial"/>
          <w:b/>
          <w:sz w:val="20"/>
          <w:szCs w:val="20"/>
        </w:rPr>
        <w:t>Table 5</w:t>
      </w:r>
      <w:r w:rsidR="00F466A1" w:rsidRPr="00B6632F">
        <w:rPr>
          <w:rFonts w:ascii="Arial" w:hAnsi="Arial" w:cs="Arial"/>
          <w:b/>
          <w:sz w:val="20"/>
          <w:szCs w:val="20"/>
        </w:rPr>
        <w:t>. Mean SPAD value for different treatments in the four flushes</w:t>
      </w:r>
    </w:p>
    <w:tbl>
      <w:tblPr>
        <w:tblStyle w:val="TableGrid"/>
        <w:tblW w:w="6793" w:type="dxa"/>
        <w:tblLook w:val="04A0"/>
      </w:tblPr>
      <w:tblGrid>
        <w:gridCol w:w="1441"/>
        <w:gridCol w:w="1338"/>
        <w:gridCol w:w="1338"/>
        <w:gridCol w:w="1338"/>
        <w:gridCol w:w="1338"/>
      </w:tblGrid>
      <w:tr w:rsidR="00F466A1" w:rsidRPr="00B6632F" w:rsidTr="00B01602">
        <w:trPr>
          <w:trHeight w:val="375"/>
        </w:trPr>
        <w:tc>
          <w:tcPr>
            <w:tcW w:w="1441" w:type="dxa"/>
            <w:noWrap/>
            <w:hideMark/>
          </w:tcPr>
          <w:p w:rsidR="00F466A1" w:rsidRPr="00B6632F" w:rsidRDefault="00F466A1" w:rsidP="00B6632F">
            <w:pPr>
              <w:jc w:val="both"/>
              <w:rPr>
                <w:rFonts w:ascii="Arial" w:eastAsia="Times New Roman" w:hAnsi="Arial" w:cs="Arial"/>
                <w:color w:val="000000"/>
                <w:sz w:val="20"/>
                <w:szCs w:val="20"/>
              </w:rPr>
            </w:pP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F466A1" w:rsidRPr="00B6632F" w:rsidTr="00B01602">
        <w:trPr>
          <w:trHeight w:val="375"/>
        </w:trPr>
        <w:tc>
          <w:tcPr>
            <w:tcW w:w="144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52.35</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49.19</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55.66</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47.04</w:t>
            </w:r>
          </w:p>
        </w:tc>
      </w:tr>
      <w:tr w:rsidR="00F466A1" w:rsidRPr="00B6632F" w:rsidTr="00B01602">
        <w:trPr>
          <w:trHeight w:val="375"/>
        </w:trPr>
        <w:tc>
          <w:tcPr>
            <w:tcW w:w="144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43.36</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47.16</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52.34</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42.13</w:t>
            </w:r>
          </w:p>
        </w:tc>
      </w:tr>
      <w:tr w:rsidR="00F466A1" w:rsidRPr="00B6632F" w:rsidTr="00B01602">
        <w:trPr>
          <w:trHeight w:val="375"/>
        </w:trPr>
        <w:tc>
          <w:tcPr>
            <w:tcW w:w="144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44.88</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47.28</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52.02</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45.94</w:t>
            </w:r>
          </w:p>
        </w:tc>
      </w:tr>
      <w:tr w:rsidR="00F466A1" w:rsidRPr="00B6632F" w:rsidTr="00B01602">
        <w:trPr>
          <w:trHeight w:val="375"/>
        </w:trPr>
        <w:tc>
          <w:tcPr>
            <w:tcW w:w="144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49.4</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48.07</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55.01</w:t>
            </w:r>
          </w:p>
        </w:tc>
        <w:tc>
          <w:tcPr>
            <w:tcW w:w="1338"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44.01</w:t>
            </w:r>
          </w:p>
        </w:tc>
      </w:tr>
    </w:tbl>
    <w:p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SPAD value was observed to be significantly higher in plants under conventional shade than in rubber tree shade in the first flush. The SPAD values were found to be non-significant in the second flush, rain flush and in the autumn flush.</w:t>
      </w:r>
    </w:p>
    <w:p w:rsidR="00F466A1" w:rsidRPr="00B6632F" w:rsidRDefault="00F466A1" w:rsidP="00B6632F">
      <w:pPr>
        <w:spacing w:before="120" w:after="120" w:line="240" w:lineRule="auto"/>
        <w:jc w:val="both"/>
        <w:rPr>
          <w:rFonts w:ascii="Arial" w:eastAsia="Times New Roman" w:hAnsi="Arial" w:cs="Arial"/>
          <w:color w:val="000000"/>
          <w:sz w:val="20"/>
          <w:szCs w:val="20"/>
        </w:rPr>
      </w:pPr>
      <w:r w:rsidRPr="00B6632F">
        <w:rPr>
          <w:rFonts w:ascii="Arial" w:hAnsi="Arial" w:cs="Arial"/>
          <w:sz w:val="20"/>
          <w:szCs w:val="20"/>
        </w:rPr>
        <w:t>In the first flush, the SPAD value was found to be highest in T1 (</w:t>
      </w:r>
      <w:r w:rsidRPr="00B6632F">
        <w:rPr>
          <w:rFonts w:ascii="Arial" w:eastAsia="Times New Roman" w:hAnsi="Arial" w:cs="Arial"/>
          <w:color w:val="000000"/>
          <w:sz w:val="20"/>
          <w:szCs w:val="20"/>
        </w:rPr>
        <w:t xml:space="preserve">52.35) and lowest in T2 (43.36). T1 and T4 were found to be statistically at par. T1 was found to be significant over T2 and T3. T4 did not vary over T2 and T3. In the second flush, </w:t>
      </w:r>
      <w:r w:rsidRPr="00B6632F">
        <w:rPr>
          <w:rFonts w:ascii="Arial" w:hAnsi="Arial" w:cs="Arial"/>
          <w:sz w:val="20"/>
          <w:szCs w:val="20"/>
        </w:rPr>
        <w:t>the SPAD value was found to be highest in T1 (49.19</w:t>
      </w:r>
      <w:r w:rsidRPr="00B6632F">
        <w:rPr>
          <w:rFonts w:ascii="Arial" w:eastAsia="Times New Roman" w:hAnsi="Arial" w:cs="Arial"/>
          <w:color w:val="000000"/>
          <w:sz w:val="20"/>
          <w:szCs w:val="20"/>
        </w:rPr>
        <w:t xml:space="preserve">) and lowest was found in T2 (47.16). In the rain flush, </w:t>
      </w:r>
      <w:r w:rsidRPr="00B6632F">
        <w:rPr>
          <w:rFonts w:ascii="Arial" w:hAnsi="Arial" w:cs="Arial"/>
          <w:sz w:val="20"/>
          <w:szCs w:val="20"/>
        </w:rPr>
        <w:t>the SPAD value was found to be highest in T1 (55.66</w:t>
      </w:r>
      <w:r w:rsidRPr="00B6632F">
        <w:rPr>
          <w:rFonts w:ascii="Arial" w:eastAsia="Times New Roman" w:hAnsi="Arial" w:cs="Arial"/>
          <w:color w:val="000000"/>
          <w:sz w:val="20"/>
          <w:szCs w:val="20"/>
        </w:rPr>
        <w:t xml:space="preserve">) and lowest was found in T3 (52.02).In the autumn flush, </w:t>
      </w:r>
      <w:r w:rsidRPr="00B6632F">
        <w:rPr>
          <w:rFonts w:ascii="Arial" w:hAnsi="Arial" w:cs="Arial"/>
          <w:sz w:val="20"/>
          <w:szCs w:val="20"/>
        </w:rPr>
        <w:t>the SPAD value was found to be highest in T1 (47.04</w:t>
      </w:r>
      <w:r w:rsidRPr="00B6632F">
        <w:rPr>
          <w:rFonts w:ascii="Arial" w:eastAsia="Times New Roman" w:hAnsi="Arial" w:cs="Arial"/>
          <w:color w:val="000000"/>
          <w:sz w:val="20"/>
          <w:szCs w:val="20"/>
        </w:rPr>
        <w:t>) and lowest was found in T2 (42.13).</w:t>
      </w:r>
    </w:p>
    <w:p w:rsidR="005B71B0" w:rsidRDefault="0065368B" w:rsidP="00B6632F">
      <w:pPr>
        <w:spacing w:line="240" w:lineRule="auto"/>
        <w:jc w:val="both"/>
        <w:rPr>
          <w:rFonts w:ascii="Arial" w:hAnsi="Arial" w:cs="Arial"/>
          <w:sz w:val="20"/>
          <w:szCs w:val="20"/>
        </w:rPr>
      </w:pPr>
      <w:r w:rsidRPr="003C505C">
        <w:rPr>
          <w:rFonts w:ascii="Arial" w:hAnsi="Arial" w:cs="Arial"/>
          <w:noProof/>
          <w:sz w:val="20"/>
          <w:szCs w:val="20"/>
          <w:lang w:bidi="hi-IN"/>
        </w:rPr>
        <w:drawing>
          <wp:anchor distT="0" distB="0" distL="114300" distR="114300" simplePos="0" relativeHeight="251660800" behindDoc="1" locked="0" layoutInCell="1" allowOverlap="1">
            <wp:simplePos x="0" y="0"/>
            <wp:positionH relativeFrom="column">
              <wp:posOffset>363488</wp:posOffset>
            </wp:positionH>
            <wp:positionV relativeFrom="paragraph">
              <wp:posOffset>73660</wp:posOffset>
            </wp:positionV>
            <wp:extent cx="4305300" cy="1569720"/>
            <wp:effectExtent l="0" t="0" r="0" b="0"/>
            <wp:wrapTight wrapText="bothSides">
              <wp:wrapPolygon edited="0">
                <wp:start x="0" y="0"/>
                <wp:lineTo x="0" y="21495"/>
                <wp:lineTo x="21504" y="21495"/>
                <wp:lineTo x="21504" y="0"/>
                <wp:lineTo x="0" y="0"/>
              </wp:wrapPolygon>
            </wp:wrapTight>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5B71B0" w:rsidRDefault="005B71B0" w:rsidP="00B6632F">
      <w:pPr>
        <w:spacing w:line="240" w:lineRule="auto"/>
        <w:jc w:val="both"/>
        <w:rPr>
          <w:rFonts w:ascii="Arial" w:hAnsi="Arial" w:cs="Arial"/>
          <w:sz w:val="20"/>
          <w:szCs w:val="20"/>
        </w:rPr>
      </w:pPr>
    </w:p>
    <w:p w:rsidR="0065368B" w:rsidRDefault="0065368B" w:rsidP="003C505C">
      <w:pPr>
        <w:jc w:val="center"/>
        <w:rPr>
          <w:rFonts w:ascii="Arial" w:hAnsi="Arial" w:cs="Arial"/>
          <w:sz w:val="20"/>
          <w:szCs w:val="20"/>
        </w:rPr>
      </w:pPr>
    </w:p>
    <w:p w:rsidR="0065368B" w:rsidRDefault="0065368B" w:rsidP="003C505C">
      <w:pPr>
        <w:jc w:val="center"/>
        <w:rPr>
          <w:rFonts w:ascii="Arial" w:hAnsi="Arial" w:cs="Arial"/>
          <w:sz w:val="20"/>
          <w:szCs w:val="20"/>
        </w:rPr>
      </w:pPr>
    </w:p>
    <w:p w:rsidR="0065368B" w:rsidRDefault="0065368B" w:rsidP="003C505C">
      <w:pPr>
        <w:jc w:val="center"/>
        <w:rPr>
          <w:rFonts w:ascii="Arial" w:hAnsi="Arial" w:cs="Arial"/>
          <w:sz w:val="20"/>
          <w:szCs w:val="20"/>
        </w:rPr>
      </w:pPr>
    </w:p>
    <w:p w:rsidR="0065368B" w:rsidRDefault="0065368B" w:rsidP="003C505C">
      <w:pPr>
        <w:jc w:val="center"/>
        <w:rPr>
          <w:rFonts w:ascii="Arial" w:hAnsi="Arial" w:cs="Arial"/>
          <w:sz w:val="20"/>
          <w:szCs w:val="20"/>
        </w:rPr>
      </w:pPr>
    </w:p>
    <w:p w:rsidR="003C505C" w:rsidRPr="003C505C" w:rsidRDefault="003C505C" w:rsidP="003C505C">
      <w:pPr>
        <w:jc w:val="center"/>
        <w:rPr>
          <w:rFonts w:ascii="Arial" w:hAnsi="Arial" w:cs="Arial"/>
          <w:sz w:val="20"/>
          <w:szCs w:val="20"/>
        </w:rPr>
      </w:pPr>
      <w:r w:rsidRPr="003C505C">
        <w:rPr>
          <w:rFonts w:ascii="Arial" w:hAnsi="Arial" w:cs="Arial"/>
          <w:sz w:val="20"/>
          <w:szCs w:val="20"/>
        </w:rPr>
        <w:t>FIG.</w:t>
      </w:r>
      <w:r>
        <w:rPr>
          <w:rFonts w:ascii="Arial" w:hAnsi="Arial" w:cs="Arial"/>
          <w:sz w:val="20"/>
          <w:szCs w:val="20"/>
        </w:rPr>
        <w:t xml:space="preserve"> 4</w:t>
      </w:r>
      <w:r w:rsidRPr="003C505C">
        <w:rPr>
          <w:rFonts w:ascii="Arial" w:hAnsi="Arial" w:cs="Arial"/>
          <w:sz w:val="20"/>
          <w:szCs w:val="20"/>
        </w:rPr>
        <w:t>. SPAD VALUE FOR DIFFERENT TREATMENTS IN THE FOUR FLUSHES</w:t>
      </w:r>
    </w:p>
    <w:p w:rsidR="00F466A1" w:rsidRPr="00B6632F" w:rsidRDefault="000352BC" w:rsidP="00B6632F">
      <w:pPr>
        <w:spacing w:line="240" w:lineRule="auto"/>
        <w:jc w:val="both"/>
        <w:rPr>
          <w:rFonts w:ascii="Arial" w:hAnsi="Arial" w:cs="Arial"/>
          <w:b/>
          <w:sz w:val="20"/>
          <w:szCs w:val="20"/>
        </w:rPr>
      </w:pPr>
      <w:r>
        <w:rPr>
          <w:rFonts w:ascii="Arial" w:hAnsi="Arial" w:cs="Arial"/>
          <w:b/>
          <w:sz w:val="20"/>
          <w:szCs w:val="20"/>
        </w:rPr>
        <w:t>3.4</w:t>
      </w:r>
      <w:r w:rsidR="002F44EB">
        <w:rPr>
          <w:rFonts w:ascii="Arial" w:hAnsi="Arial" w:cs="Arial"/>
          <w:b/>
          <w:sz w:val="20"/>
          <w:szCs w:val="20"/>
        </w:rPr>
        <w:t>.</w:t>
      </w:r>
      <w:r w:rsidR="00F466A1" w:rsidRPr="00B6632F">
        <w:rPr>
          <w:rFonts w:ascii="Arial" w:hAnsi="Arial" w:cs="Arial"/>
          <w:b/>
          <w:sz w:val="20"/>
          <w:szCs w:val="20"/>
        </w:rPr>
        <w:t xml:space="preserve">Chlorophyll content (Chlorophyll a, b and total chlorophyll) </w:t>
      </w:r>
    </w:p>
    <w:p w:rsidR="00F466A1" w:rsidRPr="00B6632F" w:rsidRDefault="00F466A1" w:rsidP="00B6632F">
      <w:pPr>
        <w:spacing w:line="240" w:lineRule="auto"/>
        <w:jc w:val="both"/>
        <w:rPr>
          <w:rFonts w:ascii="Arial" w:hAnsi="Arial" w:cs="Arial"/>
          <w:b/>
          <w:sz w:val="20"/>
          <w:szCs w:val="20"/>
        </w:rPr>
      </w:pPr>
      <w:r w:rsidRPr="00B6632F">
        <w:rPr>
          <w:rFonts w:ascii="Arial" w:hAnsi="Arial" w:cs="Arial"/>
          <w:b/>
          <w:sz w:val="20"/>
          <w:szCs w:val="20"/>
        </w:rPr>
        <w:t>Using destructive method (DMSO):</w:t>
      </w:r>
    </w:p>
    <w:p w:rsidR="00F466A1" w:rsidRPr="00B6632F" w:rsidRDefault="00F466A1" w:rsidP="00B6632F">
      <w:pPr>
        <w:spacing w:before="120" w:after="120" w:line="240" w:lineRule="auto"/>
        <w:jc w:val="both"/>
        <w:rPr>
          <w:rFonts w:ascii="Arial" w:hAnsi="Arial" w:cs="Arial"/>
          <w:sz w:val="20"/>
          <w:szCs w:val="20"/>
        </w:rPr>
      </w:pPr>
      <w:r w:rsidRPr="00B6632F">
        <w:rPr>
          <w:rFonts w:ascii="Arial" w:hAnsi="Arial" w:cs="Arial"/>
          <w:sz w:val="20"/>
          <w:szCs w:val="20"/>
        </w:rPr>
        <w:t>Chlorophyll content in the pluckable shoots under differ</w:t>
      </w:r>
      <w:r w:rsidR="00B6632F">
        <w:rPr>
          <w:rFonts w:ascii="Arial" w:hAnsi="Arial" w:cs="Arial"/>
          <w:sz w:val="20"/>
          <w:szCs w:val="20"/>
        </w:rPr>
        <w:t>ent treatments was determined</w:t>
      </w:r>
    </w:p>
    <w:p w:rsidR="00F466A1" w:rsidRPr="00B6632F" w:rsidRDefault="00B6632F" w:rsidP="00B6632F">
      <w:pPr>
        <w:tabs>
          <w:tab w:val="left" w:pos="990"/>
        </w:tabs>
        <w:spacing w:line="240" w:lineRule="auto"/>
        <w:jc w:val="both"/>
        <w:rPr>
          <w:rFonts w:ascii="Arial" w:hAnsi="Arial" w:cs="Arial"/>
          <w:b/>
          <w:sz w:val="20"/>
          <w:szCs w:val="20"/>
        </w:rPr>
      </w:pPr>
      <w:r>
        <w:rPr>
          <w:rFonts w:ascii="Arial" w:hAnsi="Arial" w:cs="Arial"/>
          <w:b/>
          <w:sz w:val="20"/>
          <w:szCs w:val="20"/>
        </w:rPr>
        <w:t>Table</w:t>
      </w:r>
      <w:r w:rsidR="00427995">
        <w:rPr>
          <w:rFonts w:ascii="Arial" w:hAnsi="Arial" w:cs="Arial"/>
          <w:b/>
          <w:sz w:val="20"/>
          <w:szCs w:val="20"/>
        </w:rPr>
        <w:t xml:space="preserve"> 6</w:t>
      </w:r>
      <w:r w:rsidR="00F466A1" w:rsidRPr="00B6632F">
        <w:rPr>
          <w:rFonts w:ascii="Arial" w:hAnsi="Arial" w:cs="Arial"/>
          <w:b/>
          <w:sz w:val="20"/>
          <w:szCs w:val="20"/>
        </w:rPr>
        <w:t>. Chlorophyll content of tea leaves under different treatments</w:t>
      </w:r>
    </w:p>
    <w:tbl>
      <w:tblPr>
        <w:tblStyle w:val="TableGrid"/>
        <w:tblW w:w="6694" w:type="dxa"/>
        <w:tblInd w:w="757" w:type="dxa"/>
        <w:tblLook w:val="04A0"/>
      </w:tblPr>
      <w:tblGrid>
        <w:gridCol w:w="1672"/>
        <w:gridCol w:w="1181"/>
        <w:gridCol w:w="1181"/>
        <w:gridCol w:w="1181"/>
        <w:gridCol w:w="1479"/>
      </w:tblGrid>
      <w:tr w:rsidR="00F466A1" w:rsidRPr="00B6632F" w:rsidTr="00F16F26">
        <w:trPr>
          <w:trHeight w:val="298"/>
        </w:trPr>
        <w:tc>
          <w:tcPr>
            <w:tcW w:w="1672" w:type="dxa"/>
            <w:noWrap/>
            <w:hideMark/>
          </w:tcPr>
          <w:p w:rsidR="00F466A1" w:rsidRPr="00B6632F" w:rsidRDefault="00F466A1" w:rsidP="00B6632F">
            <w:pPr>
              <w:jc w:val="both"/>
              <w:rPr>
                <w:rFonts w:ascii="Arial" w:eastAsia="Times New Roman" w:hAnsi="Arial" w:cs="Arial"/>
                <w:color w:val="000000"/>
                <w:sz w:val="20"/>
                <w:szCs w:val="20"/>
              </w:rPr>
            </w:pP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Chl a</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Chl b</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Total Chl</w:t>
            </w:r>
          </w:p>
        </w:tc>
        <w:tc>
          <w:tcPr>
            <w:tcW w:w="147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Chl a: Chl b</w:t>
            </w:r>
          </w:p>
        </w:tc>
      </w:tr>
      <w:tr w:rsidR="00F466A1" w:rsidRPr="00B6632F" w:rsidTr="00F16F26">
        <w:trPr>
          <w:trHeight w:val="298"/>
        </w:trPr>
        <w:tc>
          <w:tcPr>
            <w:tcW w:w="1672"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1.94</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0.84</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2.78</w:t>
            </w:r>
          </w:p>
        </w:tc>
        <w:tc>
          <w:tcPr>
            <w:tcW w:w="147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2.32</w:t>
            </w:r>
          </w:p>
        </w:tc>
      </w:tr>
      <w:tr w:rsidR="00F466A1" w:rsidRPr="00B6632F" w:rsidTr="00F16F26">
        <w:trPr>
          <w:trHeight w:val="298"/>
        </w:trPr>
        <w:tc>
          <w:tcPr>
            <w:tcW w:w="1672"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1.35</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0.69</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2.04</w:t>
            </w:r>
          </w:p>
        </w:tc>
        <w:tc>
          <w:tcPr>
            <w:tcW w:w="147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1.96</w:t>
            </w:r>
          </w:p>
        </w:tc>
      </w:tr>
      <w:tr w:rsidR="00F466A1" w:rsidRPr="00B6632F" w:rsidTr="00F16F26">
        <w:trPr>
          <w:trHeight w:val="298"/>
        </w:trPr>
        <w:tc>
          <w:tcPr>
            <w:tcW w:w="1672"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1.52</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0.71</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2.23</w:t>
            </w:r>
          </w:p>
        </w:tc>
        <w:tc>
          <w:tcPr>
            <w:tcW w:w="147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2.16</w:t>
            </w:r>
          </w:p>
        </w:tc>
      </w:tr>
      <w:tr w:rsidR="00F466A1" w:rsidRPr="00B6632F" w:rsidTr="00F16F26">
        <w:trPr>
          <w:trHeight w:val="298"/>
        </w:trPr>
        <w:tc>
          <w:tcPr>
            <w:tcW w:w="1672"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1.89</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0.84</w:t>
            </w:r>
          </w:p>
        </w:tc>
        <w:tc>
          <w:tcPr>
            <w:tcW w:w="1181"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2.72</w:t>
            </w:r>
          </w:p>
        </w:tc>
        <w:tc>
          <w:tcPr>
            <w:tcW w:w="1479"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2.26</w:t>
            </w:r>
          </w:p>
        </w:tc>
      </w:tr>
    </w:tbl>
    <w:p w:rsidR="00F466A1" w:rsidRPr="00B6632F" w:rsidRDefault="00B6632F" w:rsidP="00B6632F">
      <w:pPr>
        <w:spacing w:before="120" w:after="120" w:line="240" w:lineRule="auto"/>
        <w:jc w:val="both"/>
        <w:rPr>
          <w:rFonts w:ascii="Arial" w:hAnsi="Arial" w:cs="Arial"/>
          <w:sz w:val="20"/>
          <w:szCs w:val="20"/>
        </w:rPr>
      </w:pPr>
      <w:r>
        <w:rPr>
          <w:rFonts w:ascii="Arial" w:hAnsi="Arial" w:cs="Arial"/>
          <w:sz w:val="20"/>
          <w:szCs w:val="20"/>
        </w:rPr>
        <w:t>From Table</w:t>
      </w:r>
      <w:r w:rsidR="00427995">
        <w:rPr>
          <w:rFonts w:ascii="Arial" w:hAnsi="Arial" w:cs="Arial"/>
          <w:sz w:val="20"/>
          <w:szCs w:val="20"/>
        </w:rPr>
        <w:t>6.</w:t>
      </w:r>
      <w:r w:rsidR="003C505C">
        <w:rPr>
          <w:rFonts w:ascii="Arial" w:hAnsi="Arial" w:cs="Arial"/>
          <w:sz w:val="20"/>
          <w:szCs w:val="20"/>
        </w:rPr>
        <w:t>,</w:t>
      </w:r>
      <w:r w:rsidR="00F466A1" w:rsidRPr="00B6632F">
        <w:rPr>
          <w:rFonts w:ascii="Arial" w:hAnsi="Arial" w:cs="Arial"/>
          <w:sz w:val="20"/>
          <w:szCs w:val="20"/>
        </w:rPr>
        <w:t xml:space="preserve"> it has been revealed that the chlorophyll a, chlorophyll b and total chlorophyll content of tea leaves was found to be significant in all the cases. The highest chlorophyll a (1.94 mg/g) was found in T1 and chlorophyll b (0.84 mg/g) was found in T1 as well as T4. Lowest chlorophyll a (1.35 mg/g) and chlorophyll b (0.69 mg/g) was recorded under T2. </w:t>
      </w:r>
    </w:p>
    <w:p w:rsidR="00F466A1" w:rsidRDefault="00F466A1" w:rsidP="00427995">
      <w:pPr>
        <w:spacing w:before="120" w:after="120" w:line="240" w:lineRule="auto"/>
        <w:jc w:val="both"/>
        <w:rPr>
          <w:rFonts w:ascii="Arial" w:hAnsi="Arial" w:cs="Arial"/>
          <w:sz w:val="20"/>
          <w:szCs w:val="20"/>
        </w:rPr>
      </w:pPr>
      <w:r w:rsidRPr="00B6632F">
        <w:rPr>
          <w:rFonts w:ascii="Arial" w:hAnsi="Arial" w:cs="Arial"/>
          <w:sz w:val="20"/>
          <w:szCs w:val="20"/>
        </w:rPr>
        <w:lastRenderedPageBreak/>
        <w:t>The total chlorophyll was found to be highest in T1 (2.78 mg/g) and lowest in T2 (2.04 mg/g). The ratio of chlorophyll a to chlorophyll b was found to be highest in T1 (2.32 mg/g) and lowest in T2 (1.96 mg/g). Chlorophyll a and chlorophyll b content was recorded to be higher in conventional shade than in rubber tree shade thereby increasing the total chlorophyll content in the leaves.</w:t>
      </w:r>
    </w:p>
    <w:p w:rsidR="003C505C" w:rsidRDefault="003C505C" w:rsidP="00427995">
      <w:pPr>
        <w:spacing w:before="120" w:after="120" w:line="240" w:lineRule="auto"/>
        <w:jc w:val="both"/>
        <w:rPr>
          <w:rFonts w:ascii="Arial" w:hAnsi="Arial" w:cs="Arial"/>
          <w:sz w:val="20"/>
          <w:szCs w:val="20"/>
        </w:rPr>
      </w:pPr>
      <w:r w:rsidRPr="003C505C">
        <w:rPr>
          <w:rFonts w:ascii="Arial" w:hAnsi="Arial" w:cs="Arial"/>
          <w:noProof/>
          <w:sz w:val="20"/>
          <w:szCs w:val="20"/>
          <w:lang w:bidi="hi-IN"/>
        </w:rPr>
        <w:drawing>
          <wp:inline distT="0" distB="0" distL="0" distR="0">
            <wp:extent cx="3823544" cy="1453526"/>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C505C" w:rsidRPr="003C505C" w:rsidRDefault="003C505C" w:rsidP="00BD55B1">
      <w:pPr>
        <w:spacing w:line="240" w:lineRule="auto"/>
        <w:rPr>
          <w:rFonts w:ascii="Arial" w:hAnsi="Arial" w:cs="Arial"/>
          <w:sz w:val="20"/>
          <w:szCs w:val="20"/>
        </w:rPr>
      </w:pPr>
      <w:r w:rsidRPr="003C505C">
        <w:rPr>
          <w:rFonts w:ascii="Arial" w:hAnsi="Arial" w:cs="Arial"/>
          <w:sz w:val="20"/>
          <w:szCs w:val="20"/>
        </w:rPr>
        <w:t xml:space="preserve">FIG. </w:t>
      </w:r>
      <w:r>
        <w:rPr>
          <w:rFonts w:ascii="Arial" w:hAnsi="Arial" w:cs="Arial"/>
          <w:sz w:val="20"/>
          <w:szCs w:val="20"/>
        </w:rPr>
        <w:t>5</w:t>
      </w:r>
      <w:r w:rsidRPr="003C505C">
        <w:rPr>
          <w:rFonts w:ascii="Arial" w:hAnsi="Arial" w:cs="Arial"/>
          <w:sz w:val="20"/>
          <w:szCs w:val="20"/>
        </w:rPr>
        <w:t>. CHLOROPHYLL a, CHLOROPHYLL b and TOTAL CHLOROPHYLL OF TEA LEAVES UNDER DIFFERENT SHADE TREATMENTS</w:t>
      </w:r>
    </w:p>
    <w:p w:rsidR="00BD55B1" w:rsidRDefault="00BD55B1" w:rsidP="00B6632F">
      <w:pPr>
        <w:spacing w:line="240" w:lineRule="auto"/>
        <w:jc w:val="both"/>
        <w:rPr>
          <w:rFonts w:ascii="Arial" w:hAnsi="Arial" w:cs="Arial"/>
          <w:b/>
          <w:sz w:val="20"/>
          <w:szCs w:val="20"/>
        </w:rPr>
      </w:pPr>
      <w:r w:rsidRPr="00BD55B1">
        <w:rPr>
          <w:rFonts w:ascii="Arial" w:hAnsi="Arial" w:cs="Arial"/>
          <w:b/>
          <w:noProof/>
          <w:sz w:val="20"/>
          <w:szCs w:val="20"/>
          <w:lang w:bidi="hi-IN"/>
        </w:rPr>
        <w:drawing>
          <wp:inline distT="0" distB="0" distL="0" distR="0">
            <wp:extent cx="3995875" cy="1670234"/>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55B1" w:rsidRPr="00BD55B1" w:rsidRDefault="00BD55B1" w:rsidP="00B6632F">
      <w:pPr>
        <w:spacing w:line="240" w:lineRule="auto"/>
        <w:jc w:val="both"/>
        <w:rPr>
          <w:rFonts w:ascii="Arial" w:hAnsi="Arial" w:cs="Arial"/>
          <w:b/>
          <w:sz w:val="20"/>
          <w:szCs w:val="20"/>
        </w:rPr>
      </w:pPr>
      <w:r w:rsidRPr="00BD55B1">
        <w:rPr>
          <w:rFonts w:ascii="Arial" w:hAnsi="Arial" w:cs="Arial"/>
          <w:sz w:val="20"/>
          <w:szCs w:val="20"/>
        </w:rPr>
        <w:t xml:space="preserve">FIG. </w:t>
      </w:r>
      <w:r>
        <w:rPr>
          <w:rFonts w:ascii="Arial" w:hAnsi="Arial" w:cs="Arial"/>
          <w:sz w:val="20"/>
          <w:szCs w:val="20"/>
        </w:rPr>
        <w:t>6</w:t>
      </w:r>
      <w:r w:rsidRPr="00BD55B1">
        <w:rPr>
          <w:rFonts w:ascii="Arial" w:hAnsi="Arial" w:cs="Arial"/>
          <w:sz w:val="20"/>
          <w:szCs w:val="20"/>
        </w:rPr>
        <w:t>. THE RATIO OF CHLOROPHYLL a: CHLOROPHYLL b OF TEA LEAVES UNDER DIFFERENT SHADE TREATMENTS</w:t>
      </w:r>
    </w:p>
    <w:p w:rsidR="00F466A1" w:rsidRPr="00B6632F" w:rsidRDefault="00F466A1" w:rsidP="00B6632F">
      <w:pPr>
        <w:spacing w:line="240" w:lineRule="auto"/>
        <w:jc w:val="both"/>
        <w:rPr>
          <w:rFonts w:ascii="Arial" w:hAnsi="Arial" w:cs="Arial"/>
          <w:sz w:val="20"/>
          <w:szCs w:val="20"/>
        </w:rPr>
      </w:pPr>
      <w:r w:rsidRPr="00B6632F">
        <w:rPr>
          <w:rFonts w:ascii="Arial" w:hAnsi="Arial" w:cs="Arial"/>
          <w:b/>
          <w:sz w:val="20"/>
          <w:szCs w:val="20"/>
        </w:rPr>
        <w:t>Using non-destructive method (SPAD Meter):</w:t>
      </w:r>
    </w:p>
    <w:p w:rsidR="00F466A1" w:rsidRPr="00B6632F" w:rsidRDefault="00F466A1" w:rsidP="00427995">
      <w:pPr>
        <w:spacing w:before="120" w:after="120" w:line="240" w:lineRule="auto"/>
        <w:jc w:val="both"/>
        <w:rPr>
          <w:rFonts w:ascii="Arial" w:hAnsi="Arial" w:cs="Arial"/>
          <w:sz w:val="20"/>
          <w:szCs w:val="20"/>
        </w:rPr>
      </w:pPr>
      <w:r w:rsidRPr="00B6632F">
        <w:rPr>
          <w:rFonts w:ascii="Arial" w:hAnsi="Arial" w:cs="Arial"/>
          <w:sz w:val="20"/>
          <w:szCs w:val="20"/>
        </w:rPr>
        <w:t>The total chlorophyll content of tea leaves for different treatments and flu</w:t>
      </w:r>
      <w:r w:rsidR="00427995">
        <w:rPr>
          <w:rFonts w:ascii="Arial" w:hAnsi="Arial" w:cs="Arial"/>
          <w:sz w:val="20"/>
          <w:szCs w:val="20"/>
        </w:rPr>
        <w:t>shes are presented in table 7</w:t>
      </w:r>
      <w:r w:rsidRPr="00B6632F">
        <w:rPr>
          <w:rFonts w:ascii="Arial" w:hAnsi="Arial" w:cs="Arial"/>
          <w:sz w:val="20"/>
          <w:szCs w:val="20"/>
        </w:rPr>
        <w:t xml:space="preserve">. </w:t>
      </w:r>
    </w:p>
    <w:p w:rsidR="00F466A1" w:rsidRPr="00B6632F" w:rsidRDefault="00427995" w:rsidP="00B6632F">
      <w:pPr>
        <w:spacing w:line="240" w:lineRule="auto"/>
        <w:jc w:val="both"/>
        <w:rPr>
          <w:rFonts w:ascii="Arial" w:hAnsi="Arial" w:cs="Arial"/>
          <w:b/>
          <w:sz w:val="20"/>
          <w:szCs w:val="20"/>
        </w:rPr>
      </w:pPr>
      <w:r>
        <w:rPr>
          <w:rFonts w:ascii="Arial" w:hAnsi="Arial" w:cs="Arial"/>
          <w:b/>
          <w:sz w:val="20"/>
          <w:szCs w:val="20"/>
        </w:rPr>
        <w:t>Table 7</w:t>
      </w:r>
      <w:r w:rsidR="00F466A1" w:rsidRPr="00B6632F">
        <w:rPr>
          <w:rFonts w:ascii="Arial" w:hAnsi="Arial" w:cs="Arial"/>
          <w:b/>
          <w:sz w:val="20"/>
          <w:szCs w:val="20"/>
        </w:rPr>
        <w:t>. Mean Total Chlorophyll (µg cm</w:t>
      </w:r>
      <w:r w:rsidR="00F466A1" w:rsidRPr="00B6632F">
        <w:rPr>
          <w:rFonts w:ascii="Arial" w:hAnsi="Arial" w:cs="Arial"/>
          <w:b/>
          <w:sz w:val="20"/>
          <w:szCs w:val="20"/>
          <w:vertAlign w:val="superscript"/>
        </w:rPr>
        <w:t>-2</w:t>
      </w:r>
      <w:r w:rsidR="00F466A1" w:rsidRPr="00B6632F">
        <w:rPr>
          <w:rFonts w:ascii="Arial" w:hAnsi="Arial" w:cs="Arial"/>
          <w:b/>
          <w:sz w:val="20"/>
          <w:szCs w:val="20"/>
        </w:rPr>
        <w:t>) content of tea leaves under different treatments</w:t>
      </w:r>
    </w:p>
    <w:tbl>
      <w:tblPr>
        <w:tblStyle w:val="TableGrid"/>
        <w:tblW w:w="7502" w:type="dxa"/>
        <w:tblLook w:val="04A0"/>
      </w:tblPr>
      <w:tblGrid>
        <w:gridCol w:w="1530"/>
        <w:gridCol w:w="1356"/>
        <w:gridCol w:w="1356"/>
        <w:gridCol w:w="1356"/>
        <w:gridCol w:w="1904"/>
      </w:tblGrid>
      <w:tr w:rsidR="00F466A1" w:rsidRPr="00B6632F" w:rsidTr="0065368B">
        <w:trPr>
          <w:trHeight w:val="286"/>
        </w:trPr>
        <w:tc>
          <w:tcPr>
            <w:tcW w:w="1530" w:type="dxa"/>
            <w:noWrap/>
            <w:hideMark/>
          </w:tcPr>
          <w:p w:rsidR="00F466A1" w:rsidRPr="00B6632F" w:rsidRDefault="00F466A1" w:rsidP="00B6632F">
            <w:pPr>
              <w:jc w:val="both"/>
              <w:rPr>
                <w:rFonts w:ascii="Arial" w:eastAsia="Times New Roman" w:hAnsi="Arial" w:cs="Arial"/>
                <w:color w:val="000000"/>
                <w:sz w:val="20"/>
                <w:szCs w:val="20"/>
              </w:rPr>
            </w:pP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1st FLUSH</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2nd FLUSH</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RAIN FLUSH</w:t>
            </w:r>
          </w:p>
        </w:tc>
        <w:tc>
          <w:tcPr>
            <w:tcW w:w="190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AUTUMN FLUSH</w:t>
            </w:r>
          </w:p>
        </w:tc>
      </w:tr>
      <w:tr w:rsidR="00F466A1" w:rsidRPr="00B6632F" w:rsidTr="0065368B">
        <w:trPr>
          <w:trHeight w:val="286"/>
        </w:trPr>
        <w:tc>
          <w:tcPr>
            <w:tcW w:w="1530"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T1</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57.50</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52.70</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58.99</w:t>
            </w:r>
          </w:p>
        </w:tc>
        <w:tc>
          <w:tcPr>
            <w:tcW w:w="190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54.65</w:t>
            </w:r>
          </w:p>
        </w:tc>
      </w:tr>
      <w:tr w:rsidR="00F466A1" w:rsidRPr="00B6632F" w:rsidTr="0065368B">
        <w:trPr>
          <w:trHeight w:val="286"/>
        </w:trPr>
        <w:tc>
          <w:tcPr>
            <w:tcW w:w="1530"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T2</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44.81</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52.80</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58.21</w:t>
            </w:r>
          </w:p>
        </w:tc>
        <w:tc>
          <w:tcPr>
            <w:tcW w:w="190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41.67</w:t>
            </w:r>
          </w:p>
        </w:tc>
      </w:tr>
      <w:tr w:rsidR="00F466A1" w:rsidRPr="00B6632F" w:rsidTr="0065368B">
        <w:trPr>
          <w:trHeight w:val="286"/>
        </w:trPr>
        <w:tc>
          <w:tcPr>
            <w:tcW w:w="1530"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T3</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46.13</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51.13</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58.95</w:t>
            </w:r>
          </w:p>
        </w:tc>
        <w:tc>
          <w:tcPr>
            <w:tcW w:w="190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44.46</w:t>
            </w:r>
          </w:p>
        </w:tc>
      </w:tr>
      <w:tr w:rsidR="00F466A1" w:rsidRPr="00B6632F" w:rsidTr="0065368B">
        <w:trPr>
          <w:trHeight w:val="286"/>
        </w:trPr>
        <w:tc>
          <w:tcPr>
            <w:tcW w:w="1530"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T4</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51.17</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53.57</w:t>
            </w:r>
          </w:p>
        </w:tc>
        <w:tc>
          <w:tcPr>
            <w:tcW w:w="1356"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60.19</w:t>
            </w:r>
          </w:p>
        </w:tc>
        <w:tc>
          <w:tcPr>
            <w:tcW w:w="1904" w:type="dxa"/>
            <w:noWrap/>
            <w:hideMark/>
          </w:tcPr>
          <w:p w:rsidR="00F466A1" w:rsidRPr="00B6632F" w:rsidRDefault="00F466A1" w:rsidP="00B6632F">
            <w:pPr>
              <w:jc w:val="both"/>
              <w:rPr>
                <w:rFonts w:ascii="Arial" w:eastAsia="Times New Roman" w:hAnsi="Arial" w:cs="Arial"/>
                <w:color w:val="000000"/>
                <w:sz w:val="20"/>
                <w:szCs w:val="20"/>
              </w:rPr>
            </w:pPr>
            <w:r w:rsidRPr="00B6632F">
              <w:rPr>
                <w:rFonts w:ascii="Arial" w:eastAsia="Times New Roman" w:hAnsi="Arial" w:cs="Arial"/>
                <w:color w:val="000000"/>
                <w:sz w:val="20"/>
                <w:szCs w:val="20"/>
              </w:rPr>
              <w:t>47.53</w:t>
            </w:r>
          </w:p>
        </w:tc>
      </w:tr>
    </w:tbl>
    <w:p w:rsidR="00BD55B1" w:rsidRDefault="00427995" w:rsidP="00427995">
      <w:pPr>
        <w:spacing w:before="120" w:after="120" w:line="240" w:lineRule="auto"/>
        <w:jc w:val="both"/>
        <w:rPr>
          <w:rFonts w:ascii="Arial" w:hAnsi="Arial" w:cs="Arial"/>
          <w:sz w:val="20"/>
          <w:szCs w:val="20"/>
        </w:rPr>
      </w:pPr>
      <w:r>
        <w:rPr>
          <w:rFonts w:ascii="Arial" w:hAnsi="Arial" w:cs="Arial"/>
          <w:sz w:val="20"/>
          <w:szCs w:val="20"/>
        </w:rPr>
        <w:t>Table 7.</w:t>
      </w:r>
      <w:r w:rsidR="00F466A1" w:rsidRPr="00B6632F">
        <w:rPr>
          <w:rFonts w:ascii="Arial" w:hAnsi="Arial" w:cs="Arial"/>
          <w:sz w:val="20"/>
          <w:szCs w:val="20"/>
        </w:rPr>
        <w:t xml:space="preserve"> reveals that in the first flush, the total chlorophyll content was found to be highest in T1 (57.50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chlorophyll content was found in T2 (44.81 µg cm</w:t>
      </w:r>
      <w:r w:rsidR="00F466A1" w:rsidRPr="00B6632F">
        <w:rPr>
          <w:rFonts w:ascii="Arial" w:hAnsi="Arial" w:cs="Arial"/>
          <w:sz w:val="20"/>
          <w:szCs w:val="20"/>
          <w:vertAlign w:val="superscript"/>
        </w:rPr>
        <w:t>-2</w:t>
      </w:r>
      <w:r w:rsidR="00F466A1" w:rsidRPr="00B6632F">
        <w:rPr>
          <w:rFonts w:ascii="Arial" w:hAnsi="Arial" w:cs="Arial"/>
          <w:sz w:val="20"/>
          <w:szCs w:val="20"/>
        </w:rPr>
        <w:t xml:space="preserve">). T1 and T4 were found to be statistically at par. T1 was found to vary significantly over T2 and T3. T4 was found to be statistically at par with T2 and T3. In the second flush, the highest total </w:t>
      </w:r>
      <w:r w:rsidR="00F466A1" w:rsidRPr="00B6632F">
        <w:rPr>
          <w:rFonts w:ascii="Arial" w:hAnsi="Arial" w:cs="Arial"/>
          <w:sz w:val="20"/>
          <w:szCs w:val="20"/>
        </w:rPr>
        <w:lastRenderedPageBreak/>
        <w:t>chlorophyll was found in T4 (53.57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was found in T3 (51.13 µg cm</w:t>
      </w:r>
      <w:r w:rsidR="00F466A1" w:rsidRPr="00B6632F">
        <w:rPr>
          <w:rFonts w:ascii="Arial" w:hAnsi="Arial" w:cs="Arial"/>
          <w:sz w:val="20"/>
          <w:szCs w:val="20"/>
          <w:vertAlign w:val="superscript"/>
        </w:rPr>
        <w:t>-2</w:t>
      </w:r>
      <w:r w:rsidR="00F466A1" w:rsidRPr="00B6632F">
        <w:rPr>
          <w:rFonts w:ascii="Arial" w:hAnsi="Arial" w:cs="Arial"/>
          <w:sz w:val="20"/>
          <w:szCs w:val="20"/>
        </w:rPr>
        <w:t>). While the treatments in the second flush did not vary significantly over control. In the rain flush, the highest total chlorophyll was found in T4 (60.19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was found in T2 (58.21 µg cm</w:t>
      </w:r>
      <w:r w:rsidR="00F466A1" w:rsidRPr="00B6632F">
        <w:rPr>
          <w:rFonts w:ascii="Arial" w:hAnsi="Arial" w:cs="Arial"/>
          <w:sz w:val="20"/>
          <w:szCs w:val="20"/>
          <w:vertAlign w:val="superscript"/>
        </w:rPr>
        <w:t>-2</w:t>
      </w:r>
      <w:r w:rsidR="00F466A1" w:rsidRPr="00B6632F">
        <w:rPr>
          <w:rFonts w:ascii="Arial" w:hAnsi="Arial" w:cs="Arial"/>
          <w:sz w:val="20"/>
          <w:szCs w:val="20"/>
        </w:rPr>
        <w:t>). The treatments of the rain flush did not vary significantly over control. In the autumn flush, the highest total chlorophyll was found in T1 (54.65 µg cm</w:t>
      </w:r>
      <w:r w:rsidR="00F466A1" w:rsidRPr="00B6632F">
        <w:rPr>
          <w:rFonts w:ascii="Arial" w:hAnsi="Arial" w:cs="Arial"/>
          <w:sz w:val="20"/>
          <w:szCs w:val="20"/>
          <w:vertAlign w:val="superscript"/>
        </w:rPr>
        <w:t>-2</w:t>
      </w:r>
      <w:r w:rsidR="00F466A1" w:rsidRPr="00B6632F">
        <w:rPr>
          <w:rFonts w:ascii="Arial" w:hAnsi="Arial" w:cs="Arial"/>
          <w:sz w:val="20"/>
          <w:szCs w:val="20"/>
        </w:rPr>
        <w:t>) and lowest was found in T2 (41.67 µg cm</w:t>
      </w:r>
      <w:r w:rsidR="00F466A1" w:rsidRPr="00B6632F">
        <w:rPr>
          <w:rFonts w:ascii="Arial" w:hAnsi="Arial" w:cs="Arial"/>
          <w:sz w:val="20"/>
          <w:szCs w:val="20"/>
          <w:vertAlign w:val="superscript"/>
        </w:rPr>
        <w:t>-2</w:t>
      </w:r>
      <w:r w:rsidR="00F466A1" w:rsidRPr="00B6632F">
        <w:rPr>
          <w:rFonts w:ascii="Arial" w:hAnsi="Arial" w:cs="Arial"/>
          <w:sz w:val="20"/>
          <w:szCs w:val="20"/>
        </w:rPr>
        <w:t>). T1 was found to be significant over T2, T3 and T4. T2, T3 and T4 were all found to be statistically at par.</w:t>
      </w:r>
    </w:p>
    <w:p w:rsidR="00BD55B1" w:rsidRDefault="0065368B" w:rsidP="00427995">
      <w:pPr>
        <w:spacing w:before="120" w:after="120" w:line="240" w:lineRule="auto"/>
        <w:jc w:val="both"/>
        <w:rPr>
          <w:rFonts w:ascii="Arial" w:hAnsi="Arial" w:cs="Arial"/>
          <w:sz w:val="20"/>
          <w:szCs w:val="20"/>
        </w:rPr>
      </w:pPr>
      <w:r w:rsidRPr="00896ED9">
        <w:rPr>
          <w:rFonts w:ascii="Arial" w:hAnsi="Arial" w:cs="Arial"/>
          <w:noProof/>
          <w:sz w:val="20"/>
          <w:szCs w:val="20"/>
          <w:lang w:bidi="hi-IN"/>
        </w:rPr>
        <w:drawing>
          <wp:inline distT="0" distB="0" distL="0" distR="0">
            <wp:extent cx="4901506" cy="1527175"/>
            <wp:effectExtent l="0" t="0" r="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96ED9" w:rsidRDefault="00896ED9" w:rsidP="0065368B">
      <w:pPr>
        <w:spacing w:line="240" w:lineRule="auto"/>
        <w:jc w:val="center"/>
        <w:rPr>
          <w:rFonts w:ascii="Arial" w:hAnsi="Arial" w:cs="Arial"/>
          <w:sz w:val="20"/>
          <w:szCs w:val="20"/>
        </w:rPr>
      </w:pPr>
      <w:r w:rsidRPr="00896ED9">
        <w:rPr>
          <w:rFonts w:ascii="Arial" w:hAnsi="Arial" w:cs="Arial"/>
          <w:sz w:val="20"/>
          <w:szCs w:val="20"/>
        </w:rPr>
        <w:t xml:space="preserve">FIG. </w:t>
      </w:r>
      <w:r>
        <w:rPr>
          <w:rFonts w:ascii="Arial" w:hAnsi="Arial" w:cs="Arial"/>
          <w:sz w:val="20"/>
          <w:szCs w:val="20"/>
        </w:rPr>
        <w:t>7</w:t>
      </w:r>
      <w:r w:rsidRPr="00896ED9">
        <w:rPr>
          <w:rFonts w:ascii="Arial" w:hAnsi="Arial" w:cs="Arial"/>
          <w:sz w:val="20"/>
          <w:szCs w:val="20"/>
        </w:rPr>
        <w:t>. PERCENTAGE CHANGE IN TOTAL CHLOROPHYLL CONTENT OF TEA LEAVES UNDER DIFFERENT SPACING OF RUBBER TREE SHADE OVER CONTROL (</w:t>
      </w:r>
      <w:r w:rsidRPr="00896ED9">
        <w:rPr>
          <w:rFonts w:ascii="Arial" w:hAnsi="Arial" w:cs="Arial"/>
          <w:i/>
          <w:sz w:val="20"/>
          <w:szCs w:val="20"/>
        </w:rPr>
        <w:t>Albizzia chinensis)</w:t>
      </w:r>
    </w:p>
    <w:p w:rsidR="00427995" w:rsidRPr="00841031" w:rsidRDefault="00841031" w:rsidP="00B6632F">
      <w:pPr>
        <w:spacing w:before="120" w:after="120" w:line="240" w:lineRule="auto"/>
        <w:jc w:val="both"/>
        <w:rPr>
          <w:rFonts w:ascii="Arial" w:hAnsi="Arial" w:cs="Arial"/>
          <w:b/>
          <w:sz w:val="20"/>
          <w:szCs w:val="20"/>
        </w:rPr>
      </w:pPr>
      <w:r w:rsidRPr="00841031">
        <w:rPr>
          <w:rFonts w:ascii="Arial" w:hAnsi="Arial" w:cs="Arial"/>
          <w:b/>
        </w:rPr>
        <w:t>4.  DISCUSSION</w:t>
      </w:r>
    </w:p>
    <w:p w:rsidR="00244A3E" w:rsidRPr="00B6632F" w:rsidRDefault="002F44EB" w:rsidP="00B6632F">
      <w:pPr>
        <w:spacing w:before="120" w:after="120" w:line="240" w:lineRule="auto"/>
        <w:jc w:val="both"/>
        <w:rPr>
          <w:rFonts w:ascii="Arial" w:hAnsi="Arial" w:cs="Arial"/>
          <w:b/>
          <w:sz w:val="20"/>
          <w:szCs w:val="20"/>
        </w:rPr>
      </w:pPr>
      <w:r>
        <w:rPr>
          <w:rFonts w:ascii="Arial" w:hAnsi="Arial" w:cs="Arial"/>
          <w:b/>
          <w:sz w:val="20"/>
          <w:szCs w:val="20"/>
        </w:rPr>
        <w:t>4.1.</w:t>
      </w:r>
      <w:r w:rsidR="00244A3E" w:rsidRPr="00B6632F">
        <w:rPr>
          <w:rFonts w:ascii="Arial" w:hAnsi="Arial" w:cs="Arial"/>
          <w:b/>
          <w:sz w:val="20"/>
          <w:szCs w:val="20"/>
        </w:rPr>
        <w:t xml:space="preserve"> Photosynthetically Active Radiation (PAR) using Line Quantum Sensor</w:t>
      </w:r>
    </w:p>
    <w:p w:rsidR="00244A3E" w:rsidRPr="00B6632F"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The spectral region of solar radiation between 400 and 700 nanometers where photosynthesis occurs is known as Photosynthetically Active Radiation (PAR). Barman </w:t>
      </w:r>
      <w:r w:rsidRPr="000C07E8">
        <w:rPr>
          <w:rFonts w:ascii="Arial" w:hAnsi="Arial" w:cs="Arial"/>
          <w:i/>
          <w:sz w:val="20"/>
          <w:szCs w:val="20"/>
        </w:rPr>
        <w:t>et al</w:t>
      </w:r>
      <w:r w:rsidRPr="000C07E8">
        <w:rPr>
          <w:rFonts w:ascii="Arial" w:hAnsi="Arial" w:cs="Arial"/>
          <w:sz w:val="20"/>
          <w:szCs w:val="20"/>
        </w:rPr>
        <w:t>., (2008) established that the optimum light saturation point (1200µmol m</w:t>
      </w:r>
      <w:r w:rsidRPr="000C07E8">
        <w:rPr>
          <w:rFonts w:ascii="Arial" w:hAnsi="Arial" w:cs="Arial"/>
          <w:sz w:val="20"/>
          <w:szCs w:val="20"/>
          <w:vertAlign w:val="superscript"/>
        </w:rPr>
        <w:t xml:space="preserve">-2 </w:t>
      </w:r>
      <w:r w:rsidRPr="000C07E8">
        <w:rPr>
          <w:rFonts w:ascii="Arial" w:hAnsi="Arial" w:cs="Arial"/>
          <w:sz w:val="20"/>
          <w:szCs w:val="20"/>
        </w:rPr>
        <w:t xml:space="preserve">s </w:t>
      </w:r>
      <w:r w:rsidRPr="000C07E8">
        <w:rPr>
          <w:rFonts w:ascii="Arial" w:hAnsi="Arial" w:cs="Arial"/>
          <w:sz w:val="20"/>
          <w:szCs w:val="20"/>
          <w:vertAlign w:val="superscript"/>
        </w:rPr>
        <w:t>-1</w:t>
      </w:r>
      <w:r w:rsidRPr="000C07E8">
        <w:rPr>
          <w:rFonts w:ascii="Arial" w:hAnsi="Arial" w:cs="Arial"/>
          <w:sz w:val="20"/>
          <w:szCs w:val="20"/>
        </w:rPr>
        <w:t>) was required for the maximum rate of photosynthesis. Depending on the latitude and time of day, PAR can occasionally vary.In th</w:t>
      </w:r>
      <w:r w:rsidRPr="00B6632F">
        <w:rPr>
          <w:rFonts w:ascii="Arial" w:hAnsi="Arial" w:cs="Arial"/>
          <w:sz w:val="20"/>
          <w:szCs w:val="20"/>
        </w:rPr>
        <w:t xml:space="preserve">e present study, IPAR values were observed to be higher for the plants under </w:t>
      </w:r>
      <w:r w:rsidRPr="00B6632F">
        <w:rPr>
          <w:rFonts w:ascii="Arial" w:hAnsi="Arial" w:cs="Arial"/>
          <w:i/>
          <w:sz w:val="20"/>
          <w:szCs w:val="20"/>
        </w:rPr>
        <w:t xml:space="preserve">Albizzia chinensis </w:t>
      </w:r>
      <w:r w:rsidRPr="00B6632F">
        <w:rPr>
          <w:rFonts w:ascii="Arial" w:hAnsi="Arial" w:cs="Arial"/>
          <w:sz w:val="20"/>
          <w:szCs w:val="20"/>
        </w:rPr>
        <w:t xml:space="preserve">shade. The leaves of the lower canopy of tea plants did not receive direct sunlight since the top canopy leaves obscured them, which resulted in a lower transmitted PAR value than incident PAR. These findings are in conformity with </w:t>
      </w:r>
      <w:r w:rsidRPr="00FD624C">
        <w:rPr>
          <w:rFonts w:ascii="Arial" w:hAnsi="Arial" w:cs="Arial"/>
          <w:sz w:val="20"/>
          <w:szCs w:val="20"/>
        </w:rPr>
        <w:t xml:space="preserve">Wijeratne </w:t>
      </w:r>
      <w:r w:rsidRPr="00FD624C">
        <w:rPr>
          <w:rFonts w:ascii="Arial" w:hAnsi="Arial" w:cs="Arial"/>
          <w:i/>
          <w:sz w:val="20"/>
          <w:szCs w:val="20"/>
        </w:rPr>
        <w:t>et al</w:t>
      </w:r>
      <w:r w:rsidRPr="00FD624C">
        <w:rPr>
          <w:rFonts w:ascii="Arial" w:hAnsi="Arial" w:cs="Arial"/>
          <w:sz w:val="20"/>
          <w:szCs w:val="20"/>
        </w:rPr>
        <w:t>. (2008),</w:t>
      </w:r>
      <w:r w:rsidRPr="00B6632F">
        <w:rPr>
          <w:rFonts w:ascii="Arial" w:hAnsi="Arial" w:cs="Arial"/>
          <w:sz w:val="20"/>
          <w:szCs w:val="20"/>
        </w:rPr>
        <w:t xml:space="preserve"> who reported that the uppermost leaves in the canopy received the full sunshine, but leaves that were present 15 cm below the canopy received only 8–12 per cent of the PAR that the topmost leaves received. They also observed changes in different shade treatments.</w:t>
      </w:r>
    </w:p>
    <w:p w:rsidR="00244A3E" w:rsidRPr="00B6632F" w:rsidRDefault="00244A3E" w:rsidP="00B6632F">
      <w:pPr>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The Incident Photosynthetically Active Radiation (IPAR) is the IPAR that falls on the canopy of </w:t>
      </w:r>
      <w:r w:rsidRPr="00B6632F">
        <w:rPr>
          <w:rFonts w:ascii="Arial" w:hAnsi="Arial" w:cs="Arial"/>
          <w:i/>
          <w:sz w:val="20"/>
          <w:szCs w:val="20"/>
        </w:rPr>
        <w:t>Albizzia chinensis</w:t>
      </w:r>
      <w:r w:rsidRPr="00B6632F">
        <w:rPr>
          <w:rFonts w:ascii="Arial" w:hAnsi="Arial" w:cs="Arial"/>
          <w:sz w:val="20"/>
          <w:szCs w:val="20"/>
        </w:rPr>
        <w:t>and rubber tree.The IPAR varied between (</w:t>
      </w:r>
      <w:r w:rsidRPr="00B6632F">
        <w:rPr>
          <w:rFonts w:ascii="Arial" w:eastAsia="Times New Roman" w:hAnsi="Arial" w:cs="Arial"/>
          <w:color w:val="000000"/>
          <w:sz w:val="20"/>
          <w:szCs w:val="20"/>
        </w:rPr>
        <w:t xml:space="preserve">238.81-52.2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)in the first flush and between (</w:t>
      </w:r>
      <w:r w:rsidRPr="00B6632F">
        <w:rPr>
          <w:rFonts w:ascii="Arial" w:eastAsia="Times New Roman" w:hAnsi="Arial" w:cs="Arial"/>
          <w:color w:val="000000"/>
          <w:sz w:val="20"/>
          <w:szCs w:val="20"/>
        </w:rPr>
        <w:t xml:space="preserve">740.45- 173.6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 in the second flush. Similarly, IPAR varied between (</w:t>
      </w:r>
      <w:r w:rsidRPr="00B6632F">
        <w:rPr>
          <w:rFonts w:ascii="Arial" w:eastAsia="Times New Roman" w:hAnsi="Arial" w:cs="Arial"/>
          <w:color w:val="000000"/>
          <w:sz w:val="20"/>
          <w:szCs w:val="20"/>
        </w:rPr>
        <w:t xml:space="preserve">432.61 - 69.39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 in the rain flush and between (</w:t>
      </w:r>
      <w:r w:rsidRPr="00B6632F">
        <w:rPr>
          <w:rFonts w:ascii="Arial" w:eastAsia="Times New Roman" w:hAnsi="Arial" w:cs="Arial"/>
          <w:color w:val="000000"/>
          <w:sz w:val="20"/>
          <w:szCs w:val="20"/>
        </w:rPr>
        <w:t xml:space="preserve">463.02-50.12 </w:t>
      </w:r>
      <w:r w:rsidRPr="00B6632F">
        <w:rPr>
          <w:rFonts w:ascii="Arial" w:hAnsi="Arial" w:cs="Arial"/>
          <w:sz w:val="20"/>
          <w:szCs w:val="20"/>
        </w:rPr>
        <w:t>µmol m</w:t>
      </w:r>
      <w:r w:rsidRPr="00B6632F">
        <w:rPr>
          <w:rFonts w:ascii="Arial" w:hAnsi="Arial" w:cs="Arial"/>
          <w:sz w:val="20"/>
          <w:szCs w:val="20"/>
          <w:vertAlign w:val="superscript"/>
        </w:rPr>
        <w:t xml:space="preserve">-2 </w:t>
      </w:r>
      <w:r w:rsidRPr="00B6632F">
        <w:rPr>
          <w:rFonts w:ascii="Arial" w:hAnsi="Arial" w:cs="Arial"/>
          <w:sz w:val="20"/>
          <w:szCs w:val="20"/>
        </w:rPr>
        <w:t>s</w:t>
      </w:r>
      <w:r w:rsidRPr="00B6632F">
        <w:rPr>
          <w:rFonts w:ascii="Arial" w:hAnsi="Arial" w:cs="Arial"/>
          <w:sz w:val="20"/>
          <w:szCs w:val="20"/>
          <w:vertAlign w:val="superscript"/>
        </w:rPr>
        <w:t>-1</w:t>
      </w:r>
      <w:r w:rsidRPr="00B6632F">
        <w:rPr>
          <w:rFonts w:ascii="Arial" w:hAnsi="Arial" w:cs="Arial"/>
          <w:sz w:val="20"/>
          <w:szCs w:val="20"/>
        </w:rPr>
        <w:t xml:space="preserve">) in the autumn flush. The Intercepted Photosynthetically Active Radiation (ipar) in percentage is the PAR absorbed by the tea bushes after passing through the canopy of shade trees. In the first flush the value ranged from </w:t>
      </w:r>
      <w:r w:rsidRPr="00B6632F">
        <w:rPr>
          <w:rFonts w:ascii="Arial" w:eastAsia="Times New Roman" w:hAnsi="Arial" w:cs="Arial"/>
          <w:color w:val="000000"/>
          <w:sz w:val="20"/>
          <w:szCs w:val="20"/>
        </w:rPr>
        <w:t>90.03% to 77.39% and in the second flush it ranged from 91.14% to 83.01%. In the rain flush, the ipar value ranged from 82.19% to 80.84% and in the autumn flush the value ranged from 91.73% to 81.76%. The highest ipar(%) was found to be under</w:t>
      </w:r>
      <w:r w:rsidRPr="00B6632F">
        <w:rPr>
          <w:rFonts w:ascii="Arial" w:hAnsi="Arial" w:cs="Arial"/>
          <w:i/>
          <w:sz w:val="20"/>
          <w:szCs w:val="20"/>
        </w:rPr>
        <w:t>Albizziachinensis</w:t>
      </w:r>
      <w:r w:rsidRPr="00B6632F">
        <w:rPr>
          <w:rFonts w:ascii="Arial" w:hAnsi="Arial" w:cs="Arial"/>
          <w:sz w:val="20"/>
          <w:szCs w:val="20"/>
        </w:rPr>
        <w:t xml:space="preserve">shade as compared to rubber tree shade under different spacings. This may be due to optimum shading under </w:t>
      </w:r>
      <w:r w:rsidRPr="00B6632F">
        <w:rPr>
          <w:rFonts w:ascii="Arial" w:hAnsi="Arial" w:cs="Arial"/>
          <w:i/>
          <w:sz w:val="20"/>
          <w:szCs w:val="20"/>
        </w:rPr>
        <w:t xml:space="preserve">Albizzia chinensis </w:t>
      </w:r>
      <w:r w:rsidRPr="00B6632F">
        <w:rPr>
          <w:rFonts w:ascii="Arial" w:hAnsi="Arial" w:cs="Arial"/>
          <w:sz w:val="20"/>
          <w:szCs w:val="20"/>
        </w:rPr>
        <w:t>and over-shading under rubber trees.</w:t>
      </w:r>
    </w:p>
    <w:p w:rsidR="00244A3E" w:rsidRPr="00B6632F" w:rsidRDefault="002F44EB" w:rsidP="00B6632F">
      <w:pPr>
        <w:spacing w:before="120" w:after="120" w:line="240" w:lineRule="auto"/>
        <w:jc w:val="both"/>
        <w:rPr>
          <w:rFonts w:ascii="Arial" w:hAnsi="Arial" w:cs="Arial"/>
          <w:b/>
          <w:sz w:val="20"/>
          <w:szCs w:val="20"/>
        </w:rPr>
      </w:pPr>
      <w:r>
        <w:rPr>
          <w:rFonts w:ascii="Arial" w:hAnsi="Arial" w:cs="Arial"/>
          <w:b/>
          <w:sz w:val="20"/>
          <w:szCs w:val="20"/>
        </w:rPr>
        <w:t>4.2.</w:t>
      </w:r>
      <w:r w:rsidR="00244A3E" w:rsidRPr="00B6632F">
        <w:rPr>
          <w:rFonts w:ascii="Arial" w:hAnsi="Arial" w:cs="Arial"/>
          <w:b/>
          <w:sz w:val="20"/>
          <w:szCs w:val="20"/>
        </w:rPr>
        <w:t>Percent of light transmission using Lux Meter:</w:t>
      </w:r>
    </w:p>
    <w:p w:rsidR="00244A3E" w:rsidRPr="0076084A"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lastRenderedPageBreak/>
        <w:t>The tea plant is basically umbraphillic in nature. The optimum light requirement for maximum photosynthesis varies from place to place. Shade tree plantation at optimum density interrupts the direct sunrays and provides adequate light i.e. 50-70 per cent of total sunlight which enhances photosynthesis rate by about 24 per cent compared to fully exposed leaves.</w:t>
      </w:r>
    </w:p>
    <w:p w:rsidR="00244A3E" w:rsidRPr="00B6632F" w:rsidRDefault="00244A3E" w:rsidP="00B6632F">
      <w:pPr>
        <w:tabs>
          <w:tab w:val="left" w:pos="720"/>
        </w:tabs>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The light transmitted through the canopy of shade tree bushes is the incident light falling on the tea bushes. The data revealed that percentage of light incidence on tea bushes (or per cent of light transmission through shade trees) in the first flush varied from </w:t>
      </w:r>
      <w:r w:rsidRPr="00B6632F">
        <w:rPr>
          <w:rFonts w:ascii="Arial" w:eastAsia="Times New Roman" w:hAnsi="Arial" w:cs="Arial"/>
          <w:color w:val="000000"/>
          <w:sz w:val="20"/>
          <w:szCs w:val="20"/>
        </w:rPr>
        <w:t xml:space="preserve">28.63 % to 5.68 %. Similarly, </w:t>
      </w:r>
      <w:r w:rsidRPr="00B6632F">
        <w:rPr>
          <w:rFonts w:ascii="Arial" w:hAnsi="Arial" w:cs="Arial"/>
          <w:sz w:val="20"/>
          <w:szCs w:val="20"/>
        </w:rPr>
        <w:t xml:space="preserve">in the second flush the percentage of light incidence on tea bushes ranged from </w:t>
      </w:r>
      <w:r w:rsidRPr="00B6632F">
        <w:rPr>
          <w:rFonts w:ascii="Arial" w:eastAsia="Times New Roman" w:hAnsi="Arial" w:cs="Arial"/>
          <w:color w:val="000000"/>
          <w:sz w:val="20"/>
          <w:szCs w:val="20"/>
        </w:rPr>
        <w:t xml:space="preserve">49.06 % to 7.50 %. In the rain flush, </w:t>
      </w:r>
      <w:r w:rsidRPr="00B6632F">
        <w:rPr>
          <w:rFonts w:ascii="Arial" w:hAnsi="Arial" w:cs="Arial"/>
          <w:sz w:val="20"/>
          <w:szCs w:val="20"/>
        </w:rPr>
        <w:t xml:space="preserve">percentage of light incidence on tea bushes was found to vary from 48.09 % to 5.98 %. In the autumn flush, </w:t>
      </w:r>
      <w:r w:rsidRPr="00B6632F">
        <w:rPr>
          <w:rFonts w:ascii="Arial" w:eastAsia="Times New Roman" w:hAnsi="Arial" w:cs="Arial"/>
          <w:color w:val="000000"/>
          <w:sz w:val="20"/>
          <w:szCs w:val="20"/>
        </w:rPr>
        <w:t xml:space="preserve">the </w:t>
      </w:r>
      <w:r w:rsidRPr="00B6632F">
        <w:rPr>
          <w:rFonts w:ascii="Arial" w:hAnsi="Arial" w:cs="Arial"/>
          <w:sz w:val="20"/>
          <w:szCs w:val="20"/>
        </w:rPr>
        <w:t xml:space="preserve">percentage of light incidence on tea bushes varied from 29.38 % to 3.39 %. The percent of light incidence was found to be highest in </w:t>
      </w:r>
      <w:r w:rsidRPr="00B6632F">
        <w:rPr>
          <w:rFonts w:ascii="Arial" w:hAnsi="Arial" w:cs="Arial"/>
          <w:i/>
          <w:sz w:val="20"/>
          <w:szCs w:val="20"/>
        </w:rPr>
        <w:t>Albizzia chinensis</w:t>
      </w:r>
      <w:r w:rsidRPr="00B6632F">
        <w:rPr>
          <w:rFonts w:ascii="Arial" w:hAnsi="Arial" w:cs="Arial"/>
          <w:sz w:val="20"/>
          <w:szCs w:val="20"/>
        </w:rPr>
        <w:t xml:space="preserve"> followed by rubber in the sequence of (12m x 5.5m), (9.5m x 5.5m) and (8.5m x 5.5m) spacings. The study also revealed that in the first flush, the per cent of light transmission through tea bushes was found to vary from </w:t>
      </w:r>
      <w:r w:rsidRPr="00B6632F">
        <w:rPr>
          <w:rFonts w:ascii="Arial" w:eastAsia="Times New Roman" w:hAnsi="Arial" w:cs="Arial"/>
          <w:color w:val="000000"/>
          <w:sz w:val="20"/>
          <w:szCs w:val="20"/>
        </w:rPr>
        <w:t xml:space="preserve">5.45 % to 2.24 %. In the second flush, </w:t>
      </w:r>
      <w:r w:rsidRPr="00B6632F">
        <w:rPr>
          <w:rFonts w:ascii="Arial" w:hAnsi="Arial" w:cs="Arial"/>
          <w:sz w:val="20"/>
          <w:szCs w:val="20"/>
        </w:rPr>
        <w:t xml:space="preserve">the per cent of light transmission through tea bushes was found to be in the range of </w:t>
      </w:r>
      <w:r w:rsidRPr="00B6632F">
        <w:rPr>
          <w:rFonts w:ascii="Arial" w:eastAsia="Times New Roman" w:hAnsi="Arial" w:cs="Arial"/>
          <w:color w:val="000000"/>
          <w:sz w:val="20"/>
          <w:szCs w:val="20"/>
        </w:rPr>
        <w:t xml:space="preserve">6.06 % to 2.34 %. In the rain flush, </w:t>
      </w:r>
      <w:r w:rsidRPr="00B6632F">
        <w:rPr>
          <w:rFonts w:ascii="Arial" w:hAnsi="Arial" w:cs="Arial"/>
          <w:sz w:val="20"/>
          <w:szCs w:val="20"/>
        </w:rPr>
        <w:t xml:space="preserve">the per cent of light transmission through tea bushes was found to vary between </w:t>
      </w:r>
      <w:r w:rsidRPr="00B6632F">
        <w:rPr>
          <w:rFonts w:ascii="Arial" w:eastAsia="Times New Roman" w:hAnsi="Arial" w:cs="Arial"/>
          <w:color w:val="000000"/>
          <w:sz w:val="20"/>
          <w:szCs w:val="20"/>
        </w:rPr>
        <w:t xml:space="preserve">8.75 % - 5.38 % and in the autumn flush, </w:t>
      </w:r>
      <w:r w:rsidRPr="00B6632F">
        <w:rPr>
          <w:rFonts w:ascii="Arial" w:hAnsi="Arial" w:cs="Arial"/>
          <w:sz w:val="20"/>
          <w:szCs w:val="20"/>
        </w:rPr>
        <w:t xml:space="preserve">the per cent of light transmission through tea bushes was found to vary from </w:t>
      </w:r>
      <w:r w:rsidRPr="00B6632F">
        <w:rPr>
          <w:rFonts w:ascii="Arial" w:eastAsia="Times New Roman" w:hAnsi="Arial" w:cs="Arial"/>
          <w:color w:val="000000"/>
          <w:sz w:val="20"/>
          <w:szCs w:val="20"/>
        </w:rPr>
        <w:t>4.65 % to 1.66 %.</w:t>
      </w:r>
      <w:r w:rsidRPr="00B6632F">
        <w:rPr>
          <w:rFonts w:ascii="Arial" w:hAnsi="Arial" w:cs="Arial"/>
          <w:sz w:val="20"/>
          <w:szCs w:val="20"/>
        </w:rPr>
        <w:t xml:space="preserve"> The per cent of light transmission (%) through tea bushes varied in each treatment. The highest value was found to be in tea-rubber intercropping with the spacing of (8.5 x 5.5 m), followed by the spacing of (9.5 x 5.5 m) and (12 x 5.5 m). The lowest value was found to be in tea under </w:t>
      </w:r>
      <w:r w:rsidRPr="00B6632F">
        <w:rPr>
          <w:rFonts w:ascii="Arial" w:hAnsi="Arial" w:cs="Arial"/>
          <w:i/>
          <w:sz w:val="20"/>
          <w:szCs w:val="20"/>
        </w:rPr>
        <w:t>Albizzia chinensis</w:t>
      </w:r>
      <w:r w:rsidRPr="00B6632F">
        <w:rPr>
          <w:rFonts w:ascii="Arial" w:hAnsi="Arial" w:cs="Arial"/>
          <w:sz w:val="20"/>
          <w:szCs w:val="20"/>
        </w:rPr>
        <w:t xml:space="preserve"> shade. Thus, crown architecture of tree species affect light infiltration </w:t>
      </w:r>
      <w:r w:rsidRPr="00FD624C">
        <w:rPr>
          <w:rFonts w:ascii="Arial" w:hAnsi="Arial" w:cs="Arial"/>
          <w:sz w:val="20"/>
          <w:szCs w:val="20"/>
        </w:rPr>
        <w:t xml:space="preserve">(Issac </w:t>
      </w:r>
      <w:r w:rsidRPr="00FD624C">
        <w:rPr>
          <w:rFonts w:ascii="Arial" w:hAnsi="Arial" w:cs="Arial"/>
          <w:i/>
          <w:sz w:val="20"/>
          <w:szCs w:val="20"/>
        </w:rPr>
        <w:t>et al</w:t>
      </w:r>
      <w:r w:rsidRPr="00FD624C">
        <w:rPr>
          <w:rFonts w:ascii="Arial" w:hAnsi="Arial" w:cs="Arial"/>
          <w:sz w:val="20"/>
          <w:szCs w:val="20"/>
        </w:rPr>
        <w:t>., 2007)</w:t>
      </w:r>
    </w:p>
    <w:p w:rsidR="00244A3E" w:rsidRPr="0076084A"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Shade trees are planted for optimum light intensity to pass through for proper growth and development of tea. Light passes through the canopy of shade trees and reaches the tea bush. </w:t>
      </w:r>
      <w:r w:rsidRPr="000C07E8">
        <w:rPr>
          <w:rFonts w:ascii="Arial" w:hAnsi="Arial" w:cs="Arial"/>
          <w:i/>
          <w:sz w:val="20"/>
          <w:szCs w:val="20"/>
        </w:rPr>
        <w:t xml:space="preserve">Albizzia </w:t>
      </w:r>
      <w:r w:rsidRPr="000C07E8">
        <w:rPr>
          <w:rFonts w:ascii="Arial" w:hAnsi="Arial" w:cs="Arial"/>
          <w:sz w:val="20"/>
          <w:szCs w:val="20"/>
        </w:rPr>
        <w:t xml:space="preserve">are characterized by a large, sparse and spreading crown which had allowed for more evenly distributed sun rays to reach the tea leaves </w:t>
      </w:r>
      <w:r w:rsidRPr="00FD624C">
        <w:rPr>
          <w:rFonts w:ascii="Arial" w:hAnsi="Arial" w:cs="Arial"/>
          <w:sz w:val="20"/>
          <w:szCs w:val="20"/>
        </w:rPr>
        <w:t>(Anim-Kwapong, 2003</w:t>
      </w:r>
      <w:r w:rsidRPr="000C07E8">
        <w:rPr>
          <w:rFonts w:ascii="Arial" w:hAnsi="Arial" w:cs="Arial"/>
          <w:sz w:val="20"/>
          <w:szCs w:val="20"/>
        </w:rPr>
        <w:t xml:space="preserve">). In case of </w:t>
      </w:r>
      <w:r w:rsidRPr="000C07E8">
        <w:rPr>
          <w:rFonts w:ascii="Arial" w:hAnsi="Arial" w:cs="Arial"/>
          <w:i/>
          <w:sz w:val="20"/>
          <w:szCs w:val="20"/>
        </w:rPr>
        <w:t>Albizzia chinensis</w:t>
      </w:r>
      <w:r w:rsidRPr="000C07E8">
        <w:rPr>
          <w:rFonts w:ascii="Arial" w:hAnsi="Arial" w:cs="Arial"/>
          <w:sz w:val="20"/>
          <w:szCs w:val="20"/>
        </w:rPr>
        <w:t xml:space="preserve">, as this shade tree has a single layer canopy with small leaflets, it allows sunlight to penetrate in the form of sun flecks and thus sufficient amount of light reaches the tea canopy. In the presence of optimum light, these tea bushes grew vigorously focusing on the plant’s overall growth and development, and also leading to produce good amount of pluckable shoots for harvesting. As maximum amount of light was received by tea, it utilized the light in the growth and development, thus maximum amount of light received was utilized by the plant, so very less amount of light reaches below the canopy through transmission. This is the reason why per cent of light transmission is low in tea- </w:t>
      </w:r>
      <w:r w:rsidRPr="000C07E8">
        <w:rPr>
          <w:rFonts w:ascii="Arial" w:hAnsi="Arial" w:cs="Arial"/>
          <w:i/>
          <w:sz w:val="20"/>
          <w:szCs w:val="20"/>
        </w:rPr>
        <w:t>Albizzia chinensis</w:t>
      </w:r>
      <w:r w:rsidRPr="000C07E8">
        <w:rPr>
          <w:rFonts w:ascii="Arial" w:hAnsi="Arial" w:cs="Arial"/>
          <w:sz w:val="20"/>
          <w:szCs w:val="20"/>
        </w:rPr>
        <w:t xml:space="preserve"> as compared to tea-rubber. In case of rubber, as it has a very thick layered canopy along with dense spacings in T2 and T3, followed by T4; light penetration was very low, due to which the tea bushes did not receive sufficient amount of light to utilize for proper growth and development, which was seen in the pluckable shoots production. Due to lack of optimum light, the functioning of tea plants was found to be hampered and thus most of the light was transmitted below the canopy and thus got wasted.</w:t>
      </w:r>
    </w:p>
    <w:p w:rsidR="00244A3E" w:rsidRPr="00B6632F" w:rsidRDefault="002F44EB" w:rsidP="00B6632F">
      <w:pPr>
        <w:spacing w:before="120" w:after="120" w:line="240" w:lineRule="auto"/>
        <w:jc w:val="both"/>
        <w:rPr>
          <w:rFonts w:ascii="Arial" w:hAnsi="Arial" w:cs="Arial"/>
          <w:b/>
          <w:sz w:val="20"/>
          <w:szCs w:val="20"/>
        </w:rPr>
      </w:pPr>
      <w:r>
        <w:rPr>
          <w:rFonts w:ascii="Arial" w:hAnsi="Arial" w:cs="Arial"/>
          <w:b/>
          <w:sz w:val="20"/>
          <w:szCs w:val="20"/>
        </w:rPr>
        <w:t>4.3.</w:t>
      </w:r>
      <w:r w:rsidR="00244A3E" w:rsidRPr="00B6632F">
        <w:rPr>
          <w:rFonts w:ascii="Arial" w:hAnsi="Arial" w:cs="Arial"/>
          <w:b/>
          <w:sz w:val="20"/>
          <w:szCs w:val="20"/>
        </w:rPr>
        <w:t>Measurement of SPAD unit</w:t>
      </w:r>
    </w:p>
    <w:p w:rsidR="00244A3E" w:rsidRPr="0076084A"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By utilizing the benefit of the properties that absorbance maxima of chlorophyll </w:t>
      </w:r>
      <w:r w:rsidR="0076084A" w:rsidRPr="000C07E8">
        <w:rPr>
          <w:rFonts w:ascii="Arial" w:hAnsi="Arial" w:cs="Arial"/>
          <w:sz w:val="20"/>
          <w:szCs w:val="20"/>
        </w:rPr>
        <w:t>are</w:t>
      </w:r>
      <w:r w:rsidRPr="000C07E8">
        <w:rPr>
          <w:rFonts w:ascii="Arial" w:hAnsi="Arial" w:cs="Arial"/>
          <w:sz w:val="20"/>
          <w:szCs w:val="20"/>
        </w:rPr>
        <w:t xml:space="preserve"> present in the blue (400-450nm) and red (600-700nm) areas and its lack of absorbance in the near infrared regions, SPAD can measure the absorbance of leaves in the red and near infrared regions.</w:t>
      </w:r>
    </w:p>
    <w:p w:rsidR="00244A3E" w:rsidRPr="00B07517" w:rsidRDefault="00244A3E" w:rsidP="00B6632F">
      <w:pPr>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It was observed that in the first flush, the SPAD value was found to range between </w:t>
      </w:r>
      <w:r w:rsidRPr="00B6632F">
        <w:rPr>
          <w:rFonts w:ascii="Arial" w:eastAsia="Times New Roman" w:hAnsi="Arial" w:cs="Arial"/>
          <w:color w:val="000000"/>
          <w:sz w:val="20"/>
          <w:szCs w:val="20"/>
        </w:rPr>
        <w:t xml:space="preserve">52.35-43.36. In the second flush, </w:t>
      </w:r>
      <w:r w:rsidRPr="00B6632F">
        <w:rPr>
          <w:rFonts w:ascii="Arial" w:hAnsi="Arial" w:cs="Arial"/>
          <w:sz w:val="20"/>
          <w:szCs w:val="20"/>
        </w:rPr>
        <w:t>the SPAD value was found to vary from 49.19</w:t>
      </w:r>
      <w:r w:rsidRPr="00B6632F">
        <w:rPr>
          <w:rFonts w:ascii="Arial" w:eastAsia="Times New Roman" w:hAnsi="Arial" w:cs="Arial"/>
          <w:color w:val="000000"/>
          <w:sz w:val="20"/>
          <w:szCs w:val="20"/>
        </w:rPr>
        <w:t xml:space="preserve"> to 47.16. In the rain flush, </w:t>
      </w:r>
      <w:r w:rsidRPr="00B6632F">
        <w:rPr>
          <w:rFonts w:ascii="Arial" w:hAnsi="Arial" w:cs="Arial"/>
          <w:sz w:val="20"/>
          <w:szCs w:val="20"/>
        </w:rPr>
        <w:t>the SPAD value was found to vary from 55.66</w:t>
      </w:r>
      <w:r w:rsidRPr="00B6632F">
        <w:rPr>
          <w:rFonts w:ascii="Arial" w:eastAsia="Times New Roman" w:hAnsi="Arial" w:cs="Arial"/>
          <w:color w:val="000000"/>
          <w:sz w:val="20"/>
          <w:szCs w:val="20"/>
        </w:rPr>
        <w:t xml:space="preserve"> to 52.02. Similarly, in the autumn flush, </w:t>
      </w:r>
      <w:r w:rsidRPr="00B6632F">
        <w:rPr>
          <w:rFonts w:ascii="Arial" w:hAnsi="Arial" w:cs="Arial"/>
          <w:sz w:val="20"/>
          <w:szCs w:val="20"/>
        </w:rPr>
        <w:t>the SPAD value ranged from 47.04</w:t>
      </w:r>
      <w:r w:rsidRPr="00B6632F">
        <w:rPr>
          <w:rFonts w:ascii="Arial" w:eastAsia="Times New Roman" w:hAnsi="Arial" w:cs="Arial"/>
          <w:color w:val="000000"/>
          <w:sz w:val="20"/>
          <w:szCs w:val="20"/>
        </w:rPr>
        <w:t xml:space="preserve"> to 42.13. </w:t>
      </w:r>
      <w:r w:rsidRPr="00B6632F">
        <w:rPr>
          <w:rFonts w:ascii="Arial" w:hAnsi="Arial" w:cs="Arial"/>
          <w:sz w:val="20"/>
          <w:szCs w:val="20"/>
        </w:rPr>
        <w:t xml:space="preserve">Moreover, greater SPAD values </w:t>
      </w:r>
      <w:r w:rsidRPr="00B6632F">
        <w:rPr>
          <w:rFonts w:ascii="Arial" w:hAnsi="Arial" w:cs="Arial"/>
          <w:sz w:val="20"/>
          <w:szCs w:val="20"/>
        </w:rPr>
        <w:lastRenderedPageBreak/>
        <w:t xml:space="preserve">were recorded in the plants under conventional shade as compared to the plants under rubber tree shade. </w:t>
      </w:r>
      <w:r w:rsidRPr="000C07E8">
        <w:rPr>
          <w:rFonts w:ascii="Arial" w:hAnsi="Arial" w:cs="Arial"/>
          <w:sz w:val="20"/>
          <w:szCs w:val="20"/>
        </w:rPr>
        <w:t xml:space="preserve">It could be because of the conventional shade treatment that provides the ideal shading and thus increased chlorophyll content played a part in this as well. According to </w:t>
      </w:r>
      <w:r w:rsidRPr="00FD624C">
        <w:rPr>
          <w:rFonts w:ascii="Arial" w:hAnsi="Arial" w:cs="Arial"/>
          <w:sz w:val="20"/>
          <w:szCs w:val="20"/>
        </w:rPr>
        <w:t xml:space="preserve">Kumar </w:t>
      </w:r>
      <w:r w:rsidRPr="00FD624C">
        <w:rPr>
          <w:rFonts w:ascii="Arial" w:hAnsi="Arial" w:cs="Arial"/>
          <w:i/>
          <w:sz w:val="20"/>
          <w:szCs w:val="20"/>
        </w:rPr>
        <w:t>et al</w:t>
      </w:r>
      <w:r w:rsidRPr="00FD624C">
        <w:rPr>
          <w:rFonts w:ascii="Arial" w:hAnsi="Arial" w:cs="Arial"/>
          <w:sz w:val="20"/>
          <w:szCs w:val="20"/>
        </w:rPr>
        <w:t>. (2002</w:t>
      </w:r>
      <w:r w:rsidRPr="000C07E8">
        <w:rPr>
          <w:rFonts w:ascii="Arial" w:hAnsi="Arial" w:cs="Arial"/>
          <w:sz w:val="20"/>
          <w:szCs w:val="20"/>
        </w:rPr>
        <w:t xml:space="preserve">), there is a positive association between the SPAD value and the chlorophyll concentration of tea leaves, which in turn accelerates the process of photosynthesis. These results are also in support of </w:t>
      </w:r>
      <w:r w:rsidRPr="00FD624C">
        <w:rPr>
          <w:rFonts w:ascii="Arial" w:hAnsi="Arial" w:cs="Arial"/>
          <w:sz w:val="20"/>
          <w:szCs w:val="20"/>
        </w:rPr>
        <w:t xml:space="preserve">Sano </w:t>
      </w:r>
      <w:r w:rsidRPr="00FD624C">
        <w:rPr>
          <w:rFonts w:ascii="Arial" w:hAnsi="Arial" w:cs="Arial"/>
          <w:i/>
          <w:sz w:val="20"/>
          <w:szCs w:val="20"/>
        </w:rPr>
        <w:t>et al</w:t>
      </w:r>
      <w:r w:rsidRPr="00FD624C">
        <w:rPr>
          <w:rFonts w:ascii="Arial" w:hAnsi="Arial" w:cs="Arial"/>
          <w:sz w:val="20"/>
          <w:szCs w:val="20"/>
        </w:rPr>
        <w:t>. (2018</w:t>
      </w:r>
      <w:r w:rsidRPr="000C07E8">
        <w:rPr>
          <w:rFonts w:ascii="Arial" w:hAnsi="Arial" w:cs="Arial"/>
          <w:sz w:val="20"/>
          <w:szCs w:val="20"/>
        </w:rPr>
        <w:t>) who found that in covering culture, SPAD values and chlorophyll concentrations were higher in contrast to open culture. Chlorophyll is a significant pigment that captures light for the process of photosynthesis. Shading can alter the microenvironment of tea trees, involving changes to environmental elements including light intensity, light quality, temperature, and humidity that encourage the buildup of chlorophyll in tea leaves (</w:t>
      </w:r>
      <w:r w:rsidRPr="00FD624C">
        <w:rPr>
          <w:rFonts w:ascii="Arial" w:hAnsi="Arial" w:cs="Arial"/>
          <w:sz w:val="20"/>
          <w:szCs w:val="20"/>
        </w:rPr>
        <w:t xml:space="preserve">Chen </w:t>
      </w:r>
      <w:r w:rsidRPr="00FD624C">
        <w:rPr>
          <w:rFonts w:ascii="Arial" w:hAnsi="Arial" w:cs="Arial"/>
          <w:i/>
          <w:sz w:val="20"/>
          <w:szCs w:val="20"/>
        </w:rPr>
        <w:t>et al</w:t>
      </w:r>
      <w:r w:rsidRPr="00FD624C">
        <w:rPr>
          <w:rFonts w:ascii="Arial" w:hAnsi="Arial" w:cs="Arial"/>
          <w:sz w:val="20"/>
          <w:szCs w:val="20"/>
        </w:rPr>
        <w:t>., 2021</w:t>
      </w:r>
      <w:r w:rsidRPr="000C07E8">
        <w:rPr>
          <w:rFonts w:ascii="Arial" w:hAnsi="Arial" w:cs="Arial"/>
          <w:sz w:val="20"/>
          <w:szCs w:val="20"/>
        </w:rPr>
        <w:t>).</w:t>
      </w:r>
    </w:p>
    <w:p w:rsidR="00244A3E" w:rsidRPr="00B6632F" w:rsidRDefault="002F44EB" w:rsidP="00B6632F">
      <w:pPr>
        <w:spacing w:before="120" w:after="120" w:line="240" w:lineRule="auto"/>
        <w:jc w:val="both"/>
        <w:rPr>
          <w:rFonts w:ascii="Arial" w:hAnsi="Arial" w:cs="Arial"/>
          <w:sz w:val="20"/>
          <w:szCs w:val="20"/>
        </w:rPr>
      </w:pPr>
      <w:r>
        <w:rPr>
          <w:rFonts w:ascii="Arial" w:hAnsi="Arial" w:cs="Arial"/>
          <w:b/>
          <w:sz w:val="20"/>
          <w:szCs w:val="20"/>
        </w:rPr>
        <w:t>4.4.</w:t>
      </w:r>
      <w:r w:rsidR="00244A3E" w:rsidRPr="00B6632F">
        <w:rPr>
          <w:rFonts w:ascii="Arial" w:hAnsi="Arial" w:cs="Arial"/>
          <w:b/>
          <w:sz w:val="20"/>
          <w:szCs w:val="20"/>
        </w:rPr>
        <w:t>Chlorophyll content (Chlorophyll a, b and total chlorophyll)</w:t>
      </w:r>
    </w:p>
    <w:p w:rsidR="00244A3E" w:rsidRPr="00B6632F" w:rsidRDefault="00244A3E" w:rsidP="00B6632F">
      <w:pPr>
        <w:spacing w:before="120" w:after="120" w:line="240" w:lineRule="auto"/>
        <w:ind w:firstLine="720"/>
        <w:jc w:val="both"/>
        <w:rPr>
          <w:rFonts w:ascii="Arial" w:hAnsi="Arial" w:cs="Arial"/>
          <w:sz w:val="20"/>
          <w:szCs w:val="20"/>
        </w:rPr>
      </w:pPr>
      <w:r w:rsidRPr="000C07E8">
        <w:rPr>
          <w:rFonts w:ascii="Arial" w:hAnsi="Arial" w:cs="Arial"/>
          <w:sz w:val="20"/>
          <w:szCs w:val="20"/>
        </w:rPr>
        <w:t xml:space="preserve">Chlorophyll is a complex molecule containing Magnesium and phytol (a long chain alcohol as an integral part of its structure).  Shade has a differential effect on the chlorophyll content of tea plants. It was reported that shade consistently increased the chlorophyll content in some clones and in others it has little effect </w:t>
      </w:r>
      <w:r w:rsidRPr="00FD624C">
        <w:rPr>
          <w:rFonts w:ascii="Arial" w:hAnsi="Arial" w:cs="Arial"/>
          <w:sz w:val="20"/>
          <w:szCs w:val="20"/>
        </w:rPr>
        <w:t>(</w:t>
      </w:r>
      <w:r w:rsidRPr="00500E70">
        <w:rPr>
          <w:rFonts w:ascii="Arial" w:hAnsi="Arial" w:cs="Arial"/>
          <w:color w:val="000000" w:themeColor="text1"/>
          <w:sz w:val="20"/>
          <w:szCs w:val="20"/>
        </w:rPr>
        <w:t>Silva and Sivapalan</w:t>
      </w:r>
      <w:r w:rsidRPr="00FD624C">
        <w:rPr>
          <w:rFonts w:ascii="Arial" w:hAnsi="Arial" w:cs="Arial"/>
          <w:sz w:val="20"/>
          <w:szCs w:val="20"/>
        </w:rPr>
        <w:t>, 1982</w:t>
      </w:r>
      <w:r w:rsidRPr="000C07E8">
        <w:rPr>
          <w:rFonts w:ascii="Arial" w:hAnsi="Arial" w:cs="Arial"/>
          <w:sz w:val="20"/>
          <w:szCs w:val="20"/>
        </w:rPr>
        <w:t>).</w:t>
      </w:r>
      <w:r w:rsidRPr="00B6632F">
        <w:rPr>
          <w:rFonts w:ascii="Arial" w:hAnsi="Arial" w:cs="Arial"/>
          <w:sz w:val="20"/>
          <w:szCs w:val="20"/>
        </w:rPr>
        <w:t xml:space="preserve">Chlorophyll content in the pluckable shoots under different treatments was found to be different. The highest chlorophyll a (1.94 mg/g) was found to be under conventional shade in T1 and the highest chlorophyll b (0.84 mg/g) was found to be in T1 as well as T4. Lowest chlorophyll a (1.35 mg/g) and chlorophyll b (0.69 mg/g) was recorded under T2. Moreover, the total chlorophyll was found to be highest under conventional shade in T1 (2.78 mg/g) and lowest in T2 (2.04 mg/g). The ratio of chlorophyll a to chlorophyll b was found to be highest in T1 (2.32 mg/g) and lowest in T2 (1.96 mg/g). Chlorophyll a and chlorophyll b content was recorded to be higher in conventional shade than in rubber tree shade thereby increasing the total chlorophyll content in the leaves. These results are in conformity with the findings of </w:t>
      </w:r>
    </w:p>
    <w:p w:rsidR="00244A3E" w:rsidRPr="007854A8" w:rsidRDefault="00244A3E" w:rsidP="00B6632F">
      <w:pPr>
        <w:spacing w:before="120" w:after="120" w:line="240" w:lineRule="auto"/>
        <w:ind w:firstLine="720"/>
        <w:jc w:val="both"/>
        <w:rPr>
          <w:rFonts w:ascii="Arial" w:hAnsi="Arial" w:cs="Arial"/>
          <w:sz w:val="20"/>
          <w:szCs w:val="20"/>
        </w:rPr>
      </w:pPr>
      <w:r w:rsidRPr="00FD624C">
        <w:rPr>
          <w:rFonts w:ascii="Arial" w:hAnsi="Arial" w:cs="Arial"/>
          <w:sz w:val="20"/>
          <w:szCs w:val="20"/>
        </w:rPr>
        <w:t xml:space="preserve">Chen </w:t>
      </w:r>
      <w:r w:rsidRPr="00FD624C">
        <w:rPr>
          <w:rFonts w:ascii="Arial" w:hAnsi="Arial" w:cs="Arial"/>
          <w:i/>
          <w:sz w:val="20"/>
          <w:szCs w:val="20"/>
        </w:rPr>
        <w:t>et al</w:t>
      </w:r>
      <w:r w:rsidRPr="00FD624C">
        <w:rPr>
          <w:rFonts w:ascii="Arial" w:hAnsi="Arial" w:cs="Arial"/>
          <w:sz w:val="20"/>
          <w:szCs w:val="20"/>
        </w:rPr>
        <w:t>. (2021</w:t>
      </w:r>
      <w:r w:rsidRPr="000C07E8">
        <w:rPr>
          <w:rFonts w:ascii="Arial" w:hAnsi="Arial" w:cs="Arial"/>
          <w:sz w:val="20"/>
          <w:szCs w:val="20"/>
        </w:rPr>
        <w:t xml:space="preserve">) where they observed that following shade, the reduction in light intensity had an impact on the transcription of CsHY5 and CsPIF7-1, which in turn controlled the expression of the gene responsible for producing chlorophyll, CsPORL-2, and results in the buildup of chlorophyll in tea leaves. The chlorophyll content of tea leaves increases significantly after shading treatment and decreasing light intensity can induce the accumulation of chlorophyll in new shoots (Chen </w:t>
      </w:r>
      <w:r w:rsidRPr="000C07E8">
        <w:rPr>
          <w:rFonts w:ascii="Arial" w:hAnsi="Arial" w:cs="Arial"/>
          <w:i/>
          <w:sz w:val="20"/>
          <w:szCs w:val="20"/>
        </w:rPr>
        <w:t>et al</w:t>
      </w:r>
      <w:r w:rsidRPr="000C07E8">
        <w:rPr>
          <w:rFonts w:ascii="Arial" w:hAnsi="Arial" w:cs="Arial"/>
          <w:sz w:val="20"/>
          <w:szCs w:val="20"/>
        </w:rPr>
        <w:t xml:space="preserve">., 2021). However, if the degree of shading continues to increase, tea plants exposed to long-term shading (100% shading rate) will start to exhibit a yellowing phenotype. Chen </w:t>
      </w:r>
      <w:r w:rsidRPr="000C07E8">
        <w:rPr>
          <w:rFonts w:ascii="Arial" w:hAnsi="Arial" w:cs="Arial"/>
          <w:i/>
          <w:sz w:val="20"/>
          <w:szCs w:val="20"/>
        </w:rPr>
        <w:t>et al</w:t>
      </w:r>
      <w:r w:rsidRPr="000C07E8">
        <w:rPr>
          <w:rFonts w:ascii="Arial" w:hAnsi="Arial" w:cs="Arial"/>
          <w:sz w:val="20"/>
          <w:szCs w:val="20"/>
        </w:rPr>
        <w:t>. treated tea plants with 2 weeks of shading (100% shading rate) and revealed the degradation of chlorophyll in tea leaves, which resulted in yellow leaves (</w:t>
      </w:r>
      <w:r w:rsidRPr="00FD624C">
        <w:rPr>
          <w:rFonts w:ascii="Arial" w:hAnsi="Arial" w:cs="Arial"/>
          <w:sz w:val="20"/>
          <w:szCs w:val="20"/>
        </w:rPr>
        <w:t xml:space="preserve">Chen </w:t>
      </w:r>
      <w:r w:rsidRPr="00FD624C">
        <w:rPr>
          <w:rFonts w:ascii="Arial" w:hAnsi="Arial" w:cs="Arial"/>
          <w:i/>
          <w:sz w:val="20"/>
          <w:szCs w:val="20"/>
        </w:rPr>
        <w:t>et al</w:t>
      </w:r>
      <w:r w:rsidRPr="00FD624C">
        <w:rPr>
          <w:rFonts w:ascii="Arial" w:hAnsi="Arial" w:cs="Arial"/>
          <w:sz w:val="20"/>
          <w:szCs w:val="20"/>
        </w:rPr>
        <w:t>., 2017)</w:t>
      </w:r>
      <w:r w:rsidRPr="000C07E8">
        <w:rPr>
          <w:rFonts w:ascii="Arial" w:hAnsi="Arial" w:cs="Arial"/>
          <w:sz w:val="20"/>
          <w:szCs w:val="20"/>
        </w:rPr>
        <w:t>.</w:t>
      </w:r>
    </w:p>
    <w:p w:rsidR="00244A3E" w:rsidRPr="00B6632F" w:rsidRDefault="00244A3E" w:rsidP="00B6632F">
      <w:pPr>
        <w:spacing w:before="120" w:after="120" w:line="240" w:lineRule="auto"/>
        <w:ind w:firstLine="720"/>
        <w:jc w:val="both"/>
        <w:rPr>
          <w:rFonts w:ascii="Arial" w:hAnsi="Arial" w:cs="Arial"/>
          <w:sz w:val="20"/>
          <w:szCs w:val="20"/>
        </w:rPr>
      </w:pPr>
      <w:r w:rsidRPr="00B6632F">
        <w:rPr>
          <w:rFonts w:ascii="Arial" w:hAnsi="Arial" w:cs="Arial"/>
          <w:sz w:val="20"/>
          <w:szCs w:val="20"/>
        </w:rPr>
        <w:t xml:space="preserve">In addition to total chlorophyll content, the ratio of chlorophyll a to b is a key parameter that indicates the shade tolerance of the species, that is, shade tolerant species exhibits a lower ratio compared to their counterparts exposed to high light conditions </w:t>
      </w:r>
      <w:r w:rsidRPr="00FD624C">
        <w:rPr>
          <w:rFonts w:ascii="Arial" w:hAnsi="Arial" w:cs="Arial"/>
          <w:sz w:val="20"/>
          <w:szCs w:val="20"/>
        </w:rPr>
        <w:t xml:space="preserve">(Yamazaki </w:t>
      </w:r>
      <w:r w:rsidRPr="00FD624C">
        <w:rPr>
          <w:rFonts w:ascii="Arial" w:hAnsi="Arial" w:cs="Arial"/>
          <w:i/>
          <w:sz w:val="20"/>
          <w:szCs w:val="20"/>
        </w:rPr>
        <w:t>et al</w:t>
      </w:r>
      <w:r w:rsidRPr="00FD624C">
        <w:rPr>
          <w:rFonts w:ascii="Arial" w:hAnsi="Arial" w:cs="Arial"/>
          <w:sz w:val="20"/>
          <w:szCs w:val="20"/>
        </w:rPr>
        <w:t>., 2005</w:t>
      </w:r>
      <w:r w:rsidRPr="00B6632F">
        <w:rPr>
          <w:rFonts w:ascii="Arial" w:hAnsi="Arial" w:cs="Arial"/>
          <w:sz w:val="20"/>
          <w:szCs w:val="20"/>
        </w:rPr>
        <w:t>). Low Chlorophyll a:b ratio indicates that the proportion of chlorophyll b is higher than that of chlorophyll a in order to enhance blue light absorption under low light condition (</w:t>
      </w:r>
      <w:r w:rsidRPr="000C07E8">
        <w:rPr>
          <w:rFonts w:ascii="Arial" w:hAnsi="Arial" w:cs="Arial"/>
          <w:sz w:val="20"/>
          <w:szCs w:val="20"/>
        </w:rPr>
        <w:t>Tran, 2018</w:t>
      </w:r>
      <w:r w:rsidRPr="00B6632F">
        <w:rPr>
          <w:rFonts w:ascii="Arial" w:hAnsi="Arial" w:cs="Arial"/>
          <w:sz w:val="20"/>
          <w:szCs w:val="20"/>
        </w:rPr>
        <w:t>).</w:t>
      </w:r>
    </w:p>
    <w:p w:rsidR="00244A3E" w:rsidRPr="00B6632F" w:rsidRDefault="00244A3E" w:rsidP="00B6632F">
      <w:pPr>
        <w:tabs>
          <w:tab w:val="left" w:pos="360"/>
        </w:tabs>
        <w:spacing w:after="0" w:line="240" w:lineRule="auto"/>
        <w:contextualSpacing/>
        <w:jc w:val="both"/>
        <w:rPr>
          <w:rFonts w:ascii="Arial" w:hAnsi="Arial" w:cs="Arial"/>
          <w:b/>
          <w:sz w:val="20"/>
          <w:szCs w:val="20"/>
        </w:rPr>
      </w:pPr>
      <w:r w:rsidRPr="00B6632F">
        <w:rPr>
          <w:rFonts w:ascii="Arial" w:hAnsi="Arial" w:cs="Arial"/>
          <w:b/>
          <w:sz w:val="20"/>
          <w:szCs w:val="20"/>
        </w:rPr>
        <w:t>CONCLUSION</w:t>
      </w:r>
    </w:p>
    <w:p w:rsidR="00C03945" w:rsidRDefault="00244A3E" w:rsidP="00EC23F9">
      <w:pPr>
        <w:tabs>
          <w:tab w:val="left" w:pos="360"/>
          <w:tab w:val="left" w:pos="450"/>
        </w:tabs>
        <w:spacing w:after="0" w:line="240" w:lineRule="auto"/>
        <w:ind w:firstLine="360"/>
        <w:contextualSpacing/>
        <w:jc w:val="both"/>
        <w:rPr>
          <w:rFonts w:ascii="Arial" w:hAnsi="Arial" w:cs="Arial"/>
          <w:sz w:val="20"/>
          <w:szCs w:val="20"/>
        </w:rPr>
      </w:pPr>
      <w:r w:rsidRPr="00B6632F">
        <w:rPr>
          <w:rFonts w:ascii="Arial" w:hAnsi="Arial" w:cs="Arial"/>
          <w:sz w:val="20"/>
          <w:szCs w:val="20"/>
        </w:rPr>
        <w:t xml:space="preserve">The study generated a considerable amount of important information on the effect of </w:t>
      </w:r>
      <w:r w:rsidRPr="00B6632F">
        <w:rPr>
          <w:rFonts w:ascii="Arial" w:hAnsi="Arial" w:cs="Arial"/>
          <w:i/>
          <w:sz w:val="20"/>
          <w:szCs w:val="20"/>
        </w:rPr>
        <w:t>Albizzia chinensis</w:t>
      </w:r>
      <w:r w:rsidRPr="00B6632F">
        <w:rPr>
          <w:rFonts w:ascii="Arial" w:hAnsi="Arial" w:cs="Arial"/>
          <w:sz w:val="20"/>
          <w:szCs w:val="20"/>
        </w:rPr>
        <w:t xml:space="preserve"> shade and rubber tree shade on physical parameters.</w:t>
      </w:r>
    </w:p>
    <w:p w:rsidR="00EC23F9" w:rsidRPr="000C07E8" w:rsidRDefault="00170A2B" w:rsidP="00EC23F9">
      <w:pPr>
        <w:tabs>
          <w:tab w:val="left" w:pos="360"/>
          <w:tab w:val="left" w:pos="450"/>
        </w:tabs>
        <w:spacing w:after="0" w:line="240" w:lineRule="auto"/>
        <w:ind w:firstLine="360"/>
        <w:contextualSpacing/>
        <w:jc w:val="both"/>
        <w:rPr>
          <w:rFonts w:ascii="Arial" w:hAnsi="Arial" w:cs="Arial"/>
          <w:sz w:val="20"/>
          <w:szCs w:val="20"/>
        </w:rPr>
      </w:pPr>
      <w:r w:rsidRPr="000C07E8">
        <w:rPr>
          <w:rFonts w:ascii="Arial" w:hAnsi="Arial" w:cs="Arial"/>
          <w:sz w:val="20"/>
          <w:szCs w:val="20"/>
        </w:rPr>
        <w:t xml:space="preserve">Incident Photosynthetically Active Radiation values were observed to be higher for the tea plants under </w:t>
      </w:r>
      <w:r w:rsidRPr="000C07E8">
        <w:rPr>
          <w:rFonts w:ascii="Arial" w:hAnsi="Arial" w:cs="Arial"/>
          <w:i/>
          <w:sz w:val="20"/>
          <w:szCs w:val="20"/>
        </w:rPr>
        <w:t>Albizzia chinensis</w:t>
      </w:r>
      <w:r w:rsidRPr="000C07E8">
        <w:rPr>
          <w:rFonts w:ascii="Arial" w:hAnsi="Arial" w:cs="Arial"/>
          <w:sz w:val="20"/>
          <w:szCs w:val="20"/>
        </w:rPr>
        <w:t xml:space="preserve"> shade and similar results were observed for </w:t>
      </w:r>
      <w:r w:rsidRPr="000C07E8">
        <w:rPr>
          <w:rFonts w:ascii="Arial" w:eastAsia="Times New Roman" w:hAnsi="Arial" w:cs="Arial"/>
          <w:sz w:val="20"/>
          <w:szCs w:val="20"/>
        </w:rPr>
        <w:t>ipar (%)</w:t>
      </w:r>
      <w:r w:rsidR="00EC23F9" w:rsidRPr="000C07E8">
        <w:rPr>
          <w:rFonts w:ascii="Arial" w:eastAsia="Times New Roman" w:hAnsi="Arial" w:cs="Arial"/>
          <w:sz w:val="20"/>
          <w:szCs w:val="20"/>
        </w:rPr>
        <w:t>also.</w:t>
      </w:r>
      <w:r w:rsidRPr="000C07E8">
        <w:rPr>
          <w:rFonts w:ascii="Arial" w:hAnsi="Arial" w:cs="Arial"/>
          <w:sz w:val="20"/>
          <w:szCs w:val="20"/>
        </w:rPr>
        <w:t xml:space="preserve">The percent of light incidence on the tea bushes was found to be highest under </w:t>
      </w:r>
      <w:r w:rsidRPr="000C07E8">
        <w:rPr>
          <w:rFonts w:ascii="Arial" w:hAnsi="Arial" w:cs="Arial"/>
          <w:i/>
          <w:sz w:val="20"/>
          <w:szCs w:val="20"/>
        </w:rPr>
        <w:t>Albizzia chinensis</w:t>
      </w:r>
      <w:r w:rsidRPr="000C07E8">
        <w:rPr>
          <w:rFonts w:ascii="Arial" w:hAnsi="Arial" w:cs="Arial"/>
          <w:sz w:val="20"/>
          <w:szCs w:val="20"/>
        </w:rPr>
        <w:t xml:space="preserve"> shade followed by rubber shade in the sequence of (12m x 5.5m), (9.5m x 5.5m) and (8.5m x 5.5m) spacings. </w:t>
      </w:r>
      <w:r w:rsidR="00EC23F9" w:rsidRPr="000C07E8">
        <w:rPr>
          <w:rFonts w:ascii="Arial" w:hAnsi="Arial" w:cs="Arial"/>
          <w:sz w:val="20"/>
          <w:szCs w:val="20"/>
        </w:rPr>
        <w:t xml:space="preserve">But in case of </w:t>
      </w:r>
      <w:r w:rsidRPr="000C07E8">
        <w:rPr>
          <w:rFonts w:ascii="Arial" w:hAnsi="Arial" w:cs="Arial"/>
          <w:sz w:val="20"/>
          <w:szCs w:val="20"/>
        </w:rPr>
        <w:t>per cent of light tran</w:t>
      </w:r>
      <w:r w:rsidR="00EC23F9" w:rsidRPr="000C07E8">
        <w:rPr>
          <w:rFonts w:ascii="Arial" w:hAnsi="Arial" w:cs="Arial"/>
          <w:sz w:val="20"/>
          <w:szCs w:val="20"/>
        </w:rPr>
        <w:t>smission through the tea canopy, t</w:t>
      </w:r>
      <w:r w:rsidRPr="000C07E8">
        <w:rPr>
          <w:rFonts w:ascii="Arial" w:hAnsi="Arial" w:cs="Arial"/>
          <w:sz w:val="20"/>
          <w:szCs w:val="20"/>
        </w:rPr>
        <w:t>he highest value was found to be in tea under rubber tree shade wit</w:t>
      </w:r>
      <w:r w:rsidR="00EC23F9" w:rsidRPr="000C07E8">
        <w:rPr>
          <w:rFonts w:ascii="Arial" w:hAnsi="Arial" w:cs="Arial"/>
          <w:sz w:val="20"/>
          <w:szCs w:val="20"/>
        </w:rPr>
        <w:t xml:space="preserve">h the </w:t>
      </w:r>
      <w:r w:rsidR="00EC23F9" w:rsidRPr="000C07E8">
        <w:rPr>
          <w:rFonts w:ascii="Arial" w:hAnsi="Arial" w:cs="Arial"/>
          <w:sz w:val="20"/>
          <w:szCs w:val="20"/>
        </w:rPr>
        <w:lastRenderedPageBreak/>
        <w:t>spacing of (8.5 x 5.5 m) and t</w:t>
      </w:r>
      <w:r w:rsidRPr="000C07E8">
        <w:rPr>
          <w:rFonts w:ascii="Arial" w:hAnsi="Arial" w:cs="Arial"/>
          <w:sz w:val="20"/>
          <w:szCs w:val="20"/>
        </w:rPr>
        <w:t xml:space="preserve">he lowest value was found to be in tea under </w:t>
      </w:r>
      <w:r w:rsidRPr="000C07E8">
        <w:rPr>
          <w:rFonts w:ascii="Arial" w:hAnsi="Arial" w:cs="Arial"/>
          <w:i/>
          <w:sz w:val="20"/>
          <w:szCs w:val="20"/>
        </w:rPr>
        <w:t>Albizzia chinensis</w:t>
      </w:r>
      <w:r w:rsidRPr="000C07E8">
        <w:rPr>
          <w:rFonts w:ascii="Arial" w:hAnsi="Arial" w:cs="Arial"/>
          <w:sz w:val="20"/>
          <w:szCs w:val="20"/>
        </w:rPr>
        <w:t xml:space="preserve"> shade.</w:t>
      </w:r>
    </w:p>
    <w:p w:rsidR="00EC23F9" w:rsidRPr="000C07E8" w:rsidRDefault="00170A2B" w:rsidP="00EC23F9">
      <w:pPr>
        <w:tabs>
          <w:tab w:val="left" w:pos="360"/>
          <w:tab w:val="left" w:pos="450"/>
        </w:tabs>
        <w:spacing w:after="0" w:line="240" w:lineRule="auto"/>
        <w:ind w:firstLine="360"/>
        <w:contextualSpacing/>
        <w:jc w:val="both"/>
        <w:rPr>
          <w:rFonts w:ascii="Arial" w:hAnsi="Arial" w:cs="Arial"/>
          <w:sz w:val="20"/>
          <w:szCs w:val="20"/>
        </w:rPr>
      </w:pPr>
      <w:r w:rsidRPr="000C07E8">
        <w:rPr>
          <w:rFonts w:ascii="Arial" w:hAnsi="Arial" w:cs="Arial"/>
          <w:sz w:val="20"/>
          <w:szCs w:val="20"/>
        </w:rPr>
        <w:t>Greater SPAD values were recorded in the plants under conventional shade as compared to the plants under rubber tree shade.</w:t>
      </w:r>
    </w:p>
    <w:p w:rsidR="00EC23F9" w:rsidRPr="000C07E8" w:rsidRDefault="00170A2B" w:rsidP="00EC23F9">
      <w:pPr>
        <w:tabs>
          <w:tab w:val="left" w:pos="360"/>
          <w:tab w:val="left" w:pos="450"/>
        </w:tabs>
        <w:spacing w:after="0" w:line="240" w:lineRule="auto"/>
        <w:ind w:firstLine="360"/>
        <w:contextualSpacing/>
        <w:jc w:val="both"/>
        <w:rPr>
          <w:rFonts w:ascii="Arial" w:hAnsi="Arial" w:cs="Arial"/>
          <w:sz w:val="20"/>
          <w:szCs w:val="20"/>
        </w:rPr>
      </w:pPr>
      <w:r w:rsidRPr="000C07E8">
        <w:rPr>
          <w:rFonts w:ascii="Arial" w:hAnsi="Arial" w:cs="Arial"/>
          <w:sz w:val="20"/>
          <w:szCs w:val="20"/>
        </w:rPr>
        <w:t>The total chlorophyll was found to be highest under conventional shade in T1 (2.78 mg/g) and lowest in T2 (2.04 mg/g). The ratio of chlorophyll a to chlorophyll b was found to be highest in T1 (2.32 mg/g) and lowest in T2 (1.96 mg/g). Chlorophyll a and chlorophyll b content was recorded to be higher in conventional shade than in rubber tree shade thereby increasing the total chlorophyll content in the leaves.</w:t>
      </w:r>
    </w:p>
    <w:p w:rsidR="00170A2B" w:rsidRPr="008047C6" w:rsidRDefault="00170A2B" w:rsidP="00EC23F9">
      <w:pPr>
        <w:tabs>
          <w:tab w:val="left" w:pos="360"/>
          <w:tab w:val="left" w:pos="450"/>
        </w:tabs>
        <w:spacing w:after="0" w:line="240" w:lineRule="auto"/>
        <w:ind w:firstLine="360"/>
        <w:contextualSpacing/>
        <w:jc w:val="both"/>
        <w:rPr>
          <w:rFonts w:ascii="Arial" w:eastAsia="Times New Roman" w:hAnsi="Arial" w:cs="Arial"/>
          <w:sz w:val="20"/>
          <w:szCs w:val="20"/>
        </w:rPr>
      </w:pPr>
      <w:r w:rsidRPr="000C07E8">
        <w:rPr>
          <w:rFonts w:ascii="Arial" w:eastAsia="Times New Roman" w:hAnsi="Arial" w:cs="Arial"/>
          <w:sz w:val="20"/>
          <w:szCs w:val="20"/>
        </w:rPr>
        <w:t xml:space="preserve">The percent available PAR for tea under rubber tree shade (21.34%-6.43%) was found to be relatively less as compared to </w:t>
      </w:r>
      <w:r w:rsidRPr="000C07E8">
        <w:rPr>
          <w:rFonts w:ascii="Arial" w:eastAsia="Times New Roman" w:hAnsi="Arial" w:cs="Arial"/>
          <w:i/>
          <w:sz w:val="20"/>
          <w:szCs w:val="20"/>
        </w:rPr>
        <w:t>Albizzia chinensis</w:t>
      </w:r>
      <w:r w:rsidRPr="000C07E8">
        <w:rPr>
          <w:rFonts w:ascii="Arial" w:eastAsia="Times New Roman" w:hAnsi="Arial" w:cs="Arial"/>
          <w:sz w:val="20"/>
          <w:szCs w:val="20"/>
        </w:rPr>
        <w:t xml:space="preserve"> shade (62.3%-25.32%).</w:t>
      </w:r>
    </w:p>
    <w:p w:rsidR="00C03945" w:rsidRDefault="00C03945" w:rsidP="00C03945">
      <w:pPr>
        <w:tabs>
          <w:tab w:val="left" w:pos="360"/>
          <w:tab w:val="left" w:pos="450"/>
        </w:tabs>
        <w:spacing w:after="0" w:line="240" w:lineRule="auto"/>
        <w:ind w:firstLine="360"/>
        <w:contextualSpacing/>
        <w:jc w:val="both"/>
        <w:rPr>
          <w:rFonts w:ascii="Arial" w:hAnsi="Arial" w:cs="Arial"/>
          <w:sz w:val="20"/>
          <w:szCs w:val="20"/>
        </w:rPr>
      </w:pPr>
      <w:r w:rsidRPr="00B6632F">
        <w:rPr>
          <w:rFonts w:ascii="Arial" w:hAnsi="Arial" w:cs="Arial"/>
          <w:sz w:val="20"/>
          <w:szCs w:val="20"/>
        </w:rPr>
        <w:t xml:space="preserve">Better performance was noticed under conventional shade which is due to the availability of necessary photosynthetically active radiation and light intensity that maintains the </w:t>
      </w:r>
      <w:r w:rsidR="00927098">
        <w:rPr>
          <w:rFonts w:ascii="Arial" w:hAnsi="Arial" w:cs="Arial"/>
          <w:sz w:val="20"/>
          <w:szCs w:val="20"/>
        </w:rPr>
        <w:t xml:space="preserve">leaf temperature of the </w:t>
      </w:r>
      <w:commentRangeStart w:id="4"/>
      <w:r w:rsidR="00927098">
        <w:rPr>
          <w:rFonts w:ascii="Arial" w:hAnsi="Arial" w:cs="Arial"/>
          <w:sz w:val="20"/>
          <w:szCs w:val="20"/>
        </w:rPr>
        <w:t>plants</w:t>
      </w:r>
      <w:commentRangeEnd w:id="4"/>
      <w:r w:rsidR="00927098">
        <w:rPr>
          <w:rStyle w:val="CommentReference"/>
        </w:rPr>
        <w:commentReference w:id="4"/>
      </w:r>
      <w:r w:rsidR="00927098">
        <w:rPr>
          <w:rFonts w:ascii="Arial" w:hAnsi="Arial" w:cs="Arial"/>
          <w:sz w:val="20"/>
          <w:szCs w:val="20"/>
        </w:rPr>
        <w:t>.</w:t>
      </w:r>
    </w:p>
    <w:p w:rsidR="00C03945" w:rsidRPr="00EC23F9" w:rsidRDefault="00C03945" w:rsidP="00EC23F9">
      <w:pPr>
        <w:tabs>
          <w:tab w:val="left" w:pos="360"/>
          <w:tab w:val="left" w:pos="450"/>
        </w:tabs>
        <w:spacing w:after="0" w:line="240" w:lineRule="auto"/>
        <w:ind w:firstLine="360"/>
        <w:contextualSpacing/>
        <w:jc w:val="both"/>
        <w:rPr>
          <w:rFonts w:ascii="Arial" w:hAnsi="Arial" w:cs="Arial"/>
          <w:sz w:val="20"/>
          <w:szCs w:val="20"/>
        </w:rPr>
      </w:pPr>
    </w:p>
    <w:p w:rsidR="00E31553" w:rsidRPr="00E31553" w:rsidRDefault="00E16E88" w:rsidP="00E31553">
      <w:pPr>
        <w:spacing w:before="120" w:after="100" w:afterAutospacing="1" w:line="240" w:lineRule="auto"/>
        <w:jc w:val="both"/>
        <w:rPr>
          <w:rFonts w:ascii="Arial" w:hAnsi="Arial" w:cs="Arial"/>
          <w:b/>
        </w:rPr>
      </w:pPr>
      <w:r w:rsidRPr="000C07E8">
        <w:rPr>
          <w:rFonts w:ascii="Arial" w:hAnsi="Arial" w:cs="Arial"/>
          <w:b/>
        </w:rPr>
        <w:t>BIBLIOGRAPHY</w:t>
      </w:r>
    </w:p>
    <w:p w:rsid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color w:val="222222"/>
          <w:sz w:val="20"/>
          <w:szCs w:val="20"/>
          <w:shd w:val="clear" w:color="auto" w:fill="FFFFFF"/>
        </w:rPr>
        <w:t xml:space="preserve">Arnon, D. I. (1949). Copper Enzymes in Isolated Chloroplasts. Polyphenoloxidase in Beta Vulgaris. Plant Physiology, 24(1), 1–15. </w:t>
      </w:r>
      <w:hyperlink r:id="rId15" w:history="1">
        <w:r w:rsidRPr="004D40BA">
          <w:rPr>
            <w:rStyle w:val="Hyperlink"/>
            <w:rFonts w:ascii="Arial" w:hAnsi="Arial" w:cs="Arial"/>
            <w:sz w:val="20"/>
            <w:szCs w:val="20"/>
            <w:shd w:val="clear" w:color="auto" w:fill="FFFFFF"/>
          </w:rPr>
          <w:t>https://doi.org/10.1104/pp.24.1.1</w:t>
        </w:r>
      </w:hyperlink>
    </w:p>
    <w:p w:rsid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color w:val="222222"/>
          <w:sz w:val="20"/>
          <w:szCs w:val="20"/>
          <w:shd w:val="clear" w:color="auto" w:fill="FFFFFF"/>
        </w:rPr>
        <w:t xml:space="preserve">Anim-Kwapong, G. J. (2003). Potential of some Neotropical Albizia species as shade trees when replanting cacao in Ghana. Agroforestry Systems, 58(3), 185-193. </w:t>
      </w:r>
      <w:hyperlink r:id="rId16" w:history="1">
        <w:r w:rsidRPr="004D40BA">
          <w:rPr>
            <w:rStyle w:val="Hyperlink"/>
            <w:rFonts w:ascii="Arial" w:hAnsi="Arial" w:cs="Arial"/>
            <w:sz w:val="20"/>
            <w:szCs w:val="20"/>
            <w:shd w:val="clear" w:color="auto" w:fill="FFFFFF"/>
          </w:rPr>
          <w:t>https://doi.org/10.1023/A:1026097423351</w:t>
        </w:r>
      </w:hyperlink>
    </w:p>
    <w:p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 xml:space="preserve">Barman, T. S., Baruah, U., &amp;Saikia, J. K. (2008). Irradiance influences tea leaf (Camellia sinensis L.) photosynthesis and transpiration. Photosynthetica, 46(4), 618–621. </w:t>
      </w:r>
      <w:hyperlink r:id="rId17" w:history="1">
        <w:r w:rsidRPr="004D40BA">
          <w:rPr>
            <w:rStyle w:val="Hyperlink"/>
            <w:rFonts w:ascii="Arial" w:hAnsi="Arial" w:cs="Arial"/>
            <w:sz w:val="20"/>
            <w:szCs w:val="20"/>
            <w:shd w:val="clear" w:color="auto" w:fill="FFFFFF"/>
          </w:rPr>
          <w:t>https://doi.org/10.1007/s11099-008-0104-y</w:t>
        </w:r>
      </w:hyperlink>
    </w:p>
    <w:p w:rsidR="00E31553" w:rsidRPr="00CE0E42" w:rsidRDefault="00E31553" w:rsidP="00CE0E42">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Barua, D.N. (1969). Light as a factor in metabolism of the tea plant. Physiology of Tree crops. Academic press, NewYork, p. 306-322.</w:t>
      </w:r>
    </w:p>
    <w:p w:rsidR="00E31553" w:rsidRPr="00CE0E42" w:rsidRDefault="00E31553" w:rsidP="00CE0E42">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 xml:space="preserve">Barua, D.N. and Gogoi, B.N. (1979). Effects of shade removal. </w:t>
      </w:r>
      <w:r w:rsidRPr="00CE0E42">
        <w:rPr>
          <w:rFonts w:ascii="Arial" w:hAnsi="Arial" w:cs="Arial"/>
          <w:i/>
          <w:sz w:val="20"/>
          <w:szCs w:val="20"/>
        </w:rPr>
        <w:t>Two and a Bud</w:t>
      </w:r>
      <w:r w:rsidRPr="00CE0E42">
        <w:rPr>
          <w:rFonts w:ascii="Arial" w:hAnsi="Arial" w:cs="Arial"/>
          <w:sz w:val="20"/>
          <w:szCs w:val="20"/>
        </w:rPr>
        <w:t xml:space="preserve">, </w:t>
      </w:r>
      <w:r w:rsidRPr="00CE0E42">
        <w:rPr>
          <w:rFonts w:ascii="Arial" w:hAnsi="Arial" w:cs="Arial"/>
          <w:b/>
          <w:sz w:val="20"/>
          <w:szCs w:val="20"/>
        </w:rPr>
        <w:t>26</w:t>
      </w:r>
      <w:r w:rsidRPr="00CE0E42">
        <w:rPr>
          <w:rFonts w:ascii="Arial" w:hAnsi="Arial" w:cs="Arial"/>
          <w:sz w:val="20"/>
          <w:szCs w:val="20"/>
        </w:rPr>
        <w:t>(1): 40-42.</w:t>
      </w:r>
    </w:p>
    <w:p w:rsidR="008575C7" w:rsidRDefault="008575C7" w:rsidP="00CE0E42">
      <w:pPr>
        <w:pStyle w:val="ListParagraph"/>
        <w:numPr>
          <w:ilvl w:val="0"/>
          <w:numId w:val="4"/>
        </w:numPr>
        <w:spacing w:after="0" w:line="360" w:lineRule="auto"/>
        <w:jc w:val="both"/>
        <w:rPr>
          <w:rFonts w:ascii="Arial" w:hAnsi="Arial" w:cs="Arial"/>
          <w:color w:val="222222"/>
          <w:sz w:val="20"/>
          <w:szCs w:val="20"/>
          <w:shd w:val="clear" w:color="auto" w:fill="FFFFFF"/>
        </w:rPr>
      </w:pPr>
      <w:r w:rsidRPr="008575C7">
        <w:rPr>
          <w:rFonts w:ascii="Arial" w:hAnsi="Arial" w:cs="Arial"/>
          <w:color w:val="222222"/>
          <w:sz w:val="20"/>
          <w:szCs w:val="20"/>
          <w:shd w:val="clear" w:color="auto" w:fill="FFFFFF"/>
        </w:rPr>
        <w:t xml:space="preserve">Cahyo, A. N., Murti, R. H., Putra, E. T. S., Nuringtyas, T. R., Fabre, D., &amp; Montoro, P. (2020). SPAD-502 and atLEAF CHL PLUS values provide good estimation of the chlorophyll content for HeveabrasiliensisMüll. Arg. Leaves. Menara Perkebunan, 88(1), 1-8. </w:t>
      </w:r>
      <w:hyperlink r:id="rId18" w:history="1">
        <w:r w:rsidRPr="004D40BA">
          <w:rPr>
            <w:rStyle w:val="Hyperlink"/>
            <w:rFonts w:ascii="Arial" w:hAnsi="Arial" w:cs="Arial"/>
            <w:sz w:val="20"/>
            <w:szCs w:val="20"/>
            <w:shd w:val="clear" w:color="auto" w:fill="FFFFFF"/>
          </w:rPr>
          <w:t>https://doi.org/10.22302/iribb.jur.mp.v88i1.369</w:t>
        </w:r>
      </w:hyperlink>
    </w:p>
    <w:p w:rsidR="008575C7" w:rsidRP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sz w:val="20"/>
          <w:szCs w:val="20"/>
        </w:rPr>
        <w:t xml:space="preserve">Chen, J., Wu, S., Dong, F., Li, J., Zeng, L., Tang, J., &amp; Gu, D. (2021). Mechanism underlying the shading-induced chlorophyll accumulation in tea leaves. Frontiers in Plant Science, 12, 779819. </w:t>
      </w:r>
      <w:hyperlink r:id="rId19" w:history="1">
        <w:r w:rsidRPr="004D40BA">
          <w:rPr>
            <w:rStyle w:val="Hyperlink"/>
            <w:rFonts w:ascii="Arial" w:hAnsi="Arial" w:cs="Arial"/>
            <w:sz w:val="20"/>
            <w:szCs w:val="20"/>
          </w:rPr>
          <w:t>https://doi.org/10.3389/fpls.2021.779819</w:t>
        </w:r>
      </w:hyperlink>
    </w:p>
    <w:p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 xml:space="preserve">Chen, Y., Fu, X., Mei, X., Zhou, Y., Cheng, S., Zeng, L., &amp; Yang, Z. (2017). Proteolysis of chloroplast proteins is responsible for accumulation of free amino acids in dark-treated tea (Camellia sinensis) leaves. Journal of Proteomics, 157, 10-17. </w:t>
      </w:r>
      <w:hyperlink r:id="rId20" w:history="1">
        <w:r w:rsidRPr="004D40BA">
          <w:rPr>
            <w:rStyle w:val="Hyperlink"/>
            <w:rFonts w:ascii="Arial" w:hAnsi="Arial" w:cs="Arial"/>
            <w:sz w:val="20"/>
            <w:szCs w:val="20"/>
            <w:shd w:val="clear" w:color="auto" w:fill="FFFFFF"/>
          </w:rPr>
          <w:t>https://doi.org/10.1016/j.jprot.2017.01.017</w:t>
        </w:r>
      </w:hyperlink>
    </w:p>
    <w:p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lastRenderedPageBreak/>
        <w:t xml:space="preserve">Coste, S., Baraloto, C., Leroy, C., Marcon, É., Renaud, A. D., Richardson, A. D., Roggy, J.-C., Schimann, H., Uddling, J., &amp;Hérault, B. (2010). Assessing foliar chlorophyll contents with the SPAD-502 chlorophyll meter: a calibration test with thirteen tree species of tropical rainforest in French Guiana. Annals of Forest Science, 67(6), 607–607. </w:t>
      </w:r>
      <w:hyperlink r:id="rId21" w:history="1">
        <w:r w:rsidRPr="004D40BA">
          <w:rPr>
            <w:rStyle w:val="Hyperlink"/>
            <w:rFonts w:ascii="Arial" w:hAnsi="Arial" w:cs="Arial"/>
            <w:sz w:val="20"/>
            <w:szCs w:val="20"/>
          </w:rPr>
          <w:t>https://doi.org/10.1051/forest/2010020</w:t>
        </w:r>
      </w:hyperlink>
    </w:p>
    <w:p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 xml:space="preserve">Das, T. K., &amp;Yaduraju, N. T. (2008). Effect of soil solarization and crop husbandry practices on weed species competition and dynamics in soybean-wheat cropping system. Indian Journal of Weed Science, 40(1and2), 1-5. </w:t>
      </w:r>
      <w:hyperlink r:id="rId22" w:history="1">
        <w:r w:rsidRPr="004D40BA">
          <w:rPr>
            <w:rStyle w:val="Hyperlink"/>
            <w:rFonts w:ascii="Arial" w:hAnsi="Arial" w:cs="Arial"/>
            <w:sz w:val="20"/>
            <w:szCs w:val="20"/>
            <w:shd w:val="clear" w:color="auto" w:fill="FFFFFF"/>
          </w:rPr>
          <w:t>https://www.isws.org.in/journal/abstract/40/1/1-5</w:t>
        </w:r>
      </w:hyperlink>
    </w:p>
    <w:p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 xml:space="preserve">Dhaliwal, L. K., Buttar, G. S., Kingra, P. K., Singh, S., &amp; Kaur, S. (2019). Effect of mulching, row direction and spacing on microclimate and wheat yield at Ludhiana. Journal of Agrometeorology, 21(1), 42-45. </w:t>
      </w:r>
      <w:hyperlink r:id="rId23" w:history="1">
        <w:r w:rsidRPr="004D40BA">
          <w:rPr>
            <w:rStyle w:val="Hyperlink"/>
            <w:rFonts w:ascii="Arial" w:hAnsi="Arial" w:cs="Arial"/>
            <w:sz w:val="20"/>
            <w:szCs w:val="20"/>
          </w:rPr>
          <w:t>https://doi.org/10.54386/jam.v21i1.202</w:t>
        </w:r>
      </w:hyperlink>
    </w:p>
    <w:p w:rsidR="00E31553" w:rsidRPr="00CE0E42" w:rsidRDefault="00E31553" w:rsidP="00CE0E42">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 xml:space="preserve">Hadfield, W. (1968). Leaf temperature, leaf pose and productivity of the tea bush.  </w:t>
      </w:r>
      <w:r w:rsidRPr="00CE0E42">
        <w:rPr>
          <w:rFonts w:ascii="Arial" w:hAnsi="Arial" w:cs="Arial"/>
          <w:i/>
          <w:sz w:val="20"/>
          <w:szCs w:val="20"/>
        </w:rPr>
        <w:t>Nature</w:t>
      </w:r>
      <w:r w:rsidRPr="00CE0E42">
        <w:rPr>
          <w:rFonts w:ascii="Arial" w:hAnsi="Arial" w:cs="Arial"/>
          <w:sz w:val="20"/>
          <w:szCs w:val="20"/>
        </w:rPr>
        <w:t xml:space="preserve">, </w:t>
      </w:r>
      <w:r w:rsidRPr="00CE0E42">
        <w:rPr>
          <w:rFonts w:ascii="Arial" w:hAnsi="Arial" w:cs="Arial"/>
          <w:b/>
          <w:sz w:val="20"/>
          <w:szCs w:val="20"/>
        </w:rPr>
        <w:t>219</w:t>
      </w:r>
      <w:r w:rsidRPr="00CE0E42">
        <w:rPr>
          <w:rFonts w:ascii="Arial" w:hAnsi="Arial" w:cs="Arial"/>
          <w:sz w:val="20"/>
          <w:szCs w:val="20"/>
        </w:rPr>
        <w:t>(5151): 282-284.</w:t>
      </w:r>
    </w:p>
    <w:p w:rsidR="00E31553" w:rsidRPr="00CE0E42" w:rsidRDefault="00E31553" w:rsidP="00CE0E42">
      <w:pPr>
        <w:pStyle w:val="ListParagraph"/>
        <w:numPr>
          <w:ilvl w:val="0"/>
          <w:numId w:val="4"/>
        </w:numPr>
        <w:spacing w:after="0" w:line="360" w:lineRule="auto"/>
        <w:jc w:val="both"/>
        <w:rPr>
          <w:rFonts w:ascii="Arial" w:hAnsi="Arial" w:cs="Arial"/>
          <w:color w:val="222222"/>
          <w:sz w:val="20"/>
          <w:szCs w:val="20"/>
          <w:shd w:val="clear" w:color="auto" w:fill="FFFFFF"/>
        </w:rPr>
      </w:pPr>
      <w:r w:rsidRPr="00CE0E42">
        <w:rPr>
          <w:rFonts w:ascii="Arial" w:hAnsi="Arial" w:cs="Arial"/>
          <w:color w:val="222222"/>
          <w:sz w:val="20"/>
          <w:szCs w:val="20"/>
          <w:shd w:val="clear" w:color="auto" w:fill="FFFFFF"/>
        </w:rPr>
        <w:t>Hiscox, J. D. and Israelstam, G. F. (1979). A method for the extraction of chlorophyll from leaf tissue without maceration. </w:t>
      </w:r>
      <w:r w:rsidRPr="00CE0E42">
        <w:rPr>
          <w:rFonts w:ascii="Arial" w:hAnsi="Arial" w:cs="Arial"/>
          <w:i/>
          <w:iCs/>
          <w:color w:val="222222"/>
          <w:sz w:val="20"/>
          <w:szCs w:val="20"/>
          <w:shd w:val="clear" w:color="auto" w:fill="FFFFFF"/>
        </w:rPr>
        <w:t>Canadian journal of botany</w:t>
      </w:r>
      <w:r w:rsidRPr="00CE0E42">
        <w:rPr>
          <w:rFonts w:ascii="Arial" w:hAnsi="Arial" w:cs="Arial"/>
          <w:color w:val="222222"/>
          <w:sz w:val="20"/>
          <w:szCs w:val="20"/>
          <w:shd w:val="clear" w:color="auto" w:fill="FFFFFF"/>
        </w:rPr>
        <w:t>, </w:t>
      </w:r>
      <w:r w:rsidRPr="00CE0E42">
        <w:rPr>
          <w:rFonts w:ascii="Arial" w:hAnsi="Arial" w:cs="Arial"/>
          <w:b/>
          <w:iCs/>
          <w:color w:val="222222"/>
          <w:sz w:val="20"/>
          <w:szCs w:val="20"/>
          <w:shd w:val="clear" w:color="auto" w:fill="FFFFFF"/>
        </w:rPr>
        <w:t>57</w:t>
      </w:r>
      <w:r w:rsidRPr="00CE0E42">
        <w:rPr>
          <w:rFonts w:ascii="Arial" w:hAnsi="Arial" w:cs="Arial"/>
          <w:color w:val="222222"/>
          <w:sz w:val="20"/>
          <w:szCs w:val="20"/>
          <w:shd w:val="clear" w:color="auto" w:fill="FFFFFF"/>
        </w:rPr>
        <w:t>(12): 1332-1334.Humphries, E. C. (1956). Mineral components and ash analysis. </w:t>
      </w:r>
      <w:r w:rsidRPr="00CE0E42">
        <w:rPr>
          <w:rFonts w:ascii="Arial" w:hAnsi="Arial" w:cs="Arial"/>
          <w:i/>
          <w:iCs/>
          <w:color w:val="222222"/>
          <w:sz w:val="20"/>
          <w:szCs w:val="20"/>
          <w:shd w:val="clear" w:color="auto" w:fill="FFFFFF"/>
        </w:rPr>
        <w:t>ModerneMethoden der Pflanzenanalyse/Modern Methods of Plant Analysis: ErsterBand/Volume I</w:t>
      </w:r>
      <w:r w:rsidRPr="00CE0E42">
        <w:rPr>
          <w:rFonts w:ascii="Arial" w:hAnsi="Arial" w:cs="Arial"/>
          <w:color w:val="222222"/>
          <w:sz w:val="20"/>
          <w:szCs w:val="20"/>
          <w:shd w:val="clear" w:color="auto" w:fill="FFFFFF"/>
        </w:rPr>
        <w:t>, 468-502.</w:t>
      </w:r>
    </w:p>
    <w:p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color w:val="222222"/>
          <w:sz w:val="20"/>
          <w:szCs w:val="20"/>
          <w:shd w:val="clear" w:color="auto" w:fill="FFFFFF"/>
        </w:rPr>
        <w:t xml:space="preserve">Isaac, M. E., Timmer, V. R., &amp; Quashie-Sam, S. J. (2007). Shade tree effects in an 8-year-old cocoa agroforestry system: biomass and nutrient diagnosis of Theobroma cacao by vector analysis. Nutrient Cycling in Agroecosystems, 78, 155-165. </w:t>
      </w:r>
      <w:hyperlink r:id="rId24" w:history="1">
        <w:r w:rsidRPr="004D40BA">
          <w:rPr>
            <w:rStyle w:val="Hyperlink"/>
            <w:rFonts w:ascii="Arial" w:hAnsi="Arial" w:cs="Arial"/>
            <w:sz w:val="20"/>
            <w:szCs w:val="20"/>
            <w:shd w:val="clear" w:color="auto" w:fill="FFFFFF"/>
          </w:rPr>
          <w:t>https://doi.org/10.1007/s10705-006-9081-3</w:t>
        </w:r>
      </w:hyperlink>
    </w:p>
    <w:p w:rsidR="00E31553" w:rsidRPr="00CE0E42" w:rsidRDefault="00E31553" w:rsidP="00CE0E42">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Kumar, A.; Pandey, V.; Shekh, A. M. and Kumar, M. (2008). Radiation use efficiency and weather parameter influence during life cycle of soybean (</w:t>
      </w:r>
      <w:r w:rsidRPr="00CE0E42">
        <w:rPr>
          <w:rFonts w:ascii="Arial" w:hAnsi="Arial" w:cs="Arial"/>
          <w:i/>
          <w:sz w:val="20"/>
          <w:szCs w:val="20"/>
        </w:rPr>
        <w:t>Glycine max</w:t>
      </w:r>
      <w:r w:rsidRPr="00CE0E42">
        <w:rPr>
          <w:rFonts w:ascii="Arial" w:hAnsi="Arial" w:cs="Arial"/>
          <w:sz w:val="20"/>
          <w:szCs w:val="20"/>
        </w:rPr>
        <w:t xml:space="preserve">. [L.] Mirrll) production as well accumulation of dry matter. </w:t>
      </w:r>
      <w:r w:rsidRPr="00CE0E42">
        <w:rPr>
          <w:rFonts w:ascii="Arial" w:hAnsi="Arial" w:cs="Arial"/>
          <w:i/>
          <w:sz w:val="20"/>
          <w:szCs w:val="20"/>
        </w:rPr>
        <w:t>American-Eurasian Journal of Agronomy</w:t>
      </w:r>
      <w:r w:rsidRPr="00CE0E42">
        <w:rPr>
          <w:rFonts w:ascii="Arial" w:hAnsi="Arial" w:cs="Arial"/>
          <w:sz w:val="20"/>
          <w:szCs w:val="20"/>
        </w:rPr>
        <w:t xml:space="preserve">., </w:t>
      </w:r>
      <w:r w:rsidRPr="00CE0E42">
        <w:rPr>
          <w:rFonts w:ascii="Arial" w:hAnsi="Arial" w:cs="Arial"/>
          <w:b/>
          <w:sz w:val="20"/>
          <w:szCs w:val="20"/>
        </w:rPr>
        <w:t>1</w:t>
      </w:r>
      <w:r w:rsidRPr="00CE0E42">
        <w:rPr>
          <w:rFonts w:ascii="Arial" w:hAnsi="Arial" w:cs="Arial"/>
          <w:sz w:val="20"/>
          <w:szCs w:val="20"/>
        </w:rPr>
        <w:t>(2): 41-44.</w:t>
      </w:r>
    </w:p>
    <w:p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 xml:space="preserve">Rajkumar, R., Marimuthu, S., &amp;Muraleedharan, N. (2002). Photosynthetic efficiency of sun and shade grown tea plants. S.L.J. Tea Sci., 67(1/2), 67-75. </w:t>
      </w:r>
      <w:hyperlink r:id="rId25" w:history="1">
        <w:r w:rsidRPr="004D40BA">
          <w:rPr>
            <w:rStyle w:val="Hyperlink"/>
            <w:rFonts w:ascii="Arial" w:hAnsi="Arial" w:cs="Arial"/>
            <w:sz w:val="20"/>
            <w:szCs w:val="20"/>
          </w:rPr>
          <w:t>https://dl-tri.nsf.gov.lk/handle/1/1150</w:t>
        </w:r>
      </w:hyperlink>
    </w:p>
    <w:p w:rsidR="00E31553" w:rsidRPr="00CE0E42" w:rsidRDefault="00E31553" w:rsidP="00CE0E42">
      <w:pPr>
        <w:pStyle w:val="ListParagraph"/>
        <w:numPr>
          <w:ilvl w:val="0"/>
          <w:numId w:val="4"/>
        </w:numPr>
        <w:spacing w:after="0" w:line="360" w:lineRule="auto"/>
        <w:jc w:val="both"/>
        <w:rPr>
          <w:rFonts w:ascii="Arial" w:hAnsi="Arial" w:cs="Arial"/>
          <w:sz w:val="20"/>
          <w:szCs w:val="20"/>
        </w:rPr>
      </w:pPr>
      <w:r w:rsidRPr="00CE0E42">
        <w:rPr>
          <w:rFonts w:ascii="Arial" w:hAnsi="Arial" w:cs="Arial"/>
          <w:sz w:val="20"/>
          <w:szCs w:val="20"/>
        </w:rPr>
        <w:t xml:space="preserve">Masters, J.W. (1863). Observations on the Assam tea plant, with an abstract of the  Meteorological Registers in Upper Assam. </w:t>
      </w:r>
      <w:r w:rsidRPr="00CE0E42">
        <w:rPr>
          <w:rFonts w:ascii="Arial" w:hAnsi="Arial" w:cs="Arial"/>
          <w:i/>
          <w:sz w:val="20"/>
          <w:szCs w:val="20"/>
        </w:rPr>
        <w:t>J. agri. Hort. Soc. India,</w:t>
      </w:r>
      <w:r w:rsidRPr="00CE0E42">
        <w:rPr>
          <w:rFonts w:ascii="Arial" w:hAnsi="Arial" w:cs="Arial"/>
          <w:b/>
          <w:sz w:val="20"/>
          <w:szCs w:val="20"/>
        </w:rPr>
        <w:t>13</w:t>
      </w:r>
      <w:r w:rsidRPr="00CE0E42">
        <w:rPr>
          <w:rFonts w:ascii="Arial" w:hAnsi="Arial" w:cs="Arial"/>
          <w:sz w:val="20"/>
          <w:szCs w:val="20"/>
        </w:rPr>
        <w:t xml:space="preserve"> (1): 31-</w:t>
      </w:r>
      <w:commentRangeStart w:id="5"/>
      <w:r w:rsidRPr="00CE0E42">
        <w:rPr>
          <w:rFonts w:ascii="Arial" w:hAnsi="Arial" w:cs="Arial"/>
          <w:sz w:val="20"/>
          <w:szCs w:val="20"/>
        </w:rPr>
        <w:t>47</w:t>
      </w:r>
      <w:commentRangeEnd w:id="5"/>
      <w:r w:rsidR="00246585">
        <w:rPr>
          <w:rStyle w:val="CommentReference"/>
        </w:rPr>
        <w:commentReference w:id="5"/>
      </w:r>
      <w:r w:rsidRPr="00CE0E42">
        <w:rPr>
          <w:rFonts w:ascii="Arial" w:hAnsi="Arial" w:cs="Arial"/>
          <w:sz w:val="20"/>
          <w:szCs w:val="20"/>
        </w:rPr>
        <w:t>.</w:t>
      </w:r>
    </w:p>
    <w:p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 xml:space="preserve">Sano, T., Horie, H., Matsunaga, A., &amp;Hirono, Y. (2018). Effect of shading intensity on morphological and color traits and on chemical components of new tea (Camellia sinensis L.) shoots under direct covering cultivation. Journal of the Science of Food and Agriculture, 98(15), 5666-5676. </w:t>
      </w:r>
      <w:hyperlink r:id="rId26" w:history="1">
        <w:r w:rsidRPr="004D40BA">
          <w:rPr>
            <w:rStyle w:val="Hyperlink"/>
            <w:rFonts w:ascii="Arial" w:hAnsi="Arial" w:cs="Arial"/>
            <w:sz w:val="20"/>
            <w:szCs w:val="20"/>
          </w:rPr>
          <w:t>https://doi.org/10.1002/jsfa.9112</w:t>
        </w:r>
      </w:hyperlink>
    </w:p>
    <w:p w:rsidR="008575C7" w:rsidRPr="008575C7" w:rsidRDefault="008575C7" w:rsidP="00CE0E42">
      <w:pPr>
        <w:pStyle w:val="ListParagraph"/>
        <w:numPr>
          <w:ilvl w:val="0"/>
          <w:numId w:val="4"/>
        </w:numPr>
        <w:spacing w:after="0" w:line="360" w:lineRule="auto"/>
        <w:jc w:val="both"/>
        <w:rPr>
          <w:rFonts w:ascii="Arial" w:hAnsi="Arial" w:cs="Arial"/>
          <w:sz w:val="20"/>
          <w:szCs w:val="20"/>
        </w:rPr>
      </w:pPr>
      <w:r w:rsidRPr="008575C7">
        <w:lastRenderedPageBreak/>
        <w:t xml:space="preserve">Silva, M. J., &amp;Sivapalan, K. (1982). The chlorophyll content of tea clones in relation to their yield classification and geographical location. *Tea Quarterly*, *51*(2), 54-57. </w:t>
      </w:r>
      <w:hyperlink r:id="rId27" w:history="1">
        <w:r w:rsidRPr="004D40BA">
          <w:rPr>
            <w:rStyle w:val="Hyperlink"/>
          </w:rPr>
          <w:t>https://dl-tri.nsf.gov.lk/handle/1/68</w:t>
        </w:r>
      </w:hyperlink>
    </w:p>
    <w:p w:rsidR="008575C7" w:rsidRDefault="008575C7" w:rsidP="00CE0E42">
      <w:pPr>
        <w:pStyle w:val="ListParagraph"/>
        <w:numPr>
          <w:ilvl w:val="0"/>
          <w:numId w:val="4"/>
        </w:numPr>
        <w:spacing w:after="0" w:line="360" w:lineRule="auto"/>
        <w:jc w:val="both"/>
        <w:rPr>
          <w:rFonts w:ascii="Arial" w:hAnsi="Arial" w:cs="Arial"/>
          <w:sz w:val="20"/>
          <w:szCs w:val="20"/>
        </w:rPr>
      </w:pPr>
      <w:r w:rsidRPr="008575C7">
        <w:rPr>
          <w:rFonts w:ascii="Arial" w:hAnsi="Arial" w:cs="Arial"/>
          <w:sz w:val="20"/>
          <w:szCs w:val="20"/>
        </w:rPr>
        <w:t xml:space="preserve">Sivakumar, M.V.K., &amp;Virmani, S.M. (1984). Crop productivity in relation to interception of photosynthetically active radiation. Agricultural and Forest Meteorology, 31(2), 131-141. </w:t>
      </w:r>
      <w:hyperlink r:id="rId28" w:history="1">
        <w:r w:rsidRPr="004D40BA">
          <w:rPr>
            <w:rStyle w:val="Hyperlink"/>
            <w:rFonts w:ascii="Arial" w:hAnsi="Arial" w:cs="Arial"/>
            <w:sz w:val="20"/>
            <w:szCs w:val="20"/>
          </w:rPr>
          <w:t>https://doi.org/10.1016/0168-1923(84)90015-7</w:t>
        </w:r>
      </w:hyperlink>
    </w:p>
    <w:p w:rsidR="008575C7" w:rsidRDefault="008575C7" w:rsidP="00CE0E42">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color w:val="222222"/>
          <w:sz w:val="20"/>
          <w:szCs w:val="20"/>
          <w:shd w:val="clear" w:color="auto" w:fill="FFFFFF"/>
        </w:rPr>
        <w:t xml:space="preserve">Tran, T. T. (2018). The effect of light exposure on the total chlorophyll content, Chl a/b ratio, and Car/Chl ratio in the barks of Fraxinus latifolia seedlings. University Honors Theses. </w:t>
      </w:r>
      <w:hyperlink r:id="rId29" w:history="1">
        <w:r w:rsidRPr="004D40BA">
          <w:rPr>
            <w:rStyle w:val="Hyperlink"/>
            <w:rFonts w:ascii="Arial" w:hAnsi="Arial" w:cs="Arial"/>
            <w:sz w:val="20"/>
            <w:szCs w:val="20"/>
            <w:shd w:val="clear" w:color="auto" w:fill="FFFFFF"/>
          </w:rPr>
          <w:t>https://doi.org/10.15760/honors.583</w:t>
        </w:r>
      </w:hyperlink>
    </w:p>
    <w:p w:rsidR="008575C7" w:rsidRPr="008575C7" w:rsidRDefault="008575C7" w:rsidP="008575C7">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sz w:val="20"/>
          <w:szCs w:val="20"/>
        </w:rPr>
        <w:t xml:space="preserve">Wijeratne, T. L., Mohotti, A. J., &amp;Nissanka, S. P. (2008). Impact of long term shade on physiological, anatomical and biochemical changes in tea (Camellia sinensis (L.) O. Kuntz). Tropical Agricultural Research, 20, 376-387. </w:t>
      </w:r>
      <w:hyperlink r:id="rId30" w:history="1">
        <w:r w:rsidRPr="004D40BA">
          <w:rPr>
            <w:rStyle w:val="Hyperlink"/>
            <w:rFonts w:ascii="Arial" w:hAnsi="Arial" w:cs="Arial"/>
            <w:sz w:val="20"/>
            <w:szCs w:val="20"/>
          </w:rPr>
          <w:t>https://tar.sljol.info</w:t>
        </w:r>
      </w:hyperlink>
    </w:p>
    <w:p w:rsidR="00A315AC" w:rsidRPr="008575C7" w:rsidRDefault="008575C7" w:rsidP="008575C7">
      <w:pPr>
        <w:pStyle w:val="ListParagraph"/>
        <w:numPr>
          <w:ilvl w:val="0"/>
          <w:numId w:val="4"/>
        </w:numPr>
        <w:tabs>
          <w:tab w:val="left" w:pos="450"/>
        </w:tabs>
        <w:spacing w:after="0" w:line="360" w:lineRule="auto"/>
        <w:jc w:val="both"/>
        <w:rPr>
          <w:rFonts w:ascii="Arial" w:hAnsi="Arial" w:cs="Arial"/>
          <w:color w:val="222222"/>
          <w:sz w:val="20"/>
          <w:szCs w:val="20"/>
          <w:shd w:val="clear" w:color="auto" w:fill="FFFFFF"/>
        </w:rPr>
      </w:pPr>
      <w:r w:rsidRPr="008575C7">
        <w:rPr>
          <w:rFonts w:ascii="Arial" w:hAnsi="Arial" w:cs="Arial"/>
          <w:sz w:val="20"/>
          <w:szCs w:val="20"/>
        </w:rPr>
        <w:t xml:space="preserve">Yamazaki, J., Suzuki, T., Maruta, E., &amp;Kamimura, Y. (2005). The stoichiometry and antenna size of the two photosystems in marine green algae, Bryopsis maxima and Ulva pertusa, in relation to the light environment of their natural habitat. Journal of Experimental Botany, 56(416), 1517-1523. </w:t>
      </w:r>
      <w:hyperlink r:id="rId31" w:history="1">
        <w:r w:rsidRPr="008575C7">
          <w:rPr>
            <w:rStyle w:val="Hyperlink"/>
            <w:rFonts w:ascii="Arial" w:hAnsi="Arial" w:cs="Arial"/>
            <w:sz w:val="20"/>
            <w:szCs w:val="20"/>
          </w:rPr>
          <w:t>https://doi.org/10.1093/jxb/eri147</w:t>
        </w:r>
      </w:hyperlink>
    </w:p>
    <w:p w:rsidR="008575C7" w:rsidRPr="006C6B7E" w:rsidRDefault="008575C7" w:rsidP="00B225DA">
      <w:pPr>
        <w:spacing w:after="0" w:line="360" w:lineRule="auto"/>
        <w:ind w:left="446" w:hanging="446"/>
        <w:jc w:val="both"/>
        <w:rPr>
          <w:rFonts w:ascii="Arial" w:hAnsi="Arial" w:cs="Arial"/>
          <w:color w:val="222222"/>
          <w:sz w:val="20"/>
          <w:szCs w:val="20"/>
          <w:shd w:val="clear" w:color="auto" w:fill="FFFFFF"/>
        </w:rPr>
      </w:pPr>
    </w:p>
    <w:p w:rsidR="001A5400" w:rsidRPr="006C6B7E" w:rsidRDefault="001A5400" w:rsidP="00B225DA">
      <w:pPr>
        <w:spacing w:after="0" w:line="360" w:lineRule="auto"/>
        <w:ind w:left="446" w:hanging="446"/>
        <w:jc w:val="both"/>
        <w:rPr>
          <w:rFonts w:ascii="Arial" w:hAnsi="Arial" w:cs="Arial"/>
          <w:color w:val="222222"/>
          <w:sz w:val="20"/>
          <w:szCs w:val="20"/>
          <w:shd w:val="clear" w:color="auto" w:fill="FFFFFF"/>
        </w:rPr>
      </w:pPr>
    </w:p>
    <w:p w:rsidR="00896C2C" w:rsidRPr="006C6B7E" w:rsidRDefault="00896C2C" w:rsidP="00B225DA">
      <w:pPr>
        <w:spacing w:after="0" w:line="360" w:lineRule="auto"/>
        <w:ind w:left="446" w:hanging="446"/>
        <w:jc w:val="both"/>
        <w:rPr>
          <w:rFonts w:ascii="Arial" w:hAnsi="Arial" w:cs="Arial"/>
          <w:sz w:val="20"/>
          <w:szCs w:val="20"/>
        </w:rPr>
      </w:pPr>
    </w:p>
    <w:p w:rsidR="00896C2C" w:rsidRPr="006C6B7E" w:rsidRDefault="00896C2C" w:rsidP="00B225DA">
      <w:pPr>
        <w:spacing w:after="0" w:line="360" w:lineRule="auto"/>
        <w:ind w:left="446" w:hanging="446"/>
        <w:jc w:val="both"/>
        <w:rPr>
          <w:rFonts w:ascii="Arial" w:hAnsi="Arial" w:cs="Arial"/>
          <w:sz w:val="20"/>
          <w:szCs w:val="20"/>
        </w:rPr>
      </w:pPr>
    </w:p>
    <w:p w:rsidR="006E6B67" w:rsidRPr="006C6B7E" w:rsidRDefault="006E6B67" w:rsidP="00B225DA">
      <w:pPr>
        <w:spacing w:after="0" w:line="360" w:lineRule="auto"/>
        <w:ind w:left="446" w:hanging="446"/>
        <w:jc w:val="both"/>
        <w:rPr>
          <w:rFonts w:ascii="Arial" w:hAnsi="Arial" w:cs="Arial"/>
          <w:sz w:val="20"/>
          <w:szCs w:val="20"/>
        </w:rPr>
      </w:pPr>
    </w:p>
    <w:p w:rsidR="006E6B67" w:rsidRPr="006C6B7E" w:rsidRDefault="006E6B67" w:rsidP="00E65538">
      <w:pPr>
        <w:spacing w:after="0" w:line="360" w:lineRule="auto"/>
        <w:ind w:firstLine="720"/>
        <w:jc w:val="both"/>
        <w:rPr>
          <w:rFonts w:ascii="Arial" w:hAnsi="Arial" w:cs="Arial"/>
          <w:sz w:val="20"/>
          <w:szCs w:val="20"/>
        </w:rPr>
      </w:pPr>
    </w:p>
    <w:p w:rsidR="00E65538" w:rsidRPr="006C6B7E" w:rsidRDefault="00E65538" w:rsidP="00E65538">
      <w:pPr>
        <w:spacing w:after="0" w:line="360" w:lineRule="auto"/>
        <w:jc w:val="both"/>
        <w:rPr>
          <w:rFonts w:ascii="Arial" w:hAnsi="Arial" w:cs="Arial"/>
          <w:sz w:val="20"/>
          <w:szCs w:val="20"/>
        </w:rPr>
      </w:pPr>
    </w:p>
    <w:p w:rsidR="00E65538" w:rsidRPr="006C6B7E" w:rsidRDefault="00E65538" w:rsidP="00E65538">
      <w:pPr>
        <w:spacing w:after="0" w:line="360" w:lineRule="auto"/>
        <w:jc w:val="both"/>
        <w:rPr>
          <w:rFonts w:ascii="Arial" w:hAnsi="Arial" w:cs="Arial"/>
          <w:sz w:val="20"/>
          <w:szCs w:val="20"/>
        </w:rPr>
      </w:pPr>
    </w:p>
    <w:p w:rsidR="00E65538" w:rsidRPr="006C6B7E" w:rsidRDefault="00E65538" w:rsidP="00E65538">
      <w:pPr>
        <w:spacing w:after="0" w:line="360" w:lineRule="auto"/>
        <w:jc w:val="both"/>
        <w:rPr>
          <w:rFonts w:ascii="Arial" w:hAnsi="Arial" w:cs="Arial"/>
          <w:sz w:val="20"/>
          <w:szCs w:val="20"/>
        </w:rPr>
      </w:pPr>
    </w:p>
    <w:p w:rsidR="00E65538" w:rsidRPr="006C6B7E" w:rsidRDefault="00E65538" w:rsidP="00E65538">
      <w:pPr>
        <w:spacing w:after="0" w:line="360" w:lineRule="auto"/>
        <w:ind w:hanging="720"/>
        <w:jc w:val="both"/>
        <w:rPr>
          <w:rFonts w:ascii="Arial" w:hAnsi="Arial" w:cs="Arial"/>
          <w:sz w:val="20"/>
          <w:szCs w:val="20"/>
        </w:rPr>
      </w:pPr>
    </w:p>
    <w:p w:rsidR="00E65538" w:rsidRPr="006C6B7E" w:rsidRDefault="00E65538" w:rsidP="00E16E88">
      <w:pPr>
        <w:spacing w:before="120" w:after="100" w:afterAutospacing="1" w:line="240" w:lineRule="auto"/>
        <w:jc w:val="both"/>
        <w:rPr>
          <w:rFonts w:ascii="Arial" w:hAnsi="Arial" w:cs="Arial"/>
          <w:sz w:val="20"/>
          <w:szCs w:val="20"/>
        </w:rPr>
      </w:pPr>
    </w:p>
    <w:p w:rsidR="00307CFF" w:rsidRPr="00B6632F" w:rsidRDefault="00307CFF" w:rsidP="00B6632F">
      <w:pPr>
        <w:spacing w:before="120" w:after="100" w:afterAutospacing="1" w:line="240" w:lineRule="auto"/>
        <w:ind w:firstLine="720"/>
        <w:jc w:val="both"/>
        <w:rPr>
          <w:rFonts w:ascii="Arial" w:hAnsi="Arial" w:cs="Arial"/>
          <w:sz w:val="20"/>
          <w:szCs w:val="20"/>
        </w:rPr>
      </w:pPr>
    </w:p>
    <w:p w:rsidR="00307CFF" w:rsidRPr="00B6632F" w:rsidRDefault="00307CFF" w:rsidP="00B6632F">
      <w:pPr>
        <w:pStyle w:val="AbstHead"/>
        <w:spacing w:after="0"/>
        <w:jc w:val="both"/>
        <w:rPr>
          <w:rFonts w:ascii="Arial" w:hAnsi="Arial" w:cs="Arial"/>
          <w:sz w:val="20"/>
        </w:rPr>
      </w:pPr>
    </w:p>
    <w:p w:rsidR="009E1651" w:rsidRPr="00B6632F" w:rsidRDefault="009E1651" w:rsidP="00B6632F">
      <w:pPr>
        <w:spacing w:before="120" w:after="120" w:line="240" w:lineRule="auto"/>
        <w:jc w:val="both"/>
        <w:rPr>
          <w:rFonts w:ascii="Arial" w:hAnsi="Arial" w:cs="Arial"/>
          <w:sz w:val="20"/>
          <w:szCs w:val="20"/>
        </w:rPr>
      </w:pPr>
    </w:p>
    <w:p w:rsidR="009E1651" w:rsidRPr="00B6632F" w:rsidRDefault="009E1651" w:rsidP="00B6632F">
      <w:pPr>
        <w:spacing w:line="240" w:lineRule="auto"/>
        <w:jc w:val="both"/>
        <w:rPr>
          <w:rFonts w:ascii="Arial" w:hAnsi="Arial" w:cs="Arial"/>
          <w:sz w:val="20"/>
          <w:szCs w:val="20"/>
        </w:rPr>
      </w:pPr>
    </w:p>
    <w:p w:rsidR="009E1651" w:rsidRPr="00B6632F" w:rsidRDefault="009E1651" w:rsidP="00B6632F">
      <w:pPr>
        <w:spacing w:line="240" w:lineRule="auto"/>
        <w:jc w:val="both"/>
        <w:rPr>
          <w:rFonts w:ascii="Arial" w:hAnsi="Arial" w:cs="Arial"/>
          <w:sz w:val="20"/>
          <w:szCs w:val="20"/>
        </w:rPr>
      </w:pPr>
    </w:p>
    <w:p w:rsidR="009E1651" w:rsidRPr="009E1651" w:rsidRDefault="009E1651" w:rsidP="009E1651">
      <w:pPr>
        <w:sectPr w:rsidR="009E1651" w:rsidRPr="009E1651" w:rsidSect="00C06A3C">
          <w:headerReference w:type="even" r:id="rId32"/>
          <w:headerReference w:type="default" r:id="rId33"/>
          <w:footerReference w:type="even" r:id="rId34"/>
          <w:footerReference w:type="default" r:id="rId35"/>
          <w:headerReference w:type="first" r:id="rId36"/>
          <w:footerReference w:type="first" r:id="rId37"/>
          <w:pgSz w:w="12240" w:h="15840" w:code="1"/>
          <w:pgMar w:top="1440" w:right="2016" w:bottom="2016" w:left="2016" w:header="720" w:footer="1296" w:gutter="0"/>
          <w:cols w:space="720"/>
          <w:docGrid w:linePitch="272"/>
        </w:sectPr>
      </w:pPr>
    </w:p>
    <w:p w:rsidR="008854CB" w:rsidRDefault="008854CB"/>
    <w:sectPr w:rsidR="008854CB" w:rsidSect="00C06A3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raj" w:date="2025-12-23T15:23:00Z" w:initials="r">
    <w:p w:rsidR="009C51EB" w:rsidRDefault="009C51EB">
      <w:pPr>
        <w:pStyle w:val="CommentText"/>
      </w:pPr>
      <w:r>
        <w:rPr>
          <w:rStyle w:val="CommentReference"/>
        </w:rPr>
        <w:annotationRef/>
      </w:r>
      <w:r>
        <w:t>Abstract should be in brief, attractive and clear</w:t>
      </w:r>
    </w:p>
  </w:comment>
  <w:comment w:id="2" w:author="raj" w:date="2025-12-23T15:14:00Z" w:initials="r">
    <w:p w:rsidR="009C51EB" w:rsidRDefault="009C51EB">
      <w:pPr>
        <w:pStyle w:val="CommentText"/>
      </w:pPr>
      <w:r>
        <w:rPr>
          <w:rStyle w:val="CommentReference"/>
        </w:rPr>
        <w:annotationRef/>
      </w:r>
      <w:r>
        <w:t>add at least 5-7 recent years references</w:t>
      </w:r>
    </w:p>
  </w:comment>
  <w:comment w:id="3" w:author="raj" w:date="2025-12-23T15:17:00Z" w:initials="r">
    <w:p w:rsidR="009C51EB" w:rsidRDefault="009C51EB">
      <w:pPr>
        <w:pStyle w:val="CommentText"/>
      </w:pPr>
      <w:r>
        <w:rPr>
          <w:rStyle w:val="CommentReference"/>
        </w:rPr>
        <w:annotationRef/>
      </w:r>
      <w:r>
        <w:t>?</w:t>
      </w:r>
    </w:p>
    <w:p w:rsidR="009C51EB" w:rsidRDefault="009C51EB">
      <w:pPr>
        <w:pStyle w:val="CommentText"/>
      </w:pPr>
      <w:r>
        <w:t>Mention unit of PAR</w:t>
      </w:r>
    </w:p>
  </w:comment>
  <w:comment w:id="4" w:author="raj" w:date="2025-12-23T15:35:00Z" w:initials="r">
    <w:p w:rsidR="00927098" w:rsidRDefault="00927098">
      <w:pPr>
        <w:pStyle w:val="CommentText"/>
      </w:pPr>
      <w:r>
        <w:rPr>
          <w:rStyle w:val="CommentReference"/>
        </w:rPr>
        <w:annotationRef/>
      </w:r>
      <w:r>
        <w:t>Conclusion is also in very broad only used specific words related to your research.</w:t>
      </w:r>
    </w:p>
  </w:comment>
  <w:comment w:id="5" w:author="raj" w:date="2025-12-23T15:33:00Z" w:initials="r">
    <w:p w:rsidR="00246585" w:rsidRPr="005435B5" w:rsidRDefault="00246585" w:rsidP="00246585">
      <w:pPr>
        <w:pStyle w:val="CommentText"/>
        <w:rPr>
          <w:bCs/>
        </w:rPr>
      </w:pPr>
      <w:r>
        <w:rPr>
          <w:rStyle w:val="CommentReference"/>
        </w:rPr>
        <w:annotationRef/>
      </w:r>
      <w:r w:rsidRPr="00071485">
        <w:rPr>
          <w:bCs/>
        </w:rPr>
        <w:t>References must be well-verified and prepared in accordance with</w:t>
      </w:r>
      <w:r>
        <w:rPr>
          <w:bCs/>
        </w:rPr>
        <w:t xml:space="preserve"> the guidelines of this journal</w:t>
      </w:r>
    </w:p>
    <w:p w:rsidR="00246585" w:rsidRDefault="00246585">
      <w:pPr>
        <w:pStyle w:val="CommentText"/>
      </w:pPr>
      <w:r>
        <w:t>Check it</w:t>
      </w:r>
    </w:p>
    <w:p w:rsidR="00246585" w:rsidRDefault="00246585">
      <w:pPr>
        <w:pStyle w:val="CommentText"/>
      </w:pPr>
      <w:r>
        <w:t>Journal name written full or written in abbreviation form in all the refernces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0EC" w:rsidRDefault="007230EC" w:rsidP="00EA0A23">
      <w:pPr>
        <w:spacing w:after="0" w:line="240" w:lineRule="auto"/>
      </w:pPr>
      <w:r>
        <w:separator/>
      </w:r>
    </w:p>
  </w:endnote>
  <w:endnote w:type="continuationSeparator" w:id="1">
    <w:p w:rsidR="007230EC" w:rsidRDefault="007230EC" w:rsidP="00EA0A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3C" w:rsidRDefault="00C06A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3C" w:rsidRDefault="00C06A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0C" w:rsidRDefault="00B84D0C">
    <w:pPr>
      <w:pStyle w:val="Footer"/>
      <w:rPr>
        <w:rFonts w:ascii="Arial" w:hAnsi="Arial" w:cs="Arial"/>
        <w:sz w:val="16"/>
      </w:rPr>
    </w:pPr>
  </w:p>
  <w:p w:rsidR="00B84D0C" w:rsidRDefault="00B84D0C" w:rsidP="00B6632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B84D0C" w:rsidRDefault="00B84D0C">
    <w:pPr>
      <w:pStyle w:val="Footer"/>
      <w:rPr>
        <w:rFonts w:ascii="Arial" w:hAnsi="Arial" w:cs="Arial"/>
        <w:sz w:val="16"/>
      </w:rPr>
    </w:pPr>
  </w:p>
  <w:p w:rsidR="00B84D0C" w:rsidRPr="009E048A" w:rsidRDefault="00B84D0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0EC" w:rsidRDefault="007230EC" w:rsidP="00EA0A23">
      <w:pPr>
        <w:spacing w:after="0" w:line="240" w:lineRule="auto"/>
      </w:pPr>
      <w:r>
        <w:separator/>
      </w:r>
    </w:p>
  </w:footnote>
  <w:footnote w:type="continuationSeparator" w:id="1">
    <w:p w:rsidR="007230EC" w:rsidRDefault="007230EC" w:rsidP="00EA0A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3C" w:rsidRDefault="002F67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660797"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3C" w:rsidRDefault="002F67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660798"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0C" w:rsidRPr="00296529" w:rsidRDefault="002F6732" w:rsidP="00B6632F">
    <w:pPr>
      <w:ind w:left="2160"/>
      <w:jc w:val="center"/>
      <w:rPr>
        <w:rFonts w:ascii="Times New Roman" w:eastAsia="Calibri" w:hAnsi="Times New Roman"/>
        <w:i/>
        <w:sz w:val="18"/>
      </w:rPr>
    </w:pPr>
    <w:r w:rsidRPr="002F673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660796"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B84D0C" w:rsidRPr="00296529" w:rsidRDefault="00B84D0C" w:rsidP="00B6632F">
    <w:pPr>
      <w:ind w:left="4320"/>
      <w:rPr>
        <w:rFonts w:ascii="Times New Roman" w:eastAsia="Calibri" w:hAnsi="Times New Roman"/>
        <w:i/>
        <w:sz w:val="18"/>
      </w:rPr>
    </w:pPr>
    <w:r>
      <w:rPr>
        <w:rFonts w:ascii="Times New Roman" w:eastAsia="Calibri" w:hAnsi="Times New Roman"/>
        <w:i/>
        <w:sz w:val="18"/>
      </w:rPr>
      <w:t>.</w:t>
    </w:r>
  </w:p>
  <w:p w:rsidR="00B84D0C" w:rsidRPr="00296529" w:rsidRDefault="00B84D0C" w:rsidP="00B6632F">
    <w:pPr>
      <w:jc w:val="center"/>
      <w:rPr>
        <w:rFonts w:ascii="Times New Roman" w:eastAsia="Calibri" w:hAnsi="Times New Roman"/>
        <w:i/>
        <w:sz w:val="18"/>
      </w:rPr>
    </w:pPr>
    <w:r>
      <w:rPr>
        <w:rFonts w:ascii="Times New Roman" w:eastAsia="Calibri" w:hAnsi="Times New Roman"/>
        <w:i/>
        <w:sz w:val="18"/>
      </w:rPr>
      <w:t>.</w:t>
    </w:r>
  </w:p>
  <w:p w:rsidR="00B84D0C" w:rsidRPr="00296529" w:rsidRDefault="00B84D0C" w:rsidP="00B6632F">
    <w:pPr>
      <w:jc w:val="center"/>
      <w:rPr>
        <w:rFonts w:ascii="Times New Roman" w:eastAsia="Calibri" w:hAnsi="Times New Roman"/>
        <w:b/>
        <w:i/>
        <w:sz w:val="32"/>
      </w:rPr>
    </w:pPr>
    <w:r>
      <w:rPr>
        <w:rFonts w:ascii="Times New Roman" w:eastAsia="Calibri" w:hAnsi="Times New Roman"/>
        <w:b/>
        <w:i/>
        <w:sz w:val="32"/>
      </w:rPr>
      <w:t>.</w:t>
    </w:r>
  </w:p>
  <w:p w:rsidR="00B84D0C" w:rsidRDefault="00B84D0C" w:rsidP="00B6632F">
    <w:pPr>
      <w:jc w:val="center"/>
      <w:rPr>
        <w:rFonts w:ascii="Times New Roman" w:eastAsia="Calibri" w:hAnsi="Times New Roman"/>
        <w:i/>
        <w:sz w:val="18"/>
      </w:rPr>
    </w:pPr>
  </w:p>
  <w:p w:rsidR="00B84D0C" w:rsidRDefault="00B84D0C" w:rsidP="00B6632F">
    <w:pPr>
      <w:tabs>
        <w:tab w:val="left" w:pos="2145"/>
      </w:tabs>
      <w:rPr>
        <w:rFonts w:ascii="Times New Roman" w:eastAsia="Calibri" w:hAnsi="Times New Roman"/>
        <w:i/>
        <w:sz w:val="18"/>
      </w:rPr>
    </w:pPr>
    <w:r>
      <w:rPr>
        <w:rFonts w:ascii="Times New Roman" w:eastAsia="Calibri" w:hAnsi="Times New Roman"/>
        <w:i/>
        <w:sz w:val="18"/>
      </w:rPr>
      <w:tab/>
      <w:t>.</w:t>
    </w:r>
  </w:p>
  <w:p w:rsidR="00B84D0C" w:rsidRDefault="00B84D0C">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2E0E"/>
    <w:multiLevelType w:val="hybridMultilevel"/>
    <w:tmpl w:val="382EBD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9EC3307"/>
    <w:multiLevelType w:val="hybridMultilevel"/>
    <w:tmpl w:val="5282D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E16A8"/>
    <w:multiLevelType w:val="hybridMultilevel"/>
    <w:tmpl w:val="B9ACA7FC"/>
    <w:lvl w:ilvl="0" w:tplc="FCFE3F0A">
      <w:start w:val="1"/>
      <w:numFmt w:val="bullet"/>
      <w:lvlText w:val=""/>
      <w:lvlJc w:val="left"/>
      <w:pPr>
        <w:tabs>
          <w:tab w:val="num" w:pos="720"/>
        </w:tabs>
        <w:ind w:left="720" w:hanging="360"/>
      </w:pPr>
      <w:rPr>
        <w:rFonts w:ascii="Wingdings" w:hAnsi="Wingdings" w:hint="default"/>
      </w:rPr>
    </w:lvl>
    <w:lvl w:ilvl="1" w:tplc="BE32FF6C" w:tentative="1">
      <w:start w:val="1"/>
      <w:numFmt w:val="bullet"/>
      <w:lvlText w:val=""/>
      <w:lvlJc w:val="left"/>
      <w:pPr>
        <w:tabs>
          <w:tab w:val="num" w:pos="1440"/>
        </w:tabs>
        <w:ind w:left="1440" w:hanging="360"/>
      </w:pPr>
      <w:rPr>
        <w:rFonts w:ascii="Wingdings" w:hAnsi="Wingdings" w:hint="default"/>
      </w:rPr>
    </w:lvl>
    <w:lvl w:ilvl="2" w:tplc="747892AA" w:tentative="1">
      <w:start w:val="1"/>
      <w:numFmt w:val="bullet"/>
      <w:lvlText w:val=""/>
      <w:lvlJc w:val="left"/>
      <w:pPr>
        <w:tabs>
          <w:tab w:val="num" w:pos="2160"/>
        </w:tabs>
        <w:ind w:left="2160" w:hanging="360"/>
      </w:pPr>
      <w:rPr>
        <w:rFonts w:ascii="Wingdings" w:hAnsi="Wingdings" w:hint="default"/>
      </w:rPr>
    </w:lvl>
    <w:lvl w:ilvl="3" w:tplc="05D66480" w:tentative="1">
      <w:start w:val="1"/>
      <w:numFmt w:val="bullet"/>
      <w:lvlText w:val=""/>
      <w:lvlJc w:val="left"/>
      <w:pPr>
        <w:tabs>
          <w:tab w:val="num" w:pos="2880"/>
        </w:tabs>
        <w:ind w:left="2880" w:hanging="360"/>
      </w:pPr>
      <w:rPr>
        <w:rFonts w:ascii="Wingdings" w:hAnsi="Wingdings" w:hint="default"/>
      </w:rPr>
    </w:lvl>
    <w:lvl w:ilvl="4" w:tplc="03E4BB7A" w:tentative="1">
      <w:start w:val="1"/>
      <w:numFmt w:val="bullet"/>
      <w:lvlText w:val=""/>
      <w:lvlJc w:val="left"/>
      <w:pPr>
        <w:tabs>
          <w:tab w:val="num" w:pos="3600"/>
        </w:tabs>
        <w:ind w:left="3600" w:hanging="360"/>
      </w:pPr>
      <w:rPr>
        <w:rFonts w:ascii="Wingdings" w:hAnsi="Wingdings" w:hint="default"/>
      </w:rPr>
    </w:lvl>
    <w:lvl w:ilvl="5" w:tplc="B1CC617A" w:tentative="1">
      <w:start w:val="1"/>
      <w:numFmt w:val="bullet"/>
      <w:lvlText w:val=""/>
      <w:lvlJc w:val="left"/>
      <w:pPr>
        <w:tabs>
          <w:tab w:val="num" w:pos="4320"/>
        </w:tabs>
        <w:ind w:left="4320" w:hanging="360"/>
      </w:pPr>
      <w:rPr>
        <w:rFonts w:ascii="Wingdings" w:hAnsi="Wingdings" w:hint="default"/>
      </w:rPr>
    </w:lvl>
    <w:lvl w:ilvl="6" w:tplc="0DF8599A" w:tentative="1">
      <w:start w:val="1"/>
      <w:numFmt w:val="bullet"/>
      <w:lvlText w:val=""/>
      <w:lvlJc w:val="left"/>
      <w:pPr>
        <w:tabs>
          <w:tab w:val="num" w:pos="5040"/>
        </w:tabs>
        <w:ind w:left="5040" w:hanging="360"/>
      </w:pPr>
      <w:rPr>
        <w:rFonts w:ascii="Wingdings" w:hAnsi="Wingdings" w:hint="default"/>
      </w:rPr>
    </w:lvl>
    <w:lvl w:ilvl="7" w:tplc="F8FC8382" w:tentative="1">
      <w:start w:val="1"/>
      <w:numFmt w:val="bullet"/>
      <w:lvlText w:val=""/>
      <w:lvlJc w:val="left"/>
      <w:pPr>
        <w:tabs>
          <w:tab w:val="num" w:pos="5760"/>
        </w:tabs>
        <w:ind w:left="5760" w:hanging="360"/>
      </w:pPr>
      <w:rPr>
        <w:rFonts w:ascii="Wingdings" w:hAnsi="Wingdings" w:hint="default"/>
      </w:rPr>
    </w:lvl>
    <w:lvl w:ilvl="8" w:tplc="96745F1C" w:tentative="1">
      <w:start w:val="1"/>
      <w:numFmt w:val="bullet"/>
      <w:lvlText w:val=""/>
      <w:lvlJc w:val="left"/>
      <w:pPr>
        <w:tabs>
          <w:tab w:val="num" w:pos="6480"/>
        </w:tabs>
        <w:ind w:left="6480" w:hanging="360"/>
      </w:pPr>
      <w:rPr>
        <w:rFonts w:ascii="Wingdings" w:hAnsi="Wingdings" w:hint="default"/>
      </w:rPr>
    </w:lvl>
  </w:abstractNum>
  <w:abstractNum w:abstractNumId="3">
    <w:nsid w:val="70472584"/>
    <w:multiLevelType w:val="hybridMultilevel"/>
    <w:tmpl w:val="F69A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9E1651"/>
    <w:rsid w:val="00024586"/>
    <w:rsid w:val="000352BC"/>
    <w:rsid w:val="00035ECF"/>
    <w:rsid w:val="00042EA0"/>
    <w:rsid w:val="00071967"/>
    <w:rsid w:val="000B5D8D"/>
    <w:rsid w:val="000B623C"/>
    <w:rsid w:val="000C07E8"/>
    <w:rsid w:val="000C3C9E"/>
    <w:rsid w:val="000E598B"/>
    <w:rsid w:val="000F10AC"/>
    <w:rsid w:val="001468CA"/>
    <w:rsid w:val="001638EE"/>
    <w:rsid w:val="001648BA"/>
    <w:rsid w:val="00170A2B"/>
    <w:rsid w:val="001972F7"/>
    <w:rsid w:val="001A4F89"/>
    <w:rsid w:val="001A5400"/>
    <w:rsid w:val="001C1769"/>
    <w:rsid w:val="00214480"/>
    <w:rsid w:val="00244A3E"/>
    <w:rsid w:val="00246585"/>
    <w:rsid w:val="0027207D"/>
    <w:rsid w:val="002A13E6"/>
    <w:rsid w:val="002C0706"/>
    <w:rsid w:val="002C4135"/>
    <w:rsid w:val="002F0C75"/>
    <w:rsid w:val="002F44EB"/>
    <w:rsid w:val="002F6732"/>
    <w:rsid w:val="00307CFF"/>
    <w:rsid w:val="00327D9B"/>
    <w:rsid w:val="0033598B"/>
    <w:rsid w:val="00335E2D"/>
    <w:rsid w:val="00350CE8"/>
    <w:rsid w:val="003C505C"/>
    <w:rsid w:val="00427995"/>
    <w:rsid w:val="00431BD4"/>
    <w:rsid w:val="004B4678"/>
    <w:rsid w:val="004D75DA"/>
    <w:rsid w:val="00500E70"/>
    <w:rsid w:val="00511228"/>
    <w:rsid w:val="005465D9"/>
    <w:rsid w:val="00553E72"/>
    <w:rsid w:val="00554E30"/>
    <w:rsid w:val="00570B1B"/>
    <w:rsid w:val="005B63CF"/>
    <w:rsid w:val="005B71B0"/>
    <w:rsid w:val="005F42D5"/>
    <w:rsid w:val="00620BB8"/>
    <w:rsid w:val="006349C8"/>
    <w:rsid w:val="0065368B"/>
    <w:rsid w:val="00674633"/>
    <w:rsid w:val="00684E1E"/>
    <w:rsid w:val="0068732A"/>
    <w:rsid w:val="006A16DA"/>
    <w:rsid w:val="006C6B7E"/>
    <w:rsid w:val="006E6B67"/>
    <w:rsid w:val="006F1A35"/>
    <w:rsid w:val="007230EC"/>
    <w:rsid w:val="00735E76"/>
    <w:rsid w:val="00744B4F"/>
    <w:rsid w:val="0076084A"/>
    <w:rsid w:val="00770E64"/>
    <w:rsid w:val="0077543E"/>
    <w:rsid w:val="007854A8"/>
    <w:rsid w:val="007B0A7B"/>
    <w:rsid w:val="007B50C5"/>
    <w:rsid w:val="007C40A6"/>
    <w:rsid w:val="007D2B52"/>
    <w:rsid w:val="008047C6"/>
    <w:rsid w:val="00841031"/>
    <w:rsid w:val="0084621E"/>
    <w:rsid w:val="008575C7"/>
    <w:rsid w:val="00865B77"/>
    <w:rsid w:val="008854CB"/>
    <w:rsid w:val="00896C2C"/>
    <w:rsid w:val="00896ED9"/>
    <w:rsid w:val="008D302F"/>
    <w:rsid w:val="008E1DDF"/>
    <w:rsid w:val="00927098"/>
    <w:rsid w:val="009340AF"/>
    <w:rsid w:val="009761A6"/>
    <w:rsid w:val="009C51EB"/>
    <w:rsid w:val="009E1651"/>
    <w:rsid w:val="00A21CA8"/>
    <w:rsid w:val="00A24AAC"/>
    <w:rsid w:val="00A26CC9"/>
    <w:rsid w:val="00A315AC"/>
    <w:rsid w:val="00A51632"/>
    <w:rsid w:val="00A70FF5"/>
    <w:rsid w:val="00A96CB9"/>
    <w:rsid w:val="00B01602"/>
    <w:rsid w:val="00B06F8E"/>
    <w:rsid w:val="00B07517"/>
    <w:rsid w:val="00B1157A"/>
    <w:rsid w:val="00B225DA"/>
    <w:rsid w:val="00B510F6"/>
    <w:rsid w:val="00B6632F"/>
    <w:rsid w:val="00B84D0C"/>
    <w:rsid w:val="00BD5120"/>
    <w:rsid w:val="00BD55B1"/>
    <w:rsid w:val="00C03945"/>
    <w:rsid w:val="00C06A3C"/>
    <w:rsid w:val="00C5118E"/>
    <w:rsid w:val="00CA08CB"/>
    <w:rsid w:val="00CD43F5"/>
    <w:rsid w:val="00CE0E42"/>
    <w:rsid w:val="00CE30C4"/>
    <w:rsid w:val="00CF2189"/>
    <w:rsid w:val="00D151E8"/>
    <w:rsid w:val="00D364BD"/>
    <w:rsid w:val="00D52B25"/>
    <w:rsid w:val="00D773B5"/>
    <w:rsid w:val="00DA6D21"/>
    <w:rsid w:val="00DD056C"/>
    <w:rsid w:val="00DF2E12"/>
    <w:rsid w:val="00E14AC7"/>
    <w:rsid w:val="00E16E88"/>
    <w:rsid w:val="00E20A7B"/>
    <w:rsid w:val="00E31553"/>
    <w:rsid w:val="00E65538"/>
    <w:rsid w:val="00E9776F"/>
    <w:rsid w:val="00EA0A23"/>
    <w:rsid w:val="00EB6C69"/>
    <w:rsid w:val="00EB7A90"/>
    <w:rsid w:val="00EC23F9"/>
    <w:rsid w:val="00F16F26"/>
    <w:rsid w:val="00F24B43"/>
    <w:rsid w:val="00F25B08"/>
    <w:rsid w:val="00F30DBD"/>
    <w:rsid w:val="00F466A1"/>
    <w:rsid w:val="00FB2B87"/>
    <w:rsid w:val="00FC3912"/>
    <w:rsid w:val="00FD624C"/>
    <w:rsid w:val="00FE6EC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9E1651"/>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9E1651"/>
    <w:pPr>
      <w:spacing w:after="240" w:line="240" w:lineRule="exact"/>
      <w:jc w:val="right"/>
    </w:pPr>
    <w:rPr>
      <w:rFonts w:ascii="Helvetica" w:eastAsia="Times New Roman" w:hAnsi="Helvetica" w:cs="Times New Roman"/>
      <w:sz w:val="20"/>
      <w:szCs w:val="20"/>
    </w:rPr>
  </w:style>
  <w:style w:type="paragraph" w:customStyle="1" w:styleId="Copyright">
    <w:name w:val="Copyright"/>
    <w:basedOn w:val="Normal"/>
    <w:rsid w:val="009E1651"/>
    <w:pPr>
      <w:spacing w:after="960" w:line="200" w:lineRule="exact"/>
    </w:pPr>
    <w:rPr>
      <w:rFonts w:ascii="Helvetica" w:eastAsia="Times New Roman" w:hAnsi="Helvetica" w:cs="Times New Roman"/>
      <w:sz w:val="16"/>
      <w:szCs w:val="20"/>
    </w:rPr>
  </w:style>
  <w:style w:type="paragraph" w:styleId="Footer">
    <w:name w:val="footer"/>
    <w:basedOn w:val="Normal"/>
    <w:link w:val="FooterChar"/>
    <w:rsid w:val="009E1651"/>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9E1651"/>
    <w:rPr>
      <w:rFonts w:ascii="Helvetica" w:eastAsia="Times New Roman" w:hAnsi="Helvetica" w:cs="Times New Roman"/>
      <w:sz w:val="20"/>
      <w:szCs w:val="20"/>
    </w:rPr>
  </w:style>
  <w:style w:type="paragraph" w:styleId="Header">
    <w:name w:val="header"/>
    <w:basedOn w:val="Normal"/>
    <w:link w:val="HeaderChar"/>
    <w:rsid w:val="009E1651"/>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9E1651"/>
    <w:rPr>
      <w:rFonts w:ascii="Helvetica" w:eastAsia="Times New Roman" w:hAnsi="Helvetica" w:cs="Times New Roman"/>
      <w:sz w:val="20"/>
      <w:szCs w:val="20"/>
    </w:rPr>
  </w:style>
  <w:style w:type="character" w:styleId="LineNumber">
    <w:name w:val="line number"/>
    <w:basedOn w:val="DefaultParagraphFont"/>
    <w:uiPriority w:val="99"/>
    <w:semiHidden/>
    <w:unhideWhenUsed/>
    <w:rsid w:val="009E1651"/>
  </w:style>
  <w:style w:type="paragraph" w:customStyle="1" w:styleId="Body">
    <w:name w:val="Body"/>
    <w:basedOn w:val="Normal"/>
    <w:rsid w:val="009E1651"/>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9E1651"/>
    <w:pPr>
      <w:keepNext/>
      <w:spacing w:after="240" w:line="240" w:lineRule="auto"/>
    </w:pPr>
    <w:rPr>
      <w:rFonts w:ascii="Helvetica" w:eastAsia="Times New Roman" w:hAnsi="Helvetica" w:cs="Times New Roman"/>
      <w:b/>
      <w:caps/>
      <w:szCs w:val="20"/>
    </w:rPr>
  </w:style>
  <w:style w:type="paragraph" w:styleId="BalloonText">
    <w:name w:val="Balloon Text"/>
    <w:basedOn w:val="Normal"/>
    <w:link w:val="BalloonTextChar"/>
    <w:uiPriority w:val="99"/>
    <w:semiHidden/>
    <w:unhideWhenUsed/>
    <w:rsid w:val="00146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CA"/>
    <w:rPr>
      <w:rFonts w:ascii="Tahoma" w:hAnsi="Tahoma" w:cs="Tahoma"/>
      <w:sz w:val="16"/>
      <w:szCs w:val="16"/>
    </w:rPr>
  </w:style>
  <w:style w:type="table" w:styleId="TableGrid">
    <w:name w:val="Table Grid"/>
    <w:basedOn w:val="TableNormal"/>
    <w:uiPriority w:val="59"/>
    <w:rsid w:val="00146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468CA"/>
    <w:pPr>
      <w:ind w:left="720"/>
      <w:contextualSpacing/>
    </w:pPr>
  </w:style>
  <w:style w:type="paragraph" w:styleId="NoSpacing">
    <w:name w:val="No Spacing"/>
    <w:uiPriority w:val="1"/>
    <w:qFormat/>
    <w:rsid w:val="00307CFF"/>
    <w:pPr>
      <w:spacing w:after="0" w:line="240" w:lineRule="auto"/>
    </w:pPr>
  </w:style>
  <w:style w:type="character" w:styleId="Hyperlink">
    <w:name w:val="Hyperlink"/>
    <w:basedOn w:val="DefaultParagraphFont"/>
    <w:uiPriority w:val="99"/>
    <w:unhideWhenUsed/>
    <w:rsid w:val="00684E1E"/>
    <w:rPr>
      <w:color w:val="0000FF" w:themeColor="hyperlink"/>
      <w:u w:val="single"/>
    </w:rPr>
  </w:style>
  <w:style w:type="character" w:customStyle="1" w:styleId="UnresolvedMention">
    <w:name w:val="Unresolved Mention"/>
    <w:basedOn w:val="DefaultParagraphFont"/>
    <w:uiPriority w:val="99"/>
    <w:semiHidden/>
    <w:unhideWhenUsed/>
    <w:rsid w:val="00684E1E"/>
    <w:rPr>
      <w:color w:val="605E5C"/>
      <w:shd w:val="clear" w:color="auto" w:fill="E1DFDD"/>
    </w:rPr>
  </w:style>
  <w:style w:type="character" w:styleId="CommentReference">
    <w:name w:val="annotation reference"/>
    <w:basedOn w:val="DefaultParagraphFont"/>
    <w:uiPriority w:val="99"/>
    <w:semiHidden/>
    <w:unhideWhenUsed/>
    <w:rsid w:val="009C51EB"/>
    <w:rPr>
      <w:sz w:val="16"/>
      <w:szCs w:val="16"/>
    </w:rPr>
  </w:style>
  <w:style w:type="paragraph" w:styleId="CommentText">
    <w:name w:val="annotation text"/>
    <w:basedOn w:val="Normal"/>
    <w:link w:val="CommentTextChar"/>
    <w:uiPriority w:val="99"/>
    <w:unhideWhenUsed/>
    <w:rsid w:val="009C51EB"/>
    <w:pPr>
      <w:spacing w:line="240" w:lineRule="auto"/>
    </w:pPr>
    <w:rPr>
      <w:sz w:val="20"/>
      <w:szCs w:val="20"/>
    </w:rPr>
  </w:style>
  <w:style w:type="character" w:customStyle="1" w:styleId="CommentTextChar">
    <w:name w:val="Comment Text Char"/>
    <w:basedOn w:val="DefaultParagraphFont"/>
    <w:link w:val="CommentText"/>
    <w:uiPriority w:val="99"/>
    <w:rsid w:val="009C51EB"/>
    <w:rPr>
      <w:sz w:val="20"/>
      <w:szCs w:val="20"/>
    </w:rPr>
  </w:style>
  <w:style w:type="paragraph" w:styleId="CommentSubject">
    <w:name w:val="annotation subject"/>
    <w:basedOn w:val="CommentText"/>
    <w:next w:val="CommentText"/>
    <w:link w:val="CommentSubjectChar"/>
    <w:uiPriority w:val="99"/>
    <w:semiHidden/>
    <w:unhideWhenUsed/>
    <w:rsid w:val="009C51EB"/>
    <w:rPr>
      <w:b/>
      <w:bCs/>
    </w:rPr>
  </w:style>
  <w:style w:type="character" w:customStyle="1" w:styleId="CommentSubjectChar">
    <w:name w:val="Comment Subject Char"/>
    <w:basedOn w:val="CommentTextChar"/>
    <w:link w:val="CommentSubject"/>
    <w:uiPriority w:val="99"/>
    <w:semiHidden/>
    <w:rsid w:val="009C51E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22302/iribb.jur.mp.v88i1.369" TargetMode="External"/><Relationship Id="rId26" Type="http://schemas.openxmlformats.org/officeDocument/2006/relationships/hyperlink" Target="https://doi.org/10.1002/jsfa.911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51/forest/2010020" TargetMode="External"/><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chart" Target="charts/chart5.xml"/><Relationship Id="rId17" Type="http://schemas.openxmlformats.org/officeDocument/2006/relationships/hyperlink" Target="https://doi.org/10.1007/s11099-008-0104-y" TargetMode="External"/><Relationship Id="rId25" Type="http://schemas.openxmlformats.org/officeDocument/2006/relationships/hyperlink" Target="https://dl-tri.nsf.gov.lk/handle/1/115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23/A:1026097423351" TargetMode="External"/><Relationship Id="rId20" Type="http://schemas.openxmlformats.org/officeDocument/2006/relationships/hyperlink" Target="https://doi.org/10.1016/j.jprot.2017.01.017" TargetMode="External"/><Relationship Id="rId29" Type="http://schemas.openxmlformats.org/officeDocument/2006/relationships/hyperlink" Target="https://doi.org/10.15760/honors.5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1007/s10705-006-9081-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4/pp.24.1.1" TargetMode="External"/><Relationship Id="rId23" Type="http://schemas.openxmlformats.org/officeDocument/2006/relationships/hyperlink" Target="https://doi.org/10.54386/jam.v21i1.202" TargetMode="External"/><Relationship Id="rId28" Type="http://schemas.openxmlformats.org/officeDocument/2006/relationships/hyperlink" Target="https://doi.org/10.1016/0168-1923(84)90015-7" TargetMode="External"/><Relationship Id="rId36"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3389/fpls.2021.779819" TargetMode="External"/><Relationship Id="rId31" Type="http://schemas.openxmlformats.org/officeDocument/2006/relationships/hyperlink" Target="https://doi.org/10.1093/jxb/eri147"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isws.org.in/journal/abstract/40/1/1-5" TargetMode="External"/><Relationship Id="rId27" Type="http://schemas.openxmlformats.org/officeDocument/2006/relationships/hyperlink" Target="https://dl-tri.nsf.gov.lk/handle/1/68" TargetMode="External"/><Relationship Id="rId30" Type="http://schemas.openxmlformats.org/officeDocument/2006/relationships/hyperlink" Target="https://tar.sljol.info"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New%20folder\lq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M.SC\table%20arrangements\cp\LUX%20METER%20for%20rubb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esktop\M.SC\table%20arrangements\cp\LUX%20METER%20for%20te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esktop\New%20folder\spa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CER\Desktop\M.SC\table%20arrangements\cp\leaf%20chlorophyl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CER\Desktop\M.SC\table%20arrangements\cp\leaf%20chlorophyl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CER\Desktop\M.SC\table%20arrangements\SPAD%20READING\TO%20CHECK\chl%20from%20sp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1"/>
          <c:order val="1"/>
          <c:tx>
            <c:strRef>
              <c:f>Sheet1!$K$15</c:f>
              <c:strCache>
                <c:ptCount val="1"/>
                <c:pt idx="0">
                  <c:v>IPAR</c:v>
                </c:pt>
              </c:strCache>
            </c:strRef>
          </c:tx>
          <c:cat>
            <c:strRef>
              <c:f>Sheet1!$I$16:$I$34</c:f>
              <c:strCache>
                <c:ptCount val="19"/>
                <c:pt idx="0">
                  <c:v>T1 1st flush</c:v>
                </c:pt>
                <c:pt idx="1">
                  <c:v>T1 2nd flush</c:v>
                </c:pt>
                <c:pt idx="2">
                  <c:v>T1 Rain</c:v>
                </c:pt>
                <c:pt idx="3">
                  <c:v>T1 Autumn</c:v>
                </c:pt>
                <c:pt idx="5">
                  <c:v>T2 1st flush</c:v>
                </c:pt>
                <c:pt idx="6">
                  <c:v>T2 2nd flush</c:v>
                </c:pt>
                <c:pt idx="7">
                  <c:v>T2 Rain</c:v>
                </c:pt>
                <c:pt idx="8">
                  <c:v>T2 Autumn</c:v>
                </c:pt>
                <c:pt idx="10">
                  <c:v>T3 1st flush</c:v>
                </c:pt>
                <c:pt idx="11">
                  <c:v>T3 2nd flush</c:v>
                </c:pt>
                <c:pt idx="12">
                  <c:v>T3 Rain</c:v>
                </c:pt>
                <c:pt idx="13">
                  <c:v>T3 Autumn</c:v>
                </c:pt>
                <c:pt idx="15">
                  <c:v>T4 1st flush</c:v>
                </c:pt>
                <c:pt idx="16">
                  <c:v>T4 2nd flush</c:v>
                </c:pt>
                <c:pt idx="17">
                  <c:v>T4 Rain</c:v>
                </c:pt>
                <c:pt idx="18">
                  <c:v>T4 Autumn</c:v>
                </c:pt>
              </c:strCache>
            </c:strRef>
          </c:cat>
          <c:val>
            <c:numRef>
              <c:f>Sheet1!$K$16:$K$34</c:f>
              <c:numCache>
                <c:formatCode>General</c:formatCode>
                <c:ptCount val="19"/>
                <c:pt idx="0">
                  <c:v>238.81</c:v>
                </c:pt>
                <c:pt idx="1">
                  <c:v>740.44999999999948</c:v>
                </c:pt>
                <c:pt idx="2">
                  <c:v>432.61</c:v>
                </c:pt>
                <c:pt idx="3">
                  <c:v>463.02</c:v>
                </c:pt>
                <c:pt idx="5">
                  <c:v>62.08</c:v>
                </c:pt>
                <c:pt idx="6">
                  <c:v>173.6</c:v>
                </c:pt>
                <c:pt idx="7">
                  <c:v>69.39</c:v>
                </c:pt>
                <c:pt idx="8">
                  <c:v>50.120000000000012</c:v>
                </c:pt>
                <c:pt idx="10">
                  <c:v>52.2</c:v>
                </c:pt>
                <c:pt idx="11">
                  <c:v>227.06</c:v>
                </c:pt>
                <c:pt idx="12">
                  <c:v>84.51</c:v>
                </c:pt>
                <c:pt idx="13">
                  <c:v>55.48</c:v>
                </c:pt>
                <c:pt idx="15">
                  <c:v>135.04</c:v>
                </c:pt>
                <c:pt idx="16">
                  <c:v>400</c:v>
                </c:pt>
                <c:pt idx="17">
                  <c:v>360.37</c:v>
                </c:pt>
                <c:pt idx="18">
                  <c:v>169.23</c:v>
                </c:pt>
              </c:numCache>
            </c:numRef>
          </c:val>
          <c:extLst xmlns:c16r2="http://schemas.microsoft.com/office/drawing/2015/06/chart">
            <c:ext xmlns:c16="http://schemas.microsoft.com/office/drawing/2014/chart" uri="{C3380CC4-5D6E-409C-BE32-E72D297353CC}">
              <c16:uniqueId val="{00000000-DA2F-4E89-81B2-A68D136711EF}"/>
            </c:ext>
          </c:extLst>
        </c:ser>
        <c:axId val="105305216"/>
        <c:axId val="105307136"/>
      </c:barChart>
      <c:lineChart>
        <c:grouping val="standard"/>
        <c:ser>
          <c:idx val="0"/>
          <c:order val="0"/>
          <c:tx>
            <c:strRef>
              <c:f>Sheet1!$J$15</c:f>
              <c:strCache>
                <c:ptCount val="1"/>
                <c:pt idx="0">
                  <c:v>ipar%</c:v>
                </c:pt>
              </c:strCache>
            </c:strRef>
          </c:tx>
          <c:cat>
            <c:strRef>
              <c:f>Sheet1!$I$16:$I$34</c:f>
              <c:strCache>
                <c:ptCount val="19"/>
                <c:pt idx="0">
                  <c:v>T1 1st flush</c:v>
                </c:pt>
                <c:pt idx="1">
                  <c:v>T1 2nd flush</c:v>
                </c:pt>
                <c:pt idx="2">
                  <c:v>T1 Rain</c:v>
                </c:pt>
                <c:pt idx="3">
                  <c:v>T1 Autumn</c:v>
                </c:pt>
                <c:pt idx="5">
                  <c:v>T2 1st flush</c:v>
                </c:pt>
                <c:pt idx="6">
                  <c:v>T2 2nd flush</c:v>
                </c:pt>
                <c:pt idx="7">
                  <c:v>T2 Rain</c:v>
                </c:pt>
                <c:pt idx="8">
                  <c:v>T2 Autumn</c:v>
                </c:pt>
                <c:pt idx="10">
                  <c:v>T3 1st flush</c:v>
                </c:pt>
                <c:pt idx="11">
                  <c:v>T3 2nd flush</c:v>
                </c:pt>
                <c:pt idx="12">
                  <c:v>T3 Rain</c:v>
                </c:pt>
                <c:pt idx="13">
                  <c:v>T3 Autumn</c:v>
                </c:pt>
                <c:pt idx="15">
                  <c:v>T4 1st flush</c:v>
                </c:pt>
                <c:pt idx="16">
                  <c:v>T4 2nd flush</c:v>
                </c:pt>
                <c:pt idx="17">
                  <c:v>T4 Rain</c:v>
                </c:pt>
                <c:pt idx="18">
                  <c:v>T4 Autumn</c:v>
                </c:pt>
              </c:strCache>
            </c:strRef>
          </c:cat>
          <c:val>
            <c:numRef>
              <c:f>Sheet1!$J$16:$J$34</c:f>
              <c:numCache>
                <c:formatCode>General</c:formatCode>
                <c:ptCount val="19"/>
                <c:pt idx="0">
                  <c:v>90.03</c:v>
                </c:pt>
                <c:pt idx="1">
                  <c:v>91.14</c:v>
                </c:pt>
                <c:pt idx="2">
                  <c:v>82.19</c:v>
                </c:pt>
                <c:pt idx="3">
                  <c:v>91.73</c:v>
                </c:pt>
                <c:pt idx="5">
                  <c:v>78.989999999999995</c:v>
                </c:pt>
                <c:pt idx="6">
                  <c:v>84.27</c:v>
                </c:pt>
                <c:pt idx="7">
                  <c:v>80.84</c:v>
                </c:pt>
                <c:pt idx="8">
                  <c:v>81.760000000000005</c:v>
                </c:pt>
                <c:pt idx="10">
                  <c:v>77.39</c:v>
                </c:pt>
                <c:pt idx="11">
                  <c:v>83.01</c:v>
                </c:pt>
                <c:pt idx="12">
                  <c:v>81.649999999999991</c:v>
                </c:pt>
                <c:pt idx="13">
                  <c:v>81.86999999999999</c:v>
                </c:pt>
                <c:pt idx="15">
                  <c:v>83.64</c:v>
                </c:pt>
                <c:pt idx="16">
                  <c:v>85.88</c:v>
                </c:pt>
                <c:pt idx="17">
                  <c:v>81.77</c:v>
                </c:pt>
                <c:pt idx="18">
                  <c:v>88.45</c:v>
                </c:pt>
              </c:numCache>
            </c:numRef>
          </c:val>
          <c:extLst xmlns:c16r2="http://schemas.microsoft.com/office/drawing/2015/06/chart">
            <c:ext xmlns:c16="http://schemas.microsoft.com/office/drawing/2014/chart" uri="{C3380CC4-5D6E-409C-BE32-E72D297353CC}">
              <c16:uniqueId val="{00000001-DA2F-4E89-81B2-A68D136711EF}"/>
            </c:ext>
          </c:extLst>
        </c:ser>
        <c:marker val="1"/>
        <c:axId val="105549184"/>
        <c:axId val="105470592"/>
      </c:lineChart>
      <c:catAx>
        <c:axId val="105305216"/>
        <c:scaling>
          <c:orientation val="minMax"/>
        </c:scaling>
        <c:axPos val="b"/>
        <c:title>
          <c:tx>
            <c:rich>
              <a:bodyPr/>
              <a:lstStyle/>
              <a:p>
                <a:pPr>
                  <a:defRPr/>
                </a:pPr>
                <a:r>
                  <a:rPr lang="en-US"/>
                  <a:t>TREATMENTS</a:t>
                </a:r>
              </a:p>
            </c:rich>
          </c:tx>
        </c:title>
        <c:numFmt formatCode="General" sourceLinked="0"/>
        <c:tickLblPos val="nextTo"/>
        <c:txPr>
          <a:bodyPr rot="-5400000" vert="horz"/>
          <a:lstStyle/>
          <a:p>
            <a:pPr>
              <a:defRPr b="1">
                <a:latin typeface="Times New Roman" pitchFamily="18" charset="0"/>
                <a:cs typeface="Times New Roman" pitchFamily="18" charset="0"/>
              </a:defRPr>
            </a:pPr>
            <a:endParaRPr lang="en-US"/>
          </a:p>
        </c:txPr>
        <c:crossAx val="105307136"/>
        <c:crosses val="autoZero"/>
        <c:auto val="1"/>
        <c:lblAlgn val="ctr"/>
        <c:lblOffset val="100"/>
      </c:catAx>
      <c:valAx>
        <c:axId val="105307136"/>
        <c:scaling>
          <c:orientation val="minMax"/>
        </c:scaling>
        <c:axPos val="l"/>
        <c:majorGridlines/>
        <c:title>
          <c:tx>
            <c:rich>
              <a:bodyPr rot="-5400000" vert="horz"/>
              <a:lstStyle/>
              <a:p>
                <a:pPr>
                  <a:defRPr/>
                </a:pPr>
                <a:r>
                  <a:rPr lang="en-US"/>
                  <a:t>INCIDENT</a:t>
                </a:r>
                <a:r>
                  <a:rPr lang="en-US" baseline="0"/>
                  <a:t> PAR (</a:t>
                </a:r>
                <a:r>
                  <a:rPr lang="en-US" sz="1000" b="1" i="0" u="none" strike="noStrike" baseline="0"/>
                  <a:t>µmol m</a:t>
                </a:r>
                <a:r>
                  <a:rPr lang="en-US" sz="1000" b="1" i="0" u="none" strike="noStrike" baseline="30000"/>
                  <a:t>-2 </a:t>
                </a:r>
                <a:r>
                  <a:rPr lang="en-US" sz="1000" b="1" i="0" u="none" strike="noStrike" baseline="0"/>
                  <a:t>s</a:t>
                </a:r>
                <a:r>
                  <a:rPr lang="en-US" sz="1000" b="1" i="0" u="none" strike="noStrike" baseline="30000"/>
                  <a:t>-1</a:t>
                </a:r>
                <a:r>
                  <a:rPr lang="en-US" sz="1000" b="1" i="0" u="none" strike="noStrike" baseline="0"/>
                  <a:t>)</a:t>
                </a:r>
                <a:endParaRPr lang="en-US"/>
              </a:p>
            </c:rich>
          </c:tx>
        </c:title>
        <c:numFmt formatCode="General" sourceLinked="1"/>
        <c:tickLblPos val="nextTo"/>
        <c:crossAx val="105305216"/>
        <c:crosses val="autoZero"/>
        <c:crossBetween val="between"/>
      </c:valAx>
      <c:valAx>
        <c:axId val="105470592"/>
        <c:scaling>
          <c:orientation val="minMax"/>
        </c:scaling>
        <c:axPos val="r"/>
        <c:title>
          <c:tx>
            <c:rich>
              <a:bodyPr rot="-5400000" vert="horz"/>
              <a:lstStyle/>
              <a:p>
                <a:pPr>
                  <a:defRPr/>
                </a:pPr>
                <a:r>
                  <a:rPr lang="en-US"/>
                  <a:t>ipar</a:t>
                </a:r>
                <a:r>
                  <a:rPr lang="en-US" baseline="0"/>
                  <a:t> (%)</a:t>
                </a:r>
                <a:endParaRPr lang="en-US"/>
              </a:p>
            </c:rich>
          </c:tx>
        </c:title>
        <c:numFmt formatCode="General" sourceLinked="1"/>
        <c:tickLblPos val="nextTo"/>
        <c:crossAx val="105549184"/>
        <c:crosses val="max"/>
        <c:crossBetween val="between"/>
      </c:valAx>
      <c:catAx>
        <c:axId val="105549184"/>
        <c:scaling>
          <c:orientation val="minMax"/>
        </c:scaling>
        <c:delete val="1"/>
        <c:axPos val="b"/>
        <c:numFmt formatCode="General" sourceLinked="1"/>
        <c:tickLblPos val="nextTo"/>
        <c:crossAx val="105470592"/>
        <c:crosses val="autoZero"/>
        <c:auto val="1"/>
        <c:lblAlgn val="ctr"/>
        <c:lblOffset val="100"/>
      </c:catAx>
    </c:plotArea>
    <c:legend>
      <c:legendPos val="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831847997074478"/>
          <c:y val="3.6234496126749206E-2"/>
          <c:w val="0.7799263673122"/>
          <c:h val="0.68871496970659651"/>
        </c:manualLayout>
      </c:layout>
      <c:barChart>
        <c:barDir val="col"/>
        <c:grouping val="clustered"/>
        <c:ser>
          <c:idx val="0"/>
          <c:order val="0"/>
          <c:tx>
            <c:strRef>
              <c:f>autumn!$G$26</c:f>
              <c:strCache>
                <c:ptCount val="1"/>
                <c:pt idx="0">
                  <c:v>T1</c:v>
                </c:pt>
              </c:strCache>
            </c:strRef>
          </c:tx>
          <c:cat>
            <c:strRef>
              <c:f>autumn!$H$25:$K$25</c:f>
              <c:strCache>
                <c:ptCount val="4"/>
                <c:pt idx="0">
                  <c:v>1st FLUSH</c:v>
                </c:pt>
                <c:pt idx="1">
                  <c:v>2nd FLUSH</c:v>
                </c:pt>
                <c:pt idx="2">
                  <c:v>RAIN FLUSH</c:v>
                </c:pt>
                <c:pt idx="3">
                  <c:v>AUTUMN FLUSH</c:v>
                </c:pt>
              </c:strCache>
            </c:strRef>
          </c:cat>
          <c:val>
            <c:numRef>
              <c:f>autumn!$H$26:$K$26</c:f>
              <c:numCache>
                <c:formatCode>0.00</c:formatCode>
                <c:ptCount val="4"/>
                <c:pt idx="0">
                  <c:v>28.634430447388091</c:v>
                </c:pt>
                <c:pt idx="1">
                  <c:v>49.064907562811094</c:v>
                </c:pt>
                <c:pt idx="2">
                  <c:v>48.09</c:v>
                </c:pt>
                <c:pt idx="3">
                  <c:v>29.382499999999574</c:v>
                </c:pt>
              </c:numCache>
            </c:numRef>
          </c:val>
          <c:extLst xmlns:c16r2="http://schemas.microsoft.com/office/drawing/2015/06/chart">
            <c:ext xmlns:c16="http://schemas.microsoft.com/office/drawing/2014/chart" uri="{C3380CC4-5D6E-409C-BE32-E72D297353CC}">
              <c16:uniqueId val="{00000000-9E80-4A05-BDF5-E249A70CFA7B}"/>
            </c:ext>
          </c:extLst>
        </c:ser>
        <c:ser>
          <c:idx val="1"/>
          <c:order val="1"/>
          <c:tx>
            <c:strRef>
              <c:f>autumn!$G$27</c:f>
              <c:strCache>
                <c:ptCount val="1"/>
                <c:pt idx="0">
                  <c:v>T2</c:v>
                </c:pt>
              </c:strCache>
            </c:strRef>
          </c:tx>
          <c:cat>
            <c:strRef>
              <c:f>autumn!$H$25:$K$25</c:f>
              <c:strCache>
                <c:ptCount val="4"/>
                <c:pt idx="0">
                  <c:v>1st FLUSH</c:v>
                </c:pt>
                <c:pt idx="1">
                  <c:v>2nd FLUSH</c:v>
                </c:pt>
                <c:pt idx="2">
                  <c:v>RAIN FLUSH</c:v>
                </c:pt>
                <c:pt idx="3">
                  <c:v>AUTUMN FLUSH</c:v>
                </c:pt>
              </c:strCache>
            </c:strRef>
          </c:cat>
          <c:val>
            <c:numRef>
              <c:f>autumn!$H$27:$K$27</c:f>
              <c:numCache>
                <c:formatCode>0.00</c:formatCode>
                <c:ptCount val="4"/>
                <c:pt idx="0">
                  <c:v>5.6849016692921746</c:v>
                </c:pt>
                <c:pt idx="1">
                  <c:v>7.4986402140620934</c:v>
                </c:pt>
                <c:pt idx="2">
                  <c:v>5.9774999999999991</c:v>
                </c:pt>
                <c:pt idx="3">
                  <c:v>3.3862499999999418</c:v>
                </c:pt>
              </c:numCache>
            </c:numRef>
          </c:val>
          <c:extLst xmlns:c16r2="http://schemas.microsoft.com/office/drawing/2015/06/chart">
            <c:ext xmlns:c16="http://schemas.microsoft.com/office/drawing/2014/chart" uri="{C3380CC4-5D6E-409C-BE32-E72D297353CC}">
              <c16:uniqueId val="{00000001-9E80-4A05-BDF5-E249A70CFA7B}"/>
            </c:ext>
          </c:extLst>
        </c:ser>
        <c:ser>
          <c:idx val="2"/>
          <c:order val="2"/>
          <c:tx>
            <c:strRef>
              <c:f>autumn!$G$28</c:f>
              <c:strCache>
                <c:ptCount val="1"/>
                <c:pt idx="0">
                  <c:v>T3</c:v>
                </c:pt>
              </c:strCache>
            </c:strRef>
          </c:tx>
          <c:cat>
            <c:strRef>
              <c:f>autumn!$H$25:$K$25</c:f>
              <c:strCache>
                <c:ptCount val="4"/>
                <c:pt idx="0">
                  <c:v>1st FLUSH</c:v>
                </c:pt>
                <c:pt idx="1">
                  <c:v>2nd FLUSH</c:v>
                </c:pt>
                <c:pt idx="2">
                  <c:v>RAIN FLUSH</c:v>
                </c:pt>
                <c:pt idx="3">
                  <c:v>AUTUMN FLUSH</c:v>
                </c:pt>
              </c:strCache>
            </c:strRef>
          </c:cat>
          <c:val>
            <c:numRef>
              <c:f>autumn!$H$28:$K$28</c:f>
              <c:numCache>
                <c:formatCode>0.00</c:formatCode>
                <c:ptCount val="4"/>
                <c:pt idx="0">
                  <c:v>5.7460925654737034</c:v>
                </c:pt>
                <c:pt idx="1">
                  <c:v>9.7789153358423988</c:v>
                </c:pt>
                <c:pt idx="2">
                  <c:v>6.3024999999999975</c:v>
                </c:pt>
                <c:pt idx="3">
                  <c:v>4.4062500000000124</c:v>
                </c:pt>
              </c:numCache>
            </c:numRef>
          </c:val>
          <c:extLst xmlns:c16r2="http://schemas.microsoft.com/office/drawing/2015/06/chart">
            <c:ext xmlns:c16="http://schemas.microsoft.com/office/drawing/2014/chart" uri="{C3380CC4-5D6E-409C-BE32-E72D297353CC}">
              <c16:uniqueId val="{00000002-9E80-4A05-BDF5-E249A70CFA7B}"/>
            </c:ext>
          </c:extLst>
        </c:ser>
        <c:ser>
          <c:idx val="3"/>
          <c:order val="3"/>
          <c:tx>
            <c:strRef>
              <c:f>autumn!$G$29</c:f>
              <c:strCache>
                <c:ptCount val="1"/>
                <c:pt idx="0">
                  <c:v>T4</c:v>
                </c:pt>
              </c:strCache>
            </c:strRef>
          </c:tx>
          <c:cat>
            <c:strRef>
              <c:f>autumn!$H$25:$K$25</c:f>
              <c:strCache>
                <c:ptCount val="4"/>
                <c:pt idx="0">
                  <c:v>1st FLUSH</c:v>
                </c:pt>
                <c:pt idx="1">
                  <c:v>2nd FLUSH</c:v>
                </c:pt>
                <c:pt idx="2">
                  <c:v>RAIN FLUSH</c:v>
                </c:pt>
                <c:pt idx="3">
                  <c:v>AUTUMN FLUSH</c:v>
                </c:pt>
              </c:strCache>
            </c:strRef>
          </c:cat>
          <c:val>
            <c:numRef>
              <c:f>autumn!$H$29:$K$29</c:f>
              <c:numCache>
                <c:formatCode>0.00</c:formatCode>
                <c:ptCount val="4"/>
                <c:pt idx="0">
                  <c:v>13.230271569704231</c:v>
                </c:pt>
                <c:pt idx="1">
                  <c:v>35.628759154714679</c:v>
                </c:pt>
                <c:pt idx="2">
                  <c:v>34.4375</c:v>
                </c:pt>
                <c:pt idx="3">
                  <c:v>16.802499999999789</c:v>
                </c:pt>
              </c:numCache>
            </c:numRef>
          </c:val>
          <c:extLst xmlns:c16r2="http://schemas.microsoft.com/office/drawing/2015/06/chart">
            <c:ext xmlns:c16="http://schemas.microsoft.com/office/drawing/2014/chart" uri="{C3380CC4-5D6E-409C-BE32-E72D297353CC}">
              <c16:uniqueId val="{00000003-9E80-4A05-BDF5-E249A70CFA7B}"/>
            </c:ext>
          </c:extLst>
        </c:ser>
        <c:axId val="105605376"/>
        <c:axId val="105927040"/>
      </c:barChart>
      <c:catAx>
        <c:axId val="105605376"/>
        <c:scaling>
          <c:orientation val="minMax"/>
        </c:scaling>
        <c:axPos val="b"/>
        <c:title>
          <c:tx>
            <c:rich>
              <a:bodyPr/>
              <a:lstStyle/>
              <a:p>
                <a:pPr>
                  <a:defRPr/>
                </a:pPr>
                <a:r>
                  <a:rPr lang="en-US"/>
                  <a:t>TREATMENTS</a:t>
                </a:r>
              </a:p>
            </c:rich>
          </c:tx>
        </c:title>
        <c:numFmt formatCode="General" sourceLinked="0"/>
        <c:tickLblPos val="nextTo"/>
        <c:crossAx val="105927040"/>
        <c:crosses val="autoZero"/>
        <c:auto val="1"/>
        <c:lblAlgn val="ctr"/>
        <c:lblOffset val="100"/>
      </c:catAx>
      <c:valAx>
        <c:axId val="105927040"/>
        <c:scaling>
          <c:orientation val="minMax"/>
        </c:scaling>
        <c:axPos val="l"/>
        <c:majorGridlines/>
        <c:title>
          <c:tx>
            <c:rich>
              <a:bodyPr rot="-5400000" vert="horz"/>
              <a:lstStyle/>
              <a:p>
                <a:pPr>
                  <a:defRPr/>
                </a:pPr>
                <a:r>
                  <a:rPr lang="en-US"/>
                  <a:t>LIGHT</a:t>
                </a:r>
                <a:r>
                  <a:rPr lang="en-US" baseline="0"/>
                  <a:t> INCIDENCE (%)</a:t>
                </a:r>
                <a:endParaRPr lang="en-US"/>
              </a:p>
            </c:rich>
          </c:tx>
        </c:title>
        <c:numFmt formatCode="0.00" sourceLinked="1"/>
        <c:tickLblPos val="nextTo"/>
        <c:crossAx val="105605376"/>
        <c:crosses val="autoZero"/>
        <c:crossBetween val="between"/>
      </c:valAx>
    </c:plotArea>
    <c:legend>
      <c:legendPos val="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0590347191057076"/>
          <c:y val="0.24754793317160897"/>
          <c:w val="0.762432739948956"/>
          <c:h val="0.30970188347746275"/>
        </c:manualLayout>
      </c:layout>
      <c:barChart>
        <c:barDir val="col"/>
        <c:grouping val="clustered"/>
        <c:ser>
          <c:idx val="0"/>
          <c:order val="0"/>
          <c:tx>
            <c:strRef>
              <c:f>flush!$Y$40</c:f>
              <c:strCache>
                <c:ptCount val="1"/>
                <c:pt idx="0">
                  <c:v>T1</c:v>
                </c:pt>
              </c:strCache>
            </c:strRef>
          </c:tx>
          <c:cat>
            <c:strRef>
              <c:f>flush!$Z$39:$AC$39</c:f>
              <c:strCache>
                <c:ptCount val="4"/>
                <c:pt idx="0">
                  <c:v>1st FLUSH</c:v>
                </c:pt>
                <c:pt idx="1">
                  <c:v>2nd FLUSH</c:v>
                </c:pt>
                <c:pt idx="2">
                  <c:v>RAIN FLUSH</c:v>
                </c:pt>
                <c:pt idx="3">
                  <c:v>AUTUMN FLUSH</c:v>
                </c:pt>
              </c:strCache>
            </c:strRef>
          </c:cat>
          <c:val>
            <c:numRef>
              <c:f>flush!$Z$40:$AC$40</c:f>
              <c:numCache>
                <c:formatCode>General</c:formatCode>
                <c:ptCount val="4"/>
                <c:pt idx="0">
                  <c:v>2.2400000000000002</c:v>
                </c:pt>
                <c:pt idx="1">
                  <c:v>2.34</c:v>
                </c:pt>
                <c:pt idx="2">
                  <c:v>5.78</c:v>
                </c:pt>
                <c:pt idx="3">
                  <c:v>1.6600000000000001</c:v>
                </c:pt>
              </c:numCache>
            </c:numRef>
          </c:val>
          <c:extLst xmlns:c16r2="http://schemas.microsoft.com/office/drawing/2015/06/chart">
            <c:ext xmlns:c16="http://schemas.microsoft.com/office/drawing/2014/chart" uri="{C3380CC4-5D6E-409C-BE32-E72D297353CC}">
              <c16:uniqueId val="{00000000-A13D-4483-ACCA-28E3A0624DC6}"/>
            </c:ext>
          </c:extLst>
        </c:ser>
        <c:ser>
          <c:idx val="1"/>
          <c:order val="1"/>
          <c:tx>
            <c:strRef>
              <c:f>flush!$Y$41</c:f>
              <c:strCache>
                <c:ptCount val="1"/>
                <c:pt idx="0">
                  <c:v>T2</c:v>
                </c:pt>
              </c:strCache>
            </c:strRef>
          </c:tx>
          <c:cat>
            <c:strRef>
              <c:f>flush!$Z$39:$AC$39</c:f>
              <c:strCache>
                <c:ptCount val="4"/>
                <c:pt idx="0">
                  <c:v>1st FLUSH</c:v>
                </c:pt>
                <c:pt idx="1">
                  <c:v>2nd FLUSH</c:v>
                </c:pt>
                <c:pt idx="2">
                  <c:v>RAIN FLUSH</c:v>
                </c:pt>
                <c:pt idx="3">
                  <c:v>AUTUMN FLUSH</c:v>
                </c:pt>
              </c:strCache>
            </c:strRef>
          </c:cat>
          <c:val>
            <c:numRef>
              <c:f>flush!$Z$41:$AC$41</c:f>
              <c:numCache>
                <c:formatCode>General</c:formatCode>
                <c:ptCount val="4"/>
                <c:pt idx="0">
                  <c:v>5.45</c:v>
                </c:pt>
                <c:pt idx="1">
                  <c:v>6.06</c:v>
                </c:pt>
                <c:pt idx="2">
                  <c:v>8.75</c:v>
                </c:pt>
                <c:pt idx="3">
                  <c:v>4.6499999999999995</c:v>
                </c:pt>
              </c:numCache>
            </c:numRef>
          </c:val>
          <c:extLst xmlns:c16r2="http://schemas.microsoft.com/office/drawing/2015/06/chart">
            <c:ext xmlns:c16="http://schemas.microsoft.com/office/drawing/2014/chart" uri="{C3380CC4-5D6E-409C-BE32-E72D297353CC}">
              <c16:uniqueId val="{00000001-A13D-4483-ACCA-28E3A0624DC6}"/>
            </c:ext>
          </c:extLst>
        </c:ser>
        <c:ser>
          <c:idx val="2"/>
          <c:order val="2"/>
          <c:tx>
            <c:strRef>
              <c:f>flush!$Y$42</c:f>
              <c:strCache>
                <c:ptCount val="1"/>
                <c:pt idx="0">
                  <c:v>T3</c:v>
                </c:pt>
              </c:strCache>
            </c:strRef>
          </c:tx>
          <c:cat>
            <c:strRef>
              <c:f>flush!$Z$39:$AC$39</c:f>
              <c:strCache>
                <c:ptCount val="4"/>
                <c:pt idx="0">
                  <c:v>1st FLUSH</c:v>
                </c:pt>
                <c:pt idx="1">
                  <c:v>2nd FLUSH</c:v>
                </c:pt>
                <c:pt idx="2">
                  <c:v>RAIN FLUSH</c:v>
                </c:pt>
                <c:pt idx="3">
                  <c:v>AUTUMN FLUSH</c:v>
                </c:pt>
              </c:strCache>
            </c:strRef>
          </c:cat>
          <c:val>
            <c:numRef>
              <c:f>flush!$Z$42:$AC$42</c:f>
              <c:numCache>
                <c:formatCode>General</c:formatCode>
                <c:ptCount val="4"/>
                <c:pt idx="0">
                  <c:v>3.58</c:v>
                </c:pt>
                <c:pt idx="1">
                  <c:v>5.72</c:v>
                </c:pt>
                <c:pt idx="2">
                  <c:v>7.42</c:v>
                </c:pt>
                <c:pt idx="3">
                  <c:v>3.94</c:v>
                </c:pt>
              </c:numCache>
            </c:numRef>
          </c:val>
          <c:extLst xmlns:c16r2="http://schemas.microsoft.com/office/drawing/2015/06/chart">
            <c:ext xmlns:c16="http://schemas.microsoft.com/office/drawing/2014/chart" uri="{C3380CC4-5D6E-409C-BE32-E72D297353CC}">
              <c16:uniqueId val="{00000002-A13D-4483-ACCA-28E3A0624DC6}"/>
            </c:ext>
          </c:extLst>
        </c:ser>
        <c:ser>
          <c:idx val="3"/>
          <c:order val="3"/>
          <c:tx>
            <c:strRef>
              <c:f>flush!$Y$43</c:f>
              <c:strCache>
                <c:ptCount val="1"/>
                <c:pt idx="0">
                  <c:v>T4</c:v>
                </c:pt>
              </c:strCache>
            </c:strRef>
          </c:tx>
          <c:cat>
            <c:strRef>
              <c:f>flush!$Z$39:$AC$39</c:f>
              <c:strCache>
                <c:ptCount val="4"/>
                <c:pt idx="0">
                  <c:v>1st FLUSH</c:v>
                </c:pt>
                <c:pt idx="1">
                  <c:v>2nd FLUSH</c:v>
                </c:pt>
                <c:pt idx="2">
                  <c:v>RAIN FLUSH</c:v>
                </c:pt>
                <c:pt idx="3">
                  <c:v>AUTUMN FLUSH</c:v>
                </c:pt>
              </c:strCache>
            </c:strRef>
          </c:cat>
          <c:val>
            <c:numRef>
              <c:f>flush!$Z$43:$AC$43</c:f>
              <c:numCache>
                <c:formatCode>General</c:formatCode>
                <c:ptCount val="4"/>
                <c:pt idx="0">
                  <c:v>2.8299999999999987</c:v>
                </c:pt>
                <c:pt idx="1">
                  <c:v>3.09</c:v>
                </c:pt>
                <c:pt idx="2">
                  <c:v>5.38</c:v>
                </c:pt>
                <c:pt idx="3">
                  <c:v>3.42</c:v>
                </c:pt>
              </c:numCache>
            </c:numRef>
          </c:val>
          <c:extLst xmlns:c16r2="http://schemas.microsoft.com/office/drawing/2015/06/chart">
            <c:ext xmlns:c16="http://schemas.microsoft.com/office/drawing/2014/chart" uri="{C3380CC4-5D6E-409C-BE32-E72D297353CC}">
              <c16:uniqueId val="{00000003-A13D-4483-ACCA-28E3A0624DC6}"/>
            </c:ext>
          </c:extLst>
        </c:ser>
        <c:axId val="105668608"/>
        <c:axId val="105670528"/>
      </c:barChart>
      <c:catAx>
        <c:axId val="105668608"/>
        <c:scaling>
          <c:orientation val="minMax"/>
        </c:scaling>
        <c:axPos val="b"/>
        <c:title>
          <c:tx>
            <c:rich>
              <a:bodyPr/>
              <a:lstStyle/>
              <a:p>
                <a:pPr>
                  <a:defRPr/>
                </a:pPr>
                <a:r>
                  <a:rPr lang="en-US"/>
                  <a:t>TREATMENTS</a:t>
                </a:r>
              </a:p>
            </c:rich>
          </c:tx>
        </c:title>
        <c:numFmt formatCode="General" sourceLinked="0"/>
        <c:tickLblPos val="nextTo"/>
        <c:crossAx val="105670528"/>
        <c:crosses val="autoZero"/>
        <c:auto val="1"/>
        <c:lblAlgn val="ctr"/>
        <c:lblOffset val="100"/>
      </c:catAx>
      <c:valAx>
        <c:axId val="105670528"/>
        <c:scaling>
          <c:orientation val="minMax"/>
        </c:scaling>
        <c:axPos val="l"/>
        <c:majorGridlines/>
        <c:title>
          <c:tx>
            <c:rich>
              <a:bodyPr rot="-5400000" vert="horz"/>
              <a:lstStyle/>
              <a:p>
                <a:pPr>
                  <a:defRPr/>
                </a:pPr>
                <a:r>
                  <a:rPr lang="en-US"/>
                  <a:t>LIGHT</a:t>
                </a:r>
                <a:r>
                  <a:rPr lang="en-US" baseline="0"/>
                  <a:t> TRANSMISSION (%)</a:t>
                </a:r>
                <a:endParaRPr lang="en-US"/>
              </a:p>
            </c:rich>
          </c:tx>
          <c:layout>
            <c:manualLayout>
              <c:xMode val="edge"/>
              <c:yMode val="edge"/>
              <c:x val="3.7897510157997652E-2"/>
              <c:y val="7.0122437119926426E-2"/>
            </c:manualLayout>
          </c:layout>
        </c:title>
        <c:numFmt formatCode="General" sourceLinked="1"/>
        <c:tickLblPos val="nextTo"/>
        <c:crossAx val="105668608"/>
        <c:crosses val="autoZero"/>
        <c:crossBetween val="between"/>
      </c:valAx>
    </c:plotArea>
    <c:legend>
      <c:legendPos val="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flush!$E$24</c:f>
              <c:strCache>
                <c:ptCount val="1"/>
                <c:pt idx="0">
                  <c:v>T1</c:v>
                </c:pt>
              </c:strCache>
            </c:strRef>
          </c:tx>
          <c:cat>
            <c:strRef>
              <c:f>flush!$F$23:$I$23</c:f>
              <c:strCache>
                <c:ptCount val="4"/>
                <c:pt idx="0">
                  <c:v>1st Flush</c:v>
                </c:pt>
                <c:pt idx="1">
                  <c:v>2nd Flush</c:v>
                </c:pt>
                <c:pt idx="2">
                  <c:v>Rain Flush</c:v>
                </c:pt>
                <c:pt idx="3">
                  <c:v>Autumn Flush</c:v>
                </c:pt>
              </c:strCache>
            </c:strRef>
          </c:cat>
          <c:val>
            <c:numRef>
              <c:f>flush!$F$24:$I$24</c:f>
              <c:numCache>
                <c:formatCode>General</c:formatCode>
                <c:ptCount val="4"/>
                <c:pt idx="0">
                  <c:v>52.349999999999994</c:v>
                </c:pt>
                <c:pt idx="1">
                  <c:v>49.190000000000012</c:v>
                </c:pt>
                <c:pt idx="2">
                  <c:v>55.660000000000011</c:v>
                </c:pt>
                <c:pt idx="3">
                  <c:v>47.04</c:v>
                </c:pt>
              </c:numCache>
            </c:numRef>
          </c:val>
          <c:extLst xmlns:c16r2="http://schemas.microsoft.com/office/drawing/2015/06/chart">
            <c:ext xmlns:c16="http://schemas.microsoft.com/office/drawing/2014/chart" uri="{C3380CC4-5D6E-409C-BE32-E72D297353CC}">
              <c16:uniqueId val="{00000000-27A2-4E54-98EC-9739E8EA4409}"/>
            </c:ext>
          </c:extLst>
        </c:ser>
        <c:ser>
          <c:idx val="1"/>
          <c:order val="1"/>
          <c:tx>
            <c:strRef>
              <c:f>flush!$E$25</c:f>
              <c:strCache>
                <c:ptCount val="1"/>
                <c:pt idx="0">
                  <c:v>T2</c:v>
                </c:pt>
              </c:strCache>
            </c:strRef>
          </c:tx>
          <c:cat>
            <c:strRef>
              <c:f>flush!$F$23:$I$23</c:f>
              <c:strCache>
                <c:ptCount val="4"/>
                <c:pt idx="0">
                  <c:v>1st Flush</c:v>
                </c:pt>
                <c:pt idx="1">
                  <c:v>2nd Flush</c:v>
                </c:pt>
                <c:pt idx="2">
                  <c:v>Rain Flush</c:v>
                </c:pt>
                <c:pt idx="3">
                  <c:v>Autumn Flush</c:v>
                </c:pt>
              </c:strCache>
            </c:strRef>
          </c:cat>
          <c:val>
            <c:numRef>
              <c:f>flush!$F$25:$I$25</c:f>
              <c:numCache>
                <c:formatCode>General</c:formatCode>
                <c:ptCount val="4"/>
                <c:pt idx="0">
                  <c:v>43.36</c:v>
                </c:pt>
                <c:pt idx="1">
                  <c:v>47.160000000000011</c:v>
                </c:pt>
                <c:pt idx="2">
                  <c:v>52.339999999999996</c:v>
                </c:pt>
                <c:pt idx="3">
                  <c:v>42.13</c:v>
                </c:pt>
              </c:numCache>
            </c:numRef>
          </c:val>
          <c:extLst xmlns:c16r2="http://schemas.microsoft.com/office/drawing/2015/06/chart">
            <c:ext xmlns:c16="http://schemas.microsoft.com/office/drawing/2014/chart" uri="{C3380CC4-5D6E-409C-BE32-E72D297353CC}">
              <c16:uniqueId val="{00000001-27A2-4E54-98EC-9739E8EA4409}"/>
            </c:ext>
          </c:extLst>
        </c:ser>
        <c:ser>
          <c:idx val="2"/>
          <c:order val="2"/>
          <c:tx>
            <c:strRef>
              <c:f>flush!$E$26</c:f>
              <c:strCache>
                <c:ptCount val="1"/>
                <c:pt idx="0">
                  <c:v>T3</c:v>
                </c:pt>
              </c:strCache>
            </c:strRef>
          </c:tx>
          <c:cat>
            <c:strRef>
              <c:f>flush!$F$23:$I$23</c:f>
              <c:strCache>
                <c:ptCount val="4"/>
                <c:pt idx="0">
                  <c:v>1st Flush</c:v>
                </c:pt>
                <c:pt idx="1">
                  <c:v>2nd Flush</c:v>
                </c:pt>
                <c:pt idx="2">
                  <c:v>Rain Flush</c:v>
                </c:pt>
                <c:pt idx="3">
                  <c:v>Autumn Flush</c:v>
                </c:pt>
              </c:strCache>
            </c:strRef>
          </c:cat>
          <c:val>
            <c:numRef>
              <c:f>flush!$F$26:$I$26</c:f>
              <c:numCache>
                <c:formatCode>General</c:formatCode>
                <c:ptCount val="4"/>
                <c:pt idx="0">
                  <c:v>44.879999999999995</c:v>
                </c:pt>
                <c:pt idx="1">
                  <c:v>47.28</c:v>
                </c:pt>
                <c:pt idx="2">
                  <c:v>52.02</c:v>
                </c:pt>
                <c:pt idx="3">
                  <c:v>45.94</c:v>
                </c:pt>
              </c:numCache>
            </c:numRef>
          </c:val>
          <c:extLst xmlns:c16r2="http://schemas.microsoft.com/office/drawing/2015/06/chart">
            <c:ext xmlns:c16="http://schemas.microsoft.com/office/drawing/2014/chart" uri="{C3380CC4-5D6E-409C-BE32-E72D297353CC}">
              <c16:uniqueId val="{00000002-27A2-4E54-98EC-9739E8EA4409}"/>
            </c:ext>
          </c:extLst>
        </c:ser>
        <c:ser>
          <c:idx val="3"/>
          <c:order val="3"/>
          <c:tx>
            <c:strRef>
              <c:f>flush!$E$27</c:f>
              <c:strCache>
                <c:ptCount val="1"/>
                <c:pt idx="0">
                  <c:v>T4</c:v>
                </c:pt>
              </c:strCache>
            </c:strRef>
          </c:tx>
          <c:cat>
            <c:strRef>
              <c:f>flush!$F$23:$I$23</c:f>
              <c:strCache>
                <c:ptCount val="4"/>
                <c:pt idx="0">
                  <c:v>1st Flush</c:v>
                </c:pt>
                <c:pt idx="1">
                  <c:v>2nd Flush</c:v>
                </c:pt>
                <c:pt idx="2">
                  <c:v>Rain Flush</c:v>
                </c:pt>
                <c:pt idx="3">
                  <c:v>Autumn Flush</c:v>
                </c:pt>
              </c:strCache>
            </c:strRef>
          </c:cat>
          <c:val>
            <c:numRef>
              <c:f>flush!$F$27:$I$27</c:f>
              <c:numCache>
                <c:formatCode>General</c:formatCode>
                <c:ptCount val="4"/>
                <c:pt idx="0">
                  <c:v>49.4</c:v>
                </c:pt>
                <c:pt idx="1">
                  <c:v>48.07</c:v>
                </c:pt>
                <c:pt idx="2">
                  <c:v>55.01</c:v>
                </c:pt>
                <c:pt idx="3">
                  <c:v>44.01</c:v>
                </c:pt>
              </c:numCache>
            </c:numRef>
          </c:val>
          <c:extLst xmlns:c16r2="http://schemas.microsoft.com/office/drawing/2015/06/chart">
            <c:ext xmlns:c16="http://schemas.microsoft.com/office/drawing/2014/chart" uri="{C3380CC4-5D6E-409C-BE32-E72D297353CC}">
              <c16:uniqueId val="{00000003-27A2-4E54-98EC-9739E8EA4409}"/>
            </c:ext>
          </c:extLst>
        </c:ser>
        <c:axId val="105701376"/>
        <c:axId val="105703296"/>
      </c:barChart>
      <c:catAx>
        <c:axId val="105701376"/>
        <c:scaling>
          <c:orientation val="minMax"/>
        </c:scaling>
        <c:axPos val="b"/>
        <c:title>
          <c:tx>
            <c:rich>
              <a:bodyPr/>
              <a:lstStyle/>
              <a:p>
                <a:pPr>
                  <a:defRPr/>
                </a:pPr>
                <a:r>
                  <a:rPr lang="en-US"/>
                  <a:t>TREATMENTS</a:t>
                </a:r>
              </a:p>
            </c:rich>
          </c:tx>
        </c:title>
        <c:numFmt formatCode="General" sourceLinked="0"/>
        <c:tickLblPos val="nextTo"/>
        <c:crossAx val="105703296"/>
        <c:crosses val="autoZero"/>
        <c:auto val="1"/>
        <c:lblAlgn val="ctr"/>
        <c:lblOffset val="100"/>
      </c:catAx>
      <c:valAx>
        <c:axId val="105703296"/>
        <c:scaling>
          <c:orientation val="minMax"/>
        </c:scaling>
        <c:axPos val="l"/>
        <c:majorGridlines/>
        <c:title>
          <c:tx>
            <c:rich>
              <a:bodyPr rot="-5400000" vert="horz"/>
              <a:lstStyle/>
              <a:p>
                <a:pPr>
                  <a:defRPr/>
                </a:pPr>
                <a:r>
                  <a:rPr lang="en-US"/>
                  <a:t>SPAD</a:t>
                </a:r>
                <a:r>
                  <a:rPr lang="en-US" baseline="0"/>
                  <a:t> VALUE</a:t>
                </a:r>
                <a:endParaRPr lang="en-US"/>
              </a:p>
            </c:rich>
          </c:tx>
        </c:title>
        <c:numFmt formatCode="General" sourceLinked="1"/>
        <c:tickLblPos val="nextTo"/>
        <c:crossAx val="105701376"/>
        <c:crosses val="autoZero"/>
        <c:crossBetween val="between"/>
      </c:valAx>
    </c:plotArea>
    <c:legend>
      <c:legendPos val="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Sheet3!$P$48</c:f>
              <c:strCache>
                <c:ptCount val="1"/>
                <c:pt idx="0">
                  <c:v>Chl a</c:v>
                </c:pt>
              </c:strCache>
            </c:strRef>
          </c:tx>
          <c:cat>
            <c:strRef>
              <c:f>Sheet3!$Q$47:$T$47</c:f>
              <c:strCache>
                <c:ptCount val="4"/>
                <c:pt idx="0">
                  <c:v>T1</c:v>
                </c:pt>
                <c:pt idx="1">
                  <c:v>T2</c:v>
                </c:pt>
                <c:pt idx="2">
                  <c:v>T3</c:v>
                </c:pt>
                <c:pt idx="3">
                  <c:v>T4</c:v>
                </c:pt>
              </c:strCache>
            </c:strRef>
          </c:cat>
          <c:val>
            <c:numRef>
              <c:f>Sheet3!$Q$48:$T$48</c:f>
              <c:numCache>
                <c:formatCode>General</c:formatCode>
                <c:ptCount val="4"/>
                <c:pt idx="0">
                  <c:v>1.9400000000000175</c:v>
                </c:pt>
                <c:pt idx="1">
                  <c:v>1.35</c:v>
                </c:pt>
                <c:pt idx="2">
                  <c:v>1.52</c:v>
                </c:pt>
                <c:pt idx="3">
                  <c:v>1.8900000000000001</c:v>
                </c:pt>
              </c:numCache>
            </c:numRef>
          </c:val>
          <c:extLst xmlns:c16r2="http://schemas.microsoft.com/office/drawing/2015/06/chart">
            <c:ext xmlns:c16="http://schemas.microsoft.com/office/drawing/2014/chart" uri="{C3380CC4-5D6E-409C-BE32-E72D297353CC}">
              <c16:uniqueId val="{00000000-A4CC-4787-B589-CA1F175FDB9E}"/>
            </c:ext>
          </c:extLst>
        </c:ser>
        <c:ser>
          <c:idx val="1"/>
          <c:order val="1"/>
          <c:tx>
            <c:strRef>
              <c:f>Sheet3!$P$49</c:f>
              <c:strCache>
                <c:ptCount val="1"/>
                <c:pt idx="0">
                  <c:v>Chl b</c:v>
                </c:pt>
              </c:strCache>
            </c:strRef>
          </c:tx>
          <c:cat>
            <c:strRef>
              <c:f>Sheet3!$Q$47:$T$47</c:f>
              <c:strCache>
                <c:ptCount val="4"/>
                <c:pt idx="0">
                  <c:v>T1</c:v>
                </c:pt>
                <c:pt idx="1">
                  <c:v>T2</c:v>
                </c:pt>
                <c:pt idx="2">
                  <c:v>T3</c:v>
                </c:pt>
                <c:pt idx="3">
                  <c:v>T4</c:v>
                </c:pt>
              </c:strCache>
            </c:strRef>
          </c:cat>
          <c:val>
            <c:numRef>
              <c:f>Sheet3!$Q$49:$T$49</c:f>
              <c:numCache>
                <c:formatCode>General</c:formatCode>
                <c:ptCount val="4"/>
                <c:pt idx="0">
                  <c:v>0.84000000000000064</c:v>
                </c:pt>
                <c:pt idx="1">
                  <c:v>0.69000000000000061</c:v>
                </c:pt>
                <c:pt idx="2">
                  <c:v>0.71000000000000063</c:v>
                </c:pt>
                <c:pt idx="3">
                  <c:v>0.84000000000000064</c:v>
                </c:pt>
              </c:numCache>
            </c:numRef>
          </c:val>
          <c:extLst xmlns:c16r2="http://schemas.microsoft.com/office/drawing/2015/06/chart">
            <c:ext xmlns:c16="http://schemas.microsoft.com/office/drawing/2014/chart" uri="{C3380CC4-5D6E-409C-BE32-E72D297353CC}">
              <c16:uniqueId val="{00000001-A4CC-4787-B589-CA1F175FDB9E}"/>
            </c:ext>
          </c:extLst>
        </c:ser>
        <c:ser>
          <c:idx val="2"/>
          <c:order val="2"/>
          <c:tx>
            <c:strRef>
              <c:f>Sheet3!$P$50</c:f>
              <c:strCache>
                <c:ptCount val="1"/>
                <c:pt idx="0">
                  <c:v>Total Chl</c:v>
                </c:pt>
              </c:strCache>
            </c:strRef>
          </c:tx>
          <c:cat>
            <c:strRef>
              <c:f>Sheet3!$Q$47:$T$47</c:f>
              <c:strCache>
                <c:ptCount val="4"/>
                <c:pt idx="0">
                  <c:v>T1</c:v>
                </c:pt>
                <c:pt idx="1">
                  <c:v>T2</c:v>
                </c:pt>
                <c:pt idx="2">
                  <c:v>T3</c:v>
                </c:pt>
                <c:pt idx="3">
                  <c:v>T4</c:v>
                </c:pt>
              </c:strCache>
            </c:strRef>
          </c:cat>
          <c:val>
            <c:numRef>
              <c:f>Sheet3!$Q$50:$T$50</c:f>
              <c:numCache>
                <c:formatCode>General</c:formatCode>
                <c:ptCount val="4"/>
                <c:pt idx="0">
                  <c:v>2.7800000000000002</c:v>
                </c:pt>
                <c:pt idx="1">
                  <c:v>2.04</c:v>
                </c:pt>
                <c:pt idx="2">
                  <c:v>2.23</c:v>
                </c:pt>
                <c:pt idx="3">
                  <c:v>2.72</c:v>
                </c:pt>
              </c:numCache>
            </c:numRef>
          </c:val>
          <c:extLst xmlns:c16r2="http://schemas.microsoft.com/office/drawing/2015/06/chart">
            <c:ext xmlns:c16="http://schemas.microsoft.com/office/drawing/2014/chart" uri="{C3380CC4-5D6E-409C-BE32-E72D297353CC}">
              <c16:uniqueId val="{00000002-A4CC-4787-B589-CA1F175FDB9E}"/>
            </c:ext>
          </c:extLst>
        </c:ser>
        <c:axId val="105716736"/>
        <c:axId val="105723008"/>
      </c:barChart>
      <c:catAx>
        <c:axId val="105716736"/>
        <c:scaling>
          <c:orientation val="minMax"/>
        </c:scaling>
        <c:axPos val="b"/>
        <c:title>
          <c:tx>
            <c:rich>
              <a:bodyPr/>
              <a:lstStyle/>
              <a:p>
                <a:pPr>
                  <a:defRPr/>
                </a:pPr>
                <a:r>
                  <a:rPr lang="en-US"/>
                  <a:t>TREATMENTS</a:t>
                </a:r>
              </a:p>
            </c:rich>
          </c:tx>
        </c:title>
        <c:numFmt formatCode="General" sourceLinked="0"/>
        <c:tickLblPos val="nextTo"/>
        <c:crossAx val="105723008"/>
        <c:crosses val="autoZero"/>
        <c:auto val="1"/>
        <c:lblAlgn val="ctr"/>
        <c:lblOffset val="100"/>
      </c:catAx>
      <c:valAx>
        <c:axId val="105723008"/>
        <c:scaling>
          <c:orientation val="minMax"/>
        </c:scaling>
        <c:axPos val="l"/>
        <c:majorGridlines/>
        <c:title>
          <c:tx>
            <c:rich>
              <a:bodyPr rot="-5400000" vert="horz"/>
              <a:lstStyle/>
              <a:p>
                <a:pPr>
                  <a:defRPr/>
                </a:pPr>
                <a:r>
                  <a:rPr lang="en-US"/>
                  <a:t>CHLOROPHYLL</a:t>
                </a:r>
                <a:r>
                  <a:rPr lang="en-US" baseline="0"/>
                  <a:t> CONTENT (mg/g)</a:t>
                </a:r>
                <a:endParaRPr lang="en-US"/>
              </a:p>
            </c:rich>
          </c:tx>
          <c:layout>
            <c:manualLayout>
              <c:xMode val="edge"/>
              <c:yMode val="edge"/>
              <c:x val="3.6863815513096386E-2"/>
              <c:y val="4.5527702321678076E-2"/>
            </c:manualLayout>
          </c:layout>
        </c:title>
        <c:numFmt formatCode="General" sourceLinked="1"/>
        <c:tickLblPos val="nextTo"/>
        <c:crossAx val="105716736"/>
        <c:crosses val="autoZero"/>
        <c:crossBetween val="between"/>
      </c:valAx>
    </c:plotArea>
    <c:legend>
      <c:legendPos val="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Sheet3!$P$55</c:f>
              <c:strCache>
                <c:ptCount val="1"/>
                <c:pt idx="0">
                  <c:v>chl a: chl b</c:v>
                </c:pt>
              </c:strCache>
            </c:strRef>
          </c:tx>
          <c:spPr>
            <a:solidFill>
              <a:schemeClr val="accent3">
                <a:lumMod val="50000"/>
              </a:schemeClr>
            </a:solidFill>
          </c:spPr>
          <c:cat>
            <c:strRef>
              <c:f>Sheet3!$Q$54:$T$54</c:f>
              <c:strCache>
                <c:ptCount val="4"/>
                <c:pt idx="0">
                  <c:v>T1</c:v>
                </c:pt>
                <c:pt idx="1">
                  <c:v>T2</c:v>
                </c:pt>
                <c:pt idx="2">
                  <c:v>T3</c:v>
                </c:pt>
                <c:pt idx="3">
                  <c:v>T4</c:v>
                </c:pt>
              </c:strCache>
            </c:strRef>
          </c:cat>
          <c:val>
            <c:numRef>
              <c:f>Sheet3!$Q$55:$T$55</c:f>
              <c:numCache>
                <c:formatCode>General</c:formatCode>
                <c:ptCount val="4"/>
                <c:pt idx="0">
                  <c:v>2.3199999999999967</c:v>
                </c:pt>
                <c:pt idx="1">
                  <c:v>1.9600000000000175</c:v>
                </c:pt>
                <c:pt idx="2">
                  <c:v>2.16</c:v>
                </c:pt>
                <c:pt idx="3">
                  <c:v>2.2599999999999998</c:v>
                </c:pt>
              </c:numCache>
            </c:numRef>
          </c:val>
          <c:extLst xmlns:c16r2="http://schemas.microsoft.com/office/drawing/2015/06/chart">
            <c:ext xmlns:c16="http://schemas.microsoft.com/office/drawing/2014/chart" uri="{C3380CC4-5D6E-409C-BE32-E72D297353CC}">
              <c16:uniqueId val="{00000000-43C9-4E2A-86FA-12C6B4BF3698}"/>
            </c:ext>
          </c:extLst>
        </c:ser>
        <c:axId val="105755776"/>
        <c:axId val="105851520"/>
      </c:barChart>
      <c:catAx>
        <c:axId val="105755776"/>
        <c:scaling>
          <c:orientation val="minMax"/>
        </c:scaling>
        <c:axPos val="b"/>
        <c:title>
          <c:tx>
            <c:rich>
              <a:bodyPr/>
              <a:lstStyle/>
              <a:p>
                <a:pPr>
                  <a:defRPr/>
                </a:pPr>
                <a:r>
                  <a:rPr lang="en-US"/>
                  <a:t>TREATMENTS</a:t>
                </a:r>
              </a:p>
            </c:rich>
          </c:tx>
        </c:title>
        <c:numFmt formatCode="General" sourceLinked="0"/>
        <c:tickLblPos val="nextTo"/>
        <c:crossAx val="105851520"/>
        <c:crosses val="autoZero"/>
        <c:auto val="1"/>
        <c:lblAlgn val="ctr"/>
        <c:lblOffset val="100"/>
      </c:catAx>
      <c:valAx>
        <c:axId val="105851520"/>
        <c:scaling>
          <c:orientation val="minMax"/>
        </c:scaling>
        <c:axPos val="l"/>
        <c:majorGridlines/>
        <c:title>
          <c:tx>
            <c:rich>
              <a:bodyPr rot="-5400000" vert="horz"/>
              <a:lstStyle/>
              <a:p>
                <a:pPr>
                  <a:defRPr/>
                </a:pPr>
                <a:r>
                  <a:rPr lang="en-US"/>
                  <a:t>CHL</a:t>
                </a:r>
                <a:r>
                  <a:rPr lang="en-US" baseline="0"/>
                  <a:t> a: CHL b</a:t>
                </a:r>
                <a:endParaRPr lang="en-US"/>
              </a:p>
            </c:rich>
          </c:tx>
        </c:title>
        <c:numFmt formatCode="General" sourceLinked="1"/>
        <c:tickLblPos val="nextTo"/>
        <c:crossAx val="105755776"/>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ANALYSIS!$D$36</c:f>
              <c:strCache>
                <c:ptCount val="1"/>
                <c:pt idx="0">
                  <c:v>T1</c:v>
                </c:pt>
              </c:strCache>
            </c:strRef>
          </c:tx>
          <c:cat>
            <c:strRef>
              <c:f>ANALYSIS!$E$35:$K$35</c:f>
              <c:strCache>
                <c:ptCount val="7"/>
                <c:pt idx="0">
                  <c:v>1st FLUSH</c:v>
                </c:pt>
                <c:pt idx="2">
                  <c:v>2nd FLUSH</c:v>
                </c:pt>
                <c:pt idx="4">
                  <c:v>RAIN FLUSH</c:v>
                </c:pt>
                <c:pt idx="6">
                  <c:v>AUTUMN FLUSH</c:v>
                </c:pt>
              </c:strCache>
            </c:strRef>
          </c:cat>
          <c:val>
            <c:numRef>
              <c:f>ANALYSIS!$E$36:$K$36</c:f>
              <c:numCache>
                <c:formatCode>General</c:formatCode>
                <c:ptCount val="7"/>
                <c:pt idx="0">
                  <c:v>0</c:v>
                </c:pt>
                <c:pt idx="2">
                  <c:v>0</c:v>
                </c:pt>
                <c:pt idx="4">
                  <c:v>0</c:v>
                </c:pt>
                <c:pt idx="6">
                  <c:v>0</c:v>
                </c:pt>
              </c:numCache>
            </c:numRef>
          </c:val>
          <c:extLst xmlns:c16r2="http://schemas.microsoft.com/office/drawing/2015/06/chart">
            <c:ext xmlns:c16="http://schemas.microsoft.com/office/drawing/2014/chart" uri="{C3380CC4-5D6E-409C-BE32-E72D297353CC}">
              <c16:uniqueId val="{00000000-BE0A-4635-8476-B517F975B382}"/>
            </c:ext>
          </c:extLst>
        </c:ser>
        <c:ser>
          <c:idx val="1"/>
          <c:order val="1"/>
          <c:tx>
            <c:strRef>
              <c:f>ANALYSIS!$D$37</c:f>
              <c:strCache>
                <c:ptCount val="1"/>
                <c:pt idx="0">
                  <c:v>T2</c:v>
                </c:pt>
              </c:strCache>
            </c:strRef>
          </c:tx>
          <c:cat>
            <c:strRef>
              <c:f>ANALYSIS!$E$35:$K$35</c:f>
              <c:strCache>
                <c:ptCount val="7"/>
                <c:pt idx="0">
                  <c:v>1st FLUSH</c:v>
                </c:pt>
                <c:pt idx="2">
                  <c:v>2nd FLUSH</c:v>
                </c:pt>
                <c:pt idx="4">
                  <c:v>RAIN FLUSH</c:v>
                </c:pt>
                <c:pt idx="6">
                  <c:v>AUTUMN FLUSH</c:v>
                </c:pt>
              </c:strCache>
            </c:strRef>
          </c:cat>
          <c:val>
            <c:numRef>
              <c:f>ANALYSIS!$E$37:$K$37</c:f>
              <c:numCache>
                <c:formatCode>General</c:formatCode>
                <c:ptCount val="7"/>
                <c:pt idx="0">
                  <c:v>-25.42672160094147</c:v>
                </c:pt>
                <c:pt idx="2">
                  <c:v>0.18553317000070721</c:v>
                </c:pt>
                <c:pt idx="4">
                  <c:v>-1.3274418186481598</c:v>
                </c:pt>
                <c:pt idx="6">
                  <c:v>-27.571878515932248</c:v>
                </c:pt>
              </c:numCache>
            </c:numRef>
          </c:val>
          <c:extLst xmlns:c16r2="http://schemas.microsoft.com/office/drawing/2015/06/chart">
            <c:ext xmlns:c16="http://schemas.microsoft.com/office/drawing/2014/chart" uri="{C3380CC4-5D6E-409C-BE32-E72D297353CC}">
              <c16:uniqueId val="{00000001-BE0A-4635-8476-B517F975B382}"/>
            </c:ext>
          </c:extLst>
        </c:ser>
        <c:ser>
          <c:idx val="2"/>
          <c:order val="2"/>
          <c:tx>
            <c:strRef>
              <c:f>ANALYSIS!$D$38</c:f>
              <c:strCache>
                <c:ptCount val="1"/>
                <c:pt idx="0">
                  <c:v>T3</c:v>
                </c:pt>
              </c:strCache>
            </c:strRef>
          </c:tx>
          <c:cat>
            <c:strRef>
              <c:f>ANALYSIS!$E$35:$K$35</c:f>
              <c:strCache>
                <c:ptCount val="7"/>
                <c:pt idx="0">
                  <c:v>1st FLUSH</c:v>
                </c:pt>
                <c:pt idx="2">
                  <c:v>2nd FLUSH</c:v>
                </c:pt>
                <c:pt idx="4">
                  <c:v>RAIN FLUSH</c:v>
                </c:pt>
                <c:pt idx="6">
                  <c:v>AUTUMN FLUSH</c:v>
                </c:pt>
              </c:strCache>
            </c:strRef>
          </c:cat>
          <c:val>
            <c:numRef>
              <c:f>ANALYSIS!$E$38:$K$38</c:f>
              <c:numCache>
                <c:formatCode>General</c:formatCode>
                <c:ptCount val="7"/>
                <c:pt idx="0">
                  <c:v>-22.776852466407131</c:v>
                </c:pt>
                <c:pt idx="2">
                  <c:v>-2.9923170238576726</c:v>
                </c:pt>
                <c:pt idx="4">
                  <c:v>-7.9329192349480729E-2</c:v>
                </c:pt>
                <c:pt idx="6">
                  <c:v>-21.640386715210731</c:v>
                </c:pt>
              </c:numCache>
            </c:numRef>
          </c:val>
          <c:extLst xmlns:c16r2="http://schemas.microsoft.com/office/drawing/2015/06/chart">
            <c:ext xmlns:c16="http://schemas.microsoft.com/office/drawing/2014/chart" uri="{C3380CC4-5D6E-409C-BE32-E72D297353CC}">
              <c16:uniqueId val="{00000002-BE0A-4635-8476-B517F975B382}"/>
            </c:ext>
          </c:extLst>
        </c:ser>
        <c:ser>
          <c:idx val="3"/>
          <c:order val="3"/>
          <c:tx>
            <c:strRef>
              <c:f>ANALYSIS!$D$39</c:f>
              <c:strCache>
                <c:ptCount val="1"/>
                <c:pt idx="0">
                  <c:v>T4</c:v>
                </c:pt>
              </c:strCache>
            </c:strRef>
          </c:tx>
          <c:cat>
            <c:strRef>
              <c:f>ANALYSIS!$E$35:$K$35</c:f>
              <c:strCache>
                <c:ptCount val="7"/>
                <c:pt idx="0">
                  <c:v>1st FLUSH</c:v>
                </c:pt>
                <c:pt idx="2">
                  <c:v>2nd FLUSH</c:v>
                </c:pt>
                <c:pt idx="4">
                  <c:v>RAIN FLUSH</c:v>
                </c:pt>
                <c:pt idx="6">
                  <c:v>AUTUMN FLUSH</c:v>
                </c:pt>
              </c:strCache>
            </c:strRef>
          </c:cat>
          <c:val>
            <c:numRef>
              <c:f>ANALYSIS!$E$39:$K$39</c:f>
              <c:numCache>
                <c:formatCode>General</c:formatCode>
                <c:ptCount val="7"/>
                <c:pt idx="0">
                  <c:v>-12.683305573992193</c:v>
                </c:pt>
                <c:pt idx="2">
                  <c:v>1.6555267476986715</c:v>
                </c:pt>
                <c:pt idx="4">
                  <c:v>2.0234232661944231</c:v>
                </c:pt>
                <c:pt idx="6">
                  <c:v>-15.116807774130701</c:v>
                </c:pt>
              </c:numCache>
            </c:numRef>
          </c:val>
          <c:extLst xmlns:c16r2="http://schemas.microsoft.com/office/drawing/2015/06/chart">
            <c:ext xmlns:c16="http://schemas.microsoft.com/office/drawing/2014/chart" uri="{C3380CC4-5D6E-409C-BE32-E72D297353CC}">
              <c16:uniqueId val="{00000003-BE0A-4635-8476-B517F975B382}"/>
            </c:ext>
          </c:extLst>
        </c:ser>
        <c:axId val="105877888"/>
        <c:axId val="105879808"/>
      </c:barChart>
      <c:catAx>
        <c:axId val="105877888"/>
        <c:scaling>
          <c:orientation val="minMax"/>
        </c:scaling>
        <c:axPos val="b"/>
        <c:title>
          <c:tx>
            <c:rich>
              <a:bodyPr/>
              <a:lstStyle/>
              <a:p>
                <a:pPr>
                  <a:defRPr/>
                </a:pPr>
                <a:r>
                  <a:rPr lang="en-US"/>
                  <a:t>TREATMENTS</a:t>
                </a:r>
              </a:p>
            </c:rich>
          </c:tx>
        </c:title>
        <c:numFmt formatCode="General" sourceLinked="0"/>
        <c:tickLblPos val="nextTo"/>
        <c:crossAx val="105879808"/>
        <c:crosses val="autoZero"/>
        <c:auto val="1"/>
        <c:lblAlgn val="ctr"/>
        <c:lblOffset val="100"/>
      </c:catAx>
      <c:valAx>
        <c:axId val="105879808"/>
        <c:scaling>
          <c:orientation val="minMax"/>
        </c:scaling>
        <c:axPos val="l"/>
        <c:majorGridlines/>
        <c:title>
          <c:tx>
            <c:rich>
              <a:bodyPr rot="-5400000" vert="horz"/>
              <a:lstStyle/>
              <a:p>
                <a:pPr>
                  <a:defRPr/>
                </a:pPr>
                <a:r>
                  <a:rPr lang="en-US"/>
                  <a:t>TOTAL</a:t>
                </a:r>
                <a:r>
                  <a:rPr lang="en-US" baseline="0"/>
                  <a:t> CHLOROPHYLL</a:t>
                </a:r>
              </a:p>
              <a:p>
                <a:pPr>
                  <a:defRPr/>
                </a:pPr>
                <a:r>
                  <a:rPr lang="en-US" baseline="0"/>
                  <a:t> (</a:t>
                </a:r>
                <a:r>
                  <a:rPr lang="en-US" sz="1000" b="1" i="0" u="none" strike="noStrike" baseline="0"/>
                  <a:t>µg cm</a:t>
                </a:r>
                <a:r>
                  <a:rPr lang="en-US" sz="1000" b="1" i="0" u="none" strike="noStrike" baseline="30000"/>
                  <a:t>-2</a:t>
                </a:r>
                <a:r>
                  <a:rPr lang="en-US" sz="1000" b="1" i="0" u="none" strike="noStrike" baseline="0"/>
                  <a:t>)</a:t>
                </a:r>
                <a:endParaRPr lang="en-US"/>
              </a:p>
            </c:rich>
          </c:tx>
          <c:layout>
            <c:manualLayout>
              <c:xMode val="edge"/>
              <c:yMode val="edge"/>
              <c:x val="3.1144508823177201E-2"/>
              <c:y val="0.18213147067772709"/>
            </c:manualLayout>
          </c:layout>
        </c:title>
        <c:numFmt formatCode="General" sourceLinked="1"/>
        <c:tickLblPos val="nextTo"/>
        <c:crossAx val="105877888"/>
        <c:crosses val="autoZero"/>
        <c:crossBetween val="between"/>
      </c:valAx>
    </c:plotArea>
    <c:legend>
      <c:legendPos val="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15</Pages>
  <Words>5463</Words>
  <Characters>31143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raj</cp:lastModifiedBy>
  <cp:revision>102</cp:revision>
  <dcterms:created xsi:type="dcterms:W3CDTF">2025-10-27T13:11:00Z</dcterms:created>
  <dcterms:modified xsi:type="dcterms:W3CDTF">2025-12-23T10:07:00Z</dcterms:modified>
</cp:coreProperties>
</file>