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F6D" w:rsidRDefault="008F4F6D" w:rsidP="005956E9">
      <w:pPr>
        <w:spacing w:after="0" w:line="360" w:lineRule="auto"/>
        <w:ind w:left="-142" w:right="-198"/>
        <w:jc w:val="center"/>
        <w:rPr>
          <w:rFonts w:ascii="Times New Roman" w:hAnsi="Times New Roman"/>
          <w:b/>
          <w:bCs/>
          <w:szCs w:val="32"/>
        </w:rPr>
      </w:pPr>
      <w:r w:rsidRPr="008F4F6D">
        <w:rPr>
          <w:rFonts w:ascii="Times New Roman" w:hAnsi="Times New Roman"/>
          <w:b/>
          <w:bCs/>
          <w:szCs w:val="32"/>
        </w:rPr>
        <w:t xml:space="preserve">SCREENING OF GRAPE VARIETIES FOR RESISTANCE TO ANTHRACNOSE UNDER NATURAL CONDITIONS </w:t>
      </w:r>
    </w:p>
    <w:p w:rsidR="00CC1B2E" w:rsidRDefault="00CC1B2E" w:rsidP="005956E9">
      <w:pPr>
        <w:spacing w:before="240" w:line="360" w:lineRule="auto"/>
        <w:jc w:val="center"/>
        <w:rPr>
          <w:rFonts w:ascii="Times New Roman" w:hAnsi="Times New Roman"/>
          <w:b/>
          <w:bCs/>
          <w:u w:val="single"/>
        </w:rPr>
      </w:pPr>
    </w:p>
    <w:p w:rsidR="00595F1A" w:rsidRDefault="00595F1A" w:rsidP="005956E9">
      <w:pPr>
        <w:spacing w:before="240" w:line="360" w:lineRule="auto"/>
        <w:jc w:val="center"/>
        <w:rPr>
          <w:rFonts w:ascii="Times New Roman" w:hAnsi="Times New Roman"/>
          <w:b/>
          <w:bCs/>
          <w:u w:val="single"/>
        </w:rPr>
      </w:pPr>
      <w:r w:rsidRPr="00877B50">
        <w:rPr>
          <w:rFonts w:ascii="Times New Roman" w:hAnsi="Times New Roman"/>
          <w:b/>
          <w:bCs/>
          <w:u w:val="single"/>
        </w:rPr>
        <w:t>ABSTRACT</w:t>
      </w:r>
    </w:p>
    <w:p w:rsidR="003E3CE2" w:rsidRDefault="00D56404" w:rsidP="005956E9">
      <w:pPr>
        <w:spacing w:after="0" w:line="360" w:lineRule="auto"/>
        <w:jc w:val="both"/>
        <w:rPr>
          <w:rFonts w:ascii="Times New Roman" w:hAnsi="Times New Roman"/>
        </w:rPr>
      </w:pPr>
      <w:r>
        <w:rPr>
          <w:rFonts w:ascii="Times New Roman" w:hAnsi="Times New Roman"/>
        </w:rPr>
        <w:tab/>
      </w:r>
      <w:r w:rsidR="005D40CF" w:rsidRPr="005D40CF">
        <w:rPr>
          <w:rFonts w:ascii="Times New Roman" w:hAnsi="Times New Roman"/>
        </w:rPr>
        <w:t>Grape (</w:t>
      </w:r>
      <w:r w:rsidR="005D40CF" w:rsidRPr="00007980">
        <w:rPr>
          <w:rFonts w:ascii="Times New Roman" w:hAnsi="Times New Roman"/>
          <w:i/>
          <w:iCs/>
        </w:rPr>
        <w:t>Vitis vinifera</w:t>
      </w:r>
      <w:r w:rsidR="005D40CF" w:rsidRPr="005D40CF">
        <w:rPr>
          <w:rFonts w:ascii="Times New Roman" w:hAnsi="Times New Roman"/>
        </w:rPr>
        <w:t xml:space="preserve"> L.) is an economically important fruit crop, but its production is severely constrained by several fungal diseases such as downy mildew (</w:t>
      </w:r>
      <w:r w:rsidR="005D40CF" w:rsidRPr="0089425C">
        <w:rPr>
          <w:rFonts w:ascii="Times New Roman" w:hAnsi="Times New Roman"/>
          <w:i/>
          <w:iCs/>
        </w:rPr>
        <w:t>Plasmoparaviticola</w:t>
      </w:r>
      <w:r w:rsidR="005D40CF" w:rsidRPr="005D40CF">
        <w:rPr>
          <w:rFonts w:ascii="Times New Roman" w:hAnsi="Times New Roman"/>
        </w:rPr>
        <w:t>), powdery mildew (</w:t>
      </w:r>
      <w:r w:rsidR="005D40CF" w:rsidRPr="0089425C">
        <w:rPr>
          <w:rFonts w:ascii="Times New Roman" w:hAnsi="Times New Roman"/>
          <w:i/>
          <w:iCs/>
        </w:rPr>
        <w:t>Erysiphenecator</w:t>
      </w:r>
      <w:r w:rsidR="005D40CF" w:rsidRPr="005D40CF">
        <w:rPr>
          <w:rFonts w:ascii="Times New Roman" w:hAnsi="Times New Roman"/>
        </w:rPr>
        <w:t>), anthracnose (</w:t>
      </w:r>
      <w:r w:rsidR="005D40CF" w:rsidRPr="0089425C">
        <w:rPr>
          <w:rFonts w:ascii="Times New Roman" w:hAnsi="Times New Roman"/>
          <w:i/>
          <w:iCs/>
        </w:rPr>
        <w:t>Colletotrichum gloeosporioides</w:t>
      </w:r>
      <w:r w:rsidR="005D40CF" w:rsidRPr="005D40CF">
        <w:rPr>
          <w:rFonts w:ascii="Times New Roman" w:hAnsi="Times New Roman"/>
        </w:rPr>
        <w:t>) and Botrytis bunch rot</w:t>
      </w:r>
      <w:r w:rsidR="0089425C">
        <w:rPr>
          <w:rFonts w:ascii="Times New Roman" w:hAnsi="Times New Roman"/>
        </w:rPr>
        <w:t xml:space="preserve"> (</w:t>
      </w:r>
      <w:r w:rsidR="003E3CE2" w:rsidRPr="0089425C">
        <w:rPr>
          <w:rFonts w:ascii="Times New Roman" w:hAnsi="Times New Roman"/>
          <w:i/>
          <w:iCs/>
        </w:rPr>
        <w:t>Botrytis cinerea</w:t>
      </w:r>
      <w:r w:rsidR="003E3CE2" w:rsidRPr="005D40CF">
        <w:rPr>
          <w:rFonts w:ascii="Times New Roman" w:hAnsi="Times New Roman"/>
        </w:rPr>
        <w:t xml:space="preserve">). Among them </w:t>
      </w:r>
      <w:commentRangeStart w:id="0"/>
      <w:r w:rsidR="003E3CE2" w:rsidRPr="005D40CF">
        <w:rPr>
          <w:rFonts w:ascii="Times New Roman" w:hAnsi="Times New Roman"/>
        </w:rPr>
        <w:t xml:space="preserve">anthracnose caused by </w:t>
      </w:r>
      <w:r w:rsidR="003E3CE2" w:rsidRPr="0089425C">
        <w:rPr>
          <w:rFonts w:ascii="Times New Roman" w:hAnsi="Times New Roman"/>
          <w:i/>
          <w:iCs/>
        </w:rPr>
        <w:t>Colletotrichum gloeosporioides</w:t>
      </w:r>
      <w:r w:rsidR="003E3CE2" w:rsidRPr="005D40CF">
        <w:rPr>
          <w:rFonts w:ascii="Times New Roman" w:hAnsi="Times New Roman"/>
        </w:rPr>
        <w:t xml:space="preserve"> significantly reduce 80-100 per cent yield</w:t>
      </w:r>
      <w:commentRangeEnd w:id="0"/>
      <w:r w:rsidR="00FD3BA6">
        <w:rPr>
          <w:rStyle w:val="CommentReference"/>
        </w:rPr>
        <w:commentReference w:id="0"/>
      </w:r>
      <w:r w:rsidR="003E3CE2" w:rsidRPr="005D40CF">
        <w:rPr>
          <w:rFonts w:ascii="Times New Roman" w:hAnsi="Times New Roman"/>
        </w:rPr>
        <w:t>, fruit quality and marketability under favourable conditions.Anthracnoseseverity was evaluated on eight grape varieties during the back pruning seasons of 2024 and 2025 at Raichur. Thompson Seedless showed the earliest onset, fastest progression and highest P</w:t>
      </w:r>
      <w:r w:rsidR="00B5181A">
        <w:rPr>
          <w:rFonts w:ascii="Times New Roman" w:hAnsi="Times New Roman"/>
        </w:rPr>
        <w:t>er cent disease index (PDI)</w:t>
      </w:r>
      <w:r w:rsidR="003E3CE2" w:rsidRPr="005D40CF">
        <w:rPr>
          <w:rFonts w:ascii="Times New Roman" w:hAnsi="Times New Roman"/>
        </w:rPr>
        <w:t xml:space="preserve"> (100% in both years) with the highest </w:t>
      </w:r>
      <w:r w:rsidR="002564A2" w:rsidRPr="002564A2">
        <w:rPr>
          <w:rFonts w:ascii="Times New Roman" w:hAnsi="Times New Roman"/>
        </w:rPr>
        <w:t>area under disease progress curve (AUDPC)</w:t>
      </w:r>
      <w:r w:rsidR="003E3CE2" w:rsidRPr="005D40CF">
        <w:rPr>
          <w:rFonts w:ascii="Times New Roman" w:hAnsi="Times New Roman"/>
        </w:rPr>
        <w:t xml:space="preserve"> and</w:t>
      </w:r>
      <w:r w:rsidR="00814A41" w:rsidRPr="00814A41">
        <w:rPr>
          <w:rFonts w:ascii="Times New Roman" w:hAnsi="Times New Roman"/>
        </w:rPr>
        <w:t>apparent</w:t>
      </w:r>
      <w:r w:rsidR="003E3CE2" w:rsidRPr="005D40CF">
        <w:rPr>
          <w:rFonts w:ascii="Times New Roman" w:hAnsi="Times New Roman"/>
        </w:rPr>
        <w:t xml:space="preserve"> infection rate. Other varieties recorded high PDI such as Manik Chaman (85.25-88.63%), 2-A Clone (79.25-84.73%), Sharad Seedless (69.50-65.73%), K.R. White (66.63-62.25%), Manjari Naveen (64.25–59.63%), Fantacy Seedless (58.75-53.75%) and Medica (62.73-57.25%). Fantacy Seedless and Medica progressed slowly, while Sharad Seedless, K.R. White and Manjari Naveen were moderately progressed. All varieties were classified as highly susceptible, emphasizing varietal differences and the need for timely disease management. </w:t>
      </w:r>
    </w:p>
    <w:p w:rsidR="005D40CF" w:rsidRDefault="005D40CF" w:rsidP="005956E9">
      <w:pPr>
        <w:spacing w:after="0" w:line="360" w:lineRule="auto"/>
        <w:jc w:val="both"/>
        <w:rPr>
          <w:rFonts w:ascii="Times New Roman" w:hAnsi="Times New Roman"/>
          <w:lang w:eastAsia="en-IN"/>
        </w:rPr>
      </w:pPr>
      <w:r w:rsidRPr="00877B50">
        <w:rPr>
          <w:rFonts w:ascii="Times New Roman" w:hAnsi="Times New Roman"/>
          <w:b/>
          <w:bCs/>
        </w:rPr>
        <w:t>Keywords</w:t>
      </w:r>
      <w:r w:rsidRPr="00877B50">
        <w:rPr>
          <w:rFonts w:ascii="Times New Roman" w:hAnsi="Times New Roman"/>
        </w:rPr>
        <w:t>: Anthracnose, </w:t>
      </w:r>
      <w:r w:rsidRPr="00877B50">
        <w:rPr>
          <w:rFonts w:ascii="Times New Roman" w:hAnsi="Times New Roman"/>
          <w:i/>
          <w:iCs/>
        </w:rPr>
        <w:t>Colletotrichum gloeos</w:t>
      </w:r>
      <w:r w:rsidRPr="00877B50">
        <w:rPr>
          <w:rFonts w:ascii="Times New Roman" w:hAnsi="Times New Roman"/>
        </w:rPr>
        <w:t>porioides,</w:t>
      </w:r>
      <w:r w:rsidR="00D47D06">
        <w:rPr>
          <w:rFonts w:ascii="Times New Roman" w:hAnsi="Times New Roman"/>
        </w:rPr>
        <w:t xml:space="preserve"> Screening, Toleran</w:t>
      </w:r>
      <w:r w:rsidR="00666CA7">
        <w:rPr>
          <w:rFonts w:ascii="Times New Roman" w:hAnsi="Times New Roman"/>
        </w:rPr>
        <w:t>t, Susceptible</w:t>
      </w:r>
    </w:p>
    <w:p w:rsidR="00D56404" w:rsidRDefault="00D56404" w:rsidP="005956E9">
      <w:pPr>
        <w:spacing w:after="0" w:line="360" w:lineRule="auto"/>
        <w:jc w:val="both"/>
        <w:rPr>
          <w:rFonts w:ascii="Times New Roman" w:eastAsia="SimSun" w:hAnsi="Times New Roman"/>
          <w:b/>
          <w:bCs/>
          <w:color w:val="000000"/>
        </w:rPr>
      </w:pPr>
    </w:p>
    <w:p w:rsidR="00D56404" w:rsidRDefault="0022160D" w:rsidP="005956E9">
      <w:pPr>
        <w:spacing w:after="0" w:line="360" w:lineRule="auto"/>
        <w:jc w:val="both"/>
        <w:rPr>
          <w:rFonts w:ascii="Times New Roman" w:hAnsi="Times New Roman"/>
          <w:b/>
          <w:bCs/>
        </w:rPr>
      </w:pPr>
      <w:r>
        <w:rPr>
          <w:rFonts w:ascii="Times New Roman" w:hAnsi="Times New Roman"/>
          <w:b/>
          <w:bCs/>
        </w:rPr>
        <w:t>1.</w:t>
      </w:r>
      <w:r>
        <w:rPr>
          <w:rFonts w:ascii="Times New Roman" w:hAnsi="Times New Roman"/>
          <w:b/>
          <w:bCs/>
        </w:rPr>
        <w:tab/>
      </w:r>
      <w:r w:rsidR="00D56404" w:rsidRPr="00877B50">
        <w:rPr>
          <w:rFonts w:ascii="Times New Roman" w:hAnsi="Times New Roman"/>
          <w:b/>
          <w:bCs/>
        </w:rPr>
        <w:t>Introduction</w:t>
      </w:r>
    </w:p>
    <w:p w:rsidR="00945386" w:rsidRDefault="0027300D" w:rsidP="005956E9">
      <w:pPr>
        <w:spacing w:after="0" w:line="360" w:lineRule="auto"/>
        <w:ind w:firstLine="720"/>
        <w:jc w:val="both"/>
        <w:rPr>
          <w:rFonts w:ascii="Times New Roman" w:hAnsi="Times New Roman"/>
        </w:rPr>
      </w:pPr>
      <w:r w:rsidRPr="0027300D">
        <w:rPr>
          <w:rFonts w:ascii="Times New Roman" w:hAnsi="Times New Roman"/>
        </w:rPr>
        <w:t xml:space="preserve">The grape </w:t>
      </w:r>
      <w:r w:rsidRPr="005D40CF">
        <w:rPr>
          <w:rFonts w:ascii="Times New Roman" w:hAnsi="Times New Roman"/>
        </w:rPr>
        <w:t>(</w:t>
      </w:r>
      <w:r w:rsidRPr="00007980">
        <w:rPr>
          <w:rFonts w:ascii="Times New Roman" w:hAnsi="Times New Roman"/>
          <w:i/>
          <w:iCs/>
        </w:rPr>
        <w:t>Vitis vinifera</w:t>
      </w:r>
      <w:r w:rsidRPr="005D40CF">
        <w:rPr>
          <w:rFonts w:ascii="Times New Roman" w:hAnsi="Times New Roman"/>
        </w:rPr>
        <w:t xml:space="preserve"> L.) </w:t>
      </w:r>
      <w:r w:rsidRPr="0027300D">
        <w:rPr>
          <w:rFonts w:ascii="Times New Roman" w:hAnsi="Times New Roman"/>
        </w:rPr>
        <w:t xml:space="preserve">is one of the most economically important fruit crops in the world and has many uses. Fruit is eaten fresh or made into juice, fermented to wines and brandy and dried into raisins and </w:t>
      </w:r>
      <w:commentRangeStart w:id="1"/>
      <w:r w:rsidRPr="0027300D">
        <w:rPr>
          <w:rFonts w:ascii="Times New Roman" w:hAnsi="Times New Roman"/>
        </w:rPr>
        <w:t>sultanas (Roger and Goheen, 1998</w:t>
      </w:r>
      <w:commentRangeEnd w:id="1"/>
      <w:r w:rsidR="00FD3BA6">
        <w:rPr>
          <w:rStyle w:val="CommentReference"/>
        </w:rPr>
        <w:commentReference w:id="1"/>
      </w:r>
      <w:r w:rsidRPr="0027300D">
        <w:rPr>
          <w:rFonts w:ascii="Times New Roman" w:hAnsi="Times New Roman"/>
        </w:rPr>
        <w:t>).</w:t>
      </w:r>
      <w:r w:rsidR="008D0B09" w:rsidRPr="008A35DB">
        <w:rPr>
          <w:rFonts w:ascii="Times New Roman" w:hAnsi="Times New Roman"/>
        </w:rPr>
        <w:t>Grapes are a major temperate fruit that adapted well to subtropical and tropical climates. They are rich in sugars, acids (tartaric and malic), vitamins (B</w:t>
      </w:r>
      <w:r w:rsidR="008D0B09" w:rsidRPr="008A35DB">
        <w:rPr>
          <w:rFonts w:ascii="Times New Roman" w:hAnsi="Times New Roman"/>
          <w:vertAlign w:val="subscript"/>
        </w:rPr>
        <w:t>1</w:t>
      </w:r>
      <w:r w:rsidR="008D0B09" w:rsidRPr="008A35DB">
        <w:rPr>
          <w:rFonts w:ascii="Times New Roman" w:hAnsi="Times New Roman"/>
        </w:rPr>
        <w:t>, B</w:t>
      </w:r>
      <w:r w:rsidR="008D0B09" w:rsidRPr="008A35DB">
        <w:rPr>
          <w:rFonts w:ascii="Times New Roman" w:hAnsi="Times New Roman"/>
          <w:vertAlign w:val="subscript"/>
        </w:rPr>
        <w:t>2</w:t>
      </w:r>
      <w:r w:rsidR="008D0B09" w:rsidRPr="008A35DB">
        <w:rPr>
          <w:rFonts w:ascii="Times New Roman" w:hAnsi="Times New Roman"/>
        </w:rPr>
        <w:t xml:space="preserve">), minerals (calcium, phosphorus, iron) and anthocyanidin pigments(Radha and Mathew, 2007).Globally, grapes are cultivated on approximately 7.1 million ha, producing 77.7 million tonnes with a productivity of 10.9 t/ha (2024), with major producers including China, Italy, France, Spain, USA, Turkey and India (Anon., 2025). In India, the table grape industry mainly relies on varieties such as ‘Thompson Seedless’ and ‘Sharad Seedless’. About 85 per cent of India’s 179.63 thousand hectares grape </w:t>
      </w:r>
      <w:r w:rsidR="008D0B09" w:rsidRPr="008A35DB">
        <w:rPr>
          <w:rFonts w:ascii="Times New Roman" w:hAnsi="Times New Roman"/>
        </w:rPr>
        <w:lastRenderedPageBreak/>
        <w:t>area lies in tropical regions, producing 3904.29 thousand tonnes with an average productivity of 21.74 t/ha, with major contributions from Maharashtra, Karnataka, Telangana and Tamil Nadu. Among these, Karnataka produced 1224.67 thousand tonnes of grapes from 47.12 thousand hectares, achieving an average productivity of 25.99 t/ha (Anon., 2024).</w:t>
      </w:r>
    </w:p>
    <w:p w:rsidR="005956E9" w:rsidRDefault="00945386" w:rsidP="005956E9">
      <w:pPr>
        <w:pStyle w:val="BodyText"/>
        <w:spacing w:before="0" w:after="0" w:line="360" w:lineRule="auto"/>
        <w:ind w:left="0" w:firstLine="720"/>
      </w:pPr>
      <w:commentRangeStart w:id="2"/>
      <w:r w:rsidRPr="00945386">
        <w:t xml:space="preserve">Anthracnose is one of the most damaging diseases of grape </w:t>
      </w:r>
      <w:r w:rsidR="007C6B02" w:rsidRPr="005D40CF">
        <w:t xml:space="preserve">but its production is severely constrained by several fungal diseases such as </w:t>
      </w:r>
      <w:commentRangeEnd w:id="2"/>
      <w:r w:rsidR="00FD3BA6">
        <w:rPr>
          <w:rStyle w:val="CommentReference"/>
          <w:rFonts w:ascii="Aptos" w:eastAsia="Aptos" w:hAnsi="Aptos"/>
          <w:kern w:val="2"/>
          <w:lang w:val="en-IN" w:eastAsia="en-US"/>
        </w:rPr>
        <w:commentReference w:id="2"/>
      </w:r>
      <w:r w:rsidR="007C6B02" w:rsidRPr="005D40CF">
        <w:t>downy mildew (</w:t>
      </w:r>
      <w:r w:rsidR="007C6B02" w:rsidRPr="0089425C">
        <w:rPr>
          <w:i/>
          <w:iCs/>
        </w:rPr>
        <w:t>Plasmoparaviticola</w:t>
      </w:r>
      <w:r w:rsidR="007C6B02" w:rsidRPr="005D40CF">
        <w:t>), powdery mildew (</w:t>
      </w:r>
      <w:r w:rsidR="007C6B02" w:rsidRPr="0089425C">
        <w:rPr>
          <w:i/>
          <w:iCs/>
        </w:rPr>
        <w:t>Erysiphenecator</w:t>
      </w:r>
      <w:r w:rsidR="007C6B02" w:rsidRPr="005D40CF">
        <w:t>), anthracnose (</w:t>
      </w:r>
      <w:r w:rsidR="007C6B02" w:rsidRPr="0089425C">
        <w:rPr>
          <w:i/>
          <w:iCs/>
        </w:rPr>
        <w:t>Colletotrichum gloeosporioides</w:t>
      </w:r>
      <w:r w:rsidR="007C6B02" w:rsidRPr="005D40CF">
        <w:t>) and Botrytis bunch rot</w:t>
      </w:r>
      <w:r w:rsidR="007C6B02">
        <w:t xml:space="preserve"> (</w:t>
      </w:r>
      <w:r w:rsidR="007C6B02" w:rsidRPr="0089425C">
        <w:rPr>
          <w:i/>
          <w:iCs/>
        </w:rPr>
        <w:t>Botrytis cinerea</w:t>
      </w:r>
      <w:r w:rsidR="007C6B02" w:rsidRPr="005D40CF">
        <w:t xml:space="preserve">) </w:t>
      </w:r>
      <w:r w:rsidR="009B3858">
        <w:t>a</w:t>
      </w:r>
      <w:r w:rsidRPr="00945386">
        <w:t>nd</w:t>
      </w:r>
      <w:r w:rsidR="009B3858" w:rsidRPr="005D40CF">
        <w:t>anthracnose</w:t>
      </w:r>
      <w:r w:rsidRPr="00945386">
        <w:t xml:space="preserve"> caused by </w:t>
      </w:r>
      <w:r w:rsidRPr="00945386">
        <w:rPr>
          <w:i/>
          <w:iCs/>
        </w:rPr>
        <w:t>Colletotrichum gloeosporioides</w:t>
      </w:r>
      <w:r w:rsidRPr="00945386">
        <w:t xml:space="preserve"> responsible for yield losses in commercial grape production. In wet humid regions the disease incidence and severity on various cultivars of grape can be very serious (Kummuang</w:t>
      </w:r>
      <w:r w:rsidRPr="00945386">
        <w:rPr>
          <w:i/>
          <w:iCs/>
        </w:rPr>
        <w:t>et al</w:t>
      </w:r>
      <w:r w:rsidRPr="00945386">
        <w:t>., 1996).</w:t>
      </w:r>
      <w:bookmarkStart w:id="3" w:name="_Hlk213166010"/>
      <w:r w:rsidR="00A20F02" w:rsidRPr="00A20F02">
        <w:rPr>
          <w:lang w:val="en-IN"/>
        </w:rPr>
        <w:t>These pathogens differ in their modes of infection</w:t>
      </w:r>
      <w:r w:rsidR="00A20F02">
        <w:rPr>
          <w:lang w:val="en-IN"/>
        </w:rPr>
        <w:t>,</w:t>
      </w:r>
      <w:r w:rsidR="00A20F02" w:rsidRPr="00A20F02">
        <w:rPr>
          <w:lang w:val="en-IN"/>
        </w:rPr>
        <w:t xml:space="preserve"> biotrophic fungi such as </w:t>
      </w:r>
      <w:r w:rsidR="00A20F02" w:rsidRPr="00A20F02">
        <w:rPr>
          <w:i/>
          <w:iCs/>
          <w:lang w:val="en-IN"/>
        </w:rPr>
        <w:t>E. necator</w:t>
      </w:r>
      <w:r w:rsidR="00A20F02" w:rsidRPr="00A20F02">
        <w:rPr>
          <w:lang w:val="en-IN"/>
        </w:rPr>
        <w:t xml:space="preserve"> and </w:t>
      </w:r>
      <w:r w:rsidR="00A20F02" w:rsidRPr="00A20F02">
        <w:rPr>
          <w:i/>
          <w:iCs/>
          <w:lang w:val="en-IN"/>
        </w:rPr>
        <w:t>P. viticola</w:t>
      </w:r>
      <w:r w:rsidR="00A20F02" w:rsidRPr="00A20F02">
        <w:rPr>
          <w:lang w:val="en-IN"/>
        </w:rPr>
        <w:t xml:space="preserve"> feed on living tissues, while necrotrophic pathogens like </w:t>
      </w:r>
      <w:r w:rsidR="00A20F02" w:rsidRPr="00A20F02">
        <w:rPr>
          <w:i/>
          <w:iCs/>
          <w:lang w:val="en-IN"/>
        </w:rPr>
        <w:t>B. cinerea</w:t>
      </w:r>
      <w:r w:rsidR="00A20F02" w:rsidRPr="00A20F02">
        <w:rPr>
          <w:lang w:val="en-IN"/>
        </w:rPr>
        <w:t xml:space="preserve"> colonize dead tissues. Anthracnose pathogens exhibit a hemibiotrophic lifestyle, beginning as biotrophs and later becoming necrotrophs (Pieterse </w:t>
      </w:r>
      <w:r w:rsidR="00A20F02" w:rsidRPr="00A20F02">
        <w:rPr>
          <w:i/>
          <w:iCs/>
          <w:lang w:val="en-IN"/>
        </w:rPr>
        <w:t>et al</w:t>
      </w:r>
      <w:r w:rsidR="00A20F02" w:rsidRPr="00A20F02">
        <w:rPr>
          <w:lang w:val="en-IN"/>
        </w:rPr>
        <w:t>., 2009).</w:t>
      </w:r>
      <w:bookmarkEnd w:id="3"/>
      <w:r w:rsidR="0029559A" w:rsidRPr="0029559A">
        <w:t>In north India, it appears every year from July to September with peak damage during August and reduces the quality and quantity of produce. In south India, the disease prevails from March to October with peak damage during May-July.</w:t>
      </w:r>
      <w:r w:rsidR="007A3EC8">
        <w:t>Bedi</w:t>
      </w:r>
      <w:r w:rsidR="007A3EC8">
        <w:rPr>
          <w:i/>
        </w:rPr>
        <w:t>etal</w:t>
      </w:r>
      <w:r w:rsidR="007A3EC8">
        <w:t>.(1969)reported15-</w:t>
      </w:r>
      <w:commentRangeStart w:id="4"/>
      <w:r w:rsidR="007A3EC8">
        <w:t>20percentlossesinvariousgrapevarieties</w:t>
      </w:r>
      <w:commentRangeEnd w:id="4"/>
      <w:r w:rsidR="00FD3BA6">
        <w:rPr>
          <w:rStyle w:val="CommentReference"/>
          <w:rFonts w:ascii="Aptos" w:eastAsia="Aptos" w:hAnsi="Aptos"/>
          <w:kern w:val="2"/>
          <w:lang w:val="en-IN" w:eastAsia="en-US"/>
        </w:rPr>
        <w:commentReference w:id="4"/>
      </w:r>
      <w:r w:rsidR="007A3EC8">
        <w:t xml:space="preserve"> in Punjab and Haryana. Sridhar and Sohi (1976) observed severe crop damage in Karnataka. Jindal and Bhavani (2002) recorded to be 10-46.5 per cent reduction in grape yield in Punjab. </w:t>
      </w:r>
      <w:r w:rsidR="00A41FC2" w:rsidRPr="00877B50">
        <w:t xml:space="preserve">In Maharashtra, Deshmukh (2006) reported annual losses ranging from 15 to 30 per cent, while under favourable conditions, severely impacts fruit quality and marketability. Globally, Anderson (1956) documented that during 1950-51 in Chile, anthracnose resulted in devastating crop failures across several hundred acres, particularly affecting susceptible grape varieties with losses ranging from 83 to 100 per cent. </w:t>
      </w:r>
      <w:r w:rsidR="004420E5">
        <w:t>Similarly,</w:t>
      </w:r>
      <w:r w:rsidR="004420E5" w:rsidRPr="008F4342">
        <w:rPr>
          <w:color w:val="FF0000"/>
        </w:rPr>
        <w:t>Winkler(1965)reportedyieldreductionsofupto80percentinRussia</w:t>
      </w:r>
      <w:r w:rsidR="004420E5">
        <w:t xml:space="preserve"> due to this disease. In China, He (1999) observed that anthracnose accounted for an 18.5 per cent decline in grape production.</w:t>
      </w:r>
    </w:p>
    <w:p w:rsidR="00736482" w:rsidRDefault="00736482" w:rsidP="005956E9">
      <w:pPr>
        <w:pStyle w:val="BodyText"/>
        <w:spacing w:before="0" w:after="0" w:line="360" w:lineRule="auto"/>
        <w:ind w:left="0" w:firstLine="720"/>
      </w:pPr>
      <w:commentRangeStart w:id="5"/>
      <w:r>
        <w:t xml:space="preserve">Thediseaseaffectsalltheaerialpartsinthegreen stage,mostlyonthenewshootsand </w:t>
      </w:r>
      <w:commentRangeEnd w:id="5"/>
      <w:r w:rsidR="00FD3BA6">
        <w:rPr>
          <w:rStyle w:val="CommentReference"/>
          <w:rFonts w:ascii="Aptos" w:eastAsia="Aptos" w:hAnsi="Aptos"/>
          <w:kern w:val="2"/>
          <w:lang w:val="en-IN" w:eastAsia="en-US"/>
        </w:rPr>
        <w:commentReference w:id="5"/>
      </w:r>
      <w:r>
        <w:t>fruits.</w:t>
      </w:r>
      <w:r w:rsidRPr="008F4342">
        <w:rPr>
          <w:color w:val="FF0000"/>
        </w:rPr>
        <w:t>Onleavessmallcirculartoirregular,1-5mmdiameterinsize,darkbrownspots</w:t>
      </w:r>
      <w:r w:rsidRPr="008F4342">
        <w:rPr>
          <w:color w:val="FF0000"/>
          <w:spacing w:val="-2"/>
        </w:rPr>
        <w:t>appear</w:t>
      </w:r>
      <w:r>
        <w:t xml:space="preserve"> which later turn grey in the centre and dark brown at the margins. The central necrotic tissue often falls offleaving ashot holeappearance. In severe cases thecomplete dryingofleaves is </w:t>
      </w:r>
      <w:r w:rsidRPr="008F4342">
        <w:rPr>
          <w:color w:val="FF0000"/>
        </w:rPr>
        <w:t>alsonoticed.Onpetiolesandstems,lightbrownspotsappearwhicharefirstcircularinoutline</w:t>
      </w:r>
      <w:r>
        <w:t xml:space="preserve"> but later elongating into elliptical, sunken necrotic cankers. On shoots and tendrils, small isolated light brown spots develop which elongate to form elliptical, slightly sunken lesions. </w:t>
      </w:r>
      <w:r>
        <w:lastRenderedPageBreak/>
        <w:t>Later,</w:t>
      </w:r>
      <w:commentRangeStart w:id="6"/>
      <w:r w:rsidRPr="008F4342">
        <w:rPr>
          <w:color w:val="FF0000"/>
        </w:rPr>
        <w:t>thecentralareaofthelesiondevelopsintoashygreycolourborderedbydarkerrim</w:t>
      </w:r>
      <w:commentRangeEnd w:id="6"/>
      <w:r w:rsidR="008F4342">
        <w:rPr>
          <w:rStyle w:val="CommentReference"/>
          <w:rFonts w:ascii="Aptos" w:eastAsia="Aptos" w:hAnsi="Aptos"/>
          <w:kern w:val="2"/>
          <w:lang w:val="en-IN" w:eastAsia="en-US"/>
        </w:rPr>
        <w:commentReference w:id="6"/>
      </w:r>
      <w:r>
        <w:t>.The affected shoots may be restricted in growth as well as shedding of inflorescence/flower buds takesplaceduetoinfection.Onberries,typicalbird’seyespotsymptomsappearhavingviolet to greyish centre and dark brown margins.</w:t>
      </w:r>
    </w:p>
    <w:p w:rsidR="00F2664A" w:rsidRDefault="00D21CA3" w:rsidP="005956E9">
      <w:pPr>
        <w:spacing w:after="0" w:line="360" w:lineRule="auto"/>
        <w:jc w:val="both"/>
        <w:rPr>
          <w:rFonts w:ascii="Times New Roman" w:eastAsia="Times New Roman" w:hAnsi="Times New Roman"/>
          <w:kern w:val="0"/>
          <w:lang/>
        </w:rPr>
      </w:pPr>
      <w:r>
        <w:rPr>
          <w:rFonts w:ascii="Times New Roman" w:eastAsia="Times New Roman" w:hAnsi="Times New Roman"/>
          <w:kern w:val="0"/>
          <w:lang/>
        </w:rPr>
        <w:tab/>
      </w:r>
      <w:r w:rsidRPr="00D21CA3">
        <w:rPr>
          <w:rFonts w:ascii="Times New Roman" w:eastAsia="Times New Roman" w:hAnsi="Times New Roman"/>
          <w:kern w:val="0"/>
          <w:lang/>
        </w:rPr>
        <w:t>Several studies have reported the occurrence of resistant sources against grape anthracnose</w:t>
      </w:r>
      <w:r>
        <w:rPr>
          <w:rFonts w:ascii="Times New Roman" w:eastAsia="Times New Roman" w:hAnsi="Times New Roman"/>
          <w:kern w:val="0"/>
          <w:lang/>
        </w:rPr>
        <w:t>.</w:t>
      </w:r>
      <w:r w:rsidRPr="00D21CA3">
        <w:rPr>
          <w:rFonts w:ascii="Times New Roman" w:eastAsia="Times New Roman" w:hAnsi="Times New Roman"/>
          <w:kern w:val="0"/>
          <w:lang/>
        </w:rPr>
        <w:t xml:space="preserve"> however, most findings indicate that the widely cultivated variety of the region, Thompson Seedless is highly susceptible to the disease. Identifying alternative cultivars that combine resistance with desirable commercial traits would therefore provide valuable options for </w:t>
      </w:r>
      <w:r>
        <w:rPr>
          <w:rFonts w:ascii="Times New Roman" w:eastAsia="Times New Roman" w:hAnsi="Times New Roman"/>
          <w:kern w:val="0"/>
          <w:lang/>
        </w:rPr>
        <w:t>farmer</w:t>
      </w:r>
      <w:r w:rsidRPr="00D21CA3">
        <w:rPr>
          <w:rFonts w:ascii="Times New Roman" w:eastAsia="Times New Roman" w:hAnsi="Times New Roman"/>
          <w:kern w:val="0"/>
          <w:lang/>
        </w:rPr>
        <w:t xml:space="preserve">s to manage anthracnose more effectively. Considering the economic importance of the </w:t>
      </w:r>
      <w:r w:rsidR="00385A64">
        <w:rPr>
          <w:rFonts w:ascii="Times New Roman" w:eastAsia="Times New Roman" w:hAnsi="Times New Roman"/>
          <w:kern w:val="0"/>
          <w:lang/>
        </w:rPr>
        <w:t>grape</w:t>
      </w:r>
      <w:r w:rsidRPr="00D21CA3">
        <w:rPr>
          <w:rFonts w:ascii="Times New Roman" w:eastAsia="Times New Roman" w:hAnsi="Times New Roman"/>
          <w:kern w:val="0"/>
          <w:lang/>
        </w:rPr>
        <w:t xml:space="preserve"> and </w:t>
      </w:r>
      <w:r w:rsidR="00F2664A" w:rsidRPr="00F2664A">
        <w:rPr>
          <w:rFonts w:ascii="Times New Roman" w:eastAsia="Times New Roman" w:hAnsi="Times New Roman"/>
          <w:kern w:val="0"/>
          <w:lang/>
        </w:rPr>
        <w:t xml:space="preserve">the need to identify varietal reactions under local conditions, a systematic screening of available grape </w:t>
      </w:r>
      <w:r w:rsidR="00385A64" w:rsidRPr="00D21CA3">
        <w:rPr>
          <w:rFonts w:ascii="Times New Roman" w:eastAsia="Times New Roman" w:hAnsi="Times New Roman"/>
          <w:kern w:val="0"/>
          <w:lang/>
        </w:rPr>
        <w:t>variet</w:t>
      </w:r>
      <w:r w:rsidR="00385A64">
        <w:rPr>
          <w:rFonts w:ascii="Times New Roman" w:eastAsia="Times New Roman" w:hAnsi="Times New Roman"/>
          <w:kern w:val="0"/>
          <w:lang/>
        </w:rPr>
        <w:t>i</w:t>
      </w:r>
      <w:r w:rsidR="00385A64" w:rsidRPr="00F2664A">
        <w:rPr>
          <w:rFonts w:ascii="Times New Roman" w:eastAsia="Times New Roman" w:hAnsi="Times New Roman"/>
          <w:kern w:val="0"/>
          <w:lang/>
        </w:rPr>
        <w:t>es</w:t>
      </w:r>
      <w:r w:rsidR="00F2664A" w:rsidRPr="00F2664A">
        <w:rPr>
          <w:rFonts w:ascii="Times New Roman" w:eastAsia="Times New Roman" w:hAnsi="Times New Roman"/>
          <w:kern w:val="0"/>
          <w:lang/>
        </w:rPr>
        <w:t xml:space="preserve"> was undertaken during successive backpruning seasons to assess their response to </w:t>
      </w:r>
      <w:r w:rsidR="00F2664A" w:rsidRPr="00F2664A">
        <w:rPr>
          <w:rFonts w:ascii="Times New Roman" w:eastAsia="Times New Roman" w:hAnsi="Times New Roman"/>
          <w:i/>
          <w:iCs/>
          <w:kern w:val="0"/>
          <w:lang/>
        </w:rPr>
        <w:t>Colletotrichum gloeosporioides</w:t>
      </w:r>
      <w:r w:rsidR="00F2664A" w:rsidRPr="00F2664A">
        <w:rPr>
          <w:rFonts w:ascii="Times New Roman" w:eastAsia="Times New Roman" w:hAnsi="Times New Roman"/>
          <w:kern w:val="0"/>
          <w:lang/>
        </w:rPr>
        <w:t xml:space="preserve"> under field conditions.</w:t>
      </w:r>
    </w:p>
    <w:p w:rsidR="006D5322" w:rsidRPr="00D21CA3" w:rsidRDefault="0022160D" w:rsidP="005956E9">
      <w:pPr>
        <w:spacing w:after="0" w:line="360" w:lineRule="auto"/>
        <w:jc w:val="both"/>
        <w:rPr>
          <w:rFonts w:ascii="Times New Roman" w:hAnsi="Times New Roman"/>
          <w:b/>
          <w:bCs/>
          <w:lang/>
        </w:rPr>
      </w:pPr>
      <w:r>
        <w:rPr>
          <w:rFonts w:ascii="Times New Roman" w:eastAsia="SimSun" w:hAnsi="Times New Roman"/>
          <w:b/>
          <w:bCs/>
          <w:color w:val="000000"/>
        </w:rPr>
        <w:t>2.</w:t>
      </w:r>
      <w:r>
        <w:rPr>
          <w:rFonts w:ascii="Times New Roman" w:eastAsia="SimSun" w:hAnsi="Times New Roman"/>
          <w:b/>
          <w:bCs/>
          <w:color w:val="000000"/>
        </w:rPr>
        <w:tab/>
      </w:r>
      <w:r w:rsidR="005548F7" w:rsidRPr="00877B50">
        <w:rPr>
          <w:rFonts w:ascii="Times New Roman" w:eastAsia="SimSun" w:hAnsi="Times New Roman"/>
          <w:b/>
          <w:bCs/>
          <w:color w:val="000000"/>
        </w:rPr>
        <w:t>Material and Methods</w:t>
      </w:r>
    </w:p>
    <w:p w:rsidR="002775F8" w:rsidRDefault="007A2C6F" w:rsidP="005956E9">
      <w:pPr>
        <w:autoSpaceDE w:val="0"/>
        <w:autoSpaceDN w:val="0"/>
        <w:adjustRightInd w:val="0"/>
        <w:spacing w:after="0" w:line="360" w:lineRule="auto"/>
        <w:ind w:firstLine="720"/>
        <w:jc w:val="both"/>
        <w:rPr>
          <w:rFonts w:ascii="Times New Roman" w:eastAsia="Times New Roman" w:hAnsi="Times New Roman"/>
          <w:color w:val="000000"/>
        </w:rPr>
      </w:pPr>
      <w:r w:rsidRPr="00D932F3">
        <w:rPr>
          <w:rFonts w:ascii="Times New Roman" w:eastAsia="Times New Roman" w:hAnsi="Times New Roman"/>
          <w:color w:val="000000"/>
        </w:rPr>
        <w:t xml:space="preserve">A collection of eight grape </w:t>
      </w:r>
      <w:r>
        <w:rPr>
          <w:rFonts w:ascii="Times New Roman" w:eastAsia="Times New Roman" w:hAnsi="Times New Roman"/>
          <w:color w:val="000000"/>
        </w:rPr>
        <w:t xml:space="preserve">varieties </w:t>
      </w:r>
      <w:r w:rsidRPr="00D932F3">
        <w:rPr>
          <w:rFonts w:ascii="Times New Roman" w:eastAsia="Times New Roman" w:hAnsi="Times New Roman"/>
          <w:color w:val="000000"/>
        </w:rPr>
        <w:t xml:space="preserve">planted at the Horticultural Farm, College of Agriculture, Raichur, was evaluated for their response to anthracnose disease under natural </w:t>
      </w:r>
      <w:commentRangeStart w:id="7"/>
      <w:r w:rsidRPr="00D932F3">
        <w:rPr>
          <w:rFonts w:ascii="Times New Roman" w:eastAsia="Times New Roman" w:hAnsi="Times New Roman"/>
          <w:color w:val="000000"/>
        </w:rPr>
        <w:t>epiphytotic conditions during the cropping season 2024-25</w:t>
      </w:r>
      <w:commentRangeEnd w:id="7"/>
      <w:r w:rsidR="008F4342">
        <w:rPr>
          <w:rStyle w:val="CommentReference"/>
        </w:rPr>
        <w:commentReference w:id="7"/>
      </w:r>
      <w:r w:rsidRPr="00D932F3">
        <w:rPr>
          <w:rFonts w:ascii="Times New Roman" w:eastAsia="Times New Roman" w:hAnsi="Times New Roman"/>
          <w:color w:val="000000"/>
        </w:rPr>
        <w:t>. Back pruning was carried out on 15</w:t>
      </w:r>
      <w:r w:rsidRPr="00D932F3">
        <w:rPr>
          <w:rFonts w:ascii="Times New Roman" w:eastAsia="Times New Roman" w:hAnsi="Times New Roman"/>
          <w:color w:val="000000"/>
          <w:vertAlign w:val="superscript"/>
        </w:rPr>
        <w:t>th</w:t>
      </w:r>
      <w:r w:rsidRPr="00D932F3">
        <w:rPr>
          <w:rFonts w:ascii="Times New Roman" w:eastAsia="Times New Roman" w:hAnsi="Times New Roman"/>
          <w:color w:val="000000"/>
        </w:rPr>
        <w:t xml:space="preserve"> April 2024 and 20</w:t>
      </w:r>
      <w:r w:rsidRPr="00D932F3">
        <w:rPr>
          <w:rFonts w:ascii="Times New Roman" w:eastAsia="Times New Roman" w:hAnsi="Times New Roman"/>
          <w:color w:val="000000"/>
          <w:vertAlign w:val="superscript"/>
        </w:rPr>
        <w:t>th</w:t>
      </w:r>
      <w:r w:rsidRPr="00D932F3">
        <w:rPr>
          <w:rFonts w:ascii="Times New Roman" w:eastAsia="Times New Roman" w:hAnsi="Times New Roman"/>
          <w:color w:val="000000"/>
        </w:rPr>
        <w:t xml:space="preserve"> March 2025.  The screening was conducted to assess the severity of the disease among the genotypes and to identify potential sources of resistance for management strategies. Observations were meticulously recorded by randomly selecting </w:t>
      </w:r>
      <w:r>
        <w:rPr>
          <w:rFonts w:ascii="Times New Roman" w:eastAsia="Times New Roman" w:hAnsi="Times New Roman"/>
          <w:color w:val="000000"/>
        </w:rPr>
        <w:t>40</w:t>
      </w:r>
      <w:r w:rsidRPr="00D932F3">
        <w:rPr>
          <w:rFonts w:ascii="Times New Roman" w:eastAsia="Times New Roman" w:hAnsi="Times New Roman"/>
          <w:color w:val="000000"/>
        </w:rPr>
        <w:t xml:space="preserve"> leaves from eight representative branches per vine across all genotypes, ensuring a reliable and unbiased estimation of disease </w:t>
      </w:r>
      <w:r>
        <w:rPr>
          <w:rFonts w:ascii="Times New Roman" w:eastAsia="Times New Roman" w:hAnsi="Times New Roman"/>
          <w:color w:val="000000"/>
        </w:rPr>
        <w:t>intensity</w:t>
      </w:r>
      <w:r w:rsidRPr="00D932F3">
        <w:rPr>
          <w:rFonts w:ascii="Times New Roman" w:eastAsia="Times New Roman" w:hAnsi="Times New Roman"/>
          <w:color w:val="000000"/>
        </w:rPr>
        <w:t xml:space="preserve">. The disease severity on each leaf </w:t>
      </w:r>
      <w:r w:rsidR="00906930" w:rsidRPr="00764B17">
        <w:rPr>
          <w:rFonts w:ascii="Times New Roman" w:eastAsia="Times New Roman" w:hAnsi="Times New Roman"/>
          <w:color w:val="000000"/>
        </w:rPr>
        <w:t>Based on the PDI values, the cultivars were categorized into five distinct reaction groups following the scale proposed by Chatta (1992): tolerant (0.1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5.0), moderately tolerant (5.1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10.0), moderately susceptible (10.1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25.0), susceptible (25.1</w:t>
      </w:r>
      <w:r w:rsidR="00906930">
        <w:rPr>
          <w:rFonts w:ascii="Times New Roman" w:eastAsia="Times New Roman" w:hAnsi="Times New Roman"/>
          <w:color w:val="000000"/>
        </w:rPr>
        <w:t>-</w:t>
      </w:r>
      <w:r w:rsidR="00906930" w:rsidRPr="00764B17">
        <w:rPr>
          <w:rFonts w:ascii="Times New Roman" w:eastAsia="Times New Roman" w:hAnsi="Times New Roman"/>
          <w:color w:val="000000"/>
        </w:rPr>
        <w:t xml:space="preserve">50.0) and highly susceptible (50.1 and above). </w:t>
      </w:r>
      <w:r w:rsidRPr="00D932F3">
        <w:rPr>
          <w:rFonts w:ascii="Times New Roman" w:eastAsia="Times New Roman" w:hAnsi="Times New Roman"/>
          <w:color w:val="000000"/>
        </w:rPr>
        <w:t>This classification provided a clear understanding of the resistance or susceptibility levels of each genotype under field conditions, offering valuable insights for selecting resistant cultivars for anthracnose management in grape cultivation.</w:t>
      </w:r>
      <w:r w:rsidR="00067A58" w:rsidRPr="00764B17">
        <w:rPr>
          <w:rFonts w:ascii="Times New Roman" w:eastAsia="Times New Roman" w:hAnsi="Times New Roman"/>
          <w:color w:val="000000"/>
        </w:rPr>
        <w:t>The grape varieties tested against anthracnose included Thomson Seedless, Manik Chaman, Sharad Seedless, 2-A Clone, K. R. White, Manjari Naveen, Fantacy Seedless and Medica.</w:t>
      </w:r>
    </w:p>
    <w:p w:rsidR="007123A5" w:rsidRPr="00E37E18" w:rsidRDefault="007123A5" w:rsidP="005956E9">
      <w:pPr>
        <w:autoSpaceDE w:val="0"/>
        <w:autoSpaceDN w:val="0"/>
        <w:adjustRightInd w:val="0"/>
        <w:spacing w:after="0" w:line="360" w:lineRule="auto"/>
        <w:ind w:firstLine="720"/>
        <w:jc w:val="both"/>
        <w:rPr>
          <w:rFonts w:ascii="Arial" w:eastAsia="Times New Roman" w:hAnsi="Arial" w:cs="Arial"/>
          <w:b/>
          <w:bCs/>
          <w:color w:val="000000"/>
          <w:sz w:val="20"/>
          <w:szCs w:val="20"/>
        </w:rPr>
      </w:pPr>
      <w:r w:rsidRPr="00E37E18">
        <w:rPr>
          <w:rFonts w:ascii="Arial" w:eastAsia="Times New Roman" w:hAnsi="Arial" w:cs="Arial"/>
          <w:b/>
          <w:bCs/>
          <w:color w:val="000000"/>
          <w:sz w:val="20"/>
          <w:szCs w:val="20"/>
        </w:rPr>
        <w:t>List  1.</w:t>
      </w:r>
      <w:r w:rsidR="002170ED" w:rsidRPr="00E37E18">
        <w:rPr>
          <w:rFonts w:ascii="Arial" w:eastAsia="Times New Roman" w:hAnsi="Arial" w:cs="Arial"/>
          <w:b/>
          <w:bCs/>
          <w:color w:val="000000"/>
          <w:sz w:val="20"/>
          <w:szCs w:val="20"/>
        </w:rPr>
        <w:t xml:space="preserve"> Categorisation depending </w:t>
      </w:r>
      <w:r w:rsidR="008F3639">
        <w:rPr>
          <w:rFonts w:ascii="Arial" w:eastAsia="Times New Roman" w:hAnsi="Arial" w:cs="Arial"/>
          <w:b/>
          <w:bCs/>
          <w:color w:val="000000"/>
          <w:sz w:val="20"/>
          <w:szCs w:val="20"/>
        </w:rPr>
        <w:t xml:space="preserve">on </w:t>
      </w:r>
      <w:r w:rsidR="00F450DA">
        <w:rPr>
          <w:rFonts w:ascii="Arial" w:eastAsia="Times New Roman" w:hAnsi="Arial" w:cs="Arial"/>
          <w:b/>
          <w:bCs/>
          <w:color w:val="000000"/>
          <w:sz w:val="20"/>
          <w:szCs w:val="20"/>
        </w:rPr>
        <w:t>the percentage</w:t>
      </w:r>
      <w:r w:rsidR="008F3639">
        <w:rPr>
          <w:rFonts w:ascii="Arial" w:eastAsia="Times New Roman" w:hAnsi="Arial" w:cs="Arial"/>
          <w:b/>
          <w:bCs/>
          <w:color w:val="000000"/>
          <w:sz w:val="20"/>
          <w:szCs w:val="20"/>
        </w:rPr>
        <w:t xml:space="preserve"> of infection of leaf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1"/>
        <w:gridCol w:w="2087"/>
        <w:gridCol w:w="5944"/>
      </w:tblGrid>
      <w:tr w:rsidR="002F0341" w:rsidRPr="00695D34" w:rsidTr="007123A5">
        <w:trPr>
          <w:trHeight w:val="314"/>
          <w:jc w:val="center"/>
        </w:trPr>
        <w:tc>
          <w:tcPr>
            <w:tcW w:w="655" w:type="pct"/>
            <w:vAlign w:val="center"/>
          </w:tcPr>
          <w:p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Category</w:t>
            </w:r>
          </w:p>
        </w:tc>
        <w:tc>
          <w:tcPr>
            <w:tcW w:w="1129" w:type="pct"/>
            <w:vAlign w:val="center"/>
          </w:tcPr>
          <w:p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Numerical value</w:t>
            </w:r>
          </w:p>
        </w:tc>
        <w:tc>
          <w:tcPr>
            <w:tcW w:w="3217" w:type="pct"/>
            <w:vAlign w:val="center"/>
          </w:tcPr>
          <w:p w:rsidR="002F0341" w:rsidRPr="00695D34" w:rsidRDefault="002F0341" w:rsidP="005956E9">
            <w:pPr>
              <w:spacing w:after="0" w:line="360" w:lineRule="auto"/>
              <w:jc w:val="center"/>
              <w:rPr>
                <w:rFonts w:ascii="Times New Roman" w:hAnsi="Times New Roman"/>
                <w:b/>
                <w:shd w:val="clear" w:color="auto" w:fill="FFFFFF"/>
              </w:rPr>
            </w:pPr>
            <w:r w:rsidRPr="00695D34">
              <w:rPr>
                <w:rFonts w:ascii="Times New Roman" w:hAnsi="Times New Roman"/>
                <w:b/>
                <w:shd w:val="clear" w:color="auto" w:fill="FFFFFF"/>
              </w:rPr>
              <w:t>Description</w:t>
            </w:r>
          </w:p>
        </w:tc>
      </w:tr>
      <w:tr w:rsidR="002F0341" w:rsidRPr="008A35DB" w:rsidTr="007123A5">
        <w:trPr>
          <w:trHeight w:val="326"/>
          <w:jc w:val="center"/>
        </w:trPr>
        <w:tc>
          <w:tcPr>
            <w:tcW w:w="655"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w:t>
            </w:r>
          </w:p>
        </w:tc>
        <w:tc>
          <w:tcPr>
            <w:tcW w:w="1129"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0</w:t>
            </w:r>
          </w:p>
        </w:tc>
        <w:tc>
          <w:tcPr>
            <w:tcW w:w="3217" w:type="pct"/>
            <w:vAlign w:val="center"/>
          </w:tcPr>
          <w:p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Healthy foliage or leaf spots in traces</w:t>
            </w:r>
          </w:p>
        </w:tc>
      </w:tr>
      <w:tr w:rsidR="002F0341" w:rsidRPr="008A35DB" w:rsidTr="007123A5">
        <w:trPr>
          <w:trHeight w:val="628"/>
          <w:jc w:val="center"/>
        </w:trPr>
        <w:tc>
          <w:tcPr>
            <w:tcW w:w="655"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II</w:t>
            </w:r>
          </w:p>
        </w:tc>
        <w:tc>
          <w:tcPr>
            <w:tcW w:w="1129"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1</w:t>
            </w:r>
          </w:p>
        </w:tc>
        <w:tc>
          <w:tcPr>
            <w:tcW w:w="3217" w:type="pct"/>
            <w:vAlign w:val="center"/>
          </w:tcPr>
          <w:p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Up to 10 per cent leaf area covered with anthracnose </w:t>
            </w:r>
            <w:r w:rsidRPr="008A35DB">
              <w:rPr>
                <w:rFonts w:ascii="Times New Roman" w:hAnsi="Times New Roman"/>
                <w:shd w:val="clear" w:color="auto" w:fill="FFFFFF"/>
              </w:rPr>
              <w:lastRenderedPageBreak/>
              <w:t>lesions</w:t>
            </w:r>
          </w:p>
        </w:tc>
      </w:tr>
      <w:tr w:rsidR="002F0341" w:rsidRPr="008A35DB" w:rsidTr="007123A5">
        <w:trPr>
          <w:trHeight w:val="640"/>
          <w:jc w:val="center"/>
        </w:trPr>
        <w:tc>
          <w:tcPr>
            <w:tcW w:w="655"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lastRenderedPageBreak/>
              <w:t>III</w:t>
            </w:r>
          </w:p>
        </w:tc>
        <w:tc>
          <w:tcPr>
            <w:tcW w:w="1129"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2</w:t>
            </w:r>
          </w:p>
        </w:tc>
        <w:tc>
          <w:tcPr>
            <w:tcW w:w="3217" w:type="pct"/>
            <w:vAlign w:val="center"/>
          </w:tcPr>
          <w:p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10.1-25 per cent leaf area covered with slight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xml:space="preserve"> 1-3 cankers per twig</w:t>
            </w:r>
          </w:p>
        </w:tc>
      </w:tr>
      <w:tr w:rsidR="002F0341" w:rsidRPr="008A35DB" w:rsidTr="007123A5">
        <w:trPr>
          <w:trHeight w:val="640"/>
          <w:jc w:val="center"/>
        </w:trPr>
        <w:tc>
          <w:tcPr>
            <w:tcW w:w="655"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IV</w:t>
            </w:r>
          </w:p>
        </w:tc>
        <w:tc>
          <w:tcPr>
            <w:tcW w:w="1129"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3</w:t>
            </w:r>
          </w:p>
        </w:tc>
        <w:tc>
          <w:tcPr>
            <w:tcW w:w="3217" w:type="pct"/>
            <w:vAlign w:val="center"/>
          </w:tcPr>
          <w:p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25.1-50 per cent leaf area covered with heavy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4-10 cankers per twig</w:t>
            </w:r>
          </w:p>
        </w:tc>
      </w:tr>
      <w:tr w:rsidR="002F0341" w:rsidRPr="008A35DB" w:rsidTr="007123A5">
        <w:trPr>
          <w:trHeight w:val="954"/>
          <w:jc w:val="center"/>
        </w:trPr>
        <w:tc>
          <w:tcPr>
            <w:tcW w:w="655"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V</w:t>
            </w:r>
          </w:p>
        </w:tc>
        <w:tc>
          <w:tcPr>
            <w:tcW w:w="1129" w:type="pct"/>
            <w:vAlign w:val="center"/>
          </w:tcPr>
          <w:p w:rsidR="002F0341" w:rsidRPr="008A35DB" w:rsidRDefault="002F0341" w:rsidP="005956E9">
            <w:pPr>
              <w:spacing w:after="0" w:line="360" w:lineRule="auto"/>
              <w:jc w:val="center"/>
              <w:rPr>
                <w:rFonts w:ascii="Times New Roman" w:hAnsi="Times New Roman"/>
                <w:shd w:val="clear" w:color="auto" w:fill="FFFFFF"/>
              </w:rPr>
            </w:pPr>
            <w:r w:rsidRPr="008A35DB">
              <w:rPr>
                <w:rFonts w:ascii="Times New Roman" w:hAnsi="Times New Roman"/>
                <w:shd w:val="clear" w:color="auto" w:fill="FFFFFF"/>
              </w:rPr>
              <w:t>4</w:t>
            </w:r>
          </w:p>
        </w:tc>
        <w:tc>
          <w:tcPr>
            <w:tcW w:w="3217" w:type="pct"/>
            <w:vAlign w:val="center"/>
          </w:tcPr>
          <w:p w:rsidR="002F0341" w:rsidRPr="008A35DB" w:rsidRDefault="002F0341" w:rsidP="005956E9">
            <w:pPr>
              <w:spacing w:after="0" w:line="360" w:lineRule="auto"/>
              <w:jc w:val="both"/>
              <w:rPr>
                <w:rFonts w:ascii="Times New Roman" w:hAnsi="Times New Roman"/>
                <w:shd w:val="clear" w:color="auto" w:fill="FFFFFF"/>
              </w:rPr>
            </w:pPr>
            <w:r w:rsidRPr="008A35DB">
              <w:rPr>
                <w:rFonts w:ascii="Times New Roman" w:hAnsi="Times New Roman"/>
                <w:shd w:val="clear" w:color="auto" w:fill="FFFFFF"/>
              </w:rPr>
              <w:t xml:space="preserve">Above 50 per cent leaf area covered with very heavy twig infection </w:t>
            </w:r>
            <w:r w:rsidRPr="008A35DB">
              <w:rPr>
                <w:rFonts w:ascii="Times New Roman" w:hAnsi="Times New Roman"/>
                <w:i/>
                <w:iCs/>
                <w:shd w:val="clear" w:color="auto" w:fill="FFFFFF"/>
              </w:rPr>
              <w:t>i.e.</w:t>
            </w:r>
            <w:r w:rsidRPr="008A35DB">
              <w:rPr>
                <w:rFonts w:ascii="Times New Roman" w:hAnsi="Times New Roman"/>
                <w:shd w:val="clear" w:color="auto" w:fill="FFFFFF"/>
              </w:rPr>
              <w:t>, above 10 cankers per twig and heavy berry infection</w:t>
            </w:r>
          </w:p>
        </w:tc>
      </w:tr>
    </w:tbl>
    <w:p w:rsidR="002F0341" w:rsidRPr="008A35DB" w:rsidRDefault="002F0341" w:rsidP="00C46F63">
      <w:pPr>
        <w:spacing w:before="240" w:after="0" w:line="360" w:lineRule="auto"/>
        <w:jc w:val="both"/>
        <w:rPr>
          <w:rFonts w:ascii="Times New Roman" w:hAnsi="Times New Roman"/>
          <w:shd w:val="clear" w:color="auto" w:fill="FFFFFF"/>
        </w:rPr>
      </w:pPr>
      <w:r w:rsidRPr="008A35DB">
        <w:rPr>
          <w:rFonts w:ascii="Times New Roman" w:hAnsi="Times New Roman"/>
          <w:shd w:val="clear" w:color="auto" w:fill="FFFFFF"/>
        </w:rPr>
        <w:t>Per cent disease intensity (PDI) was recorded by using formula:</w:t>
      </w:r>
    </w:p>
    <w:p w:rsidR="00D217F5" w:rsidRPr="007123A5" w:rsidRDefault="003F0713" w:rsidP="00D217F5">
      <w:pPr>
        <w:spacing w:before="240" w:line="360" w:lineRule="auto"/>
        <w:jc w:val="both"/>
        <w:rPr>
          <w:rFonts w:ascii="Times New Roman" w:hAnsi="Times New Roman"/>
        </w:rPr>
      </w:pPr>
      <m:oMathPara>
        <m:oMath>
          <m:r>
            <m:rPr>
              <m:nor/>
            </m:rPr>
            <w:rPr>
              <w:rFonts w:ascii="Times New Roman" w:hAnsi="Times New Roman"/>
            </w:rPr>
            <m:t>Per cent disease index</m:t>
          </m:r>
          <m:r>
            <m:rPr>
              <m:sty m:val="p"/>
            </m:rPr>
            <w:rPr>
              <w:rFonts w:ascii="Cambria Math" w:hAnsi="Cambria Math"/>
            </w:rPr>
            <m:t>=</m:t>
          </m:r>
          <m:f>
            <m:fPr>
              <m:ctrlPr>
                <w:rPr>
                  <w:rFonts w:ascii="Cambria Math" w:hAnsi="Cambria Math"/>
                </w:rPr>
              </m:ctrlPr>
            </m:fPr>
            <m:num>
              <m:r>
                <m:rPr>
                  <m:nor/>
                </m:rPr>
                <w:rPr>
                  <w:rFonts w:ascii="Times New Roman" w:hAnsi="Times New Roman"/>
                </w:rPr>
                <m:t>Sum of the individual disease ratings</m:t>
              </m:r>
            </m:num>
            <m:den>
              <m:r>
                <m:rPr>
                  <m:nor/>
                </m:rPr>
                <w:rPr>
                  <w:rFonts w:ascii="Times New Roman" w:hAnsi="Times New Roman"/>
                </w:rPr>
                <m:t>Number of leaves observed</m:t>
              </m:r>
            </m:den>
          </m:f>
          <m:r>
            <w:rPr>
              <w:rFonts w:ascii="Cambria Math" w:hAnsi="Cambria Math"/>
            </w:rPr>
            <m:t>×</m:t>
          </m:r>
          <m:f>
            <m:fPr>
              <m:ctrlPr>
                <w:rPr>
                  <w:rFonts w:ascii="Cambria Math" w:hAnsi="Cambria Math"/>
                </w:rPr>
              </m:ctrlPr>
            </m:fPr>
            <m:num>
              <m:r>
                <m:rPr>
                  <m:nor/>
                </m:rPr>
                <w:rPr>
                  <w:rFonts w:ascii="Times New Roman" w:hAnsi="Times New Roman"/>
                </w:rPr>
                <m:t>100</m:t>
              </m:r>
            </m:num>
            <m:den>
              <m:r>
                <m:rPr>
                  <m:nor/>
                </m:rPr>
                <w:rPr>
                  <w:rFonts w:ascii="Times New Roman" w:hAnsi="Times New Roman"/>
                </w:rPr>
                <m:t>Maximum disease grade</m:t>
              </m:r>
            </m:den>
          </m:f>
        </m:oMath>
      </m:oMathPara>
    </w:p>
    <w:p w:rsidR="007123A5" w:rsidRPr="00E910E1" w:rsidRDefault="007123A5" w:rsidP="00D217F5">
      <w:pPr>
        <w:spacing w:before="240" w:line="360" w:lineRule="auto"/>
        <w:jc w:val="both"/>
        <w:rPr>
          <w:rFonts w:ascii="Arial" w:hAnsi="Arial" w:cs="Arial"/>
          <w:b/>
          <w:bCs/>
          <w:sz w:val="20"/>
          <w:szCs w:val="20"/>
        </w:rPr>
      </w:pPr>
      <w:r w:rsidRPr="00F450DA">
        <w:rPr>
          <w:rFonts w:ascii="Times New Roman" w:hAnsi="Times New Roman"/>
          <w:b/>
          <w:bCs/>
        </w:rPr>
        <w:t>List 2.</w:t>
      </w:r>
      <w:r w:rsidR="00E910E1" w:rsidRPr="00F450DA">
        <w:rPr>
          <w:rFonts w:ascii="Arial" w:eastAsia="Times New Roman" w:hAnsi="Arial" w:cs="Arial"/>
          <w:b/>
          <w:bCs/>
          <w:color w:val="000000"/>
          <w:sz w:val="20"/>
          <w:szCs w:val="20"/>
        </w:rPr>
        <w:t>.</w:t>
      </w:r>
      <w:r w:rsidR="00E910E1" w:rsidRPr="00E37E18">
        <w:rPr>
          <w:rFonts w:ascii="Arial" w:eastAsia="Times New Roman" w:hAnsi="Arial" w:cs="Arial"/>
          <w:b/>
          <w:bCs/>
          <w:color w:val="000000"/>
          <w:sz w:val="20"/>
          <w:szCs w:val="20"/>
        </w:rPr>
        <w:t xml:space="preserve"> Categorisation</w:t>
      </w:r>
      <w:r w:rsidR="002D2AB8">
        <w:rPr>
          <w:rFonts w:ascii="Arial" w:eastAsia="Times New Roman" w:hAnsi="Arial" w:cs="Arial"/>
          <w:b/>
          <w:bCs/>
          <w:color w:val="000000"/>
          <w:sz w:val="20"/>
          <w:szCs w:val="20"/>
        </w:rPr>
        <w:t xml:space="preserve"> of </w:t>
      </w:r>
      <w:r w:rsidR="00E910E1" w:rsidRPr="00E910E1">
        <w:rPr>
          <w:rFonts w:ascii="Arial" w:eastAsia="Times New Roman" w:hAnsi="Arial" w:cs="Arial"/>
          <w:b/>
          <w:bCs/>
          <w:color w:val="000000"/>
          <w:sz w:val="20"/>
          <w:szCs w:val="20"/>
        </w:rPr>
        <w:t xml:space="preserve">resistance or susceptibility levels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2"/>
        <w:gridCol w:w="4760"/>
      </w:tblGrid>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b/>
                <w:lang w:val="en-GB"/>
              </w:rPr>
              <w:t>Reaction category</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b/>
                <w:lang w:val="en-GB"/>
              </w:rPr>
              <w:t>Per cent disease index</w:t>
            </w:r>
          </w:p>
        </w:tc>
      </w:tr>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Tolerant</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0.1-5.0</w:t>
            </w:r>
          </w:p>
        </w:tc>
      </w:tr>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Moderately tolerant</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5.1-10.0</w:t>
            </w:r>
          </w:p>
        </w:tc>
      </w:tr>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Moderately susceptible</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10.1-25.0</w:t>
            </w:r>
          </w:p>
        </w:tc>
      </w:tr>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Susceptible</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25.1-50.0</w:t>
            </w:r>
          </w:p>
        </w:tc>
      </w:tr>
      <w:tr w:rsidR="007A2C6F" w:rsidRPr="00D932F3" w:rsidTr="007123A5">
        <w:trPr>
          <w:jc w:val="center"/>
        </w:trPr>
        <w:tc>
          <w:tcPr>
            <w:tcW w:w="242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jc w:val="both"/>
              <w:rPr>
                <w:rFonts w:ascii="Times New Roman" w:eastAsia="Times New Roman" w:hAnsi="Times New Roman"/>
                <w:b/>
                <w:lang w:val="en-GB"/>
              </w:rPr>
            </w:pPr>
            <w:r w:rsidRPr="00D932F3">
              <w:rPr>
                <w:rFonts w:ascii="Times New Roman" w:eastAsia="Times New Roman" w:hAnsi="Times New Roman"/>
                <w:lang w:val="en-GB"/>
              </w:rPr>
              <w:t>Highly susceptible</w:t>
            </w:r>
          </w:p>
        </w:tc>
        <w:tc>
          <w:tcPr>
            <w:tcW w:w="2575" w:type="pct"/>
            <w:tcBorders>
              <w:top w:val="single" w:sz="4" w:space="0" w:color="auto"/>
              <w:left w:val="single" w:sz="4" w:space="0" w:color="auto"/>
              <w:bottom w:val="single" w:sz="4" w:space="0" w:color="auto"/>
              <w:right w:val="single" w:sz="4" w:space="0" w:color="auto"/>
            </w:tcBorders>
            <w:hideMark/>
          </w:tcPr>
          <w:p w:rsidR="007A2C6F" w:rsidRPr="00D932F3" w:rsidRDefault="007A2C6F" w:rsidP="005956E9">
            <w:pPr>
              <w:shd w:val="clear" w:color="auto" w:fill="FFFFFF"/>
              <w:spacing w:after="0" w:line="360" w:lineRule="auto"/>
              <w:rPr>
                <w:rFonts w:ascii="Times New Roman" w:eastAsia="Times New Roman" w:hAnsi="Times New Roman"/>
                <w:b/>
                <w:lang w:val="en-GB"/>
              </w:rPr>
            </w:pPr>
            <w:r w:rsidRPr="00D932F3">
              <w:rPr>
                <w:rFonts w:ascii="Times New Roman" w:eastAsia="Times New Roman" w:hAnsi="Times New Roman"/>
                <w:lang w:val="en-GB"/>
              </w:rPr>
              <w:t>50.1 and above</w:t>
            </w:r>
          </w:p>
        </w:tc>
      </w:tr>
    </w:tbl>
    <w:p w:rsidR="009E0258" w:rsidRDefault="009E0258" w:rsidP="005956E9">
      <w:pPr>
        <w:spacing w:after="0" w:line="360" w:lineRule="auto"/>
        <w:rPr>
          <w:rFonts w:ascii="Times New Roman" w:hAnsi="Times New Roman"/>
          <w:b/>
          <w:bCs/>
          <w:lang w:eastAsia="en-IN"/>
        </w:rPr>
      </w:pPr>
    </w:p>
    <w:p w:rsidR="00C40966" w:rsidRPr="00C40966" w:rsidRDefault="0022160D" w:rsidP="005956E9">
      <w:pPr>
        <w:spacing w:after="0" w:line="360" w:lineRule="auto"/>
        <w:rPr>
          <w:rFonts w:ascii="Times New Roman" w:eastAsia="SimSun" w:hAnsi="Times New Roman"/>
          <w:b/>
          <w:bCs/>
          <w:color w:val="000000"/>
        </w:rPr>
      </w:pPr>
      <w:r>
        <w:rPr>
          <w:rFonts w:ascii="Times New Roman" w:eastAsia="SimSun" w:hAnsi="Times New Roman"/>
          <w:b/>
          <w:bCs/>
          <w:color w:val="000000"/>
        </w:rPr>
        <w:t>3.</w:t>
      </w:r>
      <w:r>
        <w:rPr>
          <w:rFonts w:ascii="Times New Roman" w:eastAsia="SimSun" w:hAnsi="Times New Roman"/>
          <w:b/>
          <w:bCs/>
          <w:color w:val="000000"/>
        </w:rPr>
        <w:tab/>
      </w:r>
      <w:r w:rsidR="00C40966" w:rsidRPr="00877B50">
        <w:rPr>
          <w:rFonts w:ascii="Times New Roman" w:eastAsia="SimSun" w:hAnsi="Times New Roman"/>
          <w:b/>
          <w:bCs/>
          <w:color w:val="000000"/>
        </w:rPr>
        <w:t xml:space="preserve">Results and Discussion </w:t>
      </w:r>
    </w:p>
    <w:p w:rsidR="00D47D06" w:rsidRPr="00471D32" w:rsidRDefault="0022160D" w:rsidP="00D47D06">
      <w:pPr>
        <w:spacing w:after="0" w:line="360" w:lineRule="auto"/>
        <w:jc w:val="both"/>
        <w:rPr>
          <w:rFonts w:ascii="Times New Roman" w:hAnsi="Times New Roman"/>
        </w:rPr>
      </w:pPr>
      <w:r>
        <w:rPr>
          <w:rFonts w:ascii="Times New Roman" w:hAnsi="Times New Roman"/>
        </w:rPr>
        <w:tab/>
      </w:r>
      <w:r w:rsidR="00D47D06" w:rsidRPr="00471D32">
        <w:rPr>
          <w:rFonts w:ascii="Times New Roman" w:hAnsi="Times New Roman"/>
        </w:rPr>
        <w:t xml:space="preserve">During the back pruning season of 2024, all the evaluated grape varieties exhibited high disease </w:t>
      </w:r>
      <w:r w:rsidR="00D47D06">
        <w:rPr>
          <w:rFonts w:ascii="Times New Roman" w:hAnsi="Times New Roman"/>
        </w:rPr>
        <w:t>severity</w:t>
      </w:r>
      <w:r w:rsidR="00D47D06" w:rsidRPr="00471D32">
        <w:rPr>
          <w:rFonts w:ascii="Times New Roman" w:hAnsi="Times New Roman"/>
        </w:rPr>
        <w:t xml:space="preserve"> under natural epiphytotic conditions. The variety Thomson Seedless recorded the highest disease severity with a </w:t>
      </w:r>
      <w:r w:rsidR="00D47D06">
        <w:rPr>
          <w:rFonts w:ascii="Times New Roman" w:hAnsi="Times New Roman"/>
        </w:rPr>
        <w:t>100</w:t>
      </w:r>
      <w:r w:rsidR="00D47D06" w:rsidRPr="00471D32">
        <w:rPr>
          <w:rFonts w:ascii="Times New Roman" w:hAnsi="Times New Roman"/>
        </w:rPr>
        <w:t xml:space="preserve"> per cent</w:t>
      </w:r>
      <w:r w:rsidR="00D47D06">
        <w:rPr>
          <w:rFonts w:ascii="Times New Roman" w:hAnsi="Times New Roman"/>
        </w:rPr>
        <w:t xml:space="preserve"> disease index (PDI)</w:t>
      </w:r>
      <w:r w:rsidR="00D47D06" w:rsidRPr="00471D32">
        <w:rPr>
          <w:rFonts w:ascii="Times New Roman" w:hAnsi="Times New Roman"/>
        </w:rPr>
        <w:t xml:space="preserve">, serving as the check. Among the other varieties, Manik Chaman (85.25%), 2-A Clone (79.25%), Sharad Seedless (69.50%), K.R. White (66.63%), Manjari Naveen (64.25%), Medica (62.73%) and Fantacy Seedless (58.75%) also showed significant levels of infection. A similar trend was observed during the 2025 back pruning season. Thomson Seedless again showed maximum disease severity with 100 PDI, confirming its high susceptibility to anthracnose. Other varieties also displayed significant infection levels, ranging from 53.75 per cent in Fantacy Seedless to 88.63 per cent in Manik Chaman. Sharad Seedless (65.73%), 2-A Clone (84.73%), K.R. White (62.25%), Manjari Naveen (59.63%) and Medica (57.25%) followed a </w:t>
      </w:r>
      <w:r w:rsidR="00D47D06" w:rsidRPr="00471D32">
        <w:rPr>
          <w:rFonts w:ascii="Times New Roman" w:hAnsi="Times New Roman"/>
        </w:rPr>
        <w:lastRenderedPageBreak/>
        <w:t>similar pattern of disease reaction. Based on the 0</w:t>
      </w:r>
      <w:r w:rsidR="00D47D06">
        <w:rPr>
          <w:rFonts w:ascii="Times New Roman" w:hAnsi="Times New Roman"/>
        </w:rPr>
        <w:t>-</w:t>
      </w:r>
      <w:r w:rsidR="00D47D06" w:rsidRPr="00471D32">
        <w:rPr>
          <w:rFonts w:ascii="Times New Roman" w:hAnsi="Times New Roman"/>
        </w:rPr>
        <w:t xml:space="preserve">4 disease rating scale, all </w:t>
      </w:r>
      <w:r w:rsidR="00D47D06">
        <w:rPr>
          <w:rFonts w:ascii="Times New Roman" w:hAnsi="Times New Roman"/>
        </w:rPr>
        <w:t>the screened</w:t>
      </w:r>
      <w:r w:rsidR="00D47D06" w:rsidRPr="00471D32">
        <w:rPr>
          <w:rFonts w:ascii="Times New Roman" w:hAnsi="Times New Roman"/>
        </w:rPr>
        <w:t xml:space="preserve"> varieties were rated as highly susceptible to anthracnose, with none </w:t>
      </w:r>
      <w:r w:rsidR="00D47D06">
        <w:rPr>
          <w:rFonts w:ascii="Times New Roman" w:hAnsi="Times New Roman"/>
        </w:rPr>
        <w:t xml:space="preserve">of the varieties </w:t>
      </w:r>
      <w:r w:rsidR="00D47D06" w:rsidRPr="00471D32">
        <w:rPr>
          <w:rFonts w:ascii="Times New Roman" w:hAnsi="Times New Roman"/>
        </w:rPr>
        <w:t xml:space="preserve">falling </w:t>
      </w:r>
      <w:r w:rsidR="00D47D06">
        <w:rPr>
          <w:rFonts w:ascii="Times New Roman" w:hAnsi="Times New Roman"/>
        </w:rPr>
        <w:t xml:space="preserve">underthe </w:t>
      </w:r>
      <w:r w:rsidR="00D47D06" w:rsidRPr="00471D32">
        <w:rPr>
          <w:rFonts w:ascii="Times New Roman" w:hAnsi="Times New Roman"/>
        </w:rPr>
        <w:t>tolerant or moderately susceptible categories (Table 1</w:t>
      </w:r>
      <w:r>
        <w:rPr>
          <w:rFonts w:ascii="Times New Roman" w:hAnsi="Times New Roman"/>
        </w:rPr>
        <w:t xml:space="preserve"> and </w:t>
      </w:r>
      <w:r w:rsidR="00D47D06" w:rsidRPr="00471D32">
        <w:rPr>
          <w:rFonts w:ascii="Times New Roman" w:hAnsi="Times New Roman"/>
        </w:rPr>
        <w:t>2</w:t>
      </w:r>
      <w:r>
        <w:rPr>
          <w:rFonts w:ascii="Times New Roman" w:hAnsi="Times New Roman"/>
        </w:rPr>
        <w:t xml:space="preserve"> and Plate. 1</w:t>
      </w:r>
      <w:r w:rsidR="00D47D06" w:rsidRPr="00471D32">
        <w:rPr>
          <w:rFonts w:ascii="Times New Roman" w:hAnsi="Times New Roman"/>
        </w:rPr>
        <w:t>).</w:t>
      </w:r>
    </w:p>
    <w:p w:rsidR="00D47D06" w:rsidRDefault="00666CA7" w:rsidP="00D47D06">
      <w:pPr>
        <w:pStyle w:val="BodyText"/>
        <w:spacing w:before="0" w:after="0" w:line="360" w:lineRule="auto"/>
        <w:ind w:left="0" w:firstLine="720"/>
      </w:pPr>
      <w:r>
        <w:rPr>
          <w:lang w:val="en-IN"/>
        </w:rPr>
        <w:t xml:space="preserve">The results from </w:t>
      </w:r>
      <w:r w:rsidRPr="00666CA7">
        <w:rPr>
          <w:lang w:val="en-IN"/>
        </w:rPr>
        <w:t>both years revealed that</w:t>
      </w:r>
      <w:r>
        <w:rPr>
          <w:lang w:val="en-IN"/>
        </w:rPr>
        <w:t>,</w:t>
      </w:r>
      <w:r w:rsidRPr="00666CA7">
        <w:rPr>
          <w:lang w:val="en-IN"/>
        </w:rPr>
        <w:t xml:space="preserve"> all the </w:t>
      </w:r>
      <w:r>
        <w:rPr>
          <w:lang w:val="en-IN"/>
        </w:rPr>
        <w:t>screened</w:t>
      </w:r>
      <w:r w:rsidRPr="00666CA7">
        <w:rPr>
          <w:lang w:val="en-IN"/>
        </w:rPr>
        <w:t xml:space="preserve"> varieties were susceptible with no variet</w:t>
      </w:r>
      <w:r>
        <w:rPr>
          <w:lang w:val="en-IN"/>
        </w:rPr>
        <w:t>ies</w:t>
      </w:r>
      <w:r w:rsidRPr="00666CA7">
        <w:rPr>
          <w:lang w:val="en-IN"/>
        </w:rPr>
        <w:t xml:space="preserve"> showing tolerance or moderate tolerance to anthracnose.</w:t>
      </w:r>
      <w:r w:rsidR="00D47D06" w:rsidRPr="00471D32">
        <w:t>The constant 100 per cent disease severity in Thomson Seedless and high PDI values in all other varieties indicate</w:t>
      </w:r>
      <w:r w:rsidR="00D47D06">
        <w:t>d</w:t>
      </w:r>
      <w:r w:rsidR="00D47D06" w:rsidRPr="00471D32">
        <w:t xml:space="preserve"> th</w:t>
      </w:r>
      <w:r w:rsidR="00D47D06">
        <w:t>at the</w:t>
      </w:r>
      <w:r w:rsidR="00D47D06" w:rsidRPr="00471D32">
        <w:t xml:space="preserve"> widespread susceptibility of commercial grape cultivars to anthracnose under</w:t>
      </w:r>
      <w:r w:rsidR="00D47D06">
        <w:t xml:space="preserve"> natural</w:t>
      </w:r>
      <w:r w:rsidR="00D47D06" w:rsidRPr="00471D32">
        <w:t xml:space="preserve"> conditions. The slight reduction in PDI values in 2025 compared to 2024 m</w:t>
      </w:r>
      <w:r w:rsidR="00D47D06">
        <w:t>ight</w:t>
      </w:r>
      <w:r w:rsidR="00D47D06" w:rsidRPr="00471D32">
        <w:t xml:space="preserve"> be </w:t>
      </w:r>
      <w:r w:rsidR="00D47D06">
        <w:t xml:space="preserve">due </w:t>
      </w:r>
      <w:r w:rsidR="00D47D06" w:rsidRPr="00471D32">
        <w:t xml:space="preserve">to differences in seasonal weather conditions, particularly </w:t>
      </w:r>
      <w:r w:rsidR="00D47D06">
        <w:t>variations in the</w:t>
      </w:r>
      <w:r w:rsidR="00D47D06" w:rsidRPr="00471D32">
        <w:t xml:space="preserve"> humidity</w:t>
      </w:r>
      <w:r w:rsidR="00D47D06">
        <w:t xml:space="preserve">, </w:t>
      </w:r>
      <w:r w:rsidR="00D47D06" w:rsidRPr="00471D32">
        <w:t xml:space="preserve">temperature </w:t>
      </w:r>
      <w:r w:rsidR="00D47D06">
        <w:t xml:space="preserve">and varietal differences </w:t>
      </w:r>
      <w:r w:rsidR="00D47D06" w:rsidRPr="00471D32">
        <w:t xml:space="preserve">during the infection period. </w:t>
      </w:r>
    </w:p>
    <w:p w:rsidR="0022160D" w:rsidRDefault="00595F1A" w:rsidP="00D47D06">
      <w:pPr>
        <w:pStyle w:val="BodyText"/>
        <w:spacing w:before="0" w:after="0" w:line="360" w:lineRule="auto"/>
        <w:ind w:left="0" w:firstLine="720"/>
        <w:rPr>
          <w:color w:val="0D0D0D"/>
        </w:rPr>
      </w:pPr>
      <w:r w:rsidRPr="00CF1CC8">
        <w:t xml:space="preserve">Similar trends were observed by Shetty </w:t>
      </w:r>
      <w:r w:rsidRPr="00CF1CC8">
        <w:rPr>
          <w:i/>
          <w:iCs/>
        </w:rPr>
        <w:t>et al</w:t>
      </w:r>
      <w:r w:rsidRPr="00CF1CC8">
        <w:t>. (2015) who screened 266 grape genotypes at the National Active Germplasm Site, ICAR-NRC for Grapes, Pune and identified 61 genotypes as resistant to anthracnose, while all major commercial cultivars were found susceptible.</w:t>
      </w:r>
      <w:r w:rsidR="00591865" w:rsidRPr="00DE064E">
        <w:rPr>
          <w:color w:val="0D0D0D"/>
        </w:rPr>
        <w:t xml:space="preserve">Among the </w:t>
      </w:r>
      <w:r w:rsidR="00591865">
        <w:rPr>
          <w:color w:val="0D0D0D"/>
        </w:rPr>
        <w:t>18</w:t>
      </w:r>
      <w:r w:rsidR="00591865" w:rsidRPr="00DE064E">
        <w:rPr>
          <w:color w:val="0D0D0D"/>
        </w:rPr>
        <w:t xml:space="preserve"> cultivars screened for tolerance to anthracnose under natural epiphytotic conditions, the cultivars Marroo, Himrod, Khalilli, Flame Beauty and Sonaka exhibited a tolerant reaction. Four cultivars Manik Chaman, Crimson Seedless, Ararat and Hussainiweremoderatelytolerant.Theremainingcultivarsshowedeithersusceptibleorhighly susceptible reactions. Notably, Anab-e-Shahi and Perlette grape cultivars were found to be susceptible to </w:t>
      </w:r>
      <w:r w:rsidR="00591865" w:rsidRPr="00DE064E">
        <w:rPr>
          <w:i/>
          <w:color w:val="0D0D0D"/>
        </w:rPr>
        <w:t>Sphacelomaampelina</w:t>
      </w:r>
      <w:r w:rsidR="00591865" w:rsidRPr="00DE064E">
        <w:rPr>
          <w:color w:val="0D0D0D"/>
        </w:rPr>
        <w:t>(Banday, 2013).</w:t>
      </w:r>
      <w:r w:rsidRPr="00CF1CC8">
        <w:t xml:space="preserve"> Similarly, Jamadar (2007) evaluated 19 grape genotypes reported that Arka Majestic and Bangalore Blue were highly resistant, whereas widely cultivated varieties such as Thompson Seedless, Anab-e-Shahi, Cheema Sahebi and IIHR genotypes Arka Hans and ArkaNilamani were highly susceptible exhibiting more than 50 per cent infection.</w:t>
      </w:r>
    </w:p>
    <w:p w:rsidR="002A007E" w:rsidRDefault="002A007E" w:rsidP="002A007E">
      <w:pPr>
        <w:pStyle w:val="BodyText"/>
        <w:spacing w:before="0" w:after="0" w:line="360" w:lineRule="auto"/>
        <w:ind w:left="0" w:firstLine="0"/>
        <w:rPr>
          <w:b/>
          <w:bCs/>
          <w:color w:val="0D0D0D"/>
          <w:lang w:val="en-IN"/>
        </w:rPr>
      </w:pPr>
      <w:r w:rsidRPr="002A007E">
        <w:rPr>
          <w:b/>
          <w:bCs/>
          <w:color w:val="0D0D0D"/>
        </w:rPr>
        <w:t>4.</w:t>
      </w:r>
      <w:r>
        <w:rPr>
          <w:rFonts w:ascii="Aptos" w:eastAsia="Aptos" w:hAnsi="Aptos"/>
          <w:kern w:val="2"/>
          <w:lang w:val="en-IN" w:eastAsia="en-US"/>
        </w:rPr>
        <w:tab/>
      </w:r>
      <w:commentRangeStart w:id="8"/>
      <w:r w:rsidRPr="002A007E">
        <w:rPr>
          <w:b/>
          <w:bCs/>
          <w:color w:val="0D0D0D"/>
          <w:lang w:val="en-IN"/>
        </w:rPr>
        <w:t>Conclusion</w:t>
      </w:r>
      <w:commentRangeEnd w:id="8"/>
      <w:r w:rsidR="008F4342">
        <w:rPr>
          <w:rStyle w:val="CommentReference"/>
          <w:rFonts w:ascii="Aptos" w:eastAsia="Aptos" w:hAnsi="Aptos"/>
          <w:kern w:val="2"/>
          <w:lang w:val="en-IN" w:eastAsia="en-US"/>
        </w:rPr>
        <w:commentReference w:id="8"/>
      </w:r>
    </w:p>
    <w:p w:rsidR="002A007E" w:rsidRPr="002A007E" w:rsidRDefault="002A007E" w:rsidP="002A007E">
      <w:pPr>
        <w:spacing w:after="240" w:line="360" w:lineRule="auto"/>
        <w:ind w:firstLine="720"/>
        <w:jc w:val="both"/>
        <w:rPr>
          <w:rFonts w:ascii="Times New Roman" w:hAnsi="Times New Roman"/>
        </w:rPr>
      </w:pPr>
      <w:r w:rsidRPr="00840810">
        <w:rPr>
          <w:rFonts w:ascii="Times New Roman" w:hAnsi="Times New Roman"/>
        </w:rPr>
        <w:t>Anthracnose severity was evaluated on eight grape varieties during the back pruning seasons of 2024 and 2025 at Raichur. Thompson Seedless showed the earliest onset, fastest progression and highest PDI (100% in both years) with the highest AUDPC and infection rate. Other varieties recorded high PDI such as Manik Chaman (85.25-88.63%), 2-A Clone (79.25-84.73%), Sharad Seedless (69.50-65.73%), K.R. White (66.63-62.25%), Manjari Naveen (64.25</w:t>
      </w:r>
      <w:r>
        <w:rPr>
          <w:rFonts w:ascii="Times New Roman" w:hAnsi="Times New Roman"/>
        </w:rPr>
        <w:t>-</w:t>
      </w:r>
      <w:r w:rsidRPr="00840810">
        <w:rPr>
          <w:rFonts w:ascii="Times New Roman" w:hAnsi="Times New Roman"/>
        </w:rPr>
        <w:t>59.63%), Fantacy Seedless (58.75-53.75%) and Medica (62.73-57.25%). Fantacy Seedless and Medica progressed slowly, while Sharad Seedless, K.R. White and Manjari Naveen were moderately progressed. All varieties were classified as highly susceptible, emphasizing varietal differences and the need for timely disease management.</w:t>
      </w:r>
    </w:p>
    <w:p w:rsidR="002A007E" w:rsidRPr="002A007E" w:rsidRDefault="002A007E" w:rsidP="002A007E">
      <w:pPr>
        <w:pStyle w:val="BodyText"/>
        <w:spacing w:before="0" w:after="0" w:line="360" w:lineRule="auto"/>
        <w:ind w:left="0" w:firstLine="0"/>
        <w:rPr>
          <w:b/>
          <w:bCs/>
          <w:color w:val="0D0D0D"/>
          <w:lang w:val="en-IN"/>
        </w:rPr>
      </w:pPr>
      <w:r w:rsidRPr="002A007E">
        <w:rPr>
          <w:b/>
          <w:bCs/>
          <w:color w:val="0D0D0D"/>
          <w:lang w:val="en-IN"/>
        </w:rPr>
        <w:lastRenderedPageBreak/>
        <w:t xml:space="preserve">Disclaimer (artificial intelligence) </w:t>
      </w:r>
    </w:p>
    <w:p w:rsidR="002A007E" w:rsidRDefault="002A007E" w:rsidP="002A007E">
      <w:pPr>
        <w:pStyle w:val="BodyText"/>
        <w:spacing w:before="0" w:after="0" w:line="360" w:lineRule="auto"/>
        <w:ind w:left="0" w:firstLine="0"/>
        <w:rPr>
          <w:color w:val="0D0D0D"/>
          <w:lang w:val="en-IN"/>
        </w:rPr>
      </w:pPr>
      <w:r w:rsidRPr="002A007E">
        <w:rPr>
          <w:color w:val="0D0D0D"/>
          <w:lang w:val="en-IN"/>
        </w:rPr>
        <w:t>Author(s) hereby declare that NO generative AI technologies such as Large Language Models (ChatGPT, COPILOT, etc.) and text-to-image generators have been used during the writing or editing of this manuscript.</w:t>
      </w:r>
    </w:p>
    <w:p w:rsidR="00CC1B2E" w:rsidRDefault="00CC1B2E" w:rsidP="005956E9">
      <w:pPr>
        <w:spacing w:after="0" w:line="360" w:lineRule="auto"/>
        <w:jc w:val="both"/>
        <w:rPr>
          <w:rFonts w:ascii="Times New Roman" w:eastAsia="SimSun" w:hAnsi="Times New Roman"/>
          <w:b/>
          <w:bCs/>
          <w:color w:val="000000"/>
        </w:rPr>
      </w:pPr>
    </w:p>
    <w:p w:rsidR="00C0093A" w:rsidRDefault="002A007E" w:rsidP="005956E9">
      <w:pPr>
        <w:spacing w:after="0" w:line="360" w:lineRule="auto"/>
        <w:jc w:val="both"/>
        <w:rPr>
          <w:rFonts w:ascii="Times New Roman" w:eastAsia="SimSun" w:hAnsi="Times New Roman"/>
          <w:b/>
          <w:bCs/>
          <w:color w:val="000000"/>
        </w:rPr>
      </w:pPr>
      <w:bookmarkStart w:id="9" w:name="_GoBack"/>
      <w:bookmarkEnd w:id="9"/>
      <w:commentRangeStart w:id="10"/>
      <w:r w:rsidRPr="00877B50">
        <w:rPr>
          <w:rFonts w:ascii="Times New Roman" w:eastAsia="SimSun" w:hAnsi="Times New Roman"/>
          <w:b/>
          <w:bCs/>
          <w:color w:val="000000"/>
        </w:rPr>
        <w:t>References</w:t>
      </w:r>
      <w:commentRangeEnd w:id="10"/>
      <w:r w:rsidR="008F4342">
        <w:rPr>
          <w:rStyle w:val="CommentReference"/>
        </w:rPr>
        <w:commentReference w:id="10"/>
      </w:r>
    </w:p>
    <w:p w:rsidR="00BC1FA4" w:rsidRPr="00BC1FA4" w:rsidRDefault="00BC1FA4" w:rsidP="00BC1FA4">
      <w:pPr>
        <w:spacing w:after="0" w:line="360" w:lineRule="auto"/>
        <w:ind w:left="720" w:hanging="720"/>
        <w:jc w:val="both"/>
        <w:rPr>
          <w:rFonts w:ascii="Times New Roman" w:hAnsi="Times New Roman"/>
          <w:bCs/>
        </w:rPr>
      </w:pPr>
      <w:r w:rsidRPr="00BC1FA4">
        <w:rPr>
          <w:rFonts w:ascii="Times New Roman" w:hAnsi="Times New Roman"/>
          <w:bCs/>
          <w:lang w:val="en-US"/>
        </w:rPr>
        <w:t>Anderson, H. W., 1956, Disease of fruit crops. Tata Mcgraw hill book Co. Inc, New York, USA.</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shd w:val="clear" w:color="auto" w:fill="FFFFFF"/>
        </w:rPr>
        <w:t xml:space="preserve">Anonymous, 2024, India stat, area, yield and production for the year 2023-2024. </w:t>
      </w:r>
      <w:r w:rsidRPr="00BC1FA4">
        <w:rPr>
          <w:rFonts w:ascii="Times New Roman" w:hAnsi="Times New Roman"/>
        </w:rPr>
        <w:t>http://www.indiastat.com</w:t>
      </w:r>
    </w:p>
    <w:p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shd w:val="clear" w:color="auto" w:fill="FFFFFF"/>
        </w:rPr>
        <w:t xml:space="preserve">International Organisation of Vine and Wine. (2025). World Wine Production Outlook I - OIV First Estimates 2025. International Organisation of Vine and Wine. </w:t>
      </w:r>
      <w:hyperlink r:id="rId9" w:history="1">
        <w:r w:rsidRPr="00BC1FA4">
          <w:rPr>
            <w:rFonts w:ascii="Times New Roman" w:hAnsi="Times New Roman"/>
            <w:color w:val="467886"/>
            <w:u w:val="single"/>
            <w:shd w:val="clear" w:color="auto" w:fill="FFFFFF"/>
          </w:rPr>
          <w:t>https://www.oiv.int/what-we-do/statistics</w:t>
        </w:r>
      </w:hyperlink>
    </w:p>
    <w:p w:rsidR="00BC1FA4" w:rsidRPr="00BC1FA4" w:rsidRDefault="00BC1FA4" w:rsidP="00BC1FA4">
      <w:pPr>
        <w:spacing w:after="0" w:line="360" w:lineRule="auto"/>
        <w:ind w:left="720" w:hanging="720"/>
        <w:jc w:val="both"/>
        <w:rPr>
          <w:rFonts w:ascii="Times New Roman" w:hAnsi="Times New Roman"/>
          <w:bCs/>
          <w:i/>
          <w:shd w:val="clear" w:color="auto" w:fill="FFFFFF"/>
        </w:rPr>
      </w:pPr>
      <w:r w:rsidRPr="00BC1FA4">
        <w:rPr>
          <w:rFonts w:ascii="Times New Roman" w:hAnsi="Times New Roman"/>
          <w:bCs/>
          <w:shd w:val="clear" w:color="auto" w:fill="FFFFFF"/>
        </w:rPr>
        <w:t xml:space="preserve">Banday, S., 2013, Histopathology, epidemiology and management of anthracnose disease of grapes in Kashmir. </w:t>
      </w:r>
      <w:r w:rsidRPr="00BC1FA4">
        <w:rPr>
          <w:rFonts w:ascii="Times New Roman" w:hAnsi="Times New Roman"/>
          <w:bCs/>
          <w:i/>
          <w:iCs/>
          <w:shd w:val="clear" w:color="auto" w:fill="FFFFFF"/>
        </w:rPr>
        <w:t>Ph. D. Thesis</w:t>
      </w:r>
      <w:r w:rsidRPr="00BC1FA4">
        <w:rPr>
          <w:rFonts w:ascii="Times New Roman" w:hAnsi="Times New Roman"/>
          <w:bCs/>
          <w:iCs/>
          <w:shd w:val="clear" w:color="auto" w:fill="FFFFFF"/>
        </w:rPr>
        <w:t>, Sher-e-Kashmir</w:t>
      </w:r>
      <w:r w:rsidRPr="00BC1FA4">
        <w:rPr>
          <w:rFonts w:ascii="Times New Roman" w:hAnsi="Times New Roman"/>
          <w:bCs/>
          <w:shd w:val="clear" w:color="auto" w:fill="FFFFFF"/>
        </w:rPr>
        <w:t xml:space="preserve"> Univ. Agric. Sci. and Technol</w:t>
      </w:r>
      <w:r w:rsidRPr="00BC1FA4">
        <w:rPr>
          <w:rFonts w:ascii="Times New Roman" w:hAnsi="Times New Roman"/>
          <w:bCs/>
          <w:iCs/>
          <w:shd w:val="clear" w:color="auto" w:fill="FFFFFF"/>
        </w:rPr>
        <w:t>, Jammu and Kashmir, Shalimar (India)</w:t>
      </w:r>
      <w:r w:rsidRPr="00BC1FA4">
        <w:rPr>
          <w:rFonts w:ascii="Times New Roman" w:hAnsi="Times New Roman"/>
          <w:bCs/>
          <w:i/>
          <w:shd w:val="clear" w:color="auto" w:fill="FFFFFF"/>
        </w:rPr>
        <w:t>.</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Bedi, P. S., Singh, G., &amp; Suryanarayana, D. (1969). Field testing of aureofungin and other chemicals to control anthracnose disease of grape in the Punjab. Hindustan Antibiotics Bulletin, 11(4), 251–253. </w:t>
      </w:r>
      <w:hyperlink r:id="rId10" w:history="1">
        <w:r w:rsidRPr="00BC1FA4">
          <w:rPr>
            <w:rFonts w:ascii="Times New Roman" w:hAnsi="Times New Roman"/>
            <w:color w:val="467886"/>
            <w:u w:val="single"/>
          </w:rPr>
          <w:t>https://pubmed.ncbi.nlm.nih.gov/5352000/</w:t>
        </w:r>
      </w:hyperlink>
    </w:p>
    <w:p w:rsidR="00BC1FA4" w:rsidRPr="00BC1FA4" w:rsidRDefault="00BC1FA4" w:rsidP="00BC1FA4">
      <w:pPr>
        <w:spacing w:after="0" w:line="360" w:lineRule="auto"/>
        <w:ind w:left="720" w:hanging="720"/>
        <w:jc w:val="both"/>
        <w:rPr>
          <w:rFonts w:ascii="Times New Roman" w:hAnsi="Times New Roman"/>
          <w:bCs/>
          <w:i/>
          <w:shd w:val="clear" w:color="auto" w:fill="FFFFFF"/>
        </w:rPr>
      </w:pPr>
      <w:r w:rsidRPr="00BC1FA4">
        <w:rPr>
          <w:rFonts w:ascii="Times New Roman" w:hAnsi="Times New Roman"/>
          <w:shd w:val="clear" w:color="auto" w:fill="FFFFFF"/>
        </w:rPr>
        <w:t xml:space="preserve">Chatta, S. K., 1992, Biology, perpetuation and control of grape vine anthracnose caused by </w:t>
      </w:r>
      <w:r w:rsidRPr="00BC1FA4">
        <w:rPr>
          <w:rFonts w:ascii="Times New Roman" w:hAnsi="Times New Roman"/>
          <w:i/>
          <w:iCs/>
          <w:shd w:val="clear" w:color="auto" w:fill="FFFFFF"/>
        </w:rPr>
        <w:t>Sphacelomaampelinum</w:t>
      </w:r>
      <w:r w:rsidRPr="00BC1FA4">
        <w:rPr>
          <w:rFonts w:ascii="Times New Roman" w:hAnsi="Times New Roman"/>
          <w:shd w:val="clear" w:color="auto" w:fill="FFFFFF"/>
        </w:rPr>
        <w:t xml:space="preserve"> Shear (</w:t>
      </w:r>
      <w:r w:rsidRPr="00BC1FA4">
        <w:rPr>
          <w:rFonts w:ascii="Times New Roman" w:hAnsi="Times New Roman"/>
          <w:i/>
          <w:iCs/>
          <w:shd w:val="clear" w:color="auto" w:fill="FFFFFF"/>
        </w:rPr>
        <w:t>Elsinoeampelina</w:t>
      </w:r>
      <w:r w:rsidRPr="00BC1FA4">
        <w:rPr>
          <w:rFonts w:ascii="Times New Roman" w:hAnsi="Times New Roman"/>
          <w:shd w:val="clear" w:color="auto" w:fill="FFFFFF"/>
        </w:rPr>
        <w:t xml:space="preserve"> Shear). </w:t>
      </w:r>
      <w:r w:rsidRPr="00BC1FA4">
        <w:rPr>
          <w:rFonts w:ascii="Times New Roman" w:hAnsi="Times New Roman"/>
          <w:i/>
          <w:iCs/>
          <w:shd w:val="clear" w:color="auto" w:fill="FFFFFF"/>
        </w:rPr>
        <w:t xml:space="preserve">M. Sc. Thesis, </w:t>
      </w:r>
      <w:r w:rsidRPr="00BC1FA4">
        <w:rPr>
          <w:rFonts w:ascii="Times New Roman" w:hAnsi="Times New Roman"/>
          <w:bCs/>
          <w:iCs/>
          <w:shd w:val="clear" w:color="auto" w:fill="FFFFFF"/>
        </w:rPr>
        <w:t>Sher-e-Kashmir</w:t>
      </w:r>
      <w:r w:rsidRPr="00BC1FA4">
        <w:rPr>
          <w:rFonts w:ascii="Times New Roman" w:hAnsi="Times New Roman"/>
          <w:bCs/>
          <w:shd w:val="clear" w:color="auto" w:fill="FFFFFF"/>
        </w:rPr>
        <w:t xml:space="preserve"> Univ. Agric. Sci. Technol.</w:t>
      </w:r>
      <w:r w:rsidRPr="00BC1FA4">
        <w:rPr>
          <w:rFonts w:ascii="Times New Roman" w:hAnsi="Times New Roman"/>
          <w:bCs/>
          <w:iCs/>
          <w:shd w:val="clear" w:color="auto" w:fill="FFFFFF"/>
        </w:rPr>
        <w:t>, Jammu and Kashmir, Shalimar (India)</w:t>
      </w:r>
      <w:r w:rsidRPr="00BC1FA4">
        <w:rPr>
          <w:rFonts w:ascii="Times New Roman" w:hAnsi="Times New Roman"/>
          <w:bCs/>
          <w:i/>
          <w:shd w:val="clear" w:color="auto" w:fill="FFFFFF"/>
        </w:rPr>
        <w:t>.</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Deshmukh, R. B., 2006, Grape research in Maharashtra. </w:t>
      </w:r>
      <w:r w:rsidRPr="00BC1FA4">
        <w:rPr>
          <w:rFonts w:ascii="Times New Roman" w:hAnsi="Times New Roman"/>
          <w:i/>
          <w:iCs/>
        </w:rPr>
        <w:t>In Proc. Int. Symp. Grape Prod. Process</w:t>
      </w:r>
      <w:r w:rsidRPr="00BC1FA4">
        <w:rPr>
          <w:rFonts w:ascii="Times New Roman" w:hAnsi="Times New Roman"/>
        </w:rPr>
        <w:t>, pp. 6-11.</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He, P. C., 1999, Viticulture. China Agric. Press, Beijing, China.</w:t>
      </w:r>
    </w:p>
    <w:p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rPr>
        <w:t xml:space="preserve">Jamadar, M. M., 2007, Etiology, epidemiology and management of anthracnose of grapevine. </w:t>
      </w:r>
      <w:r w:rsidRPr="00BC1FA4">
        <w:rPr>
          <w:rFonts w:ascii="Times New Roman" w:hAnsi="Times New Roman"/>
          <w:i/>
          <w:iCs/>
        </w:rPr>
        <w:t>Ph. D</w:t>
      </w:r>
      <w:r w:rsidRPr="00BC1FA4">
        <w:rPr>
          <w:rFonts w:ascii="Times New Roman" w:hAnsi="Times New Roman"/>
          <w:i/>
          <w:iCs/>
          <w:shd w:val="clear" w:color="auto" w:fill="FFFFFF"/>
        </w:rPr>
        <w:t xml:space="preserve"> Thesis</w:t>
      </w:r>
      <w:r w:rsidRPr="00BC1FA4">
        <w:rPr>
          <w:rFonts w:ascii="Times New Roman" w:hAnsi="Times New Roman"/>
          <w:shd w:val="clear" w:color="auto" w:fill="FFFFFF"/>
        </w:rPr>
        <w:t>, Univ. of Agric. Sci. Dharwad (India).</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Jindal, P. C. and Shankar Bhavani, 2002, Screening of grape germplasm against anthracnose (</w:t>
      </w:r>
      <w:r w:rsidRPr="00BC1FA4">
        <w:rPr>
          <w:rFonts w:ascii="Times New Roman" w:hAnsi="Times New Roman"/>
          <w:i/>
          <w:iCs/>
        </w:rPr>
        <w:t>Sphacelomaampelinum</w:t>
      </w:r>
      <w:r w:rsidRPr="00BC1FA4">
        <w:rPr>
          <w:rFonts w:ascii="Times New Roman" w:hAnsi="Times New Roman"/>
        </w:rPr>
        <w:t xml:space="preserve"> de bary). </w:t>
      </w:r>
      <w:r w:rsidRPr="00BC1FA4">
        <w:rPr>
          <w:rFonts w:ascii="Times New Roman" w:hAnsi="Times New Roman"/>
          <w:i/>
          <w:iCs/>
        </w:rPr>
        <w:t xml:space="preserve">Indian J. Agric. Res., </w:t>
      </w:r>
      <w:r w:rsidRPr="00BC1FA4">
        <w:rPr>
          <w:rFonts w:ascii="Times New Roman" w:hAnsi="Times New Roman"/>
        </w:rPr>
        <w:t>36(2): 11-14.</w:t>
      </w:r>
    </w:p>
    <w:p w:rsidR="00BC1FA4" w:rsidRPr="00BC1FA4" w:rsidRDefault="00BC1FA4" w:rsidP="00BC1FA4">
      <w:pPr>
        <w:spacing w:after="0" w:line="360" w:lineRule="auto"/>
        <w:ind w:left="720" w:hanging="720"/>
        <w:jc w:val="both"/>
        <w:rPr>
          <w:rFonts w:ascii="Times New Roman" w:eastAsia="SimSun" w:hAnsi="Times New Roman"/>
          <w:color w:val="000000"/>
        </w:rPr>
      </w:pPr>
      <w:r w:rsidRPr="00BC1FA4">
        <w:rPr>
          <w:rFonts w:ascii="Times New Roman" w:eastAsia="SimSun" w:hAnsi="Times New Roman"/>
          <w:color w:val="000000"/>
        </w:rPr>
        <w:t xml:space="preserve">Kummuang, N., Smith, B. J., Diehl, S. V., &amp; Graves, C. H., Jr. (1996). Muscadine Grape Berry Rot Diseases in Mississippi: Disease Identification and Incidence. Plant Disease, 80, 238-243. </w:t>
      </w:r>
      <w:hyperlink r:id="rId11" w:history="1">
        <w:r w:rsidRPr="00BC1FA4">
          <w:rPr>
            <w:rFonts w:ascii="Times New Roman" w:eastAsia="SimSun" w:hAnsi="Times New Roman"/>
            <w:color w:val="467886"/>
            <w:u w:val="single"/>
          </w:rPr>
          <w:t>https://doi.org/10.1094/PD-80-0238</w:t>
        </w:r>
      </w:hyperlink>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lastRenderedPageBreak/>
        <w:t xml:space="preserve">Pieterse, C. M. J., Leon-Reyes, A., Van der Ent, S., &amp; Van Wees, S. C. M. (2009). Networking by small-molecule hormones in plant immunity. Nature Chemical Biology, 5(5), 308-316. </w:t>
      </w:r>
      <w:hyperlink r:id="rId12" w:history="1">
        <w:r w:rsidRPr="00BC1FA4">
          <w:rPr>
            <w:rFonts w:ascii="Times New Roman" w:hAnsi="Times New Roman"/>
            <w:color w:val="467886"/>
            <w:u w:val="single"/>
          </w:rPr>
          <w:t>https://doi.org/10.1038/nchembio.164</w:t>
        </w:r>
      </w:hyperlink>
    </w:p>
    <w:p w:rsidR="00BC1FA4" w:rsidRPr="00BC1FA4" w:rsidRDefault="00BC1FA4" w:rsidP="00BC1FA4">
      <w:pPr>
        <w:spacing w:after="0" w:line="360" w:lineRule="auto"/>
        <w:ind w:left="720" w:hanging="720"/>
        <w:jc w:val="both"/>
        <w:rPr>
          <w:rFonts w:ascii="Times New Roman" w:hAnsi="Times New Roman"/>
          <w:shd w:val="clear" w:color="auto" w:fill="FFFFFF"/>
        </w:rPr>
      </w:pPr>
      <w:r w:rsidRPr="00BC1FA4">
        <w:rPr>
          <w:rFonts w:ascii="Times New Roman" w:hAnsi="Times New Roman"/>
          <w:shd w:val="clear" w:color="auto" w:fill="FFFFFF"/>
        </w:rPr>
        <w:t>Radha, T. and Mathew, L., 2007, Fruit Crops. New Delhi publishing Agency, India.</w:t>
      </w:r>
    </w:p>
    <w:p w:rsidR="00BC1FA4" w:rsidRPr="00BC1FA4" w:rsidRDefault="00BC1FA4" w:rsidP="00BC1FA4">
      <w:pPr>
        <w:spacing w:after="0" w:line="360" w:lineRule="auto"/>
        <w:ind w:left="720" w:hanging="720"/>
        <w:jc w:val="both"/>
        <w:rPr>
          <w:rFonts w:ascii="Times New Roman" w:eastAsia="SimSun" w:hAnsi="Times New Roman"/>
          <w:color w:val="000000"/>
        </w:rPr>
      </w:pPr>
      <w:r w:rsidRPr="00BC1FA4">
        <w:rPr>
          <w:rFonts w:ascii="Times New Roman" w:eastAsia="SimSun" w:hAnsi="Times New Roman"/>
          <w:color w:val="000000"/>
        </w:rPr>
        <w:t>Pearson, R. C., &amp;Goheen, A. C. (1988). Compendium of grape diseases. APS Press.</w:t>
      </w:r>
    </w:p>
    <w:p w:rsidR="00BC1FA4" w:rsidRPr="00BC1FA4" w:rsidRDefault="00BC1FA4" w:rsidP="00BC1FA4">
      <w:pPr>
        <w:spacing w:after="0" w:line="360" w:lineRule="auto"/>
        <w:ind w:left="720" w:hanging="720"/>
        <w:jc w:val="both"/>
        <w:rPr>
          <w:rFonts w:ascii="Times New Roman" w:hAnsi="Times New Roman"/>
          <w:bCs/>
        </w:rPr>
      </w:pPr>
      <w:commentRangeStart w:id="11"/>
      <w:r w:rsidRPr="00BC1FA4">
        <w:rPr>
          <w:rFonts w:ascii="Times New Roman" w:hAnsi="Times New Roman"/>
          <w:bCs/>
        </w:rPr>
        <w:t xml:space="preserve">Shetty, D. S., </w:t>
      </w:r>
      <w:commentRangeEnd w:id="11"/>
      <w:r w:rsidR="008F4342">
        <w:rPr>
          <w:rStyle w:val="CommentReference"/>
        </w:rPr>
        <w:commentReference w:id="11"/>
      </w:r>
      <w:r w:rsidRPr="00BC1FA4">
        <w:rPr>
          <w:rFonts w:ascii="Times New Roman" w:hAnsi="Times New Roman"/>
          <w:bCs/>
        </w:rPr>
        <w:t xml:space="preserve">Sawant, I. S., Narkar, S. P., Ghule, S., Satisha, J., &amp;Karibasappa, G. S. (2015). Screening of Grape Genotypes to Identify Sources of Resistance to Anthracnose Disease and Identifying Biochemical Marker Associated With Resistance. Indian Phytopathology, 68(4), 424-431. </w:t>
      </w:r>
      <w:hyperlink r:id="rId13" w:history="1">
        <w:r w:rsidRPr="00BC1FA4">
          <w:rPr>
            <w:rFonts w:ascii="Times New Roman" w:hAnsi="Times New Roman"/>
            <w:bCs/>
            <w:color w:val="467886"/>
            <w:u w:val="single"/>
          </w:rPr>
          <w:t>https://epubs.icar.org.in/index.php/IPPJ/article/view/54624</w:t>
        </w:r>
      </w:hyperlink>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Sridhar, T. S. and Sohi, H. S., 1976, Control of diseases. </w:t>
      </w:r>
      <w:r w:rsidRPr="00BC1FA4">
        <w:rPr>
          <w:rFonts w:ascii="Times New Roman" w:hAnsi="Times New Roman"/>
          <w:i/>
          <w:iCs/>
        </w:rPr>
        <w:t>Proceedings of All India Coordinated Fruit Improvement Project Workshop</w:t>
      </w:r>
      <w:r w:rsidRPr="00BC1FA4">
        <w:rPr>
          <w:rFonts w:ascii="Times New Roman" w:hAnsi="Times New Roman"/>
        </w:rPr>
        <w:t>. Hyderabad. p. 51.</w:t>
      </w:r>
    </w:p>
    <w:p w:rsidR="00BC1FA4" w:rsidRPr="00BC1FA4" w:rsidRDefault="00BC1FA4" w:rsidP="00BC1FA4">
      <w:pPr>
        <w:spacing w:after="0" w:line="360" w:lineRule="auto"/>
        <w:ind w:left="720" w:hanging="720"/>
        <w:jc w:val="both"/>
        <w:rPr>
          <w:rFonts w:ascii="Times New Roman" w:hAnsi="Times New Roman"/>
        </w:rPr>
      </w:pPr>
      <w:r w:rsidRPr="00BC1FA4">
        <w:rPr>
          <w:rFonts w:ascii="Times New Roman" w:hAnsi="Times New Roman"/>
        </w:rPr>
        <w:t xml:space="preserve">Winkler, A. J., Cook, J. A., Kliewer, W. M., &amp;Lider, L. A. (1974). General viticulture. University of California Press. </w:t>
      </w:r>
      <w:hyperlink r:id="rId14" w:history="1">
        <w:r w:rsidRPr="00BC1FA4">
          <w:rPr>
            <w:rFonts w:ascii="Times New Roman" w:hAnsi="Times New Roman"/>
            <w:color w:val="467886"/>
            <w:u w:val="single"/>
          </w:rPr>
          <w:t>https://www.ucpress.edu/book/9780520025912/general-viticulture</w:t>
        </w:r>
      </w:hyperlink>
    </w:p>
    <w:p w:rsidR="00EF2DA6" w:rsidRDefault="0088206D" w:rsidP="00EF2DA6">
      <w:pPr>
        <w:spacing w:after="0" w:line="360" w:lineRule="auto"/>
        <w:ind w:left="720" w:hanging="720"/>
        <w:jc w:val="both"/>
        <w:rPr>
          <w:rFonts w:ascii="Times New Roman" w:hAnsi="Times New Roman"/>
        </w:rPr>
      </w:pPr>
      <w:r>
        <w:rPr>
          <w:rFonts w:ascii="Times New Roman" w:hAnsi="Times New Roman"/>
        </w:rPr>
        <w:t>S</w:t>
      </w:r>
    </w:p>
    <w:p w:rsidR="00EF2DA6" w:rsidRPr="00EF2DA6" w:rsidRDefault="00EF2DA6" w:rsidP="00EF2DA6">
      <w:pPr>
        <w:spacing w:after="0" w:line="360" w:lineRule="auto"/>
        <w:ind w:left="720" w:hanging="720"/>
        <w:jc w:val="both"/>
        <w:rPr>
          <w:rFonts w:ascii="Times New Roman" w:hAnsi="Times New Roman"/>
        </w:rPr>
        <w:sectPr w:rsidR="00EF2DA6" w:rsidRPr="00EF2DA6" w:rsidSect="00EF2DA6">
          <w:headerReference w:type="even" r:id="rId15"/>
          <w:headerReference w:type="default" r:id="rId16"/>
          <w:headerReference w:type="first" r:id="rId17"/>
          <w:pgSz w:w="11906" w:h="16838"/>
          <w:pgMar w:top="1440" w:right="1440" w:bottom="1440" w:left="1440" w:header="708" w:footer="708" w:gutter="0"/>
          <w:cols w:space="708"/>
          <w:docGrid w:linePitch="360"/>
        </w:sectPr>
      </w:pPr>
    </w:p>
    <w:p w:rsidR="009E0258" w:rsidRPr="00416D45" w:rsidRDefault="009E0258" w:rsidP="009E0258">
      <w:pPr>
        <w:spacing w:before="120" w:after="120" w:line="276" w:lineRule="auto"/>
        <w:rPr>
          <w:rFonts w:ascii="Times New Roman" w:hAnsi="Times New Roman"/>
          <w:b/>
          <w:bCs/>
        </w:rPr>
      </w:pPr>
      <w:commentRangeStart w:id="12"/>
      <w:r>
        <w:rPr>
          <w:rFonts w:ascii="Times New Roman" w:hAnsi="Times New Roman"/>
          <w:b/>
          <w:bCs/>
        </w:rPr>
        <w:lastRenderedPageBreak/>
        <w:t xml:space="preserve">Table 1. </w:t>
      </w:r>
      <w:r w:rsidRPr="00416D45">
        <w:rPr>
          <w:rFonts w:ascii="Times New Roman" w:hAnsi="Times New Roman"/>
          <w:b/>
          <w:bCs/>
        </w:rPr>
        <w:t xml:space="preserve">Screening of grape varieties against anthracnose under natural </w:t>
      </w:r>
      <w:commentRangeEnd w:id="12"/>
      <w:r w:rsidR="008F4342">
        <w:rPr>
          <w:rStyle w:val="CommentReference"/>
        </w:rPr>
        <w:commentReference w:id="12"/>
      </w:r>
      <w:r w:rsidRPr="00416D45">
        <w:rPr>
          <w:rFonts w:ascii="Times New Roman" w:hAnsi="Times New Roman"/>
          <w:b/>
          <w:bCs/>
        </w:rPr>
        <w:t>epiphytotic conditions</w:t>
      </w:r>
      <w:r>
        <w:rPr>
          <w:rFonts w:ascii="Times New Roman" w:hAnsi="Times New Roman"/>
          <w:b/>
          <w:bCs/>
        </w:rPr>
        <w:t xml:space="preserve"> of </w:t>
      </w:r>
      <w:r w:rsidRPr="005D1414">
        <w:rPr>
          <w:rFonts w:ascii="Times New Roman" w:hAnsi="Times New Roman"/>
          <w:b/>
          <w:bCs/>
          <w:i/>
          <w:iCs/>
        </w:rPr>
        <w:t>Kharif</w:t>
      </w:r>
      <w:r>
        <w:rPr>
          <w:rFonts w:ascii="Times New Roman" w:hAnsi="Times New Roman"/>
          <w:b/>
          <w:bCs/>
        </w:rPr>
        <w:t xml:space="preserve"> 2024 and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2489"/>
        <w:gridCol w:w="2628"/>
        <w:gridCol w:w="2628"/>
        <w:gridCol w:w="2840"/>
        <w:gridCol w:w="2486"/>
      </w:tblGrid>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b/>
                <w:bCs/>
              </w:rPr>
            </w:pPr>
            <w:r>
              <w:rPr>
                <w:rFonts w:ascii="Times New Roman" w:hAnsi="Times New Roman"/>
                <w:b/>
                <w:bCs/>
              </w:rPr>
              <w:t>Sl. No.</w:t>
            </w:r>
          </w:p>
        </w:tc>
        <w:tc>
          <w:tcPr>
            <w:tcW w:w="878" w:type="pct"/>
            <w:vAlign w:val="center"/>
          </w:tcPr>
          <w:p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Varieties</w:t>
            </w:r>
          </w:p>
        </w:tc>
        <w:tc>
          <w:tcPr>
            <w:tcW w:w="927" w:type="pct"/>
            <w:vAlign w:val="center"/>
          </w:tcPr>
          <w:p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 xml:space="preserve">Back pruned stage </w:t>
            </w:r>
            <w:r>
              <w:rPr>
                <w:rFonts w:ascii="Times New Roman" w:hAnsi="Times New Roman"/>
                <w:b/>
                <w:bCs/>
              </w:rPr>
              <w:br/>
            </w:r>
            <w:r w:rsidRPr="00581182">
              <w:rPr>
                <w:rFonts w:ascii="Times New Roman" w:hAnsi="Times New Roman"/>
                <w:b/>
                <w:bCs/>
              </w:rPr>
              <w:t>PDI (Apr. 2024)</w:t>
            </w:r>
          </w:p>
        </w:tc>
        <w:tc>
          <w:tcPr>
            <w:tcW w:w="927" w:type="pct"/>
          </w:tcPr>
          <w:p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 xml:space="preserve">Back pruned stage </w:t>
            </w:r>
            <w:r>
              <w:rPr>
                <w:rFonts w:ascii="Times New Roman" w:hAnsi="Times New Roman"/>
                <w:b/>
                <w:bCs/>
              </w:rPr>
              <w:br/>
            </w:r>
            <w:r w:rsidRPr="00581182">
              <w:rPr>
                <w:rFonts w:ascii="Times New Roman" w:hAnsi="Times New Roman"/>
                <w:b/>
                <w:bCs/>
              </w:rPr>
              <w:t xml:space="preserve">PDI (Apr. 2025) </w:t>
            </w:r>
          </w:p>
        </w:tc>
        <w:tc>
          <w:tcPr>
            <w:tcW w:w="1002" w:type="pct"/>
            <w:vAlign w:val="center"/>
          </w:tcPr>
          <w:p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Disease ratings (0-4)</w:t>
            </w:r>
          </w:p>
        </w:tc>
        <w:tc>
          <w:tcPr>
            <w:tcW w:w="878" w:type="pct"/>
            <w:vAlign w:val="center"/>
          </w:tcPr>
          <w:p w:rsidR="009E0258" w:rsidRPr="00581182" w:rsidRDefault="009E0258" w:rsidP="00075231">
            <w:pPr>
              <w:spacing w:before="120" w:after="120" w:line="276" w:lineRule="auto"/>
              <w:jc w:val="center"/>
              <w:rPr>
                <w:rFonts w:ascii="Times New Roman" w:hAnsi="Times New Roman"/>
                <w:b/>
                <w:bCs/>
              </w:rPr>
            </w:pPr>
            <w:r w:rsidRPr="00581182">
              <w:rPr>
                <w:rFonts w:ascii="Times New Roman" w:hAnsi="Times New Roman"/>
                <w:b/>
                <w:bCs/>
              </w:rPr>
              <w:t>Overall reaction</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1</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Thomson Seedless</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100.00 (Check)</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100 (Check)</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2</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Manik Chaman</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85.25</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88.63</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3</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Sharad Seedless</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69.50</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65.73</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4</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2-A Clone</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79.25</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84.73</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5</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K. R. White</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66.63</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62.25</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6</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Manjari Naveen</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64.25</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59.63</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7</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Fantacy Seedless</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58.75</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53.75</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r w:rsidR="009E0258" w:rsidRPr="00581182" w:rsidTr="00075231">
        <w:trPr>
          <w:trHeight w:val="20"/>
          <w:jc w:val="center"/>
        </w:trPr>
        <w:tc>
          <w:tcPr>
            <w:tcW w:w="389" w:type="pct"/>
            <w:vAlign w:val="center"/>
          </w:tcPr>
          <w:p w:rsidR="009E0258" w:rsidRPr="00581182" w:rsidRDefault="009E0258" w:rsidP="00075231">
            <w:pPr>
              <w:spacing w:before="120" w:after="120" w:line="276" w:lineRule="auto"/>
              <w:jc w:val="center"/>
              <w:rPr>
                <w:rFonts w:ascii="Times New Roman" w:hAnsi="Times New Roman"/>
              </w:rPr>
            </w:pPr>
            <w:r>
              <w:rPr>
                <w:rFonts w:ascii="Times New Roman" w:hAnsi="Times New Roman"/>
              </w:rPr>
              <w:t>8</w:t>
            </w:r>
          </w:p>
        </w:tc>
        <w:tc>
          <w:tcPr>
            <w:tcW w:w="878" w:type="pct"/>
            <w:vAlign w:val="center"/>
          </w:tcPr>
          <w:p w:rsidR="009E0258" w:rsidRPr="00581182" w:rsidRDefault="009E0258" w:rsidP="00075231">
            <w:pPr>
              <w:spacing w:before="120" w:after="120" w:line="276" w:lineRule="auto"/>
              <w:rPr>
                <w:rFonts w:ascii="Times New Roman" w:hAnsi="Times New Roman"/>
              </w:rPr>
            </w:pPr>
            <w:r w:rsidRPr="00581182">
              <w:rPr>
                <w:rFonts w:ascii="Times New Roman" w:hAnsi="Times New Roman"/>
              </w:rPr>
              <w:t>Medica</w:t>
            </w:r>
          </w:p>
        </w:tc>
        <w:tc>
          <w:tcPr>
            <w:tcW w:w="927"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62.73</w:t>
            </w:r>
          </w:p>
        </w:tc>
        <w:tc>
          <w:tcPr>
            <w:tcW w:w="927" w:type="pct"/>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57.25</w:t>
            </w:r>
          </w:p>
        </w:tc>
        <w:tc>
          <w:tcPr>
            <w:tcW w:w="1002"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4</w:t>
            </w:r>
          </w:p>
        </w:tc>
        <w:tc>
          <w:tcPr>
            <w:tcW w:w="878" w:type="pct"/>
            <w:vAlign w:val="center"/>
          </w:tcPr>
          <w:p w:rsidR="009E0258" w:rsidRPr="00581182" w:rsidRDefault="009E0258" w:rsidP="00075231">
            <w:pPr>
              <w:spacing w:before="120" w:after="120" w:line="276" w:lineRule="auto"/>
              <w:jc w:val="center"/>
              <w:rPr>
                <w:rFonts w:ascii="Times New Roman" w:hAnsi="Times New Roman"/>
              </w:rPr>
            </w:pPr>
            <w:r w:rsidRPr="00581182">
              <w:rPr>
                <w:rFonts w:ascii="Times New Roman" w:hAnsi="Times New Roman"/>
              </w:rPr>
              <w:t>Highly susceptible</w:t>
            </w:r>
          </w:p>
        </w:tc>
      </w:tr>
    </w:tbl>
    <w:p w:rsidR="009E0258" w:rsidRDefault="009E0258" w:rsidP="00853202">
      <w:pPr>
        <w:spacing w:before="120" w:after="120" w:line="276" w:lineRule="auto"/>
        <w:ind w:left="990" w:hanging="990"/>
        <w:rPr>
          <w:rFonts w:ascii="Times New Roman" w:hAnsi="Times New Roman"/>
          <w:b/>
          <w:bCs/>
        </w:rPr>
      </w:pPr>
    </w:p>
    <w:p w:rsidR="009E0258" w:rsidRDefault="009E0258" w:rsidP="00853202">
      <w:pPr>
        <w:spacing w:before="120" w:after="120" w:line="276" w:lineRule="auto"/>
        <w:ind w:left="990" w:hanging="990"/>
        <w:rPr>
          <w:rFonts w:ascii="Times New Roman" w:hAnsi="Times New Roman"/>
          <w:b/>
          <w:bCs/>
        </w:rPr>
      </w:pPr>
    </w:p>
    <w:p w:rsidR="009E0258" w:rsidRDefault="009E0258" w:rsidP="00853202">
      <w:pPr>
        <w:spacing w:before="120" w:after="120" w:line="276" w:lineRule="auto"/>
        <w:ind w:left="990" w:hanging="990"/>
        <w:rPr>
          <w:rFonts w:ascii="Times New Roman" w:hAnsi="Times New Roman"/>
          <w:b/>
          <w:bCs/>
        </w:rPr>
      </w:pPr>
    </w:p>
    <w:p w:rsidR="009E0258" w:rsidRDefault="009E0258" w:rsidP="00853202">
      <w:pPr>
        <w:spacing w:before="120" w:after="120" w:line="276" w:lineRule="auto"/>
        <w:ind w:left="990" w:hanging="990"/>
        <w:rPr>
          <w:rFonts w:ascii="Times New Roman" w:hAnsi="Times New Roman"/>
          <w:b/>
          <w:bCs/>
        </w:rPr>
        <w:sectPr w:rsidR="009E0258" w:rsidSect="009E0258">
          <w:pgSz w:w="16838" w:h="11906" w:orient="landscape"/>
          <w:pgMar w:top="1440" w:right="1440" w:bottom="1440" w:left="1440" w:header="706" w:footer="706" w:gutter="0"/>
          <w:cols w:space="708"/>
          <w:docGrid w:linePitch="360"/>
        </w:sectPr>
      </w:pPr>
    </w:p>
    <w:p w:rsidR="00853202" w:rsidRPr="005B6216" w:rsidRDefault="00853202" w:rsidP="00853202">
      <w:pPr>
        <w:spacing w:before="120" w:after="120" w:line="276" w:lineRule="auto"/>
        <w:ind w:left="990" w:hanging="990"/>
        <w:rPr>
          <w:rFonts w:ascii="Times New Roman" w:hAnsi="Times New Roman"/>
        </w:rPr>
      </w:pPr>
      <w:r>
        <w:rPr>
          <w:rFonts w:ascii="Times New Roman" w:hAnsi="Times New Roman"/>
          <w:b/>
          <w:bCs/>
        </w:rPr>
        <w:lastRenderedPageBreak/>
        <w:t xml:space="preserve">Table </w:t>
      </w:r>
      <w:r w:rsidR="008F0CE5">
        <w:rPr>
          <w:rFonts w:ascii="Times New Roman" w:hAnsi="Times New Roman"/>
          <w:b/>
          <w:bCs/>
        </w:rPr>
        <w:t>2</w:t>
      </w:r>
      <w:r>
        <w:rPr>
          <w:rFonts w:ascii="Times New Roman" w:hAnsi="Times New Roman"/>
          <w:b/>
          <w:bCs/>
        </w:rPr>
        <w:t xml:space="preserve">. </w:t>
      </w:r>
      <w:r w:rsidRPr="00416D45">
        <w:rPr>
          <w:rFonts w:ascii="Times New Roman" w:hAnsi="Times New Roman"/>
          <w:b/>
          <w:bCs/>
        </w:rPr>
        <w:t>Reaction of grape varieties to anthracnose disease under field conditions</w:t>
      </w:r>
      <w:r w:rsidRPr="0015754B">
        <w:rPr>
          <w:rFonts w:ascii="Times New Roman" w:hAnsi="Times New Roman"/>
          <w:b/>
          <w:bCs/>
        </w:rPr>
        <w:t xml:space="preserve">during </w:t>
      </w:r>
      <w:r>
        <w:rPr>
          <w:rFonts w:ascii="Times New Roman" w:hAnsi="Times New Roman"/>
          <w:b/>
          <w:bCs/>
        </w:rPr>
        <w:t xml:space="preserve">back </w:t>
      </w:r>
      <w:r w:rsidRPr="0015754B">
        <w:rPr>
          <w:rFonts w:ascii="Times New Roman" w:hAnsi="Times New Roman"/>
          <w:b/>
          <w:bCs/>
        </w:rPr>
        <w:t>pruning season</w:t>
      </w:r>
      <w:r>
        <w:rPr>
          <w:rFonts w:ascii="Times New Roman" w:hAnsi="Times New Roman"/>
          <w:b/>
          <w:bCs/>
        </w:rPr>
        <w:t xml:space="preserve"> of </w:t>
      </w:r>
      <w:r w:rsidRPr="0015754B">
        <w:rPr>
          <w:rFonts w:ascii="Times New Roman" w:hAnsi="Times New Roman"/>
          <w:b/>
          <w:bCs/>
        </w:rPr>
        <w:t>202</w:t>
      </w:r>
      <w:r>
        <w:rPr>
          <w:rFonts w:ascii="Times New Roman" w:hAnsi="Times New Roman"/>
          <w:b/>
          <w:bCs/>
        </w:rPr>
        <w:t>4 and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076"/>
        <w:gridCol w:w="3081"/>
      </w:tblGrid>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
              </w:rPr>
            </w:pPr>
            <w:r w:rsidRPr="00581182">
              <w:rPr>
                <w:rFonts w:ascii="Times New Roman" w:eastAsia="Times New Roman" w:hAnsi="Times New Roman"/>
                <w:b/>
                <w:lang w:val="en-GB"/>
              </w:rPr>
              <w:t>Reaction category</w:t>
            </w:r>
          </w:p>
        </w:tc>
        <w:tc>
          <w:tcPr>
            <w:tcW w:w="1664" w:type="pct"/>
          </w:tcPr>
          <w:p w:rsidR="00853202" w:rsidRPr="00581182" w:rsidRDefault="00853202" w:rsidP="00E4671B">
            <w:pPr>
              <w:spacing w:before="120" w:after="120" w:line="276" w:lineRule="auto"/>
              <w:rPr>
                <w:rFonts w:ascii="Times New Roman" w:hAnsi="Times New Roman"/>
                <w:b/>
              </w:rPr>
            </w:pPr>
            <w:r w:rsidRPr="00581182">
              <w:rPr>
                <w:rFonts w:ascii="Times New Roman" w:eastAsia="Times New Roman" w:hAnsi="Times New Roman"/>
                <w:b/>
                <w:lang w:val="en-GB"/>
              </w:rPr>
              <w:t>Per cent disease index</w:t>
            </w:r>
          </w:p>
        </w:tc>
        <w:tc>
          <w:tcPr>
            <w:tcW w:w="1667" w:type="pct"/>
          </w:tcPr>
          <w:p w:rsidR="00853202" w:rsidRPr="00581182" w:rsidRDefault="00853202" w:rsidP="00E4671B">
            <w:pPr>
              <w:spacing w:before="120" w:after="120" w:line="276" w:lineRule="auto"/>
              <w:jc w:val="center"/>
              <w:rPr>
                <w:rFonts w:ascii="Times New Roman" w:hAnsi="Times New Roman"/>
                <w:b/>
              </w:rPr>
            </w:pPr>
            <w:r w:rsidRPr="00581182">
              <w:rPr>
                <w:rFonts w:ascii="Times New Roman" w:hAnsi="Times New Roman"/>
                <w:b/>
              </w:rPr>
              <w:t>Variety</w:t>
            </w:r>
          </w:p>
        </w:tc>
      </w:tr>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Tolerant</w:t>
            </w:r>
          </w:p>
        </w:tc>
        <w:tc>
          <w:tcPr>
            <w:tcW w:w="1664"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0.1-5.0</w:t>
            </w:r>
          </w:p>
        </w:tc>
        <w:tc>
          <w:tcPr>
            <w:tcW w:w="1667"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Moderately tolerant</w:t>
            </w:r>
          </w:p>
        </w:tc>
        <w:tc>
          <w:tcPr>
            <w:tcW w:w="1664"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5.1-10.0</w:t>
            </w:r>
          </w:p>
        </w:tc>
        <w:tc>
          <w:tcPr>
            <w:tcW w:w="1667"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Moderately susceptible</w:t>
            </w:r>
          </w:p>
        </w:tc>
        <w:tc>
          <w:tcPr>
            <w:tcW w:w="1664"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10.1-25.0</w:t>
            </w:r>
          </w:p>
        </w:tc>
        <w:tc>
          <w:tcPr>
            <w:tcW w:w="1667"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Susceptible</w:t>
            </w:r>
          </w:p>
        </w:tc>
        <w:tc>
          <w:tcPr>
            <w:tcW w:w="1664"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25.1-50.0</w:t>
            </w:r>
          </w:p>
        </w:tc>
        <w:tc>
          <w:tcPr>
            <w:tcW w:w="1667"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hAnsi="Times New Roman"/>
                <w:bCs/>
              </w:rPr>
              <w:t>-</w:t>
            </w:r>
          </w:p>
        </w:tc>
      </w:tr>
      <w:tr w:rsidR="00853202" w:rsidRPr="00581182" w:rsidTr="00E4671B">
        <w:trPr>
          <w:trHeight w:val="20"/>
          <w:jc w:val="center"/>
        </w:trPr>
        <w:tc>
          <w:tcPr>
            <w:tcW w:w="1669" w:type="pct"/>
          </w:tcPr>
          <w:p w:rsidR="00853202" w:rsidRPr="00581182" w:rsidRDefault="00853202" w:rsidP="00E4671B">
            <w:pPr>
              <w:spacing w:before="120" w:after="120" w:line="276" w:lineRule="auto"/>
              <w:rPr>
                <w:rFonts w:ascii="Times New Roman" w:hAnsi="Times New Roman"/>
                <w:bCs/>
              </w:rPr>
            </w:pPr>
            <w:r w:rsidRPr="00581182">
              <w:rPr>
                <w:rFonts w:ascii="Times New Roman" w:eastAsia="Times New Roman" w:hAnsi="Times New Roman"/>
                <w:bCs/>
                <w:lang w:val="en-GB"/>
              </w:rPr>
              <w:t>Highly susceptible</w:t>
            </w:r>
          </w:p>
        </w:tc>
        <w:tc>
          <w:tcPr>
            <w:tcW w:w="1664" w:type="pct"/>
          </w:tcPr>
          <w:p w:rsidR="00853202" w:rsidRPr="00581182" w:rsidRDefault="00853202" w:rsidP="00E4671B">
            <w:pPr>
              <w:spacing w:before="120" w:after="120" w:line="276" w:lineRule="auto"/>
              <w:jc w:val="center"/>
              <w:rPr>
                <w:rFonts w:ascii="Times New Roman" w:hAnsi="Times New Roman"/>
                <w:bCs/>
              </w:rPr>
            </w:pPr>
            <w:r w:rsidRPr="00581182">
              <w:rPr>
                <w:rFonts w:ascii="Times New Roman" w:eastAsia="Times New Roman" w:hAnsi="Times New Roman"/>
                <w:bCs/>
                <w:lang w:val="en-GB"/>
              </w:rPr>
              <w:t>50.1 and above</w:t>
            </w:r>
          </w:p>
        </w:tc>
        <w:tc>
          <w:tcPr>
            <w:tcW w:w="1667" w:type="pct"/>
          </w:tcPr>
          <w:p w:rsidR="00853202" w:rsidRPr="00581182" w:rsidRDefault="00853202" w:rsidP="00E4671B">
            <w:pPr>
              <w:spacing w:before="120" w:after="120" w:line="276" w:lineRule="auto"/>
              <w:jc w:val="both"/>
              <w:rPr>
                <w:rFonts w:ascii="Times New Roman" w:hAnsi="Times New Roman"/>
                <w:bCs/>
              </w:rPr>
            </w:pPr>
            <w:r w:rsidRPr="00581182">
              <w:rPr>
                <w:rFonts w:ascii="Times New Roman" w:hAnsi="Times New Roman"/>
              </w:rPr>
              <w:t>Thomson Seedless,Manik Chaman,Sharad Seedless,2-A Clone, K. R. White, Manjari Naveen, Fantacy Seedless, Medica</w:t>
            </w:r>
          </w:p>
        </w:tc>
      </w:tr>
    </w:tbl>
    <w:p w:rsidR="0022160D" w:rsidRDefault="0022160D" w:rsidP="009E0258">
      <w:pPr>
        <w:spacing w:before="120" w:after="120" w:line="276" w:lineRule="auto"/>
        <w:rPr>
          <w:rFonts w:ascii="Times New Roman" w:hAnsi="Times New Roman"/>
          <w:b/>
          <w:bCs/>
        </w:rPr>
        <w:sectPr w:rsidR="0022160D" w:rsidSect="009E0258">
          <w:pgSz w:w="11906" w:h="16838"/>
          <w:pgMar w:top="1440" w:right="1440" w:bottom="1440" w:left="1440" w:header="709" w:footer="709" w:gutter="0"/>
          <w:cols w:space="708"/>
          <w:docGrid w:linePitch="360"/>
        </w:sectPr>
      </w:pPr>
    </w:p>
    <w:p w:rsidR="0022160D" w:rsidRDefault="0022160D" w:rsidP="0022160D">
      <w:pPr>
        <w:jc w:val="center"/>
        <w:rPr>
          <w:b/>
          <w:bCs/>
        </w:rPr>
      </w:pPr>
    </w:p>
    <w:tbl>
      <w:tblPr>
        <w:tblpPr w:leftFromText="180" w:rightFromText="180" w:vertAnchor="text" w:horzAnchor="page" w:tblpX="946" w:tblpY="-3"/>
        <w:tblW w:w="0" w:type="auto"/>
        <w:tblLook w:val="04A0"/>
      </w:tblPr>
      <w:tblGrid>
        <w:gridCol w:w="2834"/>
        <w:gridCol w:w="2835"/>
        <w:gridCol w:w="2835"/>
        <w:gridCol w:w="2835"/>
        <w:gridCol w:w="2835"/>
      </w:tblGrid>
      <w:tr w:rsidR="0022160D" w:rsidRPr="0022160D" w:rsidTr="0022160D">
        <w:tc>
          <w:tcPr>
            <w:tcW w:w="5582" w:type="dxa"/>
            <w:gridSpan w:val="2"/>
          </w:tcPr>
          <w:p w:rsidR="0022160D" w:rsidRPr="0022160D" w:rsidRDefault="0022160D" w:rsidP="0022160D">
            <w:pPr>
              <w:jc w:val="center"/>
              <w:rPr>
                <w:rFonts w:ascii="Times New Roman" w:hAnsi="Times New Roman"/>
                <w:b/>
              </w:rPr>
            </w:pPr>
            <w:r w:rsidRPr="0022160D">
              <w:rPr>
                <w:rFonts w:ascii="Times New Roman" w:hAnsi="Times New Roman"/>
                <w:b/>
              </w:rPr>
              <w:br w:type="page"/>
            </w:r>
            <w:r w:rsidRPr="0022160D">
              <w:rPr>
                <w:rFonts w:ascii="Times New Roman" w:hAnsi="Times New Roman"/>
                <w:b/>
                <w:noProof/>
                <w:lang w:val="en-US"/>
              </w:rPr>
              <w:drawing>
                <wp:inline distT="0" distB="0" distL="0" distR="0">
                  <wp:extent cx="2286000" cy="1371600"/>
                  <wp:effectExtent l="19050" t="19050" r="19050" b="19050"/>
                  <wp:docPr id="182985659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127555068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64" t="3584" r="15591" b="21719"/>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88062374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28" t="25375" r="16991" b="19426"/>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68503136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64" t="12044" r="6345" b="14407"/>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r>
      <w:tr w:rsidR="0022160D" w:rsidRPr="0022160D" w:rsidTr="0022160D">
        <w:tc>
          <w:tcPr>
            <w:tcW w:w="5582" w:type="dxa"/>
            <w:gridSpan w:val="2"/>
          </w:tcPr>
          <w:p w:rsidR="0022160D" w:rsidRPr="0022160D" w:rsidRDefault="0022160D" w:rsidP="0022160D">
            <w:pPr>
              <w:jc w:val="center"/>
              <w:rPr>
                <w:rFonts w:ascii="Times New Roman" w:hAnsi="Times New Roman"/>
                <w:b/>
                <w:noProof/>
              </w:rPr>
            </w:pPr>
            <w:r w:rsidRPr="0022160D">
              <w:rPr>
                <w:rFonts w:ascii="Times New Roman" w:hAnsi="Times New Roman"/>
                <w:b/>
                <w:bCs/>
                <w:noProof/>
              </w:rPr>
              <w:t>Field view</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Thompson Seedless</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2 A Clone</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Sharad Seedless</w:t>
            </w:r>
          </w:p>
        </w:tc>
      </w:tr>
      <w:tr w:rsidR="0022160D" w:rsidRPr="0022160D" w:rsidTr="0022160D">
        <w:tc>
          <w:tcPr>
            <w:tcW w:w="2791"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19237233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54" t="23943" b="5521"/>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1"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6755959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136" t="15770" r="14624" b="11685"/>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17922522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60" t="13333" r="6319" b="8818"/>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77134320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64" t="15198" r="6317" b="21577"/>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c>
          <w:tcPr>
            <w:tcW w:w="2792" w:type="dxa"/>
          </w:tcPr>
          <w:p w:rsidR="0022160D" w:rsidRPr="0022160D" w:rsidRDefault="0022160D" w:rsidP="0022160D">
            <w:pPr>
              <w:jc w:val="center"/>
              <w:rPr>
                <w:rFonts w:ascii="Times New Roman" w:hAnsi="Times New Roman"/>
                <w:b/>
              </w:rPr>
            </w:pPr>
            <w:r w:rsidRPr="0022160D">
              <w:rPr>
                <w:rFonts w:ascii="Times New Roman" w:hAnsi="Times New Roman"/>
                <w:b/>
                <w:noProof/>
                <w:lang w:val="en-US"/>
              </w:rPr>
              <w:drawing>
                <wp:inline distT="0" distB="0" distL="0" distR="0">
                  <wp:extent cx="1647825" cy="1371600"/>
                  <wp:effectExtent l="19050" t="19050" r="28575" b="19050"/>
                  <wp:docPr id="17969012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97" t="10919" r="16136" b="10919"/>
                          <a:stretch>
                            <a:fillRect/>
                          </a:stretch>
                        </pic:blipFill>
                        <pic:spPr bwMode="auto">
                          <a:xfrm>
                            <a:off x="0" y="0"/>
                            <a:ext cx="1647825" cy="1371600"/>
                          </a:xfrm>
                          <a:prstGeom prst="rect">
                            <a:avLst/>
                          </a:prstGeom>
                          <a:noFill/>
                          <a:ln w="12700" cmpd="sng">
                            <a:solidFill>
                              <a:srgbClr val="000000"/>
                            </a:solidFill>
                            <a:miter lim="800000"/>
                            <a:headEnd/>
                            <a:tailEnd/>
                          </a:ln>
                          <a:effectLst/>
                        </pic:spPr>
                      </pic:pic>
                    </a:graphicData>
                  </a:graphic>
                </wp:inline>
              </w:drawing>
            </w:r>
          </w:p>
        </w:tc>
      </w:tr>
      <w:tr w:rsidR="0022160D" w:rsidRPr="0022160D" w:rsidTr="0022160D">
        <w:tc>
          <w:tcPr>
            <w:tcW w:w="2791"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Manjari Naveen</w:t>
            </w:r>
          </w:p>
        </w:tc>
        <w:tc>
          <w:tcPr>
            <w:tcW w:w="2791"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Medica</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Fantacy Seedless</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K. R. White</w:t>
            </w:r>
          </w:p>
        </w:tc>
        <w:tc>
          <w:tcPr>
            <w:tcW w:w="2792" w:type="dxa"/>
          </w:tcPr>
          <w:p w:rsidR="0022160D" w:rsidRPr="0022160D" w:rsidRDefault="0022160D" w:rsidP="0022160D">
            <w:pPr>
              <w:jc w:val="center"/>
              <w:rPr>
                <w:rFonts w:ascii="Times New Roman" w:hAnsi="Times New Roman"/>
                <w:b/>
                <w:noProof/>
              </w:rPr>
            </w:pPr>
            <w:r w:rsidRPr="0022160D">
              <w:rPr>
                <w:rFonts w:ascii="Times New Roman" w:hAnsi="Times New Roman"/>
                <w:b/>
                <w:bCs/>
                <w:noProof/>
              </w:rPr>
              <w:t>Manik Chaman</w:t>
            </w:r>
          </w:p>
        </w:tc>
      </w:tr>
    </w:tbl>
    <w:p w:rsidR="0022160D" w:rsidRPr="0022160D" w:rsidRDefault="0022160D" w:rsidP="0022160D">
      <w:pPr>
        <w:jc w:val="center"/>
        <w:rPr>
          <w:rFonts w:ascii="Times New Roman" w:hAnsi="Times New Roman"/>
          <w:b/>
        </w:rPr>
      </w:pPr>
    </w:p>
    <w:p w:rsidR="0022160D" w:rsidRPr="0022160D" w:rsidRDefault="0022160D" w:rsidP="0022160D">
      <w:pPr>
        <w:jc w:val="center"/>
        <w:rPr>
          <w:rFonts w:ascii="Times New Roman" w:hAnsi="Times New Roman"/>
          <w:b/>
        </w:rPr>
      </w:pPr>
      <w:r w:rsidRPr="0022160D">
        <w:rPr>
          <w:rFonts w:ascii="Times New Roman" w:hAnsi="Times New Roman"/>
          <w:b/>
          <w:bCs/>
        </w:rPr>
        <w:t xml:space="preserve">Plate </w:t>
      </w:r>
      <w:r>
        <w:rPr>
          <w:rFonts w:ascii="Times New Roman" w:hAnsi="Times New Roman"/>
          <w:b/>
          <w:bCs/>
        </w:rPr>
        <w:t>1</w:t>
      </w:r>
      <w:r w:rsidRPr="0022160D">
        <w:rPr>
          <w:rFonts w:ascii="Times New Roman" w:hAnsi="Times New Roman"/>
          <w:b/>
          <w:bCs/>
        </w:rPr>
        <w:t xml:space="preserve">. Response of grape varieties against anthracnose under natural conditions during </w:t>
      </w:r>
      <w:r w:rsidRPr="0022160D">
        <w:rPr>
          <w:rFonts w:ascii="Times New Roman" w:hAnsi="Times New Roman"/>
          <w:b/>
          <w:bCs/>
          <w:i/>
          <w:iCs/>
        </w:rPr>
        <w:t>Kharif</w:t>
      </w:r>
      <w:r w:rsidRPr="0022160D">
        <w:rPr>
          <w:rFonts w:ascii="Times New Roman" w:hAnsi="Times New Roman"/>
          <w:b/>
          <w:bCs/>
        </w:rPr>
        <w:t xml:space="preserve"> 2025 </w:t>
      </w:r>
    </w:p>
    <w:p w:rsidR="0022160D" w:rsidRPr="0022160D" w:rsidRDefault="0022160D" w:rsidP="0022160D">
      <w:pPr>
        <w:jc w:val="center"/>
        <w:rPr>
          <w:rFonts w:ascii="Times New Roman" w:hAnsi="Times New Roman"/>
          <w:b/>
        </w:rPr>
      </w:pPr>
    </w:p>
    <w:p w:rsidR="00853202" w:rsidRPr="0022160D" w:rsidRDefault="00853202" w:rsidP="009E0258">
      <w:pPr>
        <w:spacing w:before="120" w:after="120" w:line="276" w:lineRule="auto"/>
        <w:rPr>
          <w:rFonts w:ascii="Times New Roman" w:hAnsi="Times New Roman"/>
          <w:b/>
          <w:bCs/>
        </w:rPr>
      </w:pPr>
    </w:p>
    <w:sectPr w:rsidR="00853202" w:rsidRPr="0022160D" w:rsidSect="0022160D">
      <w:pgSz w:w="16838" w:h="11906" w:orient="landscape"/>
      <w:pgMar w:top="1440" w:right="1440" w:bottom="1440" w:left="1440"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5-12-21T13:34:00Z" w:initials="H">
    <w:p w:rsidR="00FD3BA6" w:rsidRDefault="00FD3BA6">
      <w:pPr>
        <w:pStyle w:val="CommentText"/>
      </w:pPr>
      <w:r>
        <w:rPr>
          <w:rStyle w:val="CommentReference"/>
        </w:rPr>
        <w:annotationRef/>
      </w:r>
      <w:r>
        <w:t xml:space="preserve">   </w:t>
      </w:r>
      <w:r>
        <w:rPr>
          <w:rFonts w:ascii="Segoe UI" w:hAnsi="Segoe UI" w:cs="Segoe UI"/>
          <w:color w:val="0F1115"/>
          <w:sz w:val="23"/>
          <w:szCs w:val="23"/>
          <w:shd w:val="clear" w:color="auto" w:fill="FFFFFF"/>
        </w:rPr>
        <w:t>anthracnose "significantly reduce 80-100 per cent yield." Consider rephrasing for precision, for example: "...can lead to yield losses of 80-100% under favorable conditions" or "is responsible for yield losses of up to 80-100%." This aligns better with the cited global data (e.g., Anderson, 1956)</w:t>
      </w:r>
    </w:p>
  </w:comment>
  <w:comment w:id="1" w:author="HP" w:date="2025-12-21T13:38:00Z" w:initials="H">
    <w:p w:rsidR="00FD3BA6" w:rsidRDefault="00FD3BA6" w:rsidP="00FD3BA6">
      <w:pPr>
        <w:pStyle w:val="ds-markdown-paragraph"/>
        <w:numPr>
          <w:ilvl w:val="0"/>
          <w:numId w:val="3"/>
        </w:numPr>
        <w:shd w:val="clear" w:color="auto" w:fill="FFFFFF"/>
        <w:spacing w:after="0" w:afterAutospacing="0"/>
        <w:ind w:left="0"/>
        <w:rPr>
          <w:rFonts w:ascii="Segoe UI" w:hAnsi="Segoe UI" w:cs="Segoe UI"/>
          <w:color w:val="0F1115"/>
          <w:sz w:val="23"/>
          <w:szCs w:val="23"/>
        </w:rPr>
      </w:pPr>
      <w:r>
        <w:rPr>
          <w:rStyle w:val="CommentReference"/>
        </w:rPr>
        <w:annotationRef/>
      </w:r>
      <w:r>
        <w:t xml:space="preserve">  </w:t>
      </w:r>
      <w:r>
        <w:rPr>
          <w:rFonts w:ascii="Segoe UI" w:hAnsi="Segoe UI" w:cs="Segoe UI"/>
          <w:color w:val="0F1115"/>
          <w:sz w:val="23"/>
          <w:szCs w:val="23"/>
        </w:rPr>
        <w:t>The citation </w:t>
      </w:r>
      <w:r>
        <w:rPr>
          <w:rStyle w:val="HTMLCode"/>
          <w:rFonts w:ascii="var(--ds-font-family-code)" w:hAnsi="var(--ds-font-family-code)"/>
          <w:color w:val="0F1115"/>
        </w:rPr>
        <w:t>Roger and Goheen, 1998</w:t>
      </w:r>
      <w:r>
        <w:rPr>
          <w:rFonts w:ascii="Segoe UI" w:hAnsi="Segoe UI" w:cs="Segoe UI"/>
          <w:color w:val="0F1115"/>
          <w:sz w:val="23"/>
          <w:szCs w:val="23"/>
        </w:rPr>
        <w:t> appears to be a slight error. The provided reference list and URL content show </w:t>
      </w:r>
      <w:r>
        <w:rPr>
          <w:rStyle w:val="HTMLCode"/>
          <w:rFonts w:ascii="var(--ds-font-family-code)" w:hAnsi="var(--ds-font-family-code)"/>
          <w:color w:val="0F1115"/>
        </w:rPr>
        <w:t>Pearson, R.C., &amp; Goheen, A.C. (1988). Compendium of grape diseases.</w:t>
      </w:r>
      <w:r>
        <w:rPr>
          <w:rFonts w:ascii="Segoe UI" w:hAnsi="Segoe UI" w:cs="Segoe UI"/>
          <w:color w:val="0F1115"/>
          <w:sz w:val="23"/>
          <w:szCs w:val="23"/>
        </w:rPr>
        <w:t> Please correct the in-text citation to match the reference list (Pearson &amp; Goheen, 1988).</w:t>
      </w:r>
    </w:p>
    <w:p w:rsidR="00FD3BA6" w:rsidRDefault="00FD3BA6">
      <w:pPr>
        <w:pStyle w:val="CommentText"/>
      </w:pPr>
    </w:p>
  </w:comment>
  <w:comment w:id="2" w:author="HP" w:date="2025-12-21T13:37:00Z" w:initials="H">
    <w:p w:rsidR="00FD3BA6" w:rsidRDefault="00FD3BA6">
      <w:pPr>
        <w:pStyle w:val="CommentText"/>
      </w:pPr>
      <w:r>
        <w:rPr>
          <w:rStyle w:val="CommentReference"/>
        </w:rPr>
        <w:annotationRef/>
      </w:r>
      <w:r>
        <w:t xml:space="preserve">  </w:t>
      </w:r>
      <w:r>
        <w:rPr>
          <w:rFonts w:ascii="Segoe UI" w:hAnsi="Segoe UI" w:cs="Segoe UI"/>
          <w:color w:val="0F1115"/>
          <w:sz w:val="23"/>
          <w:szCs w:val="23"/>
          <w:shd w:val="clear" w:color="auto" w:fill="FFFFFF"/>
        </w:rPr>
        <w:t>This repeats the opening sentence of the Abstract. Please revise or remove the redundancy.</w:t>
      </w:r>
    </w:p>
  </w:comment>
  <w:comment w:id="4" w:author="HP" w:date="2025-12-21T13:38:00Z" w:initials="H">
    <w:p w:rsidR="00FD3BA6" w:rsidRDefault="00FD3BA6">
      <w:pPr>
        <w:pStyle w:val="CommentText"/>
      </w:pPr>
      <w:r>
        <w:rPr>
          <w:rStyle w:val="CommentReference"/>
        </w:rPr>
        <w:annotationRef/>
      </w:r>
      <w:r>
        <w:t xml:space="preserve">Separate  words or sentence,  please </w:t>
      </w:r>
    </w:p>
  </w:comment>
  <w:comment w:id="5" w:author="HP" w:date="2025-12-21T13:39:00Z" w:initials="H">
    <w:p w:rsidR="00FD3BA6" w:rsidRPr="00FD3BA6" w:rsidRDefault="00FD3BA6">
      <w:pPr>
        <w:pStyle w:val="CommentText"/>
      </w:pPr>
      <w:r>
        <w:rPr>
          <w:rStyle w:val="CommentReference"/>
        </w:rPr>
        <w:annotationRef/>
      </w:r>
      <w:r w:rsidRPr="00FD3BA6">
        <w:t xml:space="preserve">Separate words </w:t>
      </w:r>
      <w:r>
        <w:t xml:space="preserve">  …..</w:t>
      </w:r>
    </w:p>
  </w:comment>
  <w:comment w:id="6" w:author="HP" w:date="2025-12-21T13:40:00Z" w:initials="H">
    <w:p w:rsidR="008F4342" w:rsidRDefault="008F4342">
      <w:pPr>
        <w:pStyle w:val="CommentText"/>
      </w:pPr>
      <w:r>
        <w:rPr>
          <w:rStyle w:val="CommentReference"/>
        </w:rPr>
        <w:annotationRef/>
      </w:r>
      <w:r>
        <w:t xml:space="preserve">Separate words </w:t>
      </w:r>
    </w:p>
  </w:comment>
  <w:comment w:id="7" w:author="HP" w:date="2025-12-21T13:42:00Z" w:initials="H">
    <w:p w:rsidR="008F4342" w:rsidRDefault="008F4342" w:rsidP="008F4342">
      <w:pPr>
        <w:pStyle w:val="ds-markdown-paragraph"/>
        <w:numPr>
          <w:ilvl w:val="0"/>
          <w:numId w:val="4"/>
        </w:numPr>
        <w:shd w:val="clear" w:color="auto" w:fill="FFFFFF"/>
        <w:spacing w:after="0" w:afterAutospacing="0"/>
        <w:ind w:left="0"/>
        <w:rPr>
          <w:rFonts w:ascii="Segoe UI" w:hAnsi="Segoe UI" w:cs="Segoe UI"/>
          <w:color w:val="0F1115"/>
          <w:sz w:val="23"/>
          <w:szCs w:val="23"/>
        </w:rPr>
      </w:pPr>
      <w:r>
        <w:rPr>
          <w:rStyle w:val="CommentReference"/>
        </w:rPr>
        <w:annotationRef/>
      </w:r>
      <w:r>
        <w:t xml:space="preserve">   </w:t>
      </w:r>
      <w:r>
        <w:rPr>
          <w:rStyle w:val="Strong"/>
          <w:rFonts w:ascii="Segoe UI" w:hAnsi="Segoe UI" w:cs="Segoe UI"/>
          <w:color w:val="0F1115"/>
          <w:sz w:val="23"/>
          <w:szCs w:val="23"/>
        </w:rPr>
        <w:t>Clarify "Natural Epiphytotic Conditions"</w:t>
      </w:r>
      <w:r>
        <w:rPr>
          <w:rFonts w:ascii="Segoe UI" w:hAnsi="Segoe UI" w:cs="Segoe UI"/>
          <w:color w:val="0F1115"/>
          <w:sz w:val="23"/>
          <w:szCs w:val="23"/>
        </w:rPr>
        <w:t>: The study's strength is its field relevance. Briefly describing the </w:t>
      </w:r>
      <w:r>
        <w:rPr>
          <w:rStyle w:val="Strong"/>
          <w:rFonts w:ascii="Segoe UI" w:hAnsi="Segoe UI" w:cs="Segoe UI"/>
          <w:color w:val="0F1115"/>
          <w:sz w:val="23"/>
          <w:szCs w:val="23"/>
        </w:rPr>
        <w:t>key environmental conditions</w:t>
      </w:r>
      <w:r>
        <w:rPr>
          <w:rFonts w:ascii="Segoe UI" w:hAnsi="Segoe UI" w:cs="Segoe UI"/>
          <w:color w:val="0F1115"/>
          <w:sz w:val="23"/>
          <w:szCs w:val="23"/>
        </w:rPr>
        <w:t> (e.g., average temperature, rainfall/humidity during the assessment periods in 2024 &amp; 2025) would help readers understand the disease pressure and allow for better comparison with studies from other regions. This context is vital.</w:t>
      </w:r>
    </w:p>
    <w:p w:rsidR="008F4342" w:rsidRDefault="008F4342">
      <w:pPr>
        <w:pStyle w:val="CommentText"/>
      </w:pPr>
    </w:p>
  </w:comment>
  <w:comment w:id="8" w:author="HP" w:date="2025-12-21T13:46:00Z" w:initials="H">
    <w:p w:rsidR="008F4342" w:rsidRDefault="008F4342" w:rsidP="008F4342">
      <w:pPr>
        <w:pStyle w:val="ds-markdown-paragraph"/>
        <w:numPr>
          <w:ilvl w:val="0"/>
          <w:numId w:val="6"/>
        </w:numPr>
        <w:shd w:val="clear" w:color="auto" w:fill="FFFFFF"/>
        <w:spacing w:after="0" w:afterAutospacing="0"/>
        <w:ind w:left="0"/>
        <w:rPr>
          <w:rFonts w:ascii="Segoe UI" w:hAnsi="Segoe UI" w:cs="Segoe UI"/>
          <w:color w:val="0F1115"/>
          <w:sz w:val="23"/>
          <w:szCs w:val="23"/>
        </w:rPr>
      </w:pPr>
      <w:r>
        <w:rPr>
          <w:rStyle w:val="CommentReference"/>
        </w:rPr>
        <w:annotationRef/>
      </w:r>
      <w:r>
        <w:t xml:space="preserve">   </w:t>
      </w:r>
      <w:r>
        <w:rPr>
          <w:rStyle w:val="Strong"/>
          <w:rFonts w:ascii="Segoe UI" w:hAnsi="Segoe UI" w:cs="Segoe UI"/>
          <w:color w:val="0F1115"/>
          <w:sz w:val="23"/>
          <w:szCs w:val="23"/>
        </w:rPr>
        <w:t>Deepen the Discussion on "Varietal Differences"</w:t>
      </w:r>
      <w:r>
        <w:rPr>
          <w:rFonts w:ascii="Segoe UI" w:hAnsi="Segoe UI" w:cs="Segoe UI"/>
          <w:color w:val="0F1115"/>
          <w:sz w:val="23"/>
          <w:szCs w:val="23"/>
        </w:rPr>
        <w:t>: The conclusion mentions "varietal differences." The discussion could briefly expand on this by </w:t>
      </w:r>
      <w:r>
        <w:rPr>
          <w:rStyle w:val="Strong"/>
          <w:rFonts w:ascii="Segoe UI" w:hAnsi="Segoe UI" w:cs="Segoe UI"/>
          <w:color w:val="0F1115"/>
          <w:sz w:val="23"/>
          <w:szCs w:val="23"/>
        </w:rPr>
        <w:t>highlighting the potential of the least susceptible varieties</w:t>
      </w:r>
      <w:r>
        <w:rPr>
          <w:rFonts w:ascii="Segoe UI" w:hAnsi="Segoe UI" w:cs="Segoe UI"/>
          <w:color w:val="0F1115"/>
          <w:sz w:val="23"/>
          <w:szCs w:val="23"/>
        </w:rPr>
        <w:t> (Fantacy Seedless, Medica). While still "highly susceptible," their slower progression and lower PDI could be noted as a starting point for further investigation or integrated management strategies.</w:t>
      </w:r>
    </w:p>
    <w:p w:rsidR="008F4342" w:rsidRDefault="008F4342">
      <w:pPr>
        <w:pStyle w:val="CommentText"/>
      </w:pPr>
    </w:p>
  </w:comment>
  <w:comment w:id="10" w:author="HP" w:date="2025-12-21T13:48:00Z" w:initials="H">
    <w:p w:rsidR="008F4342" w:rsidRDefault="008F4342" w:rsidP="008F4342">
      <w:pPr>
        <w:pStyle w:val="ds-markdown-paragraph"/>
        <w:numPr>
          <w:ilvl w:val="0"/>
          <w:numId w:val="7"/>
        </w:numPr>
        <w:shd w:val="clear" w:color="auto" w:fill="FFFFFF"/>
        <w:spacing w:after="0" w:afterAutospacing="0"/>
        <w:ind w:left="0"/>
        <w:rPr>
          <w:rFonts w:ascii="Segoe UI" w:hAnsi="Segoe UI" w:cs="Segoe UI"/>
          <w:color w:val="0F1115"/>
          <w:sz w:val="23"/>
          <w:szCs w:val="23"/>
        </w:rPr>
      </w:pPr>
      <w:r>
        <w:rPr>
          <w:rStyle w:val="CommentReference"/>
        </w:rPr>
        <w:annotationRef/>
      </w:r>
      <w:r>
        <w:t xml:space="preserve">   </w:t>
      </w:r>
      <w:r>
        <w:rPr>
          <w:rFonts w:ascii="Segoe UI" w:hAnsi="Segoe UI" w:cs="Segoe UI"/>
          <w:color w:val="0F1115"/>
          <w:sz w:val="23"/>
          <w:szCs w:val="23"/>
        </w:rPr>
        <w:t>Update the </w:t>
      </w:r>
      <w:r>
        <w:rPr>
          <w:rStyle w:val="HTMLCode"/>
          <w:rFonts w:ascii="var(--ds-font-family-code)" w:hAnsi="var(--ds-font-family-code)"/>
          <w:color w:val="0F1115"/>
        </w:rPr>
        <w:t>Anonymous, 2024</w:t>
      </w:r>
      <w:r>
        <w:rPr>
          <w:rFonts w:ascii="Segoe UI" w:hAnsi="Segoe UI" w:cs="Segoe UI"/>
          <w:color w:val="0F1115"/>
          <w:sz w:val="23"/>
          <w:szCs w:val="23"/>
        </w:rPr>
        <w:t> citation. The linked </w:t>
      </w:r>
      <w:r>
        <w:rPr>
          <w:rStyle w:val="HTMLCode"/>
          <w:rFonts w:ascii="var(--ds-font-family-code)" w:hAnsi="var(--ds-font-family-code)"/>
          <w:color w:val="0F1115"/>
        </w:rPr>
        <w:t>indiastat.com</w:t>
      </w:r>
      <w:r>
        <w:rPr>
          <w:rFonts w:ascii="Segoe UI" w:hAnsi="Segoe UI" w:cs="Segoe UI"/>
          <w:color w:val="0F1115"/>
          <w:sz w:val="23"/>
          <w:szCs w:val="23"/>
        </w:rPr>
        <w:t> URL is a general portal, not a direct link to the grape production data. A more specific source or report title would be ideal.</w:t>
      </w:r>
    </w:p>
    <w:p w:rsidR="008F4342" w:rsidRDefault="008F4342" w:rsidP="008F4342">
      <w:pPr>
        <w:pStyle w:val="ds-markdown-paragraph"/>
        <w:numPr>
          <w:ilvl w:val="0"/>
          <w:numId w:val="7"/>
        </w:numPr>
        <w:shd w:val="clear" w:color="auto" w:fill="FFFFFF"/>
        <w:spacing w:after="0" w:afterAutospacing="0"/>
        <w:ind w:left="0"/>
        <w:rPr>
          <w:rFonts w:ascii="Segoe UI" w:hAnsi="Segoe UI" w:cs="Segoe UI"/>
          <w:color w:val="0F1115"/>
          <w:sz w:val="23"/>
          <w:szCs w:val="23"/>
        </w:rPr>
      </w:pPr>
      <w:r>
        <w:rPr>
          <w:rFonts w:ascii="Segoe UI" w:hAnsi="Segoe UI" w:cs="Segoe UI"/>
          <w:color w:val="0F1115"/>
          <w:sz w:val="23"/>
          <w:szCs w:val="23"/>
        </w:rPr>
        <w:t>As noted above, correct </w:t>
      </w:r>
      <w:r>
        <w:rPr>
          <w:rStyle w:val="HTMLCode"/>
          <w:rFonts w:ascii="var(--ds-font-family-code)" w:hAnsi="var(--ds-font-family-code)"/>
          <w:color w:val="0F1115"/>
        </w:rPr>
        <w:t>Roger and Goheen, 1998</w:t>
      </w:r>
      <w:r>
        <w:rPr>
          <w:rFonts w:ascii="Segoe UI" w:hAnsi="Segoe UI" w:cs="Segoe UI"/>
          <w:color w:val="0F1115"/>
          <w:sz w:val="23"/>
          <w:szCs w:val="23"/>
        </w:rPr>
        <w:t> to </w:t>
      </w:r>
      <w:r>
        <w:rPr>
          <w:rStyle w:val="HTMLCode"/>
          <w:rFonts w:ascii="var(--ds-font-family-code)" w:hAnsi="var(--ds-font-family-code)"/>
          <w:color w:val="0F1115"/>
        </w:rPr>
        <w:t>Pearson and Goheen, 1988</w:t>
      </w:r>
      <w:r>
        <w:rPr>
          <w:rFonts w:ascii="Segoe UI" w:hAnsi="Segoe UI" w:cs="Segoe UI"/>
          <w:color w:val="0F1115"/>
          <w:sz w:val="23"/>
          <w:szCs w:val="23"/>
        </w:rPr>
        <w:t>.</w:t>
      </w:r>
    </w:p>
    <w:p w:rsidR="008F4342" w:rsidRDefault="008F4342" w:rsidP="008F4342">
      <w:pPr>
        <w:pStyle w:val="ds-markdown-paragraph"/>
        <w:numPr>
          <w:ilvl w:val="0"/>
          <w:numId w:val="7"/>
        </w:numPr>
        <w:shd w:val="clear" w:color="auto" w:fill="FFFFFF"/>
        <w:spacing w:after="0" w:afterAutospacing="0"/>
        <w:ind w:left="0"/>
        <w:rPr>
          <w:rFonts w:ascii="Segoe UI" w:hAnsi="Segoe UI" w:cs="Segoe UI"/>
          <w:color w:val="0F1115"/>
          <w:sz w:val="23"/>
          <w:szCs w:val="23"/>
        </w:rPr>
      </w:pPr>
      <w:r>
        <w:rPr>
          <w:rFonts w:ascii="Segoe UI" w:hAnsi="Segoe UI" w:cs="Segoe UI"/>
          <w:color w:val="0F1115"/>
          <w:sz w:val="23"/>
          <w:szCs w:val="23"/>
        </w:rPr>
        <w:t>The reference for </w:t>
      </w:r>
      <w:r>
        <w:rPr>
          <w:rStyle w:val="HTMLCode"/>
          <w:rFonts w:ascii="var(--ds-font-family-code)" w:hAnsi="var(--ds-font-family-code)"/>
          <w:color w:val="0F1115"/>
        </w:rPr>
        <w:t>Winkler (1965)</w:t>
      </w:r>
      <w:r>
        <w:rPr>
          <w:rFonts w:ascii="Segoe UI" w:hAnsi="Segoe UI" w:cs="Segoe UI"/>
          <w:color w:val="0F1115"/>
          <w:sz w:val="23"/>
          <w:szCs w:val="23"/>
        </w:rPr>
        <w:t> is listed as </w:t>
      </w:r>
      <w:r>
        <w:rPr>
          <w:rStyle w:val="HTMLCode"/>
          <w:rFonts w:ascii="var(--ds-font-family-code)" w:hAnsi="var(--ds-font-family-code)"/>
          <w:color w:val="0F1115"/>
        </w:rPr>
        <w:t>Winkler et al., 1974</w:t>
      </w:r>
      <w:r>
        <w:rPr>
          <w:rFonts w:ascii="Segoe UI" w:hAnsi="Segoe UI" w:cs="Segoe UI"/>
          <w:color w:val="0F1115"/>
          <w:sz w:val="23"/>
          <w:szCs w:val="23"/>
        </w:rPr>
        <w:t> in the list. Please ensure the in-text year and the reference list entry are consistent.</w:t>
      </w:r>
    </w:p>
    <w:p w:rsidR="008F4342" w:rsidRDefault="008F4342">
      <w:pPr>
        <w:pStyle w:val="CommentText"/>
      </w:pPr>
    </w:p>
  </w:comment>
  <w:comment w:id="11" w:author="HP" w:date="2025-12-21T13:48:00Z" w:initials="H">
    <w:p w:rsidR="008F4342" w:rsidRDefault="008F4342">
      <w:pPr>
        <w:pStyle w:val="CommentText"/>
        <w:rPr>
          <w:rFonts w:ascii="Segoe UI" w:hAnsi="Segoe UI" w:cs="Segoe UI"/>
          <w:color w:val="0F1115"/>
          <w:sz w:val="23"/>
          <w:szCs w:val="23"/>
          <w:shd w:val="clear" w:color="auto" w:fill="FFFFFF"/>
        </w:rPr>
      </w:pPr>
      <w:r>
        <w:rPr>
          <w:rStyle w:val="CommentReference"/>
        </w:rPr>
        <w:annotationRef/>
      </w:r>
      <w:r>
        <w:t xml:space="preserve">   </w:t>
      </w:r>
      <w:r>
        <w:rPr>
          <w:rFonts w:ascii="Segoe UI" w:hAnsi="Segoe UI" w:cs="Segoe UI"/>
          <w:color w:val="0F1115"/>
          <w:sz w:val="23"/>
          <w:szCs w:val="23"/>
          <w:shd w:val="clear" w:color="auto" w:fill="FFFFFF"/>
        </w:rPr>
        <w:t>One key citation</w:t>
      </w:r>
    </w:p>
    <w:p w:rsidR="008F4342" w:rsidRDefault="008F4342">
      <w:pPr>
        <w:pStyle w:val="CommentText"/>
      </w:pPr>
      <w:r>
        <w:rPr>
          <w:rFonts w:ascii="Segoe UI" w:hAnsi="Segoe UI" w:cs="Segoe UI"/>
          <w:color w:val="0F1115"/>
          <w:sz w:val="23"/>
          <w:szCs w:val="23"/>
          <w:shd w:val="clear" w:color="auto" w:fill="FFFFFF"/>
        </w:rPr>
        <w:t xml:space="preserve"> (</w:t>
      </w:r>
      <w:r>
        <w:rPr>
          <w:rStyle w:val="HTMLCode"/>
          <w:rFonts w:ascii="var(--ds-font-family-code)" w:eastAsia="Aptos" w:hAnsi="var(--ds-font-family-code)"/>
          <w:color w:val="0F1115"/>
        </w:rPr>
        <w:t>Shetty et al., 2015</w:t>
      </w:r>
      <w:r>
        <w:rPr>
          <w:rFonts w:ascii="Segoe UI" w:hAnsi="Segoe UI" w:cs="Segoe UI"/>
          <w:color w:val="0F1115"/>
          <w:sz w:val="23"/>
          <w:szCs w:val="23"/>
          <w:shd w:val="clear" w:color="auto" w:fill="FFFFFF"/>
        </w:rPr>
        <w:t>) could not be accessed via the provided link. Ensure this reference is fully accessible for reviewers.</w:t>
      </w:r>
    </w:p>
  </w:comment>
  <w:comment w:id="12" w:author="HP" w:date="2025-12-21T13:45:00Z" w:initials="H">
    <w:p w:rsidR="008F4342" w:rsidRDefault="008F4342" w:rsidP="008F4342">
      <w:pPr>
        <w:pStyle w:val="ds-markdown-paragraph"/>
        <w:numPr>
          <w:ilvl w:val="0"/>
          <w:numId w:val="5"/>
        </w:numPr>
        <w:shd w:val="clear" w:color="auto" w:fill="FFFFFF"/>
        <w:spacing w:after="0" w:afterAutospacing="0"/>
        <w:ind w:left="0"/>
        <w:rPr>
          <w:rFonts w:ascii="Segoe UI" w:hAnsi="Segoe UI" w:cs="Segoe UI"/>
          <w:color w:val="0F1115"/>
          <w:sz w:val="23"/>
          <w:szCs w:val="23"/>
        </w:rPr>
      </w:pPr>
      <w:r>
        <w:rPr>
          <w:rStyle w:val="CommentReference"/>
        </w:rPr>
        <w:annotationRef/>
      </w:r>
      <w:r>
        <w:t xml:space="preserve">  </w:t>
      </w:r>
      <w:r>
        <w:rPr>
          <w:rStyle w:val="Strong"/>
          <w:rFonts w:ascii="Segoe UI" w:hAnsi="Segoe UI" w:cs="Segoe UI"/>
          <w:color w:val="0F1115"/>
          <w:sz w:val="23"/>
          <w:szCs w:val="23"/>
        </w:rPr>
        <w:t>Table 1 Note</w:t>
      </w:r>
      <w:r>
        <w:rPr>
          <w:rFonts w:ascii="Segoe UI" w:hAnsi="Segoe UI" w:cs="Segoe UI"/>
          <w:color w:val="0F1115"/>
          <w:sz w:val="23"/>
          <w:szCs w:val="23"/>
        </w:rPr>
        <w:t xml:space="preserve">: Add a footnote to Table 1 explaining that PDI values in parentheses are percentages. </w:t>
      </w:r>
    </w:p>
    <w:p w:rsidR="008F4342" w:rsidRDefault="008F4342" w:rsidP="008F4342">
      <w:pPr>
        <w:pStyle w:val="ds-markdown-paragraph"/>
        <w:shd w:val="clear" w:color="auto" w:fill="FFFFFF"/>
        <w:spacing w:after="0" w:afterAutospacing="0"/>
        <w:rPr>
          <w:rFonts w:ascii="Segoe UI" w:hAnsi="Segoe UI" w:cs="Segoe UI"/>
          <w:color w:val="0F1115"/>
          <w:sz w:val="23"/>
          <w:szCs w:val="23"/>
        </w:rPr>
      </w:pPr>
    </w:p>
    <w:p w:rsidR="008F4342" w:rsidRDefault="008F4342" w:rsidP="008F4342">
      <w:pPr>
        <w:pStyle w:val="ds-markdown-paragraph"/>
        <w:numPr>
          <w:ilvl w:val="0"/>
          <w:numId w:val="5"/>
        </w:numPr>
        <w:shd w:val="clear" w:color="auto" w:fill="FFFFFF"/>
        <w:spacing w:after="0" w:afterAutospacing="0"/>
        <w:ind w:left="0"/>
        <w:rPr>
          <w:rFonts w:ascii="Segoe UI" w:hAnsi="Segoe UI" w:cs="Segoe UI"/>
          <w:color w:val="0F1115"/>
          <w:sz w:val="23"/>
          <w:szCs w:val="23"/>
        </w:rPr>
      </w:pPr>
      <w:r>
        <w:rPr>
          <w:rFonts w:ascii="Segoe UI" w:hAnsi="Segoe UI" w:cs="Segoe UI"/>
          <w:color w:val="0F1115"/>
          <w:sz w:val="23"/>
          <w:szCs w:val="23"/>
        </w:rPr>
        <w:t>The column header "PDI (Apr. 2024)" is clear.</w:t>
      </w:r>
    </w:p>
    <w:p w:rsidR="008F4342" w:rsidRDefault="008F4342">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F85" w:rsidRDefault="00F06F85" w:rsidP="00ED70EB">
      <w:pPr>
        <w:spacing w:after="0" w:line="240" w:lineRule="auto"/>
      </w:pPr>
      <w:r>
        <w:separator/>
      </w:r>
    </w:p>
  </w:endnote>
  <w:endnote w:type="continuationSeparator" w:id="1">
    <w:p w:rsidR="00F06F85" w:rsidRDefault="00F06F85" w:rsidP="00ED7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ar(--ds-font-family-cod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F85" w:rsidRDefault="00F06F85" w:rsidP="00ED70EB">
      <w:pPr>
        <w:spacing w:after="0" w:line="240" w:lineRule="auto"/>
      </w:pPr>
      <w:r>
        <w:separator/>
      </w:r>
    </w:p>
  </w:footnote>
  <w:footnote w:type="continuationSeparator" w:id="1">
    <w:p w:rsidR="00F06F85" w:rsidRDefault="00F06F85" w:rsidP="00ED70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2E" w:rsidRDefault="00DE1FD5">
    <w:pPr>
      <w:pStyle w:val="Header"/>
    </w:pPr>
    <w:r w:rsidRPr="00DE1FD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2E" w:rsidRDefault="00DE1FD5">
    <w:pPr>
      <w:pStyle w:val="Header"/>
    </w:pPr>
    <w:r w:rsidRPr="00DE1FD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B2E" w:rsidRDefault="00DE1FD5">
    <w:pPr>
      <w:pStyle w:val="Header"/>
    </w:pPr>
    <w:r w:rsidRPr="00DE1FD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378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32A7"/>
    <w:multiLevelType w:val="multilevel"/>
    <w:tmpl w:val="D650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A02016"/>
    <w:multiLevelType w:val="multilevel"/>
    <w:tmpl w:val="2D78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EE1392"/>
    <w:multiLevelType w:val="hybridMultilevel"/>
    <w:tmpl w:val="FBE62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CC73E1"/>
    <w:multiLevelType w:val="multilevel"/>
    <w:tmpl w:val="9116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E871A1"/>
    <w:multiLevelType w:val="hybridMultilevel"/>
    <w:tmpl w:val="EEDC2C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6D91DC2"/>
    <w:multiLevelType w:val="multilevel"/>
    <w:tmpl w:val="820A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EF0624"/>
    <w:multiLevelType w:val="multilevel"/>
    <w:tmpl w:val="7548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NDCzsLS0tDAxNrIwNLFU0lEKTi0uzszPAykwqgUAWtx4gywAAAA="/>
  </w:docVars>
  <w:rsids>
    <w:rsidRoot w:val="00595F1A"/>
    <w:rsid w:val="00007980"/>
    <w:rsid w:val="000338C4"/>
    <w:rsid w:val="00042971"/>
    <w:rsid w:val="00067A58"/>
    <w:rsid w:val="00075231"/>
    <w:rsid w:val="001447B2"/>
    <w:rsid w:val="00145FC8"/>
    <w:rsid w:val="001A5EB9"/>
    <w:rsid w:val="002170ED"/>
    <w:rsid w:val="00220DE7"/>
    <w:rsid w:val="0022160D"/>
    <w:rsid w:val="002564A2"/>
    <w:rsid w:val="0027300D"/>
    <w:rsid w:val="002775F8"/>
    <w:rsid w:val="00291678"/>
    <w:rsid w:val="00294578"/>
    <w:rsid w:val="0029559A"/>
    <w:rsid w:val="002A007E"/>
    <w:rsid w:val="002B544A"/>
    <w:rsid w:val="002C1086"/>
    <w:rsid w:val="002D2AB8"/>
    <w:rsid w:val="002F0341"/>
    <w:rsid w:val="00324AE7"/>
    <w:rsid w:val="00342819"/>
    <w:rsid w:val="00384F26"/>
    <w:rsid w:val="00385A64"/>
    <w:rsid w:val="0039795E"/>
    <w:rsid w:val="003A6E68"/>
    <w:rsid w:val="003E3CE2"/>
    <w:rsid w:val="003F0713"/>
    <w:rsid w:val="00401E6D"/>
    <w:rsid w:val="00440ED1"/>
    <w:rsid w:val="004420E5"/>
    <w:rsid w:val="00471D32"/>
    <w:rsid w:val="0055413F"/>
    <w:rsid w:val="005548F7"/>
    <w:rsid w:val="005620B6"/>
    <w:rsid w:val="005636ED"/>
    <w:rsid w:val="00566DF1"/>
    <w:rsid w:val="00591865"/>
    <w:rsid w:val="005956E9"/>
    <w:rsid w:val="00595F1A"/>
    <w:rsid w:val="005B29C0"/>
    <w:rsid w:val="005C0BAF"/>
    <w:rsid w:val="005D4027"/>
    <w:rsid w:val="005D40CF"/>
    <w:rsid w:val="00666CA7"/>
    <w:rsid w:val="006D5322"/>
    <w:rsid w:val="007123A5"/>
    <w:rsid w:val="00736482"/>
    <w:rsid w:val="00762838"/>
    <w:rsid w:val="0077591A"/>
    <w:rsid w:val="00781F8E"/>
    <w:rsid w:val="007A2C6F"/>
    <w:rsid w:val="007A3EC8"/>
    <w:rsid w:val="007C6B02"/>
    <w:rsid w:val="00814A41"/>
    <w:rsid w:val="008329F8"/>
    <w:rsid w:val="00844DFF"/>
    <w:rsid w:val="00853202"/>
    <w:rsid w:val="008674F7"/>
    <w:rsid w:val="008748DA"/>
    <w:rsid w:val="0088206D"/>
    <w:rsid w:val="0089095B"/>
    <w:rsid w:val="0089425C"/>
    <w:rsid w:val="008B5B1B"/>
    <w:rsid w:val="008C0C5B"/>
    <w:rsid w:val="008D0B09"/>
    <w:rsid w:val="008F0CE5"/>
    <w:rsid w:val="008F3639"/>
    <w:rsid w:val="008F4342"/>
    <w:rsid w:val="008F4F6D"/>
    <w:rsid w:val="00906930"/>
    <w:rsid w:val="0093079A"/>
    <w:rsid w:val="009435AF"/>
    <w:rsid w:val="00945386"/>
    <w:rsid w:val="0095458A"/>
    <w:rsid w:val="009B3858"/>
    <w:rsid w:val="009E0258"/>
    <w:rsid w:val="009F3736"/>
    <w:rsid w:val="00A20F02"/>
    <w:rsid w:val="00A33436"/>
    <w:rsid w:val="00A3625F"/>
    <w:rsid w:val="00A41FC2"/>
    <w:rsid w:val="00A53678"/>
    <w:rsid w:val="00A71471"/>
    <w:rsid w:val="00AB2B2D"/>
    <w:rsid w:val="00AD08F0"/>
    <w:rsid w:val="00AF680B"/>
    <w:rsid w:val="00AF6FDE"/>
    <w:rsid w:val="00B16D86"/>
    <w:rsid w:val="00B2345E"/>
    <w:rsid w:val="00B32C56"/>
    <w:rsid w:val="00B5181A"/>
    <w:rsid w:val="00BA442A"/>
    <w:rsid w:val="00BC1FA4"/>
    <w:rsid w:val="00C0093A"/>
    <w:rsid w:val="00C046DB"/>
    <w:rsid w:val="00C40966"/>
    <w:rsid w:val="00C46F63"/>
    <w:rsid w:val="00C62F01"/>
    <w:rsid w:val="00CC1B2E"/>
    <w:rsid w:val="00CF00B1"/>
    <w:rsid w:val="00D217F5"/>
    <w:rsid w:val="00D21CA3"/>
    <w:rsid w:val="00D47D06"/>
    <w:rsid w:val="00D56404"/>
    <w:rsid w:val="00D6244C"/>
    <w:rsid w:val="00DA467A"/>
    <w:rsid w:val="00DE1FD5"/>
    <w:rsid w:val="00DF5C72"/>
    <w:rsid w:val="00E37E18"/>
    <w:rsid w:val="00E4671B"/>
    <w:rsid w:val="00E53275"/>
    <w:rsid w:val="00E76C11"/>
    <w:rsid w:val="00E910E1"/>
    <w:rsid w:val="00ED70EB"/>
    <w:rsid w:val="00EF2DA6"/>
    <w:rsid w:val="00EF5255"/>
    <w:rsid w:val="00EF68DA"/>
    <w:rsid w:val="00F05AAB"/>
    <w:rsid w:val="00F06F85"/>
    <w:rsid w:val="00F15D19"/>
    <w:rsid w:val="00F23B77"/>
    <w:rsid w:val="00F2664A"/>
    <w:rsid w:val="00F30126"/>
    <w:rsid w:val="00F450DA"/>
    <w:rsid w:val="00FD3BA6"/>
    <w:rsid w:val="00FE415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1A"/>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595F1A"/>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595F1A"/>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595F1A"/>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595F1A"/>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595F1A"/>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595F1A"/>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595F1A"/>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595F1A"/>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595F1A"/>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5F1A"/>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595F1A"/>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595F1A"/>
    <w:rPr>
      <w:rFonts w:eastAsia="Times New Roman" w:cs="Times New Roman"/>
      <w:color w:val="0F4761"/>
      <w:sz w:val="28"/>
      <w:szCs w:val="28"/>
    </w:rPr>
  </w:style>
  <w:style w:type="character" w:customStyle="1" w:styleId="Heading4Char">
    <w:name w:val="Heading 4 Char"/>
    <w:link w:val="Heading4"/>
    <w:uiPriority w:val="9"/>
    <w:semiHidden/>
    <w:rsid w:val="00595F1A"/>
    <w:rPr>
      <w:rFonts w:eastAsia="Times New Roman" w:cs="Times New Roman"/>
      <w:i/>
      <w:iCs/>
      <w:color w:val="0F4761"/>
    </w:rPr>
  </w:style>
  <w:style w:type="character" w:customStyle="1" w:styleId="Heading5Char">
    <w:name w:val="Heading 5 Char"/>
    <w:link w:val="Heading5"/>
    <w:uiPriority w:val="9"/>
    <w:semiHidden/>
    <w:rsid w:val="00595F1A"/>
    <w:rPr>
      <w:rFonts w:eastAsia="Times New Roman" w:cs="Times New Roman"/>
      <w:color w:val="0F4761"/>
    </w:rPr>
  </w:style>
  <w:style w:type="character" w:customStyle="1" w:styleId="Heading6Char">
    <w:name w:val="Heading 6 Char"/>
    <w:link w:val="Heading6"/>
    <w:uiPriority w:val="9"/>
    <w:semiHidden/>
    <w:rsid w:val="00595F1A"/>
    <w:rPr>
      <w:rFonts w:eastAsia="Times New Roman" w:cs="Times New Roman"/>
      <w:i/>
      <w:iCs/>
      <w:color w:val="595959"/>
    </w:rPr>
  </w:style>
  <w:style w:type="character" w:customStyle="1" w:styleId="Heading7Char">
    <w:name w:val="Heading 7 Char"/>
    <w:link w:val="Heading7"/>
    <w:uiPriority w:val="9"/>
    <w:semiHidden/>
    <w:rsid w:val="00595F1A"/>
    <w:rPr>
      <w:rFonts w:eastAsia="Times New Roman" w:cs="Times New Roman"/>
      <w:color w:val="595959"/>
    </w:rPr>
  </w:style>
  <w:style w:type="character" w:customStyle="1" w:styleId="Heading8Char">
    <w:name w:val="Heading 8 Char"/>
    <w:link w:val="Heading8"/>
    <w:uiPriority w:val="9"/>
    <w:semiHidden/>
    <w:rsid w:val="00595F1A"/>
    <w:rPr>
      <w:rFonts w:eastAsia="Times New Roman" w:cs="Times New Roman"/>
      <w:i/>
      <w:iCs/>
      <w:color w:val="272727"/>
    </w:rPr>
  </w:style>
  <w:style w:type="character" w:customStyle="1" w:styleId="Heading9Char">
    <w:name w:val="Heading 9 Char"/>
    <w:link w:val="Heading9"/>
    <w:uiPriority w:val="9"/>
    <w:semiHidden/>
    <w:rsid w:val="00595F1A"/>
    <w:rPr>
      <w:rFonts w:eastAsia="Times New Roman" w:cs="Times New Roman"/>
      <w:color w:val="272727"/>
    </w:rPr>
  </w:style>
  <w:style w:type="paragraph" w:styleId="Title">
    <w:name w:val="Title"/>
    <w:basedOn w:val="Normal"/>
    <w:next w:val="Normal"/>
    <w:link w:val="TitleChar"/>
    <w:uiPriority w:val="10"/>
    <w:qFormat/>
    <w:rsid w:val="00595F1A"/>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595F1A"/>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595F1A"/>
    <w:pPr>
      <w:numPr>
        <w:ilvl w:val="1"/>
      </w:numPr>
    </w:pPr>
    <w:rPr>
      <w:rFonts w:eastAsia="Times New Roman"/>
      <w:color w:val="595959"/>
      <w:spacing w:val="15"/>
      <w:sz w:val="28"/>
      <w:szCs w:val="28"/>
    </w:rPr>
  </w:style>
  <w:style w:type="character" w:customStyle="1" w:styleId="SubtitleChar">
    <w:name w:val="Subtitle Char"/>
    <w:link w:val="Subtitle"/>
    <w:uiPriority w:val="11"/>
    <w:rsid w:val="00595F1A"/>
    <w:rPr>
      <w:rFonts w:eastAsia="Times New Roman" w:cs="Times New Roman"/>
      <w:color w:val="595959"/>
      <w:spacing w:val="15"/>
      <w:sz w:val="28"/>
      <w:szCs w:val="28"/>
    </w:rPr>
  </w:style>
  <w:style w:type="paragraph" w:styleId="Quote">
    <w:name w:val="Quote"/>
    <w:basedOn w:val="Normal"/>
    <w:next w:val="Normal"/>
    <w:link w:val="QuoteChar"/>
    <w:uiPriority w:val="29"/>
    <w:qFormat/>
    <w:rsid w:val="00595F1A"/>
    <w:pPr>
      <w:spacing w:before="160"/>
      <w:jc w:val="center"/>
    </w:pPr>
    <w:rPr>
      <w:i/>
      <w:iCs/>
      <w:color w:val="404040"/>
    </w:rPr>
  </w:style>
  <w:style w:type="character" w:customStyle="1" w:styleId="QuoteChar">
    <w:name w:val="Quote Char"/>
    <w:link w:val="Quote"/>
    <w:uiPriority w:val="29"/>
    <w:rsid w:val="00595F1A"/>
    <w:rPr>
      <w:i/>
      <w:iCs/>
      <w:color w:val="404040"/>
    </w:rPr>
  </w:style>
  <w:style w:type="paragraph" w:styleId="ListParagraph">
    <w:name w:val="List Paragraph"/>
    <w:basedOn w:val="Normal"/>
    <w:uiPriority w:val="34"/>
    <w:qFormat/>
    <w:rsid w:val="00595F1A"/>
    <w:pPr>
      <w:ind w:left="720"/>
      <w:contextualSpacing/>
    </w:pPr>
  </w:style>
  <w:style w:type="character" w:styleId="IntenseEmphasis">
    <w:name w:val="Intense Emphasis"/>
    <w:uiPriority w:val="21"/>
    <w:qFormat/>
    <w:rsid w:val="00595F1A"/>
    <w:rPr>
      <w:i/>
      <w:iCs/>
      <w:color w:val="0F4761"/>
    </w:rPr>
  </w:style>
  <w:style w:type="paragraph" w:styleId="IntenseQuote">
    <w:name w:val="Intense Quote"/>
    <w:basedOn w:val="Normal"/>
    <w:next w:val="Normal"/>
    <w:link w:val="IntenseQuoteChar"/>
    <w:uiPriority w:val="30"/>
    <w:qFormat/>
    <w:rsid w:val="00595F1A"/>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595F1A"/>
    <w:rPr>
      <w:i/>
      <w:iCs/>
      <w:color w:val="0F4761"/>
    </w:rPr>
  </w:style>
  <w:style w:type="character" w:styleId="IntenseReference">
    <w:name w:val="Intense Reference"/>
    <w:uiPriority w:val="32"/>
    <w:qFormat/>
    <w:rsid w:val="00595F1A"/>
    <w:rPr>
      <w:b/>
      <w:bCs/>
      <w:smallCaps/>
      <w:color w:val="0F4761"/>
      <w:spacing w:val="5"/>
    </w:rPr>
  </w:style>
  <w:style w:type="character" w:styleId="Hyperlink">
    <w:name w:val="Hyperlink"/>
    <w:uiPriority w:val="99"/>
    <w:unhideWhenUsed/>
    <w:rsid w:val="00E53275"/>
    <w:rPr>
      <w:color w:val="467886"/>
      <w:u w:val="single"/>
    </w:rPr>
  </w:style>
  <w:style w:type="character" w:customStyle="1" w:styleId="UnresolvedMention">
    <w:name w:val="Unresolved Mention"/>
    <w:uiPriority w:val="99"/>
    <w:semiHidden/>
    <w:unhideWhenUsed/>
    <w:rsid w:val="00E53275"/>
    <w:rPr>
      <w:color w:val="605E5C"/>
      <w:shd w:val="clear" w:color="auto" w:fill="E1DFDD"/>
    </w:rPr>
  </w:style>
  <w:style w:type="paragraph" w:styleId="BodyText">
    <w:name w:val="Body Text"/>
    <w:basedOn w:val="Normal"/>
    <w:link w:val="BodyTextChar"/>
    <w:uiPriority w:val="1"/>
    <w:qFormat/>
    <w:rsid w:val="00E76C11"/>
    <w:pPr>
      <w:widowControl w:val="0"/>
      <w:autoSpaceDE w:val="0"/>
      <w:autoSpaceDN w:val="0"/>
      <w:spacing w:before="120" w:after="120" w:line="276" w:lineRule="auto"/>
      <w:ind w:left="23" w:firstLine="719"/>
      <w:jc w:val="both"/>
    </w:pPr>
    <w:rPr>
      <w:rFonts w:ascii="Times New Roman" w:eastAsia="Times New Roman" w:hAnsi="Times New Roman"/>
      <w:kern w:val="0"/>
      <w:lang/>
    </w:rPr>
  </w:style>
  <w:style w:type="character" w:customStyle="1" w:styleId="BodyTextChar">
    <w:name w:val="Body Text Char"/>
    <w:link w:val="BodyText"/>
    <w:uiPriority w:val="1"/>
    <w:rsid w:val="00E76C11"/>
    <w:rPr>
      <w:rFonts w:ascii="Times New Roman" w:eastAsia="Times New Roman" w:hAnsi="Times New Roman" w:cs="Times New Roman"/>
      <w:kern w:val="0"/>
      <w:lang/>
    </w:rPr>
  </w:style>
  <w:style w:type="paragraph" w:styleId="Header">
    <w:name w:val="header"/>
    <w:basedOn w:val="Normal"/>
    <w:link w:val="HeaderChar"/>
    <w:uiPriority w:val="99"/>
    <w:unhideWhenUsed/>
    <w:rsid w:val="00ED70EB"/>
    <w:pPr>
      <w:tabs>
        <w:tab w:val="center" w:pos="4513"/>
        <w:tab w:val="right" w:pos="9026"/>
      </w:tabs>
      <w:spacing w:after="0" w:line="240" w:lineRule="auto"/>
    </w:pPr>
  </w:style>
  <w:style w:type="character" w:customStyle="1" w:styleId="HeaderChar">
    <w:name w:val="Header Char"/>
    <w:link w:val="Header"/>
    <w:uiPriority w:val="99"/>
    <w:rsid w:val="00ED70EB"/>
    <w:rPr>
      <w:rFonts w:ascii="Aptos" w:eastAsia="Aptos" w:hAnsi="Aptos" w:cs="Times New Roman"/>
    </w:rPr>
  </w:style>
  <w:style w:type="paragraph" w:styleId="Footer">
    <w:name w:val="footer"/>
    <w:basedOn w:val="Normal"/>
    <w:link w:val="FooterChar"/>
    <w:uiPriority w:val="99"/>
    <w:unhideWhenUsed/>
    <w:rsid w:val="00ED70EB"/>
    <w:pPr>
      <w:tabs>
        <w:tab w:val="center" w:pos="4513"/>
        <w:tab w:val="right" w:pos="9026"/>
      </w:tabs>
      <w:spacing w:after="0" w:line="240" w:lineRule="auto"/>
    </w:pPr>
  </w:style>
  <w:style w:type="character" w:customStyle="1" w:styleId="FooterChar">
    <w:name w:val="Footer Char"/>
    <w:link w:val="Footer"/>
    <w:uiPriority w:val="99"/>
    <w:rsid w:val="00ED70EB"/>
    <w:rPr>
      <w:rFonts w:ascii="Aptos" w:eastAsia="Aptos" w:hAnsi="Aptos" w:cs="Times New Roman"/>
    </w:rPr>
  </w:style>
  <w:style w:type="paragraph" w:styleId="BalloonText">
    <w:name w:val="Balloon Text"/>
    <w:basedOn w:val="Normal"/>
    <w:link w:val="BalloonTextChar"/>
    <w:uiPriority w:val="99"/>
    <w:semiHidden/>
    <w:unhideWhenUsed/>
    <w:rsid w:val="00FD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A6"/>
    <w:rPr>
      <w:rFonts w:ascii="Tahoma" w:hAnsi="Tahoma" w:cs="Tahoma"/>
      <w:kern w:val="2"/>
      <w:sz w:val="16"/>
      <w:szCs w:val="16"/>
      <w:lang w:eastAsia="en-US"/>
    </w:rPr>
  </w:style>
  <w:style w:type="character" w:styleId="CommentReference">
    <w:name w:val="annotation reference"/>
    <w:basedOn w:val="DefaultParagraphFont"/>
    <w:uiPriority w:val="99"/>
    <w:semiHidden/>
    <w:unhideWhenUsed/>
    <w:rsid w:val="00FD3BA6"/>
    <w:rPr>
      <w:sz w:val="16"/>
      <w:szCs w:val="16"/>
    </w:rPr>
  </w:style>
  <w:style w:type="paragraph" w:styleId="CommentText">
    <w:name w:val="annotation text"/>
    <w:basedOn w:val="Normal"/>
    <w:link w:val="CommentTextChar"/>
    <w:uiPriority w:val="99"/>
    <w:semiHidden/>
    <w:unhideWhenUsed/>
    <w:rsid w:val="00FD3BA6"/>
    <w:pPr>
      <w:spacing w:line="240" w:lineRule="auto"/>
    </w:pPr>
    <w:rPr>
      <w:sz w:val="20"/>
      <w:szCs w:val="20"/>
    </w:rPr>
  </w:style>
  <w:style w:type="character" w:customStyle="1" w:styleId="CommentTextChar">
    <w:name w:val="Comment Text Char"/>
    <w:basedOn w:val="DefaultParagraphFont"/>
    <w:link w:val="CommentText"/>
    <w:uiPriority w:val="99"/>
    <w:semiHidden/>
    <w:rsid w:val="00FD3BA6"/>
    <w:rPr>
      <w:kern w:val="2"/>
      <w:lang w:eastAsia="en-US"/>
    </w:rPr>
  </w:style>
  <w:style w:type="paragraph" w:styleId="CommentSubject">
    <w:name w:val="annotation subject"/>
    <w:basedOn w:val="CommentText"/>
    <w:next w:val="CommentText"/>
    <w:link w:val="CommentSubjectChar"/>
    <w:uiPriority w:val="99"/>
    <w:semiHidden/>
    <w:unhideWhenUsed/>
    <w:rsid w:val="00FD3BA6"/>
    <w:rPr>
      <w:b/>
      <w:bCs/>
    </w:rPr>
  </w:style>
  <w:style w:type="character" w:customStyle="1" w:styleId="CommentSubjectChar">
    <w:name w:val="Comment Subject Char"/>
    <w:basedOn w:val="CommentTextChar"/>
    <w:link w:val="CommentSubject"/>
    <w:uiPriority w:val="99"/>
    <w:semiHidden/>
    <w:rsid w:val="00FD3BA6"/>
    <w:rPr>
      <w:b/>
      <w:bCs/>
    </w:rPr>
  </w:style>
  <w:style w:type="paragraph" w:customStyle="1" w:styleId="ds-markdown-paragraph">
    <w:name w:val="ds-markdown-paragraph"/>
    <w:basedOn w:val="Normal"/>
    <w:rsid w:val="00FD3BA6"/>
    <w:pPr>
      <w:spacing w:before="100" w:beforeAutospacing="1" w:after="100" w:afterAutospacing="1" w:line="240" w:lineRule="auto"/>
    </w:pPr>
    <w:rPr>
      <w:rFonts w:ascii="Times New Roman" w:eastAsia="Times New Roman" w:hAnsi="Times New Roman"/>
      <w:kern w:val="0"/>
      <w:lang w:val="en-US"/>
    </w:rPr>
  </w:style>
  <w:style w:type="character" w:styleId="HTMLCode">
    <w:name w:val="HTML Code"/>
    <w:basedOn w:val="DefaultParagraphFont"/>
    <w:uiPriority w:val="99"/>
    <w:semiHidden/>
    <w:unhideWhenUsed/>
    <w:rsid w:val="00FD3BA6"/>
    <w:rPr>
      <w:rFonts w:ascii="Courier New" w:eastAsia="Times New Roman" w:hAnsi="Courier New" w:cs="Courier New"/>
      <w:sz w:val="20"/>
      <w:szCs w:val="20"/>
    </w:rPr>
  </w:style>
  <w:style w:type="character" w:styleId="Strong">
    <w:name w:val="Strong"/>
    <w:basedOn w:val="DefaultParagraphFont"/>
    <w:uiPriority w:val="22"/>
    <w:qFormat/>
    <w:rsid w:val="008F4342"/>
    <w:rPr>
      <w:b/>
      <w:bCs/>
    </w:rPr>
  </w:style>
</w:styles>
</file>

<file path=word/webSettings.xml><?xml version="1.0" encoding="utf-8"?>
<w:webSettings xmlns:r="http://schemas.openxmlformats.org/officeDocument/2006/relationships" xmlns:w="http://schemas.openxmlformats.org/wordprocessingml/2006/main">
  <w:divs>
    <w:div w:id="169636559">
      <w:bodyDiv w:val="1"/>
      <w:marLeft w:val="0"/>
      <w:marRight w:val="0"/>
      <w:marTop w:val="0"/>
      <w:marBottom w:val="0"/>
      <w:divBdr>
        <w:top w:val="none" w:sz="0" w:space="0" w:color="auto"/>
        <w:left w:val="none" w:sz="0" w:space="0" w:color="auto"/>
        <w:bottom w:val="none" w:sz="0" w:space="0" w:color="auto"/>
        <w:right w:val="none" w:sz="0" w:space="0" w:color="auto"/>
      </w:divBdr>
    </w:div>
    <w:div w:id="246765164">
      <w:bodyDiv w:val="1"/>
      <w:marLeft w:val="0"/>
      <w:marRight w:val="0"/>
      <w:marTop w:val="0"/>
      <w:marBottom w:val="0"/>
      <w:divBdr>
        <w:top w:val="none" w:sz="0" w:space="0" w:color="auto"/>
        <w:left w:val="none" w:sz="0" w:space="0" w:color="auto"/>
        <w:bottom w:val="none" w:sz="0" w:space="0" w:color="auto"/>
        <w:right w:val="none" w:sz="0" w:space="0" w:color="auto"/>
      </w:divBdr>
    </w:div>
    <w:div w:id="356659651">
      <w:bodyDiv w:val="1"/>
      <w:marLeft w:val="0"/>
      <w:marRight w:val="0"/>
      <w:marTop w:val="0"/>
      <w:marBottom w:val="0"/>
      <w:divBdr>
        <w:top w:val="none" w:sz="0" w:space="0" w:color="auto"/>
        <w:left w:val="none" w:sz="0" w:space="0" w:color="auto"/>
        <w:bottom w:val="none" w:sz="0" w:space="0" w:color="auto"/>
        <w:right w:val="none" w:sz="0" w:space="0" w:color="auto"/>
      </w:divBdr>
    </w:div>
    <w:div w:id="944073361">
      <w:bodyDiv w:val="1"/>
      <w:marLeft w:val="0"/>
      <w:marRight w:val="0"/>
      <w:marTop w:val="0"/>
      <w:marBottom w:val="0"/>
      <w:divBdr>
        <w:top w:val="none" w:sz="0" w:space="0" w:color="auto"/>
        <w:left w:val="none" w:sz="0" w:space="0" w:color="auto"/>
        <w:bottom w:val="none" w:sz="0" w:space="0" w:color="auto"/>
        <w:right w:val="none" w:sz="0" w:space="0" w:color="auto"/>
      </w:divBdr>
    </w:div>
    <w:div w:id="211782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pubs.icar.org.in/index.php/IPPJ/article/view/54624"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doi.org/10.1038/nchembio.164" TargetMode="Externa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94/PD-80-0238"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pubmed.ncbi.nlm.nih.gov/5352000/"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oiv.int/what-we-do/statistics" TargetMode="External"/><Relationship Id="rId14" Type="http://schemas.openxmlformats.org/officeDocument/2006/relationships/hyperlink" Target="https://www.ucpress.edu/book/9780520025912/general-viticulture"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14935-BA48-47B0-95AF-34057AAE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2583</Words>
  <Characters>14726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17275</CharactersWithSpaces>
  <SharedDoc>false</SharedDoc>
  <HLinks>
    <vt:vector size="6" baseType="variant">
      <vt:variant>
        <vt:i4>4915257</vt:i4>
      </vt:variant>
      <vt:variant>
        <vt:i4>0</vt:i4>
      </vt:variant>
      <vt:variant>
        <vt:i4>0</vt:i4>
      </vt:variant>
      <vt:variant>
        <vt:i4>5</vt:i4>
      </vt:variant>
      <vt:variant>
        <vt:lpwstr>mailto:Mohammadgousem3@gmail.com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Gouse M</dc:creator>
  <cp:keywords/>
  <dc:description/>
  <cp:lastModifiedBy>HP</cp:lastModifiedBy>
  <cp:revision>16</cp:revision>
  <dcterms:created xsi:type="dcterms:W3CDTF">2025-11-04T11:12:00Z</dcterms:created>
  <dcterms:modified xsi:type="dcterms:W3CDTF">2025-12-21T08:49:00Z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f2d04f39-4f57-4dee-824f-88dee86697af</vt:lpwstr>
  </property>
</Properties>
</file>