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E1A06" w14:textId="3E377FDE" w:rsidR="00754C9A" w:rsidRDefault="006B77EE" w:rsidP="00441B6F">
      <w:pPr>
        <w:pStyle w:val="Ttulo"/>
        <w:spacing w:after="0"/>
        <w:jc w:val="both"/>
        <w:rPr>
          <w:rFonts w:ascii="Arial" w:hAnsi="Arial" w:cs="Arial"/>
        </w:rPr>
      </w:pPr>
      <w:r w:rsidRPr="006B77EE">
        <w:rPr>
          <w:rFonts w:ascii="Arial" w:hAnsi="Arial" w:cs="Arial"/>
        </w:rPr>
        <w:t>Original Research Article</w:t>
      </w:r>
    </w:p>
    <w:p w14:paraId="15669F19" w14:textId="77777777" w:rsidR="006B77EE" w:rsidRDefault="006B77EE" w:rsidP="00441B6F">
      <w:pPr>
        <w:pStyle w:val="Ttulo"/>
        <w:spacing w:after="0"/>
        <w:jc w:val="both"/>
        <w:rPr>
          <w:rFonts w:ascii="Arial" w:hAnsi="Arial" w:cs="Arial"/>
        </w:rPr>
      </w:pPr>
    </w:p>
    <w:p w14:paraId="61891A31" w14:textId="7A58E2E6" w:rsidR="00163BC4" w:rsidRPr="00163BC4" w:rsidRDefault="00A13D82" w:rsidP="00441B6F">
      <w:pPr>
        <w:pStyle w:val="Author"/>
        <w:spacing w:line="240" w:lineRule="auto"/>
        <w:rPr>
          <w:rFonts w:ascii="Arial" w:hAnsi="Arial" w:cs="Arial"/>
          <w:bCs/>
          <w:iCs/>
          <w:kern w:val="28"/>
          <w:sz w:val="36"/>
        </w:rPr>
      </w:pPr>
      <w:r w:rsidRPr="00A13D82">
        <w:rPr>
          <w:rFonts w:ascii="Arial" w:hAnsi="Arial" w:cs="Arial"/>
          <w:bCs/>
          <w:iCs/>
          <w:kern w:val="28"/>
          <w:sz w:val="36"/>
        </w:rPr>
        <w:t>Spatiotemporal Dynamics and Multi-Factor Drivers of Land Surface Temperature in Andhra Pradesh, India (2020-2024): Integrating MODIS-Derived Indices, Urban Heat Islands, Hotspot Analysis, and Trend Detection</w:t>
      </w:r>
      <w:r w:rsidR="00231920">
        <w:rPr>
          <w:rFonts w:ascii="Arial" w:hAnsi="Arial" w:cs="Arial"/>
          <w:bCs/>
          <w:iCs/>
          <w:kern w:val="28"/>
          <w:sz w:val="36"/>
        </w:rPr>
        <w:t xml:space="preserve"> </w:t>
      </w:r>
    </w:p>
    <w:p w14:paraId="63BEA49D" w14:textId="77777777" w:rsidR="00A258C3" w:rsidRPr="00790ADA" w:rsidRDefault="00A258C3" w:rsidP="00441B6F">
      <w:pPr>
        <w:pStyle w:val="Author"/>
        <w:spacing w:line="240" w:lineRule="auto"/>
        <w:jc w:val="both"/>
        <w:rPr>
          <w:rFonts w:ascii="Arial" w:hAnsi="Arial" w:cs="Arial"/>
          <w:sz w:val="36"/>
        </w:rPr>
      </w:pPr>
    </w:p>
    <w:p w14:paraId="42A80545" w14:textId="77777777" w:rsidR="00790ADA" w:rsidRDefault="00790ADA" w:rsidP="00441B6F">
      <w:pPr>
        <w:pStyle w:val="Affiliation"/>
        <w:spacing w:after="0" w:line="240" w:lineRule="auto"/>
        <w:jc w:val="both"/>
        <w:rPr>
          <w:rFonts w:ascii="Arial" w:hAnsi="Arial" w:cs="Arial"/>
        </w:rPr>
      </w:pPr>
    </w:p>
    <w:p w14:paraId="42DEFDDC" w14:textId="77777777" w:rsidR="002C57D2" w:rsidRPr="00FB3A86" w:rsidRDefault="002C57D2" w:rsidP="00441B6F">
      <w:pPr>
        <w:pStyle w:val="Affiliation"/>
        <w:spacing w:after="0" w:line="240" w:lineRule="auto"/>
        <w:jc w:val="both"/>
        <w:rPr>
          <w:rFonts w:ascii="Arial" w:hAnsi="Arial" w:cs="Arial"/>
        </w:rPr>
      </w:pPr>
    </w:p>
    <w:p w14:paraId="7FBDB9EF" w14:textId="7A55A1E4" w:rsidR="00B01FCD" w:rsidRPr="00FB3A86" w:rsidRDefault="00606E2A" w:rsidP="00441B6F">
      <w:pPr>
        <w:pStyle w:val="Copyright"/>
        <w:spacing w:after="0" w:line="240" w:lineRule="auto"/>
        <w:jc w:val="both"/>
        <w:rPr>
          <w:rFonts w:ascii="Arial" w:hAnsi="Arial" w:cs="Arial"/>
        </w:rPr>
        <w:sectPr w:rsidR="00B01FCD" w:rsidRPr="00FB3A86" w:rsidSect="00462B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B7741C" wp14:editId="0DE08B88">
                <wp:extent cx="5303520" cy="635"/>
                <wp:effectExtent l="11430" t="9525" r="9525" b="9525"/>
                <wp:docPr id="5598408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E888B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C92FDF0" w14:textId="58785D6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249A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190658" w14:textId="77777777" w:rsidTr="001E44FE">
        <w:tc>
          <w:tcPr>
            <w:tcW w:w="9576" w:type="dxa"/>
            <w:shd w:val="clear" w:color="auto" w:fill="F2F2F2"/>
          </w:tcPr>
          <w:p w14:paraId="5797B574" w14:textId="3952294B" w:rsidR="00505F06" w:rsidRPr="00BA1B01" w:rsidRDefault="00A13D82" w:rsidP="00441B6F">
            <w:pPr>
              <w:pStyle w:val="Body"/>
              <w:spacing w:after="0"/>
              <w:rPr>
                <w:rFonts w:ascii="Arial" w:eastAsia="Calibri" w:hAnsi="Arial" w:cs="Arial"/>
                <w:szCs w:val="22"/>
              </w:rPr>
            </w:pPr>
            <w:r w:rsidRPr="00A13D82">
              <w:rPr>
                <w:rFonts w:ascii="Arial" w:eastAsia="Calibri" w:hAnsi="Arial" w:cs="Arial"/>
                <w:szCs w:val="22"/>
              </w:rPr>
              <w:t>Land Surface Temperature (LST) is recognized as a primary indicator of regional thermal shifts precipitated by rapid urban expansion and land-use modifications. In this research, a comprehensive five-year longitudinal assessment (2020-2024) of LST dynamics across Andhra Pradesh, India, was conducted. The methodology involved the integration of MODIS-derived products with topographic and land-cover datasets, processed via the Google Earth Engine platform. The temporal analysis indicated that the annual mean LST underwent a distinct reduction in 2022, falling by 0.82 °C compared to 2021 levels. Following this decline, a recovery phase was observed, culminating in a marginally significant monotonic increasing trend, as evidenced by the Mann-Kendall test results (S = +10, Z = 2.205, p = 0.051). Statistical evaluation through Pearson correlation for the year 2022 identified the Normalized Difference Built-up Index (NDBI) as the predominant positive driver of temperature (r = +0.794). Conversely, mitigating influences were attributed to the Normalized Difference Vegetation Index (NDVI, r = -0.654) and the Normalized Difference Water Index (NDWI, r = -0.541). Topographic factors also played a role in temperature regulation, with slope (r = -0.504) and elevation (r = -0.201) showing negative correlations with LST. Regarding localized climate phenomena, Urban Heat Island (UHI) intensities were found to be modest yet persistent, ranging between 0.006 °C and 0.010 °C. The application of Getis-Ord Gi* hotspot analysis further validated the existence of statistically significant thermal clustering within primary urban centers. Throughout the study period, built-up land covers consistently recorded the highest thermal values. It was concluded that urban growth exerts a dominant influence on regional warming, often offsetting the cooling contributions of vegetation and terrain. These findings offer a critical empirical basis for regional heat-mitigation and urban planning within the context of rapidly developing Indian states.</w:t>
            </w:r>
          </w:p>
        </w:tc>
      </w:tr>
    </w:tbl>
    <w:p w14:paraId="45154AB1" w14:textId="77777777" w:rsidR="00636EB2" w:rsidRDefault="00636EB2" w:rsidP="00441B6F">
      <w:pPr>
        <w:pStyle w:val="Body"/>
        <w:spacing w:after="0"/>
        <w:rPr>
          <w:rFonts w:ascii="Arial" w:hAnsi="Arial" w:cs="Arial"/>
          <w:i/>
        </w:rPr>
      </w:pPr>
    </w:p>
    <w:p w14:paraId="5CDF315B" w14:textId="46458E0D" w:rsidR="00A24E7E" w:rsidRDefault="00A24E7E" w:rsidP="00441B6F">
      <w:pPr>
        <w:pStyle w:val="Body"/>
        <w:spacing w:after="0"/>
        <w:rPr>
          <w:rFonts w:ascii="Arial" w:hAnsi="Arial" w:cs="Arial"/>
          <w:i/>
        </w:rPr>
      </w:pPr>
      <w:r>
        <w:rPr>
          <w:rFonts w:ascii="Arial" w:hAnsi="Arial" w:cs="Arial"/>
          <w:i/>
        </w:rPr>
        <w:t xml:space="preserve">Keywords: </w:t>
      </w:r>
      <w:r w:rsidR="00A13D82" w:rsidRPr="00A13D82">
        <w:rPr>
          <w:rFonts w:ascii="Arial" w:hAnsi="Arial" w:cs="Arial"/>
          <w:i/>
        </w:rPr>
        <w:t>Land Surface Temperature; MODIS; Urban Heat Island; NDBI; Mann-Kendall trend; Getis-Ord Gi*; Andhra Pradesh; Google Earth Engine.</w:t>
      </w:r>
    </w:p>
    <w:p w14:paraId="79754DB7" w14:textId="77777777" w:rsidR="00790ADA" w:rsidRDefault="00790ADA" w:rsidP="00441B6F">
      <w:pPr>
        <w:pStyle w:val="Body"/>
        <w:spacing w:after="0"/>
        <w:rPr>
          <w:rFonts w:ascii="Arial" w:hAnsi="Arial" w:cs="Arial"/>
          <w:i/>
        </w:rPr>
      </w:pPr>
    </w:p>
    <w:p w14:paraId="36AADC54" w14:textId="77777777" w:rsidR="00A13D82" w:rsidRDefault="00A13D82" w:rsidP="00441B6F">
      <w:pPr>
        <w:pStyle w:val="Body"/>
        <w:spacing w:after="0"/>
        <w:rPr>
          <w:rFonts w:ascii="Arial" w:hAnsi="Arial" w:cs="Arial"/>
          <w:i/>
        </w:rPr>
      </w:pPr>
    </w:p>
    <w:p w14:paraId="0C933F1B" w14:textId="57C5A7A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1F3E0C1" w14:textId="77777777" w:rsidR="00A13D82" w:rsidRDefault="00A13D82" w:rsidP="00A13D82">
      <w:pPr>
        <w:jc w:val="both"/>
        <w:rPr>
          <w:rFonts w:ascii="Arial" w:hAnsi="Arial" w:cs="Arial"/>
        </w:rPr>
      </w:pPr>
    </w:p>
    <w:p w14:paraId="049F1EDF" w14:textId="4778631E" w:rsidR="00A13D82" w:rsidRPr="00A13D82" w:rsidRDefault="00A13D82" w:rsidP="00A13D82">
      <w:pPr>
        <w:jc w:val="both"/>
        <w:rPr>
          <w:rFonts w:ascii="Arial" w:hAnsi="Arial" w:cs="Arial"/>
        </w:rPr>
      </w:pPr>
      <w:r w:rsidRPr="00A13D82">
        <w:rPr>
          <w:rFonts w:ascii="Arial" w:hAnsi="Arial" w:cs="Arial"/>
        </w:rPr>
        <w:t xml:space="preserve">Global land surfaces have undergone profound transformations due to rapid urbanization, where the replacement of permeable natural substrates with impervious materials has led to </w:t>
      </w:r>
      <w:r w:rsidRPr="00A13D82">
        <w:rPr>
          <w:rFonts w:ascii="Arial" w:hAnsi="Arial" w:cs="Arial"/>
        </w:rPr>
        <w:lastRenderedPageBreak/>
        <w:t xml:space="preserve">increased absorption and re-emission of solar radiation. This process results in higher temperatures within built-up zones compared to rural peripheries, a condition identified as the Urban Heat Island (UHI) effect </w:t>
      </w:r>
      <w:sdt>
        <w:sdtPr>
          <w:rPr>
            <w:rFonts w:ascii="Arial" w:hAnsi="Arial" w:cs="Arial"/>
            <w:color w:val="000000"/>
          </w:rPr>
          <w:tag w:val="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
          <w:id w:val="-922716612"/>
          <w:placeholder>
            <w:docPart w:val="250FFBC8C3344CBD95989585B526D3C2"/>
          </w:placeholder>
        </w:sdtPr>
        <w:sdtContent>
          <w:r w:rsidR="000C4C0B" w:rsidRPr="000C4C0B">
            <w:rPr>
              <w:rFonts w:ascii="Arial" w:hAnsi="Arial" w:cs="Arial"/>
              <w:color w:val="000000"/>
            </w:rPr>
            <w:t>(Aflaki et al., 2017)</w:t>
          </w:r>
        </w:sdtContent>
      </w:sdt>
      <w:r w:rsidRPr="00A13D82">
        <w:rPr>
          <w:rFonts w:ascii="Arial" w:hAnsi="Arial" w:cs="Arial"/>
        </w:rPr>
        <w:t xml:space="preserve">, </w:t>
      </w:r>
      <w:sdt>
        <w:sdtPr>
          <w:rPr>
            <w:rFonts w:ascii="Arial" w:hAnsi="Arial" w:cs="Arial"/>
            <w:color w:val="000000"/>
          </w:rPr>
          <w:tag w:val="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
          <w:id w:val="-239637366"/>
          <w:placeholder>
            <w:docPart w:val="250FFBC8C3344CBD95989585B526D3C2"/>
          </w:placeholder>
        </w:sdtPr>
        <w:sdtContent>
          <w:r w:rsidR="000C4C0B" w:rsidRPr="000C4C0B">
            <w:rPr>
              <w:rFonts w:ascii="Arial" w:hAnsi="Arial" w:cs="Arial"/>
              <w:color w:val="000000"/>
            </w:rPr>
            <w:t>(Santamouris &amp; Vasilakopoulou, 2023)</w:t>
          </w:r>
        </w:sdtContent>
      </w:sdt>
      <w:r w:rsidRPr="00A13D82">
        <w:rPr>
          <w:rFonts w:ascii="Arial" w:hAnsi="Arial" w:cs="Arial"/>
        </w:rPr>
        <w:t xml:space="preserve">. Such localized warming is associated with increased cooling energy requirements, diminished air quality, and escalated public health hazards, particularly during periods of extreme heat </w:t>
      </w:r>
      <w:sdt>
        <w:sdtPr>
          <w:rPr>
            <w:rFonts w:ascii="Arial" w:hAnsi="Arial" w:cs="Arial"/>
            <w:color w:val="000000"/>
          </w:rPr>
          <w:tag w:val="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
          <w:id w:val="-594014701"/>
          <w:placeholder>
            <w:docPart w:val="250FFBC8C3344CBD95989585B526D3C2"/>
          </w:placeholder>
        </w:sdtPr>
        <w:sdtContent>
          <w:r w:rsidR="000C4C0B" w:rsidRPr="000C4C0B">
            <w:rPr>
              <w:rFonts w:ascii="Arial" w:hAnsi="Arial" w:cs="Arial"/>
              <w:color w:val="000000"/>
            </w:rPr>
            <w:t>(Karimi et al., 2021)</w:t>
          </w:r>
        </w:sdtContent>
      </w:sdt>
      <w:r w:rsidRPr="00A13D82">
        <w:rPr>
          <w:rFonts w:ascii="Arial" w:hAnsi="Arial" w:cs="Arial"/>
        </w:rPr>
        <w:t xml:space="preserve">. In tropical contexts like India, where demographic shifts and economic growth accelerate urban sprawl, UHI effects exacerbate existing climate sensitivities, necessitating regional monitoring for evidence-based policy and sustainable development </w:t>
      </w:r>
      <w:sdt>
        <w:sdtPr>
          <w:rPr>
            <w:rFonts w:ascii="Arial" w:hAnsi="Arial" w:cs="Arial"/>
            <w:color w:val="000000"/>
          </w:rPr>
          <w:tag w:val="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554468104"/>
          <w:placeholder>
            <w:docPart w:val="250FFBC8C3344CBD95989585B526D3C2"/>
          </w:placeholder>
        </w:sdtPr>
        <w:sdtContent>
          <w:r w:rsidR="000C4C0B" w:rsidRPr="000C4C0B">
            <w:rPr>
              <w:rFonts w:ascii="Arial" w:hAnsi="Arial" w:cs="Arial"/>
              <w:color w:val="000000"/>
            </w:rPr>
            <w:t>(Pradeep Kumar et al., 2023)</w:t>
          </w:r>
        </w:sdtContent>
      </w:sdt>
      <w:r w:rsidRPr="00A13D82">
        <w:rPr>
          <w:rFonts w:ascii="Arial" w:hAnsi="Arial" w:cs="Arial"/>
        </w:rPr>
        <w:t xml:space="preserve">, </w:t>
      </w:r>
      <w:sdt>
        <w:sdtPr>
          <w:rPr>
            <w:rFonts w:ascii="Arial" w:hAnsi="Arial" w:cs="Arial"/>
            <w:color w:val="000000"/>
          </w:rPr>
          <w:tag w:val="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
          <w:id w:val="-1075201934"/>
          <w:placeholder>
            <w:docPart w:val="250FFBC8C3344CBD95989585B526D3C2"/>
          </w:placeholder>
        </w:sdtPr>
        <w:sdtContent>
          <w:r w:rsidR="000C4C0B" w:rsidRPr="000C4C0B">
            <w:rPr>
              <w:rFonts w:ascii="Arial" w:hAnsi="Arial" w:cs="Arial"/>
              <w:color w:val="000000"/>
            </w:rPr>
            <w:t>(Antil et al., 2025)</w:t>
          </w:r>
        </w:sdtContent>
      </w:sdt>
      <w:r w:rsidRPr="00A13D82">
        <w:rPr>
          <w:rFonts w:ascii="Arial" w:hAnsi="Arial" w:cs="Arial"/>
        </w:rPr>
        <w:t>.</w:t>
      </w:r>
    </w:p>
    <w:p w14:paraId="34714101" w14:textId="786CB644" w:rsidR="00A13D82" w:rsidRDefault="00A13D82" w:rsidP="00A13D82">
      <w:pPr>
        <w:pStyle w:val="Body"/>
        <w:spacing w:after="0"/>
        <w:rPr>
          <w:rFonts w:ascii="Arial" w:hAnsi="Arial" w:cs="Arial"/>
        </w:rPr>
      </w:pPr>
      <w:r w:rsidRPr="00A13D82">
        <w:rPr>
          <w:rFonts w:ascii="Arial" w:hAnsi="Arial" w:cs="Arial"/>
        </w:rPr>
        <w:t xml:space="preserve">Located in southeastern India and spanning roughly 163,000 km², Andhra Pradesh serves as a primary example of these environmental shifts. The state features a complex topography-ranging from coastal lowlands to the Eastern Ghats-and a tropical monsoon climate. Significant urban expansion has been recorded in hubs such as Visakhapatnam, Vijayawada, and Tirupati, particularly following the state’s bifurcation in 2014 </w:t>
      </w:r>
      <w:sdt>
        <w:sdtPr>
          <w:rPr>
            <w:rFonts w:ascii="Arial" w:hAnsi="Arial" w:cs="Arial"/>
            <w:color w:val="000000"/>
          </w:rPr>
          <w:tag w:val="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
          <w:id w:val="-1916849184"/>
          <w:placeholder>
            <w:docPart w:val="250FFBC8C3344CBD95989585B526D3C2"/>
          </w:placeholder>
        </w:sdtPr>
        <w:sdtContent>
          <w:r w:rsidR="000C4C0B" w:rsidRPr="000C4C0B">
            <w:rPr>
              <w:rFonts w:ascii="Arial" w:hAnsi="Arial" w:cs="Arial"/>
              <w:color w:val="000000"/>
            </w:rPr>
            <w:t>(Bala et al., 2024)</w:t>
          </w:r>
        </w:sdtContent>
      </w:sdt>
      <w:r w:rsidRPr="00A13D82">
        <w:rPr>
          <w:rFonts w:ascii="Arial" w:hAnsi="Arial" w:cs="Arial"/>
        </w:rPr>
        <w:t xml:space="preserve">. The 2020-2024 study period is of particular interest as it covers the era of COVID-19 lockdowns (2020-2021), which saw a temporary decline in anthropogenic activity, followed by a phase of economic resurgence and rapid infrastructure development </w:t>
      </w:r>
      <w:sdt>
        <w:sdtPr>
          <w:rPr>
            <w:rFonts w:ascii="Arial" w:hAnsi="Arial" w:cs="Arial"/>
            <w:color w:val="000000"/>
          </w:rPr>
          <w:tag w:val="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437055317"/>
          <w:placeholder>
            <w:docPart w:val="250FFBC8C3344CBD95989585B526D3C2"/>
          </w:placeholder>
        </w:sdtPr>
        <w:sdtContent>
          <w:r w:rsidR="000C4C0B" w:rsidRPr="000C4C0B">
            <w:rPr>
              <w:rFonts w:ascii="Arial" w:hAnsi="Arial" w:cs="Arial"/>
              <w:color w:val="000000"/>
            </w:rPr>
            <w:t>(Lele et al., 2021)</w:t>
          </w:r>
        </w:sdtContent>
      </w:sdt>
      <w:r w:rsidRPr="00A13D82">
        <w:rPr>
          <w:rFonts w:ascii="Arial" w:hAnsi="Arial" w:cs="Arial"/>
        </w:rPr>
        <w:t xml:space="preserve">, </w:t>
      </w:r>
      <w:sdt>
        <w:sdtPr>
          <w:rPr>
            <w:rFonts w:ascii="Arial" w:hAnsi="Arial" w:cs="Arial"/>
            <w:color w:val="000000"/>
          </w:rPr>
          <w:tag w:val="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92919547"/>
          <w:placeholder>
            <w:docPart w:val="250FFBC8C3344CBD95989585B526D3C2"/>
          </w:placeholder>
        </w:sdtPr>
        <w:sdtContent>
          <w:r w:rsidR="000C4C0B" w:rsidRPr="000C4C0B">
            <w:rPr>
              <w:rFonts w:ascii="Arial" w:hAnsi="Arial" w:cs="Arial"/>
              <w:color w:val="000000"/>
            </w:rPr>
            <w:t>(Maithani et al., 2020)</w:t>
          </w:r>
        </w:sdtContent>
      </w:sdt>
      <w:r w:rsidRPr="00A13D82">
        <w:rPr>
          <w:rFonts w:ascii="Arial" w:hAnsi="Arial" w:cs="Arial"/>
        </w:rPr>
        <w:t>.</w:t>
      </w:r>
    </w:p>
    <w:p w14:paraId="7C695B44" w14:textId="77777777" w:rsidR="0036253B" w:rsidRDefault="0036253B" w:rsidP="00A13D82">
      <w:pPr>
        <w:pStyle w:val="Body"/>
        <w:spacing w:after="0"/>
        <w:rPr>
          <w:rFonts w:ascii="Arial" w:hAnsi="Arial" w:cs="Arial"/>
        </w:rPr>
      </w:pPr>
    </w:p>
    <w:p w14:paraId="4FBF5467" w14:textId="551EAE69" w:rsidR="0036253B" w:rsidRDefault="0036253B" w:rsidP="0036253B">
      <w:pPr>
        <w:jc w:val="both"/>
        <w:rPr>
          <w:rFonts w:ascii="Arial" w:hAnsi="Arial" w:cs="Arial"/>
          <w:color w:val="00B050"/>
        </w:rPr>
      </w:pPr>
      <w:r w:rsidRPr="0036253B">
        <w:rPr>
          <w:rFonts w:ascii="Arial" w:hAnsi="Arial" w:cs="Arial"/>
          <w:color w:val="00B050"/>
        </w:rPr>
        <w:t xml:space="preserve">Read and complete with a text about the state of the art </w:t>
      </w:r>
      <w:r w:rsidRPr="0036253B">
        <w:rPr>
          <w:rFonts w:ascii="Arial" w:hAnsi="Arial" w:cs="Arial"/>
          <w:color w:val="00B050"/>
        </w:rPr>
        <w:t xml:space="preserve">here, based in this suggestions literature from the </w:t>
      </w:r>
      <w:hyperlink r:id="rId14" w:history="1">
        <w:r w:rsidRPr="0036253B">
          <w:rPr>
            <w:rFonts w:ascii="Arial" w:hAnsi="Arial"/>
            <w:color w:val="00B050"/>
          </w:rPr>
          <w:t>Journal of Geography, Environment and Earth Science International</w:t>
        </w:r>
      </w:hyperlink>
      <w:r>
        <w:rPr>
          <w:rFonts w:ascii="Arial" w:hAnsi="Arial" w:cs="Arial"/>
          <w:color w:val="00B050"/>
        </w:rPr>
        <w:t>, as such as:</w:t>
      </w:r>
    </w:p>
    <w:p w14:paraId="046124A1" w14:textId="77777777" w:rsidR="0036253B" w:rsidRDefault="0036253B" w:rsidP="0036253B">
      <w:pPr>
        <w:jc w:val="both"/>
        <w:rPr>
          <w:rFonts w:ascii="Arial" w:hAnsi="Arial" w:cs="Arial"/>
          <w:color w:val="00B050"/>
        </w:rPr>
      </w:pPr>
    </w:p>
    <w:p w14:paraId="755E6223" w14:textId="777FA423" w:rsidR="0036253B" w:rsidRDefault="0036253B" w:rsidP="0036253B">
      <w:pPr>
        <w:jc w:val="both"/>
        <w:rPr>
          <w:rFonts w:ascii="Arial" w:hAnsi="Arial" w:cs="Arial"/>
          <w:color w:val="00B050"/>
        </w:rPr>
      </w:pPr>
      <w:r w:rsidRPr="0036253B">
        <w:rPr>
          <w:rFonts w:ascii="Arial" w:hAnsi="Arial" w:cs="Arial"/>
          <w:color w:val="00B050"/>
        </w:rPr>
        <w:t xml:space="preserve">Kari Venkata Sai, Asha Joseph, Sajeena S, Rema K P, and Anu Varughese. 2025. “Spatio-Temporal Analysis and Long-Term Trends of Groundwater Levels in the Chittur Block, Kerala, India”. Journal of Geography, Environment and Earth Science International 29 (12):1–19. </w:t>
      </w:r>
      <w:hyperlink r:id="rId15" w:history="1">
        <w:r w:rsidRPr="002C4761">
          <w:rPr>
            <w:rStyle w:val="Hyperlink"/>
            <w:rFonts w:ascii="Arial" w:hAnsi="Arial" w:cs="Arial"/>
          </w:rPr>
          <w:t>https://doi.org/10.9734/jgeesi/2025/v29i12979</w:t>
        </w:r>
      </w:hyperlink>
      <w:r w:rsidRPr="0036253B">
        <w:rPr>
          <w:rFonts w:ascii="Arial" w:hAnsi="Arial" w:cs="Arial"/>
          <w:color w:val="00B050"/>
        </w:rPr>
        <w:t>.</w:t>
      </w:r>
    </w:p>
    <w:p w14:paraId="57F0EF98" w14:textId="77777777" w:rsidR="0036253B" w:rsidRDefault="0036253B" w:rsidP="0036253B">
      <w:pPr>
        <w:jc w:val="both"/>
        <w:rPr>
          <w:rFonts w:ascii="Arial" w:hAnsi="Arial" w:cs="Arial"/>
          <w:color w:val="00B050"/>
        </w:rPr>
      </w:pPr>
    </w:p>
    <w:p w14:paraId="0F7EA812" w14:textId="38C0EC5B" w:rsidR="0036253B" w:rsidRDefault="0036253B" w:rsidP="0036253B">
      <w:pPr>
        <w:jc w:val="both"/>
        <w:rPr>
          <w:rFonts w:ascii="Arial" w:hAnsi="Arial" w:cs="Arial"/>
          <w:color w:val="00B050"/>
        </w:rPr>
      </w:pPr>
      <w:r w:rsidRPr="0036253B">
        <w:rPr>
          <w:rFonts w:ascii="Arial" w:hAnsi="Arial" w:cs="Arial"/>
          <w:color w:val="00B050"/>
        </w:rPr>
        <w:t>G. Lamzamuan. 2025. “Analyzing Land Use and Land Cover Changes Using Remote Sensing and GIS in Churachandpur District, Manipur, Northeast India”. </w:t>
      </w:r>
      <w:r w:rsidRPr="0036253B">
        <w:rPr>
          <w:rFonts w:ascii="Arial" w:hAnsi="Arial" w:cs="Arial"/>
          <w:i/>
          <w:iCs/>
          <w:color w:val="00B050"/>
        </w:rPr>
        <w:t>Journal of Geography, Environment and Earth Science International</w:t>
      </w:r>
      <w:r w:rsidRPr="0036253B">
        <w:rPr>
          <w:rFonts w:ascii="Arial" w:hAnsi="Arial" w:cs="Arial"/>
          <w:color w:val="00B050"/>
        </w:rPr>
        <w:t xml:space="preserve"> 29 (12):20–32. </w:t>
      </w:r>
      <w:hyperlink r:id="rId16" w:history="1">
        <w:r w:rsidRPr="002C4761">
          <w:rPr>
            <w:rStyle w:val="Hyperlink"/>
            <w:rFonts w:ascii="Arial" w:hAnsi="Arial" w:cs="Arial"/>
          </w:rPr>
          <w:t>https://doi.org/10.9734/jgeesi/2025/v29i12980</w:t>
        </w:r>
      </w:hyperlink>
      <w:r w:rsidRPr="0036253B">
        <w:rPr>
          <w:rFonts w:ascii="Arial" w:hAnsi="Arial" w:cs="Arial"/>
          <w:color w:val="00B050"/>
        </w:rPr>
        <w:t>.</w:t>
      </w:r>
    </w:p>
    <w:p w14:paraId="4AD8D3BE" w14:textId="77777777" w:rsidR="0036253B" w:rsidRDefault="0036253B" w:rsidP="0036253B">
      <w:pPr>
        <w:jc w:val="both"/>
        <w:rPr>
          <w:rFonts w:ascii="Arial" w:hAnsi="Arial" w:cs="Arial"/>
          <w:color w:val="00B050"/>
        </w:rPr>
      </w:pPr>
    </w:p>
    <w:p w14:paraId="708A6827" w14:textId="7099EB3C" w:rsidR="0036253B" w:rsidRDefault="0036253B" w:rsidP="0036253B">
      <w:pPr>
        <w:jc w:val="both"/>
        <w:rPr>
          <w:rFonts w:ascii="Arial" w:hAnsi="Arial" w:cs="Arial"/>
          <w:color w:val="00B050"/>
        </w:rPr>
      </w:pPr>
      <w:r w:rsidRPr="0036253B">
        <w:rPr>
          <w:rFonts w:ascii="Arial" w:hAnsi="Arial" w:cs="Arial"/>
          <w:color w:val="00B050"/>
        </w:rPr>
        <w:t>Moses Olorunfemi Areh, Ahmed Onimisi Abdulrahaman, Zuliehat Ohunene Abdullahi, Afolayan Oluwatosin Abolaji, Momoh Khalifa Adeiza, and Omoniyi Taofiq Mustapha. 2025. “Geospatial Analysis of the Impact of Land Cover Change on Land Surface Temperature in Abuja, Nigeria (1986-2021)”. </w:t>
      </w:r>
      <w:r w:rsidRPr="0036253B">
        <w:rPr>
          <w:rFonts w:ascii="Arial" w:hAnsi="Arial" w:cs="Arial"/>
          <w:i/>
          <w:iCs/>
          <w:color w:val="00B050"/>
        </w:rPr>
        <w:t>Journal of Geography, Environment and Earth Science International</w:t>
      </w:r>
      <w:r w:rsidRPr="0036253B">
        <w:rPr>
          <w:rFonts w:ascii="Arial" w:hAnsi="Arial" w:cs="Arial"/>
          <w:color w:val="00B050"/>
        </w:rPr>
        <w:t xml:space="preserve"> 29 (12):43–60. </w:t>
      </w:r>
      <w:hyperlink r:id="rId17" w:history="1">
        <w:r w:rsidRPr="002C4761">
          <w:rPr>
            <w:rStyle w:val="Hyperlink"/>
            <w:rFonts w:ascii="Arial" w:hAnsi="Arial" w:cs="Arial"/>
          </w:rPr>
          <w:t>https://doi.org/10.9734/jgeesi/2025/v29i12982</w:t>
        </w:r>
      </w:hyperlink>
      <w:r w:rsidRPr="0036253B">
        <w:rPr>
          <w:rFonts w:ascii="Arial" w:hAnsi="Arial" w:cs="Arial"/>
          <w:color w:val="00B050"/>
        </w:rPr>
        <w:t>.</w:t>
      </w:r>
    </w:p>
    <w:p w14:paraId="3E50484A" w14:textId="77777777" w:rsidR="0036253B" w:rsidRDefault="0036253B" w:rsidP="0036253B">
      <w:pPr>
        <w:jc w:val="both"/>
        <w:rPr>
          <w:rFonts w:ascii="Arial" w:hAnsi="Arial" w:cs="Arial"/>
          <w:color w:val="00B050"/>
        </w:rPr>
      </w:pPr>
    </w:p>
    <w:p w14:paraId="134ADB07" w14:textId="4C6780DE" w:rsidR="0036253B" w:rsidRDefault="0036253B" w:rsidP="0036253B">
      <w:pPr>
        <w:jc w:val="both"/>
        <w:rPr>
          <w:rFonts w:ascii="Arial" w:hAnsi="Arial" w:cs="Arial"/>
          <w:color w:val="00B050"/>
        </w:rPr>
      </w:pPr>
      <w:r w:rsidRPr="0036253B">
        <w:rPr>
          <w:rFonts w:ascii="Arial" w:hAnsi="Arial" w:cs="Arial"/>
          <w:color w:val="00B050"/>
        </w:rPr>
        <w:t>MAHMOODI, Sebghatullah; BASU, Debolina; AGRAWAL, Sonam. Spatiotemporal Patterns of Land Surface Temperature (LST): A Case of Herat. </w:t>
      </w:r>
      <w:r w:rsidRPr="0036253B">
        <w:rPr>
          <w:rFonts w:ascii="Arial" w:hAnsi="Arial" w:cs="Arial"/>
          <w:b/>
          <w:bCs/>
          <w:color w:val="00B050"/>
        </w:rPr>
        <w:t>Geospatial Science for Urban Ecosystems: Insights from India and Beyond</w:t>
      </w:r>
      <w:r w:rsidRPr="0036253B">
        <w:rPr>
          <w:rFonts w:ascii="Arial" w:hAnsi="Arial" w:cs="Arial"/>
          <w:color w:val="00B050"/>
        </w:rPr>
        <w:t>, p. 469, 2026.</w:t>
      </w:r>
      <w:r>
        <w:rPr>
          <w:rFonts w:ascii="Arial" w:hAnsi="Arial" w:cs="Arial"/>
          <w:color w:val="00B050"/>
        </w:rPr>
        <w:t xml:space="preserve"> </w:t>
      </w:r>
      <w:hyperlink r:id="rId18" w:history="1">
        <w:r w:rsidRPr="002C4761">
          <w:rPr>
            <w:rStyle w:val="Hyperlink"/>
            <w:rFonts w:ascii="Arial" w:hAnsi="Arial" w:cs="Arial"/>
          </w:rPr>
          <w:t>https://books.google.com.br/books?hl=pt-BR&amp;lr=&amp;id=O5ilEQAAQBAJ&amp;oi=fnd&amp;pg=PA468&amp;dq=State-of-the-Art+Studies+on+LST+and+UHI+in+India&amp;ots=yPTTh5swI3&amp;sig=oZNQ5k0I7jj2rVxPYmlBUdKEGLA</w:t>
        </w:r>
      </w:hyperlink>
    </w:p>
    <w:p w14:paraId="74BD06F2" w14:textId="77777777" w:rsidR="0036253B" w:rsidRDefault="0036253B" w:rsidP="0036253B">
      <w:pPr>
        <w:jc w:val="both"/>
        <w:rPr>
          <w:rFonts w:ascii="Arial" w:hAnsi="Arial" w:cs="Arial"/>
          <w:color w:val="00B050"/>
        </w:rPr>
      </w:pPr>
    </w:p>
    <w:p w14:paraId="380CCA9F" w14:textId="50F06DDB" w:rsidR="0036253B" w:rsidRPr="0036253B" w:rsidRDefault="0036253B" w:rsidP="0036253B">
      <w:pPr>
        <w:jc w:val="both"/>
        <w:rPr>
          <w:rFonts w:ascii="Arial" w:hAnsi="Arial" w:cs="Arial"/>
          <w:color w:val="00B050"/>
        </w:rPr>
      </w:pPr>
      <w:r w:rsidRPr="0036253B">
        <w:rPr>
          <w:rFonts w:ascii="Arial" w:hAnsi="Arial" w:cs="Arial"/>
          <w:color w:val="00B050"/>
          <w:lang w:val="pt-BR"/>
        </w:rPr>
        <w:t xml:space="preserve">PURI, Vikram; SOLANKI, Vijender Kumar. </w:t>
      </w:r>
      <w:r w:rsidRPr="0036253B">
        <w:rPr>
          <w:rFonts w:ascii="Arial" w:hAnsi="Arial" w:cs="Arial"/>
          <w:color w:val="00B050"/>
        </w:rPr>
        <w:t>Role of Artificial Intelligence (AI). </w:t>
      </w:r>
      <w:r w:rsidRPr="0036253B">
        <w:rPr>
          <w:rFonts w:ascii="Arial" w:hAnsi="Arial" w:cs="Arial"/>
          <w:b/>
          <w:bCs/>
          <w:color w:val="00B050"/>
        </w:rPr>
        <w:t>Remote Sensing of Urban Heat Islands: Case Studies from Emerging Cities</w:t>
      </w:r>
      <w:r w:rsidRPr="0036253B">
        <w:rPr>
          <w:rFonts w:ascii="Arial" w:hAnsi="Arial" w:cs="Arial"/>
          <w:color w:val="00B050"/>
        </w:rPr>
        <w:t>, p. 101, 2026.</w:t>
      </w:r>
      <w:r>
        <w:rPr>
          <w:rFonts w:ascii="Arial" w:hAnsi="Arial" w:cs="Arial"/>
          <w:color w:val="00B050"/>
        </w:rPr>
        <w:t xml:space="preserve"> </w:t>
      </w:r>
      <w:r w:rsidRPr="0036253B">
        <w:rPr>
          <w:rFonts w:ascii="Arial" w:hAnsi="Arial" w:cs="Arial"/>
          <w:color w:val="00B050"/>
        </w:rPr>
        <w:t>https://books.google.com.br/books?hl=pt-BR&amp;lr=&amp;id=cnylEQAAQBAJ&amp;oi=fnd&amp;pg=PA101&amp;dq=State-of-the-Art+Studies+on+LST+and+UHI&amp;ots=Q7EWYT9sU_&amp;sig=Srf7Ljhv4M6Er9k5B3Ut_MXt-sM</w:t>
      </w:r>
    </w:p>
    <w:p w14:paraId="70DC19A7" w14:textId="7A15CDDA" w:rsidR="0036253B" w:rsidRPr="0036253B" w:rsidRDefault="0036253B" w:rsidP="0036253B">
      <w:pPr>
        <w:jc w:val="both"/>
        <w:rPr>
          <w:rFonts w:ascii="Arial" w:hAnsi="Arial" w:cs="Arial"/>
          <w:color w:val="00B050"/>
        </w:rPr>
      </w:pPr>
    </w:p>
    <w:p w14:paraId="0FA05B5A" w14:textId="77777777" w:rsidR="00A13D82" w:rsidRPr="00A13D82" w:rsidRDefault="00A13D82" w:rsidP="00A13D82">
      <w:pPr>
        <w:jc w:val="both"/>
        <w:rPr>
          <w:rFonts w:ascii="Arial" w:hAnsi="Arial" w:cs="Arial"/>
          <w:b/>
          <w:bCs/>
        </w:rPr>
      </w:pPr>
      <w:r w:rsidRPr="00A13D82">
        <w:rPr>
          <w:rFonts w:ascii="Arial" w:hAnsi="Arial" w:cs="Arial"/>
          <w:b/>
          <w:bCs/>
        </w:rPr>
        <w:lastRenderedPageBreak/>
        <w:t>Remote Sensing and Biophysical Drivers</w:t>
      </w:r>
    </w:p>
    <w:p w14:paraId="15DD33A3" w14:textId="1AF59155" w:rsidR="00A13D82" w:rsidRPr="00A13D82" w:rsidRDefault="00A13D82" w:rsidP="00A13D82">
      <w:pPr>
        <w:jc w:val="both"/>
        <w:rPr>
          <w:rFonts w:ascii="Arial" w:hAnsi="Arial" w:cs="Arial"/>
        </w:rPr>
      </w:pPr>
      <w:r w:rsidRPr="00A13D82">
        <w:rPr>
          <w:rFonts w:ascii="Arial" w:hAnsi="Arial" w:cs="Arial"/>
        </w:rPr>
        <w:t xml:space="preserve">Remote sensing technologies, specifically those utilizing MODIS datasets, are established as effective tools for monitoring Land Surface Temperature (LST) due to their spatial coverage and high temporal frequency </w:t>
      </w:r>
      <w:sdt>
        <w:sdtPr>
          <w:rPr>
            <w:rFonts w:ascii="Arial" w:hAnsi="Arial" w:cs="Arial"/>
            <w:color w:val="000000"/>
          </w:rPr>
          <w:tag w:val="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481116159"/>
          <w:placeholder>
            <w:docPart w:val="CF44A8D845674E45BD44A8935D591413"/>
          </w:placeholder>
        </w:sdtPr>
        <w:sdtContent>
          <w:r w:rsidR="000C4C0B" w:rsidRPr="000C4C0B">
            <w:rPr>
              <w:rFonts w:ascii="Arial" w:hAnsi="Arial" w:cs="Arial"/>
              <w:color w:val="000000"/>
            </w:rPr>
            <w:t>(Nayak et al., 2023)</w:t>
          </w:r>
        </w:sdtContent>
      </w:sdt>
      <w:r w:rsidRPr="00A13D82">
        <w:rPr>
          <w:rFonts w:ascii="Arial" w:hAnsi="Arial" w:cs="Arial"/>
        </w:rPr>
        <w:t xml:space="preserve">. Research across the Indian subcontinent has repeatedly indicated a positive correlation between LST and built-up indices (e.g., NDBI), while conversely noting negative relationships with vegetation (NDVI) and moisture indices (NDWI) </w:t>
      </w:r>
      <w:sdt>
        <w:sdtPr>
          <w:rPr>
            <w:rFonts w:ascii="Arial" w:hAnsi="Arial" w:cs="Arial"/>
            <w:color w:val="000000"/>
          </w:rPr>
          <w:tag w:val="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251271243"/>
          <w:placeholder>
            <w:docPart w:val="CF44A8D845674E45BD44A8935D591413"/>
          </w:placeholder>
        </w:sdtPr>
        <w:sdtContent>
          <w:r w:rsidR="000C4C0B" w:rsidRPr="000C4C0B">
            <w:rPr>
              <w:rFonts w:ascii="Arial" w:hAnsi="Arial" w:cs="Arial"/>
              <w:color w:val="000000"/>
            </w:rPr>
            <w:t>(Mohammad &amp; Goswami, 2023)</w:t>
          </w:r>
        </w:sdtContent>
      </w:sdt>
      <w:r w:rsidRPr="00A13D82">
        <w:rPr>
          <w:rFonts w:ascii="Arial" w:hAnsi="Arial" w:cs="Arial"/>
        </w:rPr>
        <w:t xml:space="preserve">, </w:t>
      </w:r>
      <w:sdt>
        <w:sdtPr>
          <w:rPr>
            <w:rFonts w:ascii="Arial" w:hAnsi="Arial" w:cs="Arial"/>
            <w:color w:val="000000"/>
          </w:rPr>
          <w:tag w:val="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270626179"/>
          <w:placeholder>
            <w:docPart w:val="CF44A8D845674E45BD44A8935D591413"/>
          </w:placeholder>
        </w:sdtPr>
        <w:sdtContent>
          <w:r w:rsidR="000C4C0B" w:rsidRPr="000C4C0B">
            <w:rPr>
              <w:rFonts w:ascii="Arial" w:hAnsi="Arial" w:cs="Arial"/>
              <w:color w:val="000000"/>
            </w:rPr>
            <w:t>(Nikkala et al., 2022)</w:t>
          </w:r>
        </w:sdtContent>
      </w:sdt>
      <w:r w:rsidRPr="00A13D82">
        <w:rPr>
          <w:rFonts w:ascii="Arial" w:hAnsi="Arial" w:cs="Arial"/>
        </w:rPr>
        <w:t xml:space="preserve">. For instance, multi-city investigations using MODIS-derived LST have linked significant warming trajectories to urban growth, while studies in semi-arid regions have pinpointed NDBI as a primary driver of elevated surface temperatures </w:t>
      </w:r>
      <w:sdt>
        <w:sdtPr>
          <w:rPr>
            <w:rFonts w:ascii="Arial" w:hAnsi="Arial" w:cs="Arial"/>
            <w:color w:val="000000"/>
          </w:rPr>
          <w:tag w:val="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583406037"/>
          <w:placeholder>
            <w:docPart w:val="8E2A05C47F3849719B81DB3A89F56319"/>
          </w:placeholder>
        </w:sdtPr>
        <w:sdtContent>
          <w:r w:rsidR="000C4C0B" w:rsidRPr="000C4C0B">
            <w:rPr>
              <w:rFonts w:ascii="Arial" w:hAnsi="Arial" w:cs="Arial"/>
              <w:color w:val="000000"/>
            </w:rPr>
            <w:t>(Galodha &amp; Gupta, 2021)</w:t>
          </w:r>
        </w:sdtContent>
      </w:sdt>
      <w:r w:rsidRPr="00A13D82">
        <w:rPr>
          <w:rFonts w:ascii="Arial" w:hAnsi="Arial" w:cs="Arial"/>
        </w:rPr>
        <w:t>.</w:t>
      </w:r>
    </w:p>
    <w:p w14:paraId="6212A092" w14:textId="5FB4785D" w:rsidR="00A13D82" w:rsidRDefault="00A13D82" w:rsidP="00A13D82">
      <w:pPr>
        <w:jc w:val="both"/>
        <w:rPr>
          <w:rFonts w:ascii="Arial" w:hAnsi="Arial" w:cs="Arial"/>
        </w:rPr>
      </w:pPr>
      <w:r w:rsidRPr="00A13D82">
        <w:rPr>
          <w:rFonts w:ascii="Arial" w:hAnsi="Arial" w:cs="Arial"/>
        </w:rPr>
        <w:t xml:space="preserve">The lockdown measures associated with COVID-19 provided a rare baseline for isolating human-induced thermal impacts; several reports documented temporary LST declines of 2-6 K in urban and industrial sectors following the reduction of emissions </w:t>
      </w:r>
      <w:sdt>
        <w:sdtPr>
          <w:rPr>
            <w:rFonts w:ascii="Arial" w:hAnsi="Arial" w:cs="Arial"/>
            <w:color w:val="000000"/>
          </w:rPr>
          <w:tag w:val="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623388913"/>
          <w:placeholder>
            <w:docPart w:val="CF44A8D845674E45BD44A8935D591413"/>
          </w:placeholder>
        </w:sdtPr>
        <w:sdtContent>
          <w:r w:rsidR="000C4C0B" w:rsidRPr="000C4C0B">
            <w:rPr>
              <w:rFonts w:ascii="Arial" w:hAnsi="Arial" w:cs="Arial"/>
              <w:color w:val="000000"/>
            </w:rPr>
            <w:t>(Maithani et al., 2020)</w:t>
          </w:r>
        </w:sdtContent>
      </w:sdt>
      <w:r w:rsidRPr="00A13D82">
        <w:rPr>
          <w:rFonts w:ascii="Arial" w:hAnsi="Arial" w:cs="Arial"/>
        </w:rPr>
        <w:t>. Furthermore, the application of sophisticated spatial statistics-including Getis-Ord Gi* for hotspot identification and Mann-Kendall tests</w:t>
      </w:r>
      <w:sdt>
        <w:sdtPr>
          <w:rPr>
            <w:rFonts w:ascii="Arial" w:hAnsi="Arial" w:cs="Arial"/>
            <w:color w:val="000000"/>
          </w:rPr>
          <w:tag w:val="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
          <w:id w:val="-507291699"/>
          <w:placeholder>
            <w:docPart w:val="CF44A8D845674E45BD44A8935D591413"/>
          </w:placeholder>
        </w:sdtPr>
        <w:sdtContent>
          <w:r w:rsidR="000C4C0B" w:rsidRPr="000C4C0B">
            <w:rPr>
              <w:rFonts w:ascii="Arial" w:hAnsi="Arial" w:cs="Arial"/>
              <w:color w:val="000000"/>
            </w:rPr>
            <w:t>(Sai et al., 2025)</w:t>
          </w:r>
        </w:sdtContent>
      </w:sdt>
      <w:r w:rsidRPr="00A13D82">
        <w:rPr>
          <w:rFonts w:ascii="Arial" w:hAnsi="Arial" w:cs="Arial"/>
        </w:rPr>
        <w:t xml:space="preserve"> for trend evaluation, has significantly advanced the depth of UHI research </w:t>
      </w:r>
      <w:sdt>
        <w:sdtPr>
          <w:rPr>
            <w:rFonts w:ascii="Arial" w:hAnsi="Arial" w:cs="Arial"/>
            <w:color w:val="000000"/>
          </w:rPr>
          <w:tag w:val="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
          <w:id w:val="-2110736953"/>
          <w:placeholder>
            <w:docPart w:val="CF44A8D845674E45BD44A8935D591413"/>
          </w:placeholder>
        </w:sdtPr>
        <w:sdtContent>
          <w:r w:rsidR="000C4C0B" w:rsidRPr="000C4C0B">
            <w:rPr>
              <w:rFonts w:ascii="Arial" w:hAnsi="Arial" w:cs="Arial"/>
              <w:color w:val="000000"/>
            </w:rPr>
            <w:t>(Cafaro et al., 2024)</w:t>
          </w:r>
        </w:sdtContent>
      </w:sdt>
      <w:r w:rsidRPr="00A13D82">
        <w:rPr>
          <w:rFonts w:ascii="Arial" w:hAnsi="Arial" w:cs="Arial"/>
        </w:rPr>
        <w:t xml:space="preserve">. However, exhaustive state-level research that synthesizes biophysical, human, and topographic factors with UHI intensity and non-parametric trend analysis remains sparse for Andhra Pradesh </w:t>
      </w:r>
      <w:sdt>
        <w:sdtPr>
          <w:rPr>
            <w:rFonts w:ascii="Arial" w:hAnsi="Arial" w:cs="Arial"/>
            <w:color w:val="000000"/>
          </w:rPr>
          <w:tag w:val="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
          <w:id w:val="335891973"/>
          <w:placeholder>
            <w:docPart w:val="CF44A8D845674E45BD44A8935D591413"/>
          </w:placeholder>
        </w:sdtPr>
        <w:sdtContent>
          <w:r w:rsidR="000C4C0B" w:rsidRPr="000C4C0B">
            <w:rPr>
              <w:rFonts w:ascii="Arial" w:hAnsi="Arial" w:cs="Arial"/>
              <w:color w:val="000000"/>
            </w:rPr>
            <w:t>(Islam et al., 2024)</w:t>
          </w:r>
        </w:sdtContent>
      </w:sdt>
      <w:r w:rsidRPr="00A13D82">
        <w:rPr>
          <w:rFonts w:ascii="Arial" w:hAnsi="Arial" w:cs="Arial"/>
        </w:rPr>
        <w:t>. This research gap is significant in light of the state’s diverse physiography and recent post-pandemic urban rebound.</w:t>
      </w:r>
    </w:p>
    <w:p w14:paraId="5155766F" w14:textId="77777777" w:rsidR="00C532A6" w:rsidRPr="00A13D82" w:rsidRDefault="00C532A6" w:rsidP="00A13D82">
      <w:pPr>
        <w:jc w:val="both"/>
        <w:rPr>
          <w:rFonts w:ascii="Arial" w:hAnsi="Arial" w:cs="Arial"/>
        </w:rPr>
      </w:pPr>
    </w:p>
    <w:p w14:paraId="7FA6EF41" w14:textId="77777777" w:rsidR="00A13D82" w:rsidRPr="00A13D82" w:rsidRDefault="00A13D82" w:rsidP="00A13D82">
      <w:pPr>
        <w:jc w:val="both"/>
        <w:rPr>
          <w:rFonts w:ascii="Arial" w:hAnsi="Arial" w:cs="Arial"/>
          <w:b/>
          <w:bCs/>
        </w:rPr>
      </w:pPr>
      <w:r w:rsidRPr="00A13D82">
        <w:rPr>
          <w:rFonts w:ascii="Arial" w:hAnsi="Arial" w:cs="Arial"/>
          <w:b/>
          <w:bCs/>
        </w:rPr>
        <w:t>Research Objectives</w:t>
      </w:r>
    </w:p>
    <w:p w14:paraId="4235983C" w14:textId="77777777" w:rsidR="00A13D82" w:rsidRPr="00A13D82" w:rsidRDefault="00A13D82" w:rsidP="00A13D82">
      <w:pPr>
        <w:jc w:val="both"/>
        <w:rPr>
          <w:rFonts w:ascii="Arial" w:hAnsi="Arial" w:cs="Arial"/>
        </w:rPr>
      </w:pPr>
      <w:r w:rsidRPr="00A13D82">
        <w:rPr>
          <w:rFonts w:ascii="Arial" w:hAnsi="Arial" w:cs="Arial"/>
        </w:rPr>
        <w:t>The present study addresses these identified gaps by utilizing Google Earth Engine to evaluate MODIS-derived LST and associated indices from 2020 to 2024. The primary objectives are as follows:</w:t>
      </w:r>
    </w:p>
    <w:p w14:paraId="1D1E06F2" w14:textId="77777777" w:rsidR="00A13D82" w:rsidRPr="00A13D82" w:rsidRDefault="00A13D82" w:rsidP="00C532A6">
      <w:pPr>
        <w:numPr>
          <w:ilvl w:val="0"/>
          <w:numId w:val="31"/>
        </w:numPr>
        <w:jc w:val="both"/>
        <w:rPr>
          <w:rFonts w:ascii="Arial" w:hAnsi="Arial" w:cs="Arial"/>
        </w:rPr>
      </w:pPr>
      <w:r w:rsidRPr="00A13D82">
        <w:rPr>
          <w:rFonts w:ascii="Arial" w:hAnsi="Arial" w:cs="Arial"/>
        </w:rPr>
        <w:t>To quantify the spatiotemporal LST configurations across Andhra Pradesh during the 2020-2024 timeframe.</w:t>
      </w:r>
    </w:p>
    <w:p w14:paraId="23FD40E4" w14:textId="77777777" w:rsidR="00A13D82" w:rsidRPr="00A13D82" w:rsidRDefault="00A13D82" w:rsidP="00C532A6">
      <w:pPr>
        <w:numPr>
          <w:ilvl w:val="0"/>
          <w:numId w:val="31"/>
        </w:numPr>
        <w:jc w:val="both"/>
        <w:rPr>
          <w:rFonts w:ascii="Arial" w:hAnsi="Arial" w:cs="Arial"/>
        </w:rPr>
      </w:pPr>
      <w:r w:rsidRPr="00A13D82">
        <w:rPr>
          <w:rFonts w:ascii="Arial" w:hAnsi="Arial" w:cs="Arial"/>
        </w:rPr>
        <w:t>To analyze the comparative impact of vegetation (NDVI), water bodies (NDWI), urbanization (NDBI), and terrain characteristics (elevation and slope).</w:t>
      </w:r>
    </w:p>
    <w:p w14:paraId="45AF2F8A"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delineate UHI intensity and locate statistically significant thermal hotspots.</w:t>
      </w:r>
    </w:p>
    <w:p w14:paraId="6CBF8A43"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determine monotonic trajectories using non-parametric Mann-Kendall testing.</w:t>
      </w:r>
    </w:p>
    <w:p w14:paraId="0D278D7F" w14:textId="0B2810F9" w:rsidR="00A13D82" w:rsidRDefault="00A13D82" w:rsidP="00A13D82">
      <w:pPr>
        <w:pStyle w:val="Body"/>
        <w:spacing w:after="0"/>
        <w:rPr>
          <w:rFonts w:ascii="Arial" w:hAnsi="Arial" w:cs="Arial"/>
        </w:rPr>
      </w:pPr>
      <w:r w:rsidRPr="00A13D82">
        <w:rPr>
          <w:rFonts w:ascii="Arial" w:hAnsi="Arial" w:cs="Arial"/>
        </w:rPr>
        <w:t>The results demonstrate that urbanization serves as the primary catalyst for regional warming, offering empirical insights for the development of heat-resilient urban strategies in expanding Indian states.</w:t>
      </w:r>
    </w:p>
    <w:p w14:paraId="29B93A3D" w14:textId="77777777" w:rsidR="00273CA4" w:rsidRPr="00A13D82" w:rsidRDefault="00273CA4" w:rsidP="00A13D82">
      <w:pPr>
        <w:pStyle w:val="Body"/>
        <w:spacing w:after="0"/>
        <w:rPr>
          <w:rFonts w:ascii="Arial" w:hAnsi="Arial" w:cs="Arial"/>
        </w:rPr>
      </w:pPr>
    </w:p>
    <w:p w14:paraId="62469039" w14:textId="6C32AE18" w:rsidR="00790ADA" w:rsidRDefault="00C532A6" w:rsidP="00C532A6">
      <w:pPr>
        <w:pStyle w:val="AbstHead"/>
        <w:spacing w:after="0"/>
        <w:jc w:val="both"/>
        <w:rPr>
          <w:rFonts w:ascii="Arial" w:hAnsi="Arial" w:cs="Arial"/>
        </w:rPr>
      </w:pPr>
      <w:r w:rsidRPr="00C532A6">
        <w:rPr>
          <w:rFonts w:ascii="Arial" w:hAnsi="Arial" w:cs="Arial"/>
        </w:rPr>
        <w:t xml:space="preserve">2. </w:t>
      </w:r>
      <w:r>
        <w:rPr>
          <w:rFonts w:ascii="Arial" w:hAnsi="Arial" w:cs="Arial"/>
        </w:rPr>
        <w:t>LITERATURE REVIEW</w:t>
      </w:r>
    </w:p>
    <w:p w14:paraId="60711364" w14:textId="77777777" w:rsidR="00C532A6" w:rsidRDefault="00C532A6" w:rsidP="00C532A6">
      <w:pPr>
        <w:pStyle w:val="AbstHead"/>
        <w:spacing w:after="0"/>
        <w:jc w:val="both"/>
        <w:rPr>
          <w:rFonts w:ascii="Arial" w:hAnsi="Arial" w:cs="Arial"/>
        </w:rPr>
      </w:pPr>
    </w:p>
    <w:p w14:paraId="4E0CA5FE" w14:textId="776F6062" w:rsidR="00C532A6" w:rsidRPr="00C532A6" w:rsidRDefault="00C532A6" w:rsidP="00C532A6">
      <w:pPr>
        <w:jc w:val="both"/>
        <w:rPr>
          <w:rFonts w:ascii="Arial" w:hAnsi="Arial" w:cs="Arial"/>
        </w:rPr>
      </w:pPr>
      <w:r w:rsidRPr="00C532A6">
        <w:rPr>
          <w:rFonts w:ascii="Arial" w:hAnsi="Arial" w:cs="Arial"/>
        </w:rPr>
        <w:t xml:space="preserve">The research on Land Surface Temperature (LST) and Urban Heat Island (UHI) effects within India has experienced a significant surge since 2015, facilitated by the enhanced availability of satellite imagery from the MODIS and Landsat platforms </w:t>
      </w:r>
      <w:sdt>
        <w:sdtPr>
          <w:rPr>
            <w:rFonts w:ascii="Arial" w:hAnsi="Arial" w:cs="Arial"/>
            <w:color w:val="000000"/>
          </w:rPr>
          <w:tag w:val="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649428836"/>
          <w:placeholder>
            <w:docPart w:val="D0338F7932CA40B096D6D1FA67D8F852"/>
          </w:placeholder>
        </w:sdtPr>
        <w:sdtContent>
          <w:r w:rsidR="000C4C0B" w:rsidRPr="000C4C0B">
            <w:rPr>
              <w:rFonts w:ascii="Arial" w:hAnsi="Arial" w:cs="Arial"/>
              <w:color w:val="000000"/>
            </w:rPr>
            <w:t>(Nayak et al., 2023)</w:t>
          </w:r>
        </w:sdtContent>
      </w:sdt>
      <w:r w:rsidRPr="00C532A6">
        <w:rPr>
          <w:rFonts w:ascii="Arial" w:hAnsi="Arial" w:cs="Arial"/>
        </w:rPr>
        <w:t xml:space="preserve">. Initial research primarily targeted major metropolitan areas, establishing definitive connections between the proliferation of impervious surfaces and the emergence of thermal anomalies </w:t>
      </w:r>
      <w:sdt>
        <w:sdtPr>
          <w:rPr>
            <w:rFonts w:ascii="Arial" w:hAnsi="Arial" w:cs="Arial"/>
            <w:color w:val="000000"/>
          </w:rPr>
          <w:tag w:val="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123427976"/>
          <w:placeholder>
            <w:docPart w:val="D0338F7932CA40B096D6D1FA67D8F852"/>
          </w:placeholder>
        </w:sdtPr>
        <w:sdtContent>
          <w:r w:rsidR="000C4C0B" w:rsidRPr="000C4C0B">
            <w:rPr>
              <w:rFonts w:ascii="Arial" w:hAnsi="Arial" w:cs="Arial"/>
              <w:color w:val="000000"/>
            </w:rPr>
            <w:t>(Mohammad &amp; Goswami, 2023)</w:t>
          </w:r>
        </w:sdtContent>
      </w:sdt>
      <w:r w:rsidRPr="00C532A6">
        <w:rPr>
          <w:rFonts w:ascii="Arial" w:hAnsi="Arial" w:cs="Arial"/>
        </w:rPr>
        <w:t xml:space="preserve">. Furthermore, nationwide assessments utilizing long term MODIS records have identified statistically significant nighttime warming across urban centers, a phenomenon largely ascribed to the expansion of built-up areas </w:t>
      </w:r>
      <w:sdt>
        <w:sdtPr>
          <w:rPr>
            <w:rFonts w:ascii="Arial" w:hAnsi="Arial" w:cs="Arial"/>
            <w:color w:val="000000"/>
          </w:rPr>
          <w:tag w:val="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953782974"/>
          <w:placeholder>
            <w:docPart w:val="D0338F7932CA40B096D6D1FA67D8F852"/>
          </w:placeholder>
        </w:sdtPr>
        <w:sdtContent>
          <w:r w:rsidR="000C4C0B" w:rsidRPr="000C4C0B">
            <w:rPr>
              <w:rFonts w:ascii="Arial" w:hAnsi="Arial" w:cs="Arial"/>
              <w:color w:val="000000"/>
            </w:rPr>
            <w:t>(Nayak et al., 2023)</w:t>
          </w:r>
        </w:sdtContent>
      </w:sdt>
      <w:r w:rsidRPr="00C532A6">
        <w:rPr>
          <w:rFonts w:ascii="Arial" w:hAnsi="Arial" w:cs="Arial"/>
        </w:rPr>
        <w:t>.</w:t>
      </w:r>
    </w:p>
    <w:p w14:paraId="5648DE69" w14:textId="13BCB9E9" w:rsidR="00C532A6" w:rsidRPr="00C532A6" w:rsidRDefault="00C532A6" w:rsidP="00C532A6">
      <w:pPr>
        <w:jc w:val="both"/>
        <w:rPr>
          <w:rFonts w:ascii="Arial" w:hAnsi="Arial" w:cs="Arial"/>
        </w:rPr>
      </w:pPr>
      <w:r w:rsidRPr="00C532A6">
        <w:rPr>
          <w:rFonts w:ascii="Arial" w:hAnsi="Arial" w:cs="Arial"/>
        </w:rPr>
        <w:t xml:space="preserve">In the context of southern India, focused investigations into Hyderabad and its surrounding territories have reinforced the positive correlation between the Normalized Difference Built-up Index (NDBI) and LST, while simultaneously highlighting the cooling potential of urban greenery </w:t>
      </w:r>
      <w:sdt>
        <w:sdtPr>
          <w:rPr>
            <w:rFonts w:ascii="Arial" w:hAnsi="Arial" w:cs="Arial"/>
            <w:color w:val="000000"/>
          </w:rPr>
          <w:tag w:val="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141345839"/>
          <w:placeholder>
            <w:docPart w:val="D0338F7932CA40B096D6D1FA67D8F852"/>
          </w:placeholder>
        </w:sdtPr>
        <w:sdtContent>
          <w:r w:rsidR="000C4C0B" w:rsidRPr="000C4C0B">
            <w:rPr>
              <w:rFonts w:ascii="Arial" w:hAnsi="Arial" w:cs="Arial"/>
              <w:color w:val="000000"/>
            </w:rPr>
            <w:t>(Pradeep Kumar et al., 2023)</w:t>
          </w:r>
        </w:sdtContent>
      </w:sdt>
      <w:r w:rsidRPr="00C532A6">
        <w:rPr>
          <w:rFonts w:ascii="Arial" w:hAnsi="Arial" w:cs="Arial"/>
        </w:rPr>
        <w:t xml:space="preserve">. Observations of seasonal fluctuations have further revealed that UHI intensity typically peaks during the summer months, driven by diminished evapotranspiration rates </w:t>
      </w:r>
      <w:sdt>
        <w:sdtPr>
          <w:rPr>
            <w:rFonts w:ascii="Arial" w:hAnsi="Arial" w:cs="Arial"/>
            <w:color w:val="000000"/>
          </w:rPr>
          <w:tag w:val="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879440798"/>
          <w:placeholder>
            <w:docPart w:val="D0338F7932CA40B096D6D1FA67D8F852"/>
          </w:placeholder>
        </w:sdtPr>
        <w:sdtContent>
          <w:r w:rsidR="000C4C0B" w:rsidRPr="000C4C0B">
            <w:rPr>
              <w:rFonts w:ascii="Arial" w:hAnsi="Arial" w:cs="Arial"/>
              <w:color w:val="000000"/>
            </w:rPr>
            <w:t>(Galodha &amp; Gupta, 2021)</w:t>
          </w:r>
        </w:sdtContent>
      </w:sdt>
      <w:r w:rsidRPr="00C532A6">
        <w:rPr>
          <w:rFonts w:ascii="Arial" w:hAnsi="Arial" w:cs="Arial"/>
        </w:rPr>
        <w:t>.</w:t>
      </w:r>
    </w:p>
    <w:p w14:paraId="44893384" w14:textId="7C8B0DCF" w:rsidR="00C532A6" w:rsidRPr="00C532A6" w:rsidRDefault="00C532A6" w:rsidP="00C532A6">
      <w:pPr>
        <w:jc w:val="both"/>
        <w:rPr>
          <w:rFonts w:ascii="Arial" w:hAnsi="Arial" w:cs="Arial"/>
        </w:rPr>
      </w:pPr>
      <w:r w:rsidRPr="00C532A6">
        <w:rPr>
          <w:rFonts w:ascii="Arial" w:hAnsi="Arial" w:cs="Arial"/>
        </w:rPr>
        <w:lastRenderedPageBreak/>
        <w:t xml:space="preserve">The COVID-19 pandemic served as an unprecedented natural experiment, leading to a myriad of studies on short-term environmental recovery. Notable LST reductions, reaching several degrees Celsius, were documented in industrial zones and megacities; these shifts were directly linked to the cessation of vehicular traffic and industrial operations </w:t>
      </w:r>
      <w:sdt>
        <w:sdtPr>
          <w:rPr>
            <w:rFonts w:ascii="Arial" w:hAnsi="Arial" w:cs="Arial"/>
            <w:color w:val="000000"/>
          </w:rPr>
          <w:tag w:val="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289978730"/>
          <w:placeholder>
            <w:docPart w:val="D0338F7932CA40B096D6D1FA67D8F852"/>
          </w:placeholder>
        </w:sdtPr>
        <w:sdtContent>
          <w:r w:rsidR="000C4C0B" w:rsidRPr="000C4C0B">
            <w:rPr>
              <w:rFonts w:ascii="Arial" w:hAnsi="Arial" w:cs="Arial"/>
              <w:color w:val="000000"/>
            </w:rPr>
            <w:t>(Lele et al., 2021)</w:t>
          </w:r>
        </w:sdtContent>
      </w:sdt>
      <w:r w:rsidRPr="00C532A6">
        <w:rPr>
          <w:rFonts w:ascii="Arial" w:hAnsi="Arial" w:cs="Arial"/>
        </w:rPr>
        <w:t xml:space="preserve">, </w:t>
      </w:r>
      <w:sdt>
        <w:sdtPr>
          <w:rPr>
            <w:rFonts w:ascii="Arial" w:hAnsi="Arial" w:cs="Arial"/>
            <w:color w:val="000000"/>
          </w:rPr>
          <w:tag w:val="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1480484"/>
          <w:placeholder>
            <w:docPart w:val="D0338F7932CA40B096D6D1FA67D8F852"/>
          </w:placeholder>
        </w:sdtPr>
        <w:sdtContent>
          <w:r w:rsidR="000C4C0B" w:rsidRPr="000C4C0B">
            <w:rPr>
              <w:rFonts w:ascii="Arial" w:hAnsi="Arial" w:cs="Arial"/>
              <w:color w:val="000000"/>
            </w:rPr>
            <w:t>(Maithani et al., 2020)</w:t>
          </w:r>
        </w:sdtContent>
      </w:sdt>
      <w:r w:rsidRPr="00C532A6">
        <w:rPr>
          <w:rFonts w:ascii="Arial" w:hAnsi="Arial" w:cs="Arial"/>
        </w:rPr>
        <w:t>. Such findings emphasized the susceptibility of anthropogenic thermal signatures to rapid mitigation.</w:t>
      </w:r>
    </w:p>
    <w:p w14:paraId="5E8A32D5" w14:textId="22AFA05C" w:rsidR="00C532A6" w:rsidRDefault="00C532A6" w:rsidP="00C532A6">
      <w:pPr>
        <w:jc w:val="both"/>
        <w:rPr>
          <w:rFonts w:ascii="Arial" w:hAnsi="Arial" w:cs="Arial"/>
        </w:rPr>
      </w:pPr>
      <w:r w:rsidRPr="00C532A6">
        <w:rPr>
          <w:rFonts w:ascii="Arial" w:hAnsi="Arial" w:cs="Arial"/>
        </w:rPr>
        <w:t xml:space="preserve">Methodological frameworks in this field have evolved to integrate multiple spectral indices, including the Normalized Difference Vegetation Index (NDVI) for biomass assessment, the Normalized Difference Water Index (NDWI) for surface moisture, and NDBI for urban density </w:t>
      </w:r>
      <w:sdt>
        <w:sdtPr>
          <w:rPr>
            <w:rFonts w:ascii="Arial" w:hAnsi="Arial" w:cs="Arial"/>
            <w:color w:val="000000"/>
          </w:rPr>
          <w:tag w:val="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430392806"/>
          <w:placeholder>
            <w:docPart w:val="D0338F7932CA40B096D6D1FA67D8F852"/>
          </w:placeholder>
        </w:sdtPr>
        <w:sdtContent>
          <w:r w:rsidR="000C4C0B" w:rsidRPr="000C4C0B">
            <w:rPr>
              <w:rFonts w:ascii="Arial" w:hAnsi="Arial" w:cs="Arial"/>
              <w:color w:val="000000"/>
            </w:rPr>
            <w:t>(Mohammad &amp; Goswami, 2023)</w:t>
          </w:r>
        </w:sdtContent>
      </w:sdt>
      <w:r w:rsidRPr="00C532A6">
        <w:rPr>
          <w:rFonts w:ascii="Arial" w:hAnsi="Arial" w:cs="Arial"/>
        </w:rPr>
        <w:t xml:space="preserve">. Pearson correlation analyses frequently identify NDBI as the most significant positive forcing agent (r &gt; 0.7), which stands in direct contrast to the negative associations observed with NDVI </w:t>
      </w:r>
      <w:sdt>
        <w:sdtPr>
          <w:rPr>
            <w:rFonts w:ascii="Arial" w:hAnsi="Arial" w:cs="Arial"/>
            <w:color w:val="000000"/>
          </w:rPr>
          <w:tag w:val="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972750978"/>
          <w:placeholder>
            <w:docPart w:val="D0338F7932CA40B096D6D1FA67D8F852"/>
          </w:placeholder>
        </w:sdtPr>
        <w:sdtContent>
          <w:r w:rsidR="000C4C0B" w:rsidRPr="000C4C0B">
            <w:rPr>
              <w:rFonts w:ascii="Arial" w:hAnsi="Arial" w:cs="Arial"/>
              <w:color w:val="000000"/>
            </w:rPr>
            <w:t>(Nikkala et al., 2022)</w:t>
          </w:r>
        </w:sdtContent>
      </w:sdt>
      <w:r w:rsidRPr="00C532A6">
        <w:rPr>
          <w:rFonts w:ascii="Arial" w:hAnsi="Arial" w:cs="Arial"/>
        </w:rPr>
        <w:t xml:space="preserve">. Additionally, spatial clustering techniques, such as the Getis-Ord Gi* statistic, have been successfully employed to pinpoint enduring thermal hotspots in core urban areas </w:t>
      </w:r>
      <w:sdt>
        <w:sdtPr>
          <w:rPr>
            <w:rFonts w:ascii="Arial" w:hAnsi="Arial" w:cs="Arial"/>
            <w:color w:val="000000"/>
          </w:rPr>
          <w:tag w:val="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668633207"/>
          <w:placeholder>
            <w:docPart w:val="D0338F7932CA40B096D6D1FA67D8F852"/>
          </w:placeholder>
        </w:sdtPr>
        <w:sdtContent>
          <w:r w:rsidR="000C4C0B" w:rsidRPr="000C4C0B">
            <w:rPr>
              <w:rFonts w:ascii="Arial" w:hAnsi="Arial" w:cs="Arial"/>
              <w:color w:val="000000"/>
            </w:rPr>
            <w:t>(Galodha &amp; Gupta, 2021)</w:t>
          </w:r>
        </w:sdtContent>
      </w:sdt>
      <w:sdt>
        <w:sdtPr>
          <w:rPr>
            <w:rFonts w:ascii="Arial" w:hAnsi="Arial" w:cs="Arial"/>
            <w:color w:val="000000"/>
          </w:rPr>
          <w:tag w:val="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
          <w:id w:val="-1248880411"/>
          <w:placeholder>
            <w:docPart w:val="D0338F7932CA40B096D6D1FA67D8F852"/>
          </w:placeholder>
        </w:sdtPr>
        <w:sdtContent>
          <w:r w:rsidR="000C4C0B" w:rsidRPr="000C4C0B">
            <w:rPr>
              <w:rFonts w:ascii="Arial" w:hAnsi="Arial" w:cs="Arial"/>
              <w:color w:val="000000"/>
            </w:rPr>
            <w:t>(Baeza-González &amp; Kamakura, 2025)</w:t>
          </w:r>
        </w:sdtContent>
      </w:sdt>
      <w:sdt>
        <w:sdtPr>
          <w:rPr>
            <w:rFonts w:ascii="Arial" w:hAnsi="Arial" w:cs="Arial"/>
            <w:color w:val="000000"/>
          </w:rPr>
          <w:tag w:val="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
          <w:id w:val="2118022734"/>
          <w:placeholder>
            <w:docPart w:val="D0338F7932CA40B096D6D1FA67D8F852"/>
          </w:placeholder>
        </w:sdtPr>
        <w:sdtContent>
          <w:r w:rsidR="000C4C0B" w:rsidRPr="000C4C0B">
            <w:rPr>
              <w:rFonts w:ascii="Arial" w:hAnsi="Arial" w:cs="Arial"/>
              <w:color w:val="000000"/>
            </w:rPr>
            <w:t>(Peeters et al., 2015)</w:t>
          </w:r>
        </w:sdtContent>
      </w:sdt>
      <w:r w:rsidRPr="00C532A6">
        <w:rPr>
          <w:rFonts w:ascii="Arial" w:hAnsi="Arial" w:cs="Arial"/>
        </w:rPr>
        <w:t xml:space="preserve">, while Mann-Kendall tests applied to localized time series have frequently detected marginally significant warming trajectories </w:t>
      </w:r>
      <w:sdt>
        <w:sdtPr>
          <w:rPr>
            <w:rFonts w:ascii="Arial" w:hAnsi="Arial" w:cs="Arial"/>
            <w:color w:val="000000"/>
          </w:rPr>
          <w:tag w:val="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07653346"/>
          <w:placeholder>
            <w:docPart w:val="D0338F7932CA40B096D6D1FA67D8F852"/>
          </w:placeholder>
        </w:sdtPr>
        <w:sdtContent>
          <w:r w:rsidR="000C4C0B" w:rsidRPr="000C4C0B">
            <w:rPr>
              <w:rFonts w:ascii="Arial" w:hAnsi="Arial" w:cs="Arial"/>
              <w:color w:val="000000"/>
            </w:rPr>
            <w:t>(Nayak et al., 2023)</w:t>
          </w:r>
        </w:sdtContent>
      </w:sdt>
      <w:sdt>
        <w:sdtPr>
          <w:rPr>
            <w:rFonts w:ascii="Arial" w:hAnsi="Arial" w:cs="Arial"/>
            <w:color w:val="000000"/>
          </w:rPr>
          <w:tag w:val="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
          <w:id w:val="-261148164"/>
          <w:placeholder>
            <w:docPart w:val="D0338F7932CA40B096D6D1FA67D8F852"/>
          </w:placeholder>
        </w:sdtPr>
        <w:sdtContent>
          <w:r w:rsidR="000C4C0B" w:rsidRPr="000C4C0B">
            <w:rPr>
              <w:rFonts w:ascii="Arial" w:hAnsi="Arial" w:cs="Arial"/>
              <w:color w:val="000000"/>
            </w:rPr>
            <w:t>(Cui et al., 2021)</w:t>
          </w:r>
        </w:sdtContent>
      </w:sdt>
      <w:r w:rsidRPr="00C532A6">
        <w:rPr>
          <w:rFonts w:ascii="Arial" w:hAnsi="Arial" w:cs="Arial"/>
        </w:rPr>
        <w:t>.</w:t>
      </w:r>
    </w:p>
    <w:p w14:paraId="6BF10108" w14:textId="41D2D2C6" w:rsidR="00C532A6" w:rsidRDefault="00C532A6" w:rsidP="00C532A6">
      <w:pPr>
        <w:jc w:val="both"/>
        <w:rPr>
          <w:rFonts w:ascii="Arial" w:hAnsi="Arial" w:cs="Arial"/>
        </w:rPr>
      </w:pPr>
      <w:r w:rsidRPr="00C532A6">
        <w:rPr>
          <w:rFonts w:ascii="Arial" w:hAnsi="Arial" w:cs="Arial"/>
        </w:rPr>
        <w:t xml:space="preserve">Despite these advancements, the influence of topography-specifically elevation-related lapse rates and slope orientation-remains an area of limited exploration in coastal states, where such factors may significantly moderate LST </w:t>
      </w:r>
      <w:sdt>
        <w:sdtPr>
          <w:rPr>
            <w:rFonts w:ascii="Arial" w:hAnsi="Arial" w:cs="Arial"/>
            <w:color w:val="000000"/>
          </w:rPr>
          <w:tag w:val="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2113776008"/>
          <w:placeholder>
            <w:docPart w:val="24C674E1045A4F279C8AC1AFBFA5AF9F"/>
          </w:placeholder>
        </w:sdtPr>
        <w:sdtContent>
          <w:r w:rsidR="000C4C0B" w:rsidRPr="000C4C0B">
            <w:rPr>
              <w:rFonts w:ascii="Arial" w:hAnsi="Arial" w:cs="Arial"/>
              <w:color w:val="000000"/>
            </w:rPr>
            <w:t>(Pradeep Kumar et al., 2023)</w:t>
          </w:r>
        </w:sdtContent>
      </w:sdt>
      <w:r w:rsidRPr="00C532A6">
        <w:rPr>
          <w:rFonts w:ascii="Arial" w:hAnsi="Arial" w:cs="Arial"/>
        </w:rPr>
        <w:t xml:space="preserve">. Currently, there is a lack of research that concurrently maps UHI intensity, Gi* hotspots, multi-year land-use trends, and post-pandemic thermal recovery patterns within regions like Andhra Pradesh </w:t>
      </w:r>
      <w:sdt>
        <w:sdtPr>
          <w:rPr>
            <w:rFonts w:ascii="Arial" w:hAnsi="Arial" w:cs="Arial"/>
            <w:color w:val="000000"/>
          </w:rPr>
          <w:tag w:val="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47887976"/>
          <w:placeholder>
            <w:docPart w:val="24C674E1045A4F279C8AC1AFBFA5AF9F"/>
          </w:placeholder>
        </w:sdtPr>
        <w:sdtContent>
          <w:r w:rsidR="000C4C0B" w:rsidRPr="000C4C0B">
            <w:rPr>
              <w:rFonts w:ascii="Arial" w:hAnsi="Arial" w:cs="Arial"/>
              <w:color w:val="000000"/>
            </w:rPr>
            <w:t>(Nikkala et al., 2022)</w:t>
          </w:r>
        </w:sdtContent>
      </w:sdt>
      <w:r w:rsidRPr="00C532A6">
        <w:rPr>
          <w:rFonts w:ascii="Arial" w:hAnsi="Arial" w:cs="Arial"/>
        </w:rPr>
        <w:t>. While existing literature confirms that urbanization is the primary driver of LST in India, it also highlights an urgent requirement for integrated, state-level analyses that synthesize diverse environmental drivers with advanced statistical modelling-a gap that the present study seeks to address.</w:t>
      </w:r>
    </w:p>
    <w:p w14:paraId="7285B93C" w14:textId="77777777" w:rsidR="00C532A6" w:rsidRDefault="00C532A6" w:rsidP="00C532A6">
      <w:pPr>
        <w:jc w:val="both"/>
        <w:rPr>
          <w:rFonts w:ascii="Arial" w:hAnsi="Arial" w:cs="Arial"/>
        </w:rPr>
      </w:pPr>
    </w:p>
    <w:p w14:paraId="0F4BBAFD" w14:textId="2583D4E4" w:rsidR="00C532A6" w:rsidRDefault="00C532A6" w:rsidP="00C532A6">
      <w:pPr>
        <w:tabs>
          <w:tab w:val="left" w:pos="1080"/>
        </w:tabs>
        <w:jc w:val="center"/>
        <w:rPr>
          <w:rFonts w:ascii="Arial" w:hAnsi="Arial"/>
          <w:b/>
        </w:rPr>
      </w:pPr>
      <w:r>
        <w:rPr>
          <w:rFonts w:ascii="Arial" w:hAnsi="Arial"/>
          <w:b/>
        </w:rPr>
        <w:t xml:space="preserve">Table 1. </w:t>
      </w:r>
      <w:r w:rsidRPr="00C532A6">
        <w:rPr>
          <w:rFonts w:ascii="Arial" w:hAnsi="Arial"/>
          <w:b/>
        </w:rPr>
        <w:t>Summary of Recent (post-2015) State-of-the-Art Studies on LST and UHI in India</w:t>
      </w:r>
    </w:p>
    <w:p w14:paraId="6751389A" w14:textId="77777777" w:rsidR="00C532A6" w:rsidRPr="00DC3180" w:rsidRDefault="00C532A6" w:rsidP="00C532A6">
      <w:pPr>
        <w:tabs>
          <w:tab w:val="left" w:pos="1080"/>
        </w:tabs>
        <w:jc w:val="both"/>
        <w:rPr>
          <w:rFonts w:ascii="Arial" w:hAnsi="Arial"/>
          <w:b/>
        </w:rPr>
      </w:pPr>
    </w:p>
    <w:tbl>
      <w:tblPr>
        <w:tblStyle w:val="Tabelacomgrade"/>
        <w:tblW w:w="8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680"/>
        <w:gridCol w:w="1595"/>
        <w:gridCol w:w="1384"/>
        <w:gridCol w:w="1784"/>
        <w:gridCol w:w="1584"/>
      </w:tblGrid>
      <w:tr w:rsidR="000C4C0B" w:rsidRPr="00C532A6" w14:paraId="1ED89164" w14:textId="77777777" w:rsidTr="00DC1B86">
        <w:tc>
          <w:tcPr>
            <w:tcW w:w="0" w:type="auto"/>
            <w:tcBorders>
              <w:top w:val="single" w:sz="4" w:space="0" w:color="auto"/>
              <w:bottom w:val="single" w:sz="4" w:space="0" w:color="auto"/>
            </w:tcBorders>
            <w:hideMark/>
          </w:tcPr>
          <w:p w14:paraId="04D30A41"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Study</w:t>
            </w:r>
          </w:p>
        </w:tc>
        <w:tc>
          <w:tcPr>
            <w:tcW w:w="810" w:type="dxa"/>
            <w:tcBorders>
              <w:top w:val="single" w:sz="4" w:space="0" w:color="auto"/>
              <w:bottom w:val="single" w:sz="4" w:space="0" w:color="auto"/>
            </w:tcBorders>
            <w:hideMark/>
          </w:tcPr>
          <w:p w14:paraId="2F3D0634"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Year</w:t>
            </w:r>
          </w:p>
        </w:tc>
        <w:tc>
          <w:tcPr>
            <w:tcW w:w="0" w:type="auto"/>
            <w:tcBorders>
              <w:top w:val="single" w:sz="4" w:space="0" w:color="auto"/>
              <w:bottom w:val="single" w:sz="4" w:space="0" w:color="auto"/>
            </w:tcBorders>
            <w:hideMark/>
          </w:tcPr>
          <w:p w14:paraId="5323C145"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Location</w:t>
            </w:r>
          </w:p>
        </w:tc>
        <w:tc>
          <w:tcPr>
            <w:tcW w:w="0" w:type="auto"/>
            <w:tcBorders>
              <w:top w:val="single" w:sz="4" w:space="0" w:color="auto"/>
              <w:bottom w:val="single" w:sz="4" w:space="0" w:color="auto"/>
            </w:tcBorders>
            <w:hideMark/>
          </w:tcPr>
          <w:p w14:paraId="1DBA5FBE"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Data/Source</w:t>
            </w:r>
          </w:p>
        </w:tc>
        <w:tc>
          <w:tcPr>
            <w:tcW w:w="0" w:type="auto"/>
            <w:tcBorders>
              <w:top w:val="single" w:sz="4" w:space="0" w:color="auto"/>
              <w:bottom w:val="single" w:sz="4" w:space="0" w:color="auto"/>
            </w:tcBorders>
            <w:hideMark/>
          </w:tcPr>
          <w:p w14:paraId="11F7B02D"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Key Drivers/Analysis</w:t>
            </w:r>
          </w:p>
        </w:tc>
        <w:tc>
          <w:tcPr>
            <w:tcW w:w="0" w:type="auto"/>
            <w:tcBorders>
              <w:top w:val="single" w:sz="4" w:space="0" w:color="auto"/>
              <w:bottom w:val="single" w:sz="4" w:space="0" w:color="auto"/>
            </w:tcBorders>
            <w:hideMark/>
          </w:tcPr>
          <w:p w14:paraId="662E7202"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Major Findings</w:t>
            </w:r>
          </w:p>
        </w:tc>
      </w:tr>
      <w:tr w:rsidR="000C4C0B" w:rsidRPr="00C532A6" w14:paraId="717D3674" w14:textId="77777777" w:rsidTr="00DC1B86">
        <w:tc>
          <w:tcPr>
            <w:tcW w:w="0" w:type="auto"/>
            <w:tcBorders>
              <w:top w:val="single" w:sz="4" w:space="0" w:color="auto"/>
            </w:tcBorders>
          </w:tcPr>
          <w:p w14:paraId="754E7AEC" w14:textId="28BC6510"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715274053"/>
                <w:placeholder>
                  <w:docPart w:val="299819BBE9D74374A586022658687AE5"/>
                </w:placeholder>
              </w:sdtPr>
              <w:sdtContent>
                <w:r w:rsidR="000C4C0B" w:rsidRPr="000C4C0B">
                  <w:rPr>
                    <w:rFonts w:ascii="Arial" w:hAnsi="Arial" w:cs="Arial"/>
                    <w:color w:val="000000"/>
                    <w:sz w:val="20"/>
                    <w:szCs w:val="20"/>
                  </w:rPr>
                  <w:t>(Maithani et al., 2020)</w:t>
                </w:r>
              </w:sdtContent>
            </w:sdt>
          </w:p>
        </w:tc>
        <w:tc>
          <w:tcPr>
            <w:tcW w:w="810" w:type="dxa"/>
            <w:tcBorders>
              <w:top w:val="single" w:sz="4" w:space="0" w:color="auto"/>
            </w:tcBorders>
          </w:tcPr>
          <w:p w14:paraId="5ECEA884" w14:textId="77777777" w:rsidR="00C532A6" w:rsidRPr="00C532A6" w:rsidRDefault="00C532A6" w:rsidP="00DC1B86">
            <w:pPr>
              <w:rPr>
                <w:rFonts w:ascii="Arial" w:hAnsi="Arial" w:cs="Arial"/>
                <w:sz w:val="20"/>
                <w:szCs w:val="20"/>
              </w:rPr>
            </w:pPr>
            <w:r w:rsidRPr="00C532A6">
              <w:rPr>
                <w:rFonts w:ascii="Arial" w:hAnsi="Arial" w:cs="Arial"/>
                <w:sz w:val="20"/>
                <w:szCs w:val="20"/>
              </w:rPr>
              <w:t>2020</w:t>
            </w:r>
          </w:p>
        </w:tc>
        <w:tc>
          <w:tcPr>
            <w:tcW w:w="0" w:type="auto"/>
            <w:tcBorders>
              <w:top w:val="single" w:sz="4" w:space="0" w:color="auto"/>
            </w:tcBorders>
          </w:tcPr>
          <w:p w14:paraId="3923C8AA" w14:textId="77777777" w:rsidR="00C532A6" w:rsidRPr="00C532A6" w:rsidRDefault="00C532A6" w:rsidP="00DC1B86">
            <w:pPr>
              <w:rPr>
                <w:rFonts w:ascii="Arial" w:hAnsi="Arial" w:cs="Arial"/>
                <w:sz w:val="20"/>
                <w:szCs w:val="20"/>
              </w:rPr>
            </w:pPr>
            <w:r w:rsidRPr="00C532A6">
              <w:rPr>
                <w:rFonts w:ascii="Arial" w:hAnsi="Arial" w:cs="Arial"/>
                <w:sz w:val="20"/>
                <w:szCs w:val="20"/>
              </w:rPr>
              <w:t>Dehradun</w:t>
            </w:r>
          </w:p>
        </w:tc>
        <w:tc>
          <w:tcPr>
            <w:tcW w:w="0" w:type="auto"/>
            <w:tcBorders>
              <w:top w:val="single" w:sz="4" w:space="0" w:color="auto"/>
            </w:tcBorders>
          </w:tcPr>
          <w:p w14:paraId="2CD5ED23" w14:textId="77777777" w:rsidR="00C532A6" w:rsidRPr="00C532A6" w:rsidRDefault="00C532A6" w:rsidP="00DC1B86">
            <w:pPr>
              <w:rPr>
                <w:rFonts w:ascii="Arial" w:hAnsi="Arial" w:cs="Arial"/>
                <w:sz w:val="20"/>
                <w:szCs w:val="20"/>
              </w:rPr>
            </w:pPr>
            <w:r w:rsidRPr="00C532A6">
              <w:rPr>
                <w:rFonts w:ascii="Arial" w:hAnsi="Arial" w:cs="Arial"/>
                <w:sz w:val="20"/>
                <w:szCs w:val="20"/>
              </w:rPr>
              <w:t>LST during lockdown</w:t>
            </w:r>
          </w:p>
        </w:tc>
        <w:tc>
          <w:tcPr>
            <w:tcW w:w="0" w:type="auto"/>
            <w:tcBorders>
              <w:top w:val="single" w:sz="4" w:space="0" w:color="auto"/>
            </w:tcBorders>
          </w:tcPr>
          <w:p w14:paraId="25F72737" w14:textId="77777777" w:rsidR="00C532A6" w:rsidRPr="00C532A6" w:rsidRDefault="00C532A6" w:rsidP="00DC1B86">
            <w:pPr>
              <w:rPr>
                <w:rFonts w:ascii="Arial" w:hAnsi="Arial" w:cs="Arial"/>
                <w:sz w:val="20"/>
                <w:szCs w:val="20"/>
              </w:rPr>
            </w:pPr>
            <w:r w:rsidRPr="00C532A6">
              <w:rPr>
                <w:rFonts w:ascii="Arial" w:hAnsi="Arial" w:cs="Arial"/>
                <w:sz w:val="20"/>
                <w:szCs w:val="20"/>
              </w:rPr>
              <w:t>Anthropogenic reduction</w:t>
            </w:r>
          </w:p>
        </w:tc>
        <w:tc>
          <w:tcPr>
            <w:tcW w:w="0" w:type="auto"/>
            <w:tcBorders>
              <w:top w:val="single" w:sz="4" w:space="0" w:color="auto"/>
            </w:tcBorders>
          </w:tcPr>
          <w:p w14:paraId="15A8381C" w14:textId="77777777" w:rsidR="00C532A6" w:rsidRPr="00C532A6" w:rsidRDefault="00C532A6" w:rsidP="00DC1B86">
            <w:pPr>
              <w:rPr>
                <w:rFonts w:ascii="Arial" w:hAnsi="Arial" w:cs="Arial"/>
                <w:sz w:val="20"/>
                <w:szCs w:val="20"/>
              </w:rPr>
            </w:pPr>
            <w:r w:rsidRPr="00C532A6">
              <w:rPr>
                <w:rFonts w:ascii="Arial" w:hAnsi="Arial" w:cs="Arial"/>
                <w:sz w:val="20"/>
                <w:szCs w:val="20"/>
              </w:rPr>
              <w:t>Significant LST drop in urban/industrial zones</w:t>
            </w:r>
          </w:p>
        </w:tc>
      </w:tr>
      <w:tr w:rsidR="000C4C0B" w:rsidRPr="00C532A6" w14:paraId="29C8FA97" w14:textId="77777777" w:rsidTr="00DC1B86">
        <w:tc>
          <w:tcPr>
            <w:tcW w:w="0" w:type="auto"/>
          </w:tcPr>
          <w:p w14:paraId="6B9EE764" w14:textId="479773C8"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507947377"/>
                <w:placeholder>
                  <w:docPart w:val="084B25F7B077489BA6117D8CB869CAC1"/>
                </w:placeholder>
              </w:sdtPr>
              <w:sdtContent>
                <w:r w:rsidR="000C4C0B" w:rsidRPr="000C4C0B">
                  <w:rPr>
                    <w:rFonts w:ascii="Arial" w:hAnsi="Arial" w:cs="Arial"/>
                    <w:color w:val="000000"/>
                    <w:sz w:val="20"/>
                    <w:szCs w:val="20"/>
                  </w:rPr>
                  <w:t>(Lele et al., 2021)</w:t>
                </w:r>
              </w:sdtContent>
            </w:sdt>
          </w:p>
        </w:tc>
        <w:tc>
          <w:tcPr>
            <w:tcW w:w="810" w:type="dxa"/>
          </w:tcPr>
          <w:p w14:paraId="4A1FCCDB"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4102CC31" w14:textId="77777777" w:rsidR="00C532A6" w:rsidRPr="00C532A6" w:rsidRDefault="00C532A6" w:rsidP="00DC1B86">
            <w:pPr>
              <w:rPr>
                <w:rFonts w:ascii="Arial" w:hAnsi="Arial" w:cs="Arial"/>
                <w:sz w:val="20"/>
                <w:szCs w:val="20"/>
              </w:rPr>
            </w:pPr>
            <w:r w:rsidRPr="00C532A6">
              <w:rPr>
                <w:rFonts w:ascii="Arial" w:hAnsi="Arial" w:cs="Arial"/>
                <w:sz w:val="20"/>
                <w:szCs w:val="20"/>
              </w:rPr>
              <w:t>Terrestrial ecosystems</w:t>
            </w:r>
          </w:p>
        </w:tc>
        <w:tc>
          <w:tcPr>
            <w:tcW w:w="0" w:type="auto"/>
          </w:tcPr>
          <w:p w14:paraId="23605D74" w14:textId="77777777" w:rsidR="00C532A6" w:rsidRPr="00C532A6" w:rsidRDefault="00C532A6" w:rsidP="00DC1B86">
            <w:pPr>
              <w:rPr>
                <w:rFonts w:ascii="Arial" w:hAnsi="Arial" w:cs="Arial"/>
                <w:sz w:val="20"/>
                <w:szCs w:val="20"/>
              </w:rPr>
            </w:pPr>
            <w:r w:rsidRPr="00C532A6">
              <w:rPr>
                <w:rFonts w:ascii="Arial" w:hAnsi="Arial" w:cs="Arial"/>
                <w:sz w:val="20"/>
                <w:szCs w:val="20"/>
              </w:rPr>
              <w:t>LEO-GEO satellites</w:t>
            </w:r>
          </w:p>
        </w:tc>
        <w:tc>
          <w:tcPr>
            <w:tcW w:w="0" w:type="auto"/>
          </w:tcPr>
          <w:p w14:paraId="42EDE2F6" w14:textId="77777777" w:rsidR="00C532A6" w:rsidRPr="00C532A6" w:rsidRDefault="00C532A6" w:rsidP="00DC1B86">
            <w:pPr>
              <w:rPr>
                <w:rFonts w:ascii="Arial" w:hAnsi="Arial" w:cs="Arial"/>
                <w:sz w:val="20"/>
                <w:szCs w:val="20"/>
              </w:rPr>
            </w:pPr>
            <w:r w:rsidRPr="00C532A6">
              <w:rPr>
                <w:rFonts w:ascii="Arial" w:hAnsi="Arial" w:cs="Arial"/>
                <w:sz w:val="20"/>
                <w:szCs w:val="20"/>
              </w:rPr>
              <w:t>COVID lockdown impact</w:t>
            </w:r>
          </w:p>
        </w:tc>
        <w:tc>
          <w:tcPr>
            <w:tcW w:w="0" w:type="auto"/>
          </w:tcPr>
          <w:p w14:paraId="3B28DD92" w14:textId="77777777" w:rsidR="00C532A6" w:rsidRPr="00C532A6" w:rsidRDefault="00C532A6" w:rsidP="00DC1B86">
            <w:pPr>
              <w:rPr>
                <w:rFonts w:ascii="Arial" w:hAnsi="Arial" w:cs="Arial"/>
                <w:sz w:val="20"/>
                <w:szCs w:val="20"/>
              </w:rPr>
            </w:pPr>
            <w:r w:rsidRPr="00C532A6">
              <w:rPr>
                <w:rFonts w:ascii="Arial" w:hAnsi="Arial" w:cs="Arial"/>
                <w:sz w:val="20"/>
                <w:szCs w:val="20"/>
              </w:rPr>
              <w:t>Temporary cooling due to reduced activity</w:t>
            </w:r>
          </w:p>
        </w:tc>
      </w:tr>
      <w:tr w:rsidR="000C4C0B" w:rsidRPr="00C532A6" w14:paraId="6D8DEB23" w14:textId="77777777" w:rsidTr="00DC1B86">
        <w:tc>
          <w:tcPr>
            <w:tcW w:w="0" w:type="auto"/>
          </w:tcPr>
          <w:p w14:paraId="1E423073" w14:textId="2DE7786A"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815025682"/>
                <w:placeholder>
                  <w:docPart w:val="EBB91196A3DC450FB055D5ED2AADA667"/>
                </w:placeholder>
              </w:sdtPr>
              <w:sdtContent>
                <w:r w:rsidR="000C4C0B" w:rsidRPr="000C4C0B">
                  <w:rPr>
                    <w:rFonts w:ascii="Arial" w:eastAsia="Times New Roman" w:hAnsi="Arial" w:cs="Arial"/>
                    <w:color w:val="000000"/>
                    <w:sz w:val="20"/>
                  </w:rPr>
                  <w:t>(Galodha &amp; Gupta, 2021)</w:t>
                </w:r>
              </w:sdtContent>
            </w:sdt>
          </w:p>
        </w:tc>
        <w:tc>
          <w:tcPr>
            <w:tcW w:w="810" w:type="dxa"/>
          </w:tcPr>
          <w:p w14:paraId="6C496B17"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579E3DDA" w14:textId="77777777" w:rsidR="00C532A6" w:rsidRPr="00C532A6" w:rsidRDefault="00C532A6" w:rsidP="00DC1B86">
            <w:pPr>
              <w:rPr>
                <w:rFonts w:ascii="Arial" w:hAnsi="Arial" w:cs="Arial"/>
                <w:sz w:val="20"/>
                <w:szCs w:val="20"/>
              </w:rPr>
            </w:pPr>
            <w:r w:rsidRPr="00C532A6">
              <w:rPr>
                <w:rFonts w:ascii="Arial" w:hAnsi="Arial" w:cs="Arial"/>
                <w:sz w:val="20"/>
                <w:szCs w:val="20"/>
              </w:rPr>
              <w:t>Global (incl. India context)</w:t>
            </w:r>
          </w:p>
        </w:tc>
        <w:tc>
          <w:tcPr>
            <w:tcW w:w="0" w:type="auto"/>
          </w:tcPr>
          <w:p w14:paraId="6CB7AEA2" w14:textId="77777777" w:rsidR="00C532A6" w:rsidRPr="00C532A6" w:rsidRDefault="00C532A6" w:rsidP="00DC1B86">
            <w:pPr>
              <w:rPr>
                <w:rFonts w:ascii="Arial" w:hAnsi="Arial" w:cs="Arial"/>
                <w:sz w:val="20"/>
                <w:szCs w:val="20"/>
              </w:rPr>
            </w:pPr>
            <w:r w:rsidRPr="00C532A6">
              <w:rPr>
                <w:rFonts w:ascii="Arial" w:hAnsi="Arial" w:cs="Arial"/>
                <w:sz w:val="20"/>
                <w:szCs w:val="20"/>
              </w:rPr>
              <w:t>LCZ &amp; LST</w:t>
            </w:r>
          </w:p>
        </w:tc>
        <w:tc>
          <w:tcPr>
            <w:tcW w:w="0" w:type="auto"/>
          </w:tcPr>
          <w:p w14:paraId="5DB35FE8" w14:textId="77777777" w:rsidR="00C532A6" w:rsidRPr="00C532A6" w:rsidRDefault="00C532A6" w:rsidP="00DC1B86">
            <w:pPr>
              <w:rPr>
                <w:rFonts w:ascii="Arial" w:hAnsi="Arial" w:cs="Arial"/>
                <w:sz w:val="20"/>
                <w:szCs w:val="20"/>
              </w:rPr>
            </w:pPr>
            <w:r w:rsidRPr="00C532A6">
              <w:rPr>
                <w:rFonts w:ascii="Arial" w:hAnsi="Arial" w:cs="Arial"/>
                <w:sz w:val="20"/>
                <w:szCs w:val="20"/>
              </w:rPr>
              <w:t>Local climate zones</w:t>
            </w:r>
          </w:p>
        </w:tc>
        <w:tc>
          <w:tcPr>
            <w:tcW w:w="0" w:type="auto"/>
          </w:tcPr>
          <w:p w14:paraId="45732637" w14:textId="77777777" w:rsidR="00C532A6" w:rsidRPr="00C532A6" w:rsidRDefault="00C532A6" w:rsidP="00DC1B86">
            <w:pPr>
              <w:rPr>
                <w:rFonts w:ascii="Arial" w:hAnsi="Arial" w:cs="Arial"/>
                <w:sz w:val="20"/>
                <w:szCs w:val="20"/>
              </w:rPr>
            </w:pPr>
            <w:r w:rsidRPr="00C532A6">
              <w:rPr>
                <w:rFonts w:ascii="Arial" w:hAnsi="Arial" w:cs="Arial"/>
                <w:sz w:val="20"/>
                <w:szCs w:val="20"/>
              </w:rPr>
              <w:t>Distinct intra-city UHI variations</w:t>
            </w:r>
          </w:p>
        </w:tc>
      </w:tr>
      <w:tr w:rsidR="000C4C0B" w:rsidRPr="00C532A6" w14:paraId="4BDFE573" w14:textId="77777777" w:rsidTr="00DC1B86">
        <w:tc>
          <w:tcPr>
            <w:tcW w:w="0" w:type="auto"/>
          </w:tcPr>
          <w:p w14:paraId="788291C7" w14:textId="46A29340" w:rsidR="00C532A6" w:rsidRPr="000C4C0B" w:rsidRDefault="00000000" w:rsidP="00DC1B86">
            <w:pPr>
              <w:rPr>
                <w:rFonts w:ascii="Arial" w:hAnsi="Arial" w:cs="Arial"/>
                <w:sz w:val="20"/>
                <w:szCs w:val="20"/>
                <w:lang w:val="pl-PL"/>
              </w:rPr>
            </w:pPr>
            <w:sdt>
              <w:sdtPr>
                <w:rPr>
                  <w:rFonts w:ascii="Arial" w:hAnsi="Arial" w:cs="Arial"/>
                  <w:color w:val="000000"/>
                </w:rPr>
                <w:tag w:val="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727787777"/>
                <w:placeholder>
                  <w:docPart w:val="AED9F45544E94C72B4CCC844306687CB"/>
                </w:placeholder>
              </w:sdtPr>
              <w:sdtContent>
                <w:r w:rsidR="000C4C0B" w:rsidRPr="000C4C0B">
                  <w:rPr>
                    <w:rFonts w:ascii="Arial" w:hAnsi="Arial" w:cs="Arial"/>
                    <w:color w:val="000000"/>
                    <w:sz w:val="20"/>
                    <w:szCs w:val="20"/>
                    <w:lang w:val="pl-PL"/>
                  </w:rPr>
                  <w:t>(Nikkala et al., 2022)</w:t>
                </w:r>
              </w:sdtContent>
            </w:sdt>
          </w:p>
        </w:tc>
        <w:tc>
          <w:tcPr>
            <w:tcW w:w="810" w:type="dxa"/>
          </w:tcPr>
          <w:p w14:paraId="441F6712" w14:textId="77777777" w:rsidR="00C532A6" w:rsidRPr="00C532A6" w:rsidRDefault="00C532A6" w:rsidP="00DC1B86">
            <w:pPr>
              <w:rPr>
                <w:rFonts w:ascii="Arial" w:hAnsi="Arial" w:cs="Arial"/>
                <w:sz w:val="20"/>
                <w:szCs w:val="20"/>
              </w:rPr>
            </w:pPr>
            <w:r w:rsidRPr="00C532A6">
              <w:rPr>
                <w:rFonts w:ascii="Arial" w:hAnsi="Arial" w:cs="Arial"/>
                <w:sz w:val="20"/>
                <w:szCs w:val="20"/>
              </w:rPr>
              <w:t>2022</w:t>
            </w:r>
          </w:p>
        </w:tc>
        <w:tc>
          <w:tcPr>
            <w:tcW w:w="0" w:type="auto"/>
          </w:tcPr>
          <w:p w14:paraId="03C1E70C" w14:textId="77777777" w:rsidR="00C532A6" w:rsidRPr="00C532A6" w:rsidRDefault="00C532A6" w:rsidP="00DC1B86">
            <w:pPr>
              <w:rPr>
                <w:rFonts w:ascii="Arial" w:hAnsi="Arial" w:cs="Arial"/>
                <w:sz w:val="20"/>
                <w:szCs w:val="20"/>
              </w:rPr>
            </w:pPr>
            <w:r w:rsidRPr="00C532A6">
              <w:rPr>
                <w:rFonts w:ascii="Arial" w:hAnsi="Arial" w:cs="Arial"/>
                <w:sz w:val="20"/>
                <w:szCs w:val="20"/>
              </w:rPr>
              <w:t>Visakhapatnam (AP)</w:t>
            </w:r>
          </w:p>
        </w:tc>
        <w:tc>
          <w:tcPr>
            <w:tcW w:w="0" w:type="auto"/>
          </w:tcPr>
          <w:p w14:paraId="40C9721A" w14:textId="77777777" w:rsidR="00C532A6" w:rsidRPr="00C532A6" w:rsidRDefault="00C532A6" w:rsidP="00DC1B86">
            <w:pPr>
              <w:rPr>
                <w:rFonts w:ascii="Arial" w:hAnsi="Arial" w:cs="Arial"/>
                <w:sz w:val="20"/>
                <w:szCs w:val="20"/>
              </w:rPr>
            </w:pPr>
            <w:r w:rsidRPr="00C532A6">
              <w:rPr>
                <w:rFonts w:ascii="Arial" w:hAnsi="Arial" w:cs="Arial"/>
                <w:sz w:val="20"/>
                <w:szCs w:val="20"/>
              </w:rPr>
              <w:t>Landsat-8</w:t>
            </w:r>
          </w:p>
        </w:tc>
        <w:tc>
          <w:tcPr>
            <w:tcW w:w="0" w:type="auto"/>
          </w:tcPr>
          <w:p w14:paraId="0B2B38DF" w14:textId="77777777" w:rsidR="00C532A6" w:rsidRPr="00C532A6" w:rsidRDefault="00C532A6" w:rsidP="00DC1B86">
            <w:pPr>
              <w:rPr>
                <w:rFonts w:ascii="Arial" w:hAnsi="Arial" w:cs="Arial"/>
                <w:sz w:val="20"/>
                <w:szCs w:val="20"/>
              </w:rPr>
            </w:pPr>
            <w:r w:rsidRPr="00C532A6">
              <w:rPr>
                <w:rFonts w:ascii="Arial" w:hAnsi="Arial" w:cs="Arial"/>
                <w:sz w:val="20"/>
                <w:szCs w:val="20"/>
              </w:rPr>
              <w:t>LST correlation with LULC</w:t>
            </w:r>
          </w:p>
        </w:tc>
        <w:tc>
          <w:tcPr>
            <w:tcW w:w="0" w:type="auto"/>
          </w:tcPr>
          <w:p w14:paraId="14318C4B" w14:textId="77777777" w:rsidR="00C532A6" w:rsidRPr="00C532A6" w:rsidRDefault="00C532A6" w:rsidP="00DC1B86">
            <w:pPr>
              <w:rPr>
                <w:rFonts w:ascii="Arial" w:hAnsi="Arial" w:cs="Arial"/>
                <w:sz w:val="20"/>
                <w:szCs w:val="20"/>
              </w:rPr>
            </w:pPr>
            <w:r w:rsidRPr="00C532A6">
              <w:rPr>
                <w:rFonts w:ascii="Arial" w:hAnsi="Arial" w:cs="Arial"/>
                <w:sz w:val="20"/>
                <w:szCs w:val="20"/>
              </w:rPr>
              <w:t>Strong NDBI-LST link in coastal urban area</w:t>
            </w:r>
          </w:p>
        </w:tc>
      </w:tr>
      <w:tr w:rsidR="000C4C0B" w:rsidRPr="00C532A6" w14:paraId="632DF834" w14:textId="77777777" w:rsidTr="00DC1B86">
        <w:tc>
          <w:tcPr>
            <w:tcW w:w="0" w:type="auto"/>
            <w:hideMark/>
          </w:tcPr>
          <w:p w14:paraId="67723C33" w14:textId="7C87F83E"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322805525"/>
                <w:placeholder>
                  <w:docPart w:val="C7417F7C0964485598DCB574AD8095E8"/>
                </w:placeholder>
              </w:sdtPr>
              <w:sdtContent>
                <w:r w:rsidR="000C4C0B" w:rsidRPr="000C4C0B">
                  <w:rPr>
                    <w:rFonts w:ascii="Arial" w:hAnsi="Arial" w:cs="Arial"/>
                    <w:color w:val="000000"/>
                    <w:sz w:val="20"/>
                    <w:szCs w:val="20"/>
                  </w:rPr>
                  <w:t>(Nayak et al., 2023)</w:t>
                </w:r>
              </w:sdtContent>
            </w:sdt>
          </w:p>
        </w:tc>
        <w:tc>
          <w:tcPr>
            <w:tcW w:w="810" w:type="dxa"/>
            <w:hideMark/>
          </w:tcPr>
          <w:p w14:paraId="247C5F0C"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52572620" w14:textId="77777777" w:rsidR="00C532A6" w:rsidRPr="00C532A6" w:rsidRDefault="00C532A6" w:rsidP="00DC1B86">
            <w:pPr>
              <w:rPr>
                <w:rFonts w:ascii="Arial" w:hAnsi="Arial" w:cs="Arial"/>
                <w:sz w:val="20"/>
                <w:szCs w:val="20"/>
              </w:rPr>
            </w:pPr>
            <w:r w:rsidRPr="00C532A6">
              <w:rPr>
                <w:rFonts w:ascii="Arial" w:hAnsi="Arial" w:cs="Arial"/>
                <w:sz w:val="20"/>
                <w:szCs w:val="20"/>
              </w:rPr>
              <w:t>Major Indian cities</w:t>
            </w:r>
          </w:p>
        </w:tc>
        <w:tc>
          <w:tcPr>
            <w:tcW w:w="0" w:type="auto"/>
            <w:hideMark/>
          </w:tcPr>
          <w:p w14:paraId="745E8080" w14:textId="77777777" w:rsidR="00C532A6" w:rsidRPr="00C532A6" w:rsidRDefault="00C532A6" w:rsidP="00DC1B86">
            <w:pPr>
              <w:rPr>
                <w:rFonts w:ascii="Arial" w:hAnsi="Arial" w:cs="Arial"/>
                <w:sz w:val="20"/>
                <w:szCs w:val="20"/>
              </w:rPr>
            </w:pPr>
            <w:r w:rsidRPr="00C532A6">
              <w:rPr>
                <w:rFonts w:ascii="Arial" w:hAnsi="Arial" w:cs="Arial"/>
                <w:sz w:val="20"/>
                <w:szCs w:val="20"/>
              </w:rPr>
              <w:t>MODIS LST (2000-2023)</w:t>
            </w:r>
          </w:p>
        </w:tc>
        <w:tc>
          <w:tcPr>
            <w:tcW w:w="0" w:type="auto"/>
            <w:hideMark/>
          </w:tcPr>
          <w:p w14:paraId="68749766" w14:textId="77777777" w:rsidR="00C532A6" w:rsidRPr="00C532A6" w:rsidRDefault="00C532A6" w:rsidP="00DC1B86">
            <w:pPr>
              <w:rPr>
                <w:rFonts w:ascii="Arial" w:hAnsi="Arial" w:cs="Arial"/>
                <w:sz w:val="20"/>
                <w:szCs w:val="20"/>
              </w:rPr>
            </w:pPr>
            <w:r w:rsidRPr="00C532A6">
              <w:rPr>
                <w:rFonts w:ascii="Arial" w:hAnsi="Arial" w:cs="Arial"/>
                <w:sz w:val="20"/>
                <w:szCs w:val="20"/>
              </w:rPr>
              <w:t>Urban expansion, long-term trends</w:t>
            </w:r>
          </w:p>
        </w:tc>
        <w:tc>
          <w:tcPr>
            <w:tcW w:w="0" w:type="auto"/>
            <w:hideMark/>
          </w:tcPr>
          <w:p w14:paraId="5BE10948" w14:textId="77777777" w:rsidR="00C532A6" w:rsidRPr="00C532A6" w:rsidRDefault="00C532A6" w:rsidP="00DC1B86">
            <w:pPr>
              <w:rPr>
                <w:rFonts w:ascii="Arial" w:hAnsi="Arial" w:cs="Arial"/>
                <w:sz w:val="20"/>
                <w:szCs w:val="20"/>
              </w:rPr>
            </w:pPr>
            <w:r w:rsidRPr="00C532A6">
              <w:rPr>
                <w:rFonts w:ascii="Arial" w:hAnsi="Arial" w:cs="Arial"/>
                <w:sz w:val="20"/>
                <w:szCs w:val="20"/>
              </w:rPr>
              <w:t>Significant nighttime warming; SUHI intensity increasing</w:t>
            </w:r>
          </w:p>
        </w:tc>
      </w:tr>
      <w:tr w:rsidR="000C4C0B" w:rsidRPr="00C532A6" w14:paraId="03891AB8" w14:textId="77777777" w:rsidTr="00DC1B86">
        <w:tc>
          <w:tcPr>
            <w:tcW w:w="0" w:type="auto"/>
            <w:hideMark/>
          </w:tcPr>
          <w:p w14:paraId="7597D60D" w14:textId="3F204D01"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959070990"/>
                <w:placeholder>
                  <w:docPart w:val="C7417F7C0964485598DCB574AD8095E8"/>
                </w:placeholder>
              </w:sdtPr>
              <w:sdtContent>
                <w:r w:rsidR="000C4C0B" w:rsidRPr="000C4C0B">
                  <w:rPr>
                    <w:rFonts w:ascii="Arial" w:hAnsi="Arial" w:cs="Arial"/>
                    <w:color w:val="000000"/>
                    <w:sz w:val="20"/>
                    <w:szCs w:val="20"/>
                  </w:rPr>
                  <w:t>(Pradeep Kumar et al., 2023)</w:t>
                </w:r>
              </w:sdtContent>
            </w:sdt>
          </w:p>
        </w:tc>
        <w:tc>
          <w:tcPr>
            <w:tcW w:w="810" w:type="dxa"/>
            <w:hideMark/>
          </w:tcPr>
          <w:p w14:paraId="5CFBB7E4"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3FCA99BE" w14:textId="77777777" w:rsidR="00C532A6" w:rsidRPr="00C532A6" w:rsidRDefault="00C532A6" w:rsidP="00DC1B86">
            <w:pPr>
              <w:rPr>
                <w:rFonts w:ascii="Arial" w:hAnsi="Arial" w:cs="Arial"/>
                <w:sz w:val="20"/>
                <w:szCs w:val="20"/>
              </w:rPr>
            </w:pPr>
            <w:r w:rsidRPr="00C532A6">
              <w:rPr>
                <w:rFonts w:ascii="Arial" w:hAnsi="Arial" w:cs="Arial"/>
                <w:sz w:val="20"/>
                <w:szCs w:val="20"/>
              </w:rPr>
              <w:t>Semi-arid AP regions</w:t>
            </w:r>
          </w:p>
        </w:tc>
        <w:tc>
          <w:tcPr>
            <w:tcW w:w="0" w:type="auto"/>
            <w:hideMark/>
          </w:tcPr>
          <w:p w14:paraId="5A78E7C9" w14:textId="77777777" w:rsidR="00C532A6" w:rsidRPr="00C532A6" w:rsidRDefault="00C532A6" w:rsidP="00DC1B86">
            <w:pPr>
              <w:rPr>
                <w:rFonts w:ascii="Arial" w:hAnsi="Arial" w:cs="Arial"/>
                <w:sz w:val="20"/>
                <w:szCs w:val="20"/>
              </w:rPr>
            </w:pPr>
            <w:r w:rsidRPr="00C532A6">
              <w:rPr>
                <w:rFonts w:ascii="Arial" w:hAnsi="Arial" w:cs="Arial"/>
                <w:sz w:val="20"/>
                <w:szCs w:val="20"/>
              </w:rPr>
              <w:t>LST &amp; NDBI</w:t>
            </w:r>
          </w:p>
        </w:tc>
        <w:tc>
          <w:tcPr>
            <w:tcW w:w="0" w:type="auto"/>
            <w:hideMark/>
          </w:tcPr>
          <w:p w14:paraId="6B60FB16" w14:textId="40B912A9" w:rsidR="00C532A6" w:rsidRPr="00C532A6" w:rsidRDefault="00C532A6" w:rsidP="00DC1B86">
            <w:pPr>
              <w:rPr>
                <w:rFonts w:ascii="Arial" w:hAnsi="Arial" w:cs="Arial"/>
                <w:sz w:val="20"/>
                <w:szCs w:val="20"/>
              </w:rPr>
            </w:pPr>
            <w:r w:rsidRPr="00C532A6">
              <w:rPr>
                <w:rFonts w:ascii="Arial" w:hAnsi="Arial" w:cs="Arial"/>
                <w:sz w:val="20"/>
                <w:szCs w:val="20"/>
              </w:rPr>
              <w:t>Urbanization, climate change</w:t>
            </w:r>
          </w:p>
        </w:tc>
        <w:tc>
          <w:tcPr>
            <w:tcW w:w="0" w:type="auto"/>
            <w:hideMark/>
          </w:tcPr>
          <w:p w14:paraId="028D5882" w14:textId="77777777" w:rsidR="00C532A6" w:rsidRPr="00C532A6" w:rsidRDefault="00C532A6" w:rsidP="00DC1B86">
            <w:pPr>
              <w:rPr>
                <w:rFonts w:ascii="Arial" w:hAnsi="Arial" w:cs="Arial"/>
                <w:sz w:val="20"/>
                <w:szCs w:val="20"/>
              </w:rPr>
            </w:pPr>
            <w:r w:rsidRPr="00C532A6">
              <w:rPr>
                <w:rFonts w:ascii="Arial" w:hAnsi="Arial" w:cs="Arial"/>
                <w:sz w:val="20"/>
                <w:szCs w:val="20"/>
              </w:rPr>
              <w:t>NDBI dominant positive driver; thermal comfort zones identified</w:t>
            </w:r>
          </w:p>
        </w:tc>
      </w:tr>
      <w:tr w:rsidR="000C4C0B" w:rsidRPr="00C532A6" w14:paraId="426EF5A0" w14:textId="77777777" w:rsidTr="00DC1B86">
        <w:tc>
          <w:tcPr>
            <w:tcW w:w="0" w:type="auto"/>
            <w:tcBorders>
              <w:bottom w:val="single" w:sz="4" w:space="0" w:color="auto"/>
            </w:tcBorders>
            <w:hideMark/>
          </w:tcPr>
          <w:p w14:paraId="3DD2ADC2" w14:textId="02456811" w:rsidR="00C532A6" w:rsidRPr="00C532A6" w:rsidRDefault="00000000" w:rsidP="00DC1B86">
            <w:pPr>
              <w:rPr>
                <w:rFonts w:ascii="Arial" w:hAnsi="Arial" w:cs="Arial"/>
                <w:sz w:val="20"/>
                <w:szCs w:val="20"/>
              </w:rPr>
            </w:pPr>
            <w:sdt>
              <w:sdtPr>
                <w:rPr>
                  <w:rFonts w:ascii="Arial" w:hAnsi="Arial" w:cs="Arial"/>
                  <w:color w:val="000000"/>
                </w:rPr>
                <w:tag w:val="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248324674"/>
                <w:placeholder>
                  <w:docPart w:val="C7417F7C0964485598DCB574AD8095E8"/>
                </w:placeholder>
              </w:sdtPr>
              <w:sdtContent>
                <w:r w:rsidR="000C4C0B" w:rsidRPr="000C4C0B">
                  <w:rPr>
                    <w:rFonts w:ascii="Arial" w:eastAsia="Times New Roman" w:hAnsi="Arial" w:cs="Arial"/>
                    <w:color w:val="000000"/>
                    <w:sz w:val="20"/>
                  </w:rPr>
                  <w:t>(Mohammad &amp; Goswami, 2023)</w:t>
                </w:r>
              </w:sdtContent>
            </w:sdt>
          </w:p>
        </w:tc>
        <w:tc>
          <w:tcPr>
            <w:tcW w:w="810" w:type="dxa"/>
            <w:tcBorders>
              <w:bottom w:val="single" w:sz="4" w:space="0" w:color="auto"/>
            </w:tcBorders>
            <w:hideMark/>
          </w:tcPr>
          <w:p w14:paraId="5660BCB0"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tcBorders>
              <w:bottom w:val="single" w:sz="4" w:space="0" w:color="auto"/>
            </w:tcBorders>
            <w:hideMark/>
          </w:tcPr>
          <w:p w14:paraId="583398F5" w14:textId="77777777" w:rsidR="00C532A6" w:rsidRPr="00C532A6" w:rsidRDefault="00C532A6" w:rsidP="00DC1B86">
            <w:pPr>
              <w:rPr>
                <w:rFonts w:ascii="Arial" w:hAnsi="Arial" w:cs="Arial"/>
                <w:sz w:val="20"/>
                <w:szCs w:val="20"/>
              </w:rPr>
            </w:pPr>
            <w:r w:rsidRPr="00C532A6">
              <w:rPr>
                <w:rFonts w:ascii="Arial" w:hAnsi="Arial" w:cs="Arial"/>
                <w:sz w:val="20"/>
                <w:szCs w:val="20"/>
              </w:rPr>
              <w:t>Metropolitan cities</w:t>
            </w:r>
          </w:p>
        </w:tc>
        <w:tc>
          <w:tcPr>
            <w:tcW w:w="0" w:type="auto"/>
            <w:tcBorders>
              <w:bottom w:val="single" w:sz="4" w:space="0" w:color="auto"/>
            </w:tcBorders>
            <w:hideMark/>
          </w:tcPr>
          <w:p w14:paraId="4E7FD3DB" w14:textId="77777777" w:rsidR="00C532A6" w:rsidRPr="00C532A6" w:rsidRDefault="00C532A6" w:rsidP="00DC1B86">
            <w:pPr>
              <w:rPr>
                <w:rFonts w:ascii="Arial" w:hAnsi="Arial" w:cs="Arial"/>
                <w:sz w:val="20"/>
                <w:szCs w:val="20"/>
              </w:rPr>
            </w:pPr>
            <w:r w:rsidRPr="00C532A6">
              <w:rPr>
                <w:rFonts w:ascii="Arial" w:hAnsi="Arial" w:cs="Arial"/>
                <w:sz w:val="20"/>
                <w:szCs w:val="20"/>
              </w:rPr>
              <w:t>Multiple indicators</w:t>
            </w:r>
          </w:p>
        </w:tc>
        <w:tc>
          <w:tcPr>
            <w:tcW w:w="0" w:type="auto"/>
            <w:tcBorders>
              <w:bottom w:val="single" w:sz="4" w:space="0" w:color="auto"/>
            </w:tcBorders>
            <w:hideMark/>
          </w:tcPr>
          <w:p w14:paraId="18EF6522" w14:textId="77777777" w:rsidR="00C532A6" w:rsidRPr="00C532A6" w:rsidRDefault="00C532A6" w:rsidP="00DC1B86">
            <w:pPr>
              <w:rPr>
                <w:rFonts w:ascii="Arial" w:hAnsi="Arial" w:cs="Arial"/>
                <w:sz w:val="20"/>
                <w:szCs w:val="20"/>
              </w:rPr>
            </w:pPr>
            <w:r w:rsidRPr="00C532A6">
              <w:rPr>
                <w:rFonts w:ascii="Arial" w:hAnsi="Arial" w:cs="Arial"/>
                <w:sz w:val="20"/>
                <w:szCs w:val="20"/>
              </w:rPr>
              <w:t>SUHI/SCUI quantification</w:t>
            </w:r>
          </w:p>
        </w:tc>
        <w:tc>
          <w:tcPr>
            <w:tcW w:w="0" w:type="auto"/>
            <w:tcBorders>
              <w:bottom w:val="single" w:sz="4" w:space="0" w:color="auto"/>
            </w:tcBorders>
            <w:hideMark/>
          </w:tcPr>
          <w:p w14:paraId="33078465" w14:textId="0244411B" w:rsidR="00C532A6" w:rsidRPr="00C532A6" w:rsidRDefault="00C532A6" w:rsidP="00DC1B86">
            <w:pPr>
              <w:rPr>
                <w:rFonts w:ascii="Arial" w:hAnsi="Arial" w:cs="Arial"/>
                <w:sz w:val="20"/>
                <w:szCs w:val="20"/>
              </w:rPr>
            </w:pPr>
            <w:r w:rsidRPr="00C532A6">
              <w:rPr>
                <w:rFonts w:ascii="Arial" w:hAnsi="Arial" w:cs="Arial"/>
                <w:sz w:val="20"/>
                <w:szCs w:val="20"/>
              </w:rPr>
              <w:t>Combined heat/cool island metrics; urbanization primary cause</w:t>
            </w:r>
          </w:p>
        </w:tc>
      </w:tr>
    </w:tbl>
    <w:p w14:paraId="29F2DE37" w14:textId="77777777" w:rsidR="00C532A6" w:rsidRDefault="00C532A6" w:rsidP="00C532A6">
      <w:pPr>
        <w:jc w:val="both"/>
        <w:rPr>
          <w:rFonts w:ascii="Arial" w:hAnsi="Arial" w:cs="Arial"/>
        </w:rPr>
      </w:pPr>
    </w:p>
    <w:p w14:paraId="1BE9211C" w14:textId="2315FF77" w:rsidR="00FA5C50" w:rsidRDefault="00FA5C50" w:rsidP="00C532A6">
      <w:pPr>
        <w:jc w:val="both"/>
        <w:rPr>
          <w:rFonts w:ascii="Arial" w:hAnsi="Arial" w:cs="Arial"/>
          <w:color w:val="00B050"/>
        </w:rPr>
      </w:pPr>
      <w:r w:rsidRPr="00FA5C50">
        <w:rPr>
          <w:rFonts w:ascii="Arial" w:hAnsi="Arial" w:cs="Arial"/>
          <w:color w:val="00B050"/>
        </w:rPr>
        <w:t>I think you can add more recent studies in India and complete this table, as such as</w:t>
      </w:r>
      <w:r>
        <w:rPr>
          <w:rFonts w:ascii="Arial" w:hAnsi="Arial" w:cs="Arial"/>
          <w:color w:val="00B050"/>
        </w:rPr>
        <w:t>, with this articles in the following</w:t>
      </w:r>
      <w:r w:rsidRPr="00FA5C50">
        <w:rPr>
          <w:rFonts w:ascii="Arial" w:hAnsi="Arial" w:cs="Arial"/>
          <w:color w:val="00B050"/>
        </w:rPr>
        <w:t>:</w:t>
      </w:r>
    </w:p>
    <w:p w14:paraId="5A7E2B98" w14:textId="77777777" w:rsidR="00FA5C50" w:rsidRDefault="00FA5C50" w:rsidP="00C532A6">
      <w:pPr>
        <w:jc w:val="both"/>
        <w:rPr>
          <w:rFonts w:ascii="Arial" w:hAnsi="Arial" w:cs="Arial"/>
          <w:color w:val="00B050"/>
        </w:rPr>
      </w:pPr>
    </w:p>
    <w:p w14:paraId="0B44B3A3" w14:textId="6D319E6E" w:rsidR="00FA5C50" w:rsidRDefault="00FA5C50" w:rsidP="00C532A6">
      <w:pPr>
        <w:jc w:val="both"/>
        <w:rPr>
          <w:rFonts w:ascii="Arial" w:hAnsi="Arial" w:cs="Arial"/>
          <w:color w:val="00B050"/>
        </w:rPr>
      </w:pPr>
      <w:r w:rsidRPr="00FA5C50">
        <w:rPr>
          <w:rFonts w:ascii="Arial" w:hAnsi="Arial" w:cs="Arial"/>
          <w:color w:val="00B050"/>
        </w:rPr>
        <w:t>MEHTA, Manu et al. A review of urban heat island mapping approaches with a special emphasis on the Indian region. </w:t>
      </w:r>
      <w:r w:rsidRPr="00FA5C50">
        <w:rPr>
          <w:rFonts w:ascii="Arial" w:hAnsi="Arial" w:cs="Arial"/>
          <w:b/>
          <w:bCs/>
          <w:color w:val="00B050"/>
        </w:rPr>
        <w:t>Environmental Monitoring and Assessment</w:t>
      </w:r>
      <w:r w:rsidRPr="00FA5C50">
        <w:rPr>
          <w:rFonts w:ascii="Arial" w:hAnsi="Arial" w:cs="Arial"/>
          <w:color w:val="00B050"/>
        </w:rPr>
        <w:t>, v. 197, n. 4, p. 1-20, 2025.</w:t>
      </w:r>
      <w:r>
        <w:rPr>
          <w:rFonts w:ascii="Arial" w:hAnsi="Arial" w:cs="Arial"/>
          <w:color w:val="00B050"/>
        </w:rPr>
        <w:t xml:space="preserve"> </w:t>
      </w:r>
      <w:hyperlink r:id="rId19" w:history="1">
        <w:r w:rsidRPr="002C4761">
          <w:rPr>
            <w:rStyle w:val="Hyperlink"/>
            <w:rFonts w:ascii="Arial" w:hAnsi="Arial" w:cs="Arial"/>
          </w:rPr>
          <w:t>https://idp.springer.com/authorize/casa?redirect_uri=https://link.springer.com/article/10.1007/s10661-025-13810-3&amp;casa_token=H952vgtDH2YAAAAA:Y--OrItfE6ByMY-OS1utVrJWe6pthom5Zpq4OYLgfKLBAXXOgkweH6Xi-qGrqSavTI2jvo9tbHBWBf3SQQ</w:t>
        </w:r>
      </w:hyperlink>
    </w:p>
    <w:p w14:paraId="3CBAA636" w14:textId="77777777" w:rsidR="00FA5C50" w:rsidRDefault="00FA5C50" w:rsidP="00C532A6">
      <w:pPr>
        <w:jc w:val="both"/>
        <w:rPr>
          <w:rFonts w:ascii="Arial" w:hAnsi="Arial" w:cs="Arial"/>
          <w:color w:val="00B050"/>
        </w:rPr>
      </w:pPr>
    </w:p>
    <w:p w14:paraId="11795D4A" w14:textId="447F6EDC" w:rsidR="00FA5C50" w:rsidRDefault="00FA5C50" w:rsidP="00C532A6">
      <w:pPr>
        <w:jc w:val="both"/>
        <w:rPr>
          <w:rFonts w:ascii="Arial" w:hAnsi="Arial" w:cs="Arial"/>
          <w:color w:val="00B050"/>
        </w:rPr>
      </w:pPr>
      <w:r w:rsidRPr="00FA5C50">
        <w:rPr>
          <w:rFonts w:ascii="Arial" w:hAnsi="Arial" w:cs="Arial"/>
          <w:color w:val="00B050"/>
        </w:rPr>
        <w:t>MAHMOODI, Sebghatullah; BASU, Debolina; AGRAWAL, Sonam. Spatiotemporal Patterns of Land Surface Temperature (LST): A Case of Herat. </w:t>
      </w:r>
      <w:r w:rsidRPr="00FA5C50">
        <w:rPr>
          <w:rFonts w:ascii="Arial" w:hAnsi="Arial" w:cs="Arial"/>
          <w:b/>
          <w:bCs/>
          <w:color w:val="00B050"/>
        </w:rPr>
        <w:t>Geospatial Science for Urban Ecosystems: Insights from India and Beyond</w:t>
      </w:r>
      <w:r w:rsidRPr="00FA5C50">
        <w:rPr>
          <w:rFonts w:ascii="Arial" w:hAnsi="Arial" w:cs="Arial"/>
          <w:color w:val="00B050"/>
        </w:rPr>
        <w:t>, p. 469, 2026.</w:t>
      </w:r>
      <w:r>
        <w:rPr>
          <w:rFonts w:ascii="Arial" w:hAnsi="Arial" w:cs="Arial"/>
          <w:color w:val="00B050"/>
        </w:rPr>
        <w:t xml:space="preserve"> </w:t>
      </w:r>
      <w:hyperlink r:id="rId20" w:history="1">
        <w:r w:rsidRPr="002C4761">
          <w:rPr>
            <w:rStyle w:val="Hyperlink"/>
            <w:rFonts w:ascii="Arial" w:hAnsi="Arial" w:cs="Arial"/>
          </w:rPr>
          <w:t>https://books.google.com.br/books?hl=pt-BR&amp;lr=&amp;id=O5ilEQAAQBAJ&amp;oi=fnd&amp;pg=PA468&amp;dq=State-of-the-Art+Studies+on+LST+and+UHI+in+India&amp;ots=yPTTgdAyE0&amp;sig=kKSJtB2QnyrDQr2UB8Eidf_pJ5o</w:t>
        </w:r>
      </w:hyperlink>
    </w:p>
    <w:p w14:paraId="30F38844" w14:textId="77777777" w:rsidR="00FA5C50" w:rsidRDefault="00FA5C50" w:rsidP="00C532A6">
      <w:pPr>
        <w:jc w:val="both"/>
        <w:rPr>
          <w:rFonts w:ascii="Arial" w:hAnsi="Arial" w:cs="Arial"/>
          <w:color w:val="00B050"/>
        </w:rPr>
      </w:pPr>
    </w:p>
    <w:p w14:paraId="349446F9" w14:textId="4C1860CA" w:rsidR="00FA5C50" w:rsidRPr="00FA5C50" w:rsidRDefault="00FA5C50" w:rsidP="00C532A6">
      <w:pPr>
        <w:jc w:val="both"/>
        <w:rPr>
          <w:rFonts w:ascii="Arial" w:hAnsi="Arial" w:cs="Arial"/>
          <w:color w:val="00B050"/>
        </w:rPr>
      </w:pPr>
      <w:r w:rsidRPr="00FA5C50">
        <w:rPr>
          <w:rFonts w:ascii="Arial" w:hAnsi="Arial" w:cs="Arial"/>
          <w:color w:val="00B050"/>
        </w:rPr>
        <w:t>YADAV, Anita; SINGH, Jaswant. A Study on Urban Heat Island (UHI): Challenges and Opportunities for Mitigation. </w:t>
      </w:r>
      <w:r w:rsidRPr="00FA5C50">
        <w:rPr>
          <w:rFonts w:ascii="Arial" w:hAnsi="Arial" w:cs="Arial"/>
          <w:b/>
          <w:bCs/>
          <w:color w:val="00B050"/>
        </w:rPr>
        <w:t>Current World Environment</w:t>
      </w:r>
      <w:r w:rsidRPr="00FA5C50">
        <w:rPr>
          <w:rFonts w:ascii="Arial" w:hAnsi="Arial" w:cs="Arial"/>
          <w:color w:val="00B050"/>
        </w:rPr>
        <w:t>, v. 19, n. 1, p. 436, 2024.</w:t>
      </w:r>
      <w:r>
        <w:rPr>
          <w:rFonts w:ascii="Arial" w:hAnsi="Arial" w:cs="Arial"/>
          <w:color w:val="00B050"/>
        </w:rPr>
        <w:t xml:space="preserve"> </w:t>
      </w:r>
      <w:r w:rsidRPr="00FA5C50">
        <w:rPr>
          <w:rFonts w:ascii="Arial" w:hAnsi="Arial" w:cs="Arial"/>
          <w:color w:val="00B050"/>
        </w:rPr>
        <w:t>http://cwejournal.org/pdf/Vol19No1/CWE_Vol19_No1_p_436-453.pdf</w:t>
      </w:r>
    </w:p>
    <w:p w14:paraId="22FD4D27" w14:textId="77777777" w:rsidR="00FA5C50" w:rsidRDefault="00FA5C50" w:rsidP="00C532A6">
      <w:pPr>
        <w:jc w:val="both"/>
        <w:rPr>
          <w:rFonts w:ascii="Arial" w:hAnsi="Arial" w:cs="Arial"/>
        </w:rPr>
      </w:pPr>
    </w:p>
    <w:p w14:paraId="2D00D750" w14:textId="77777777" w:rsidR="0036253B" w:rsidRDefault="0036253B" w:rsidP="00C532A6">
      <w:pPr>
        <w:jc w:val="both"/>
        <w:rPr>
          <w:rFonts w:ascii="Arial" w:hAnsi="Arial" w:cs="Arial"/>
        </w:rPr>
      </w:pPr>
    </w:p>
    <w:p w14:paraId="36B443AE" w14:textId="467656BA" w:rsidR="0036253B" w:rsidRDefault="0036253B" w:rsidP="00C532A6">
      <w:pPr>
        <w:jc w:val="both"/>
        <w:rPr>
          <w:rFonts w:ascii="Arial" w:hAnsi="Arial" w:cs="Arial"/>
        </w:rPr>
      </w:pPr>
      <w:r w:rsidRPr="0036253B">
        <w:rPr>
          <w:rFonts w:ascii="Arial" w:hAnsi="Arial" w:cs="Arial"/>
        </w:rPr>
        <w:t>Kari Venkata Sai, Asha Joseph, Sajeena S, Rema K P, and Anu Varughese. 2025. “Spatio-Temporal Analysis and Long-Term Trends of Groundwater Levels in the Chittur Block, Kerala, India”. </w:t>
      </w:r>
      <w:r w:rsidRPr="0036253B">
        <w:rPr>
          <w:rFonts w:ascii="Arial" w:hAnsi="Arial" w:cs="Arial"/>
          <w:i/>
          <w:iCs/>
        </w:rPr>
        <w:t>Journal of Geography, Environment and Earth Science International</w:t>
      </w:r>
      <w:r w:rsidRPr="0036253B">
        <w:rPr>
          <w:rFonts w:ascii="Arial" w:hAnsi="Arial" w:cs="Arial"/>
        </w:rPr>
        <w:t> 29 (12):1–19. https://doi.org/10.9734/jgeesi/2025/v29i12979.</w:t>
      </w:r>
    </w:p>
    <w:p w14:paraId="7E82B1ED" w14:textId="77777777" w:rsidR="0036253B" w:rsidRDefault="0036253B" w:rsidP="00C532A6">
      <w:pPr>
        <w:jc w:val="both"/>
        <w:rPr>
          <w:rFonts w:ascii="Arial" w:hAnsi="Arial" w:cs="Arial"/>
        </w:rPr>
      </w:pPr>
    </w:p>
    <w:p w14:paraId="1E639960" w14:textId="77777777" w:rsidR="00FA5C50" w:rsidRDefault="00FA5C50" w:rsidP="00C532A6">
      <w:pPr>
        <w:jc w:val="both"/>
        <w:rPr>
          <w:rFonts w:ascii="Arial" w:hAnsi="Arial" w:cs="Arial"/>
        </w:rPr>
      </w:pPr>
    </w:p>
    <w:p w14:paraId="06CD314F" w14:textId="77777777" w:rsidR="00FA5C50" w:rsidRDefault="00FA5C50" w:rsidP="00C532A6">
      <w:pPr>
        <w:jc w:val="both"/>
        <w:rPr>
          <w:rFonts w:ascii="Arial" w:hAnsi="Arial" w:cs="Arial"/>
        </w:rPr>
      </w:pPr>
    </w:p>
    <w:p w14:paraId="6DA759AF" w14:textId="6DFFBB9C" w:rsidR="00C532A6" w:rsidRDefault="00C532A6" w:rsidP="00C532A6">
      <w:pPr>
        <w:jc w:val="both"/>
        <w:rPr>
          <w:rFonts w:ascii="Arial" w:hAnsi="Arial" w:cs="Arial"/>
        </w:rPr>
      </w:pPr>
      <w:r w:rsidRPr="00C532A6">
        <w:rPr>
          <w:rFonts w:ascii="Arial" w:hAnsi="Arial" w:cs="Arial"/>
        </w:rPr>
        <w:t>The chronological progression of the literature is summarized in Table 1, tracking the transition from long-term MODIS-based trend evaluations to recent analyses of pandemic-induced lockdown consequences and sophisticated correlation modeling. However, it is observed that existing research seldom synthesizes topographic variables and spatial hotspot clustering at a state-wide scale for Andhra Pradesh. Consequently, a comprehensive integration of these multifaceted drivers remains a notable lacuna in the current body of work.</w:t>
      </w:r>
    </w:p>
    <w:p w14:paraId="7FB3D596" w14:textId="77777777" w:rsidR="00C532A6" w:rsidRDefault="00C532A6" w:rsidP="00C532A6">
      <w:pPr>
        <w:jc w:val="both"/>
        <w:rPr>
          <w:rFonts w:ascii="Arial" w:hAnsi="Arial" w:cs="Arial"/>
        </w:rPr>
      </w:pPr>
    </w:p>
    <w:p w14:paraId="5D701D6D" w14:textId="77777777" w:rsidR="00C532A6" w:rsidRPr="00FB3A86" w:rsidRDefault="00C532A6" w:rsidP="00441B6F">
      <w:pPr>
        <w:pStyle w:val="Body"/>
        <w:spacing w:after="0"/>
        <w:rPr>
          <w:rFonts w:ascii="Arial" w:hAnsi="Arial" w:cs="Arial"/>
        </w:rPr>
      </w:pPr>
    </w:p>
    <w:p w14:paraId="4817C149" w14:textId="63333814" w:rsidR="007F7B32" w:rsidRDefault="00C532A6"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40EDB01A" w14:textId="77777777" w:rsidR="00C532A6" w:rsidRDefault="00C532A6" w:rsidP="00441B6F">
      <w:pPr>
        <w:pStyle w:val="AbstHead"/>
        <w:spacing w:after="0"/>
        <w:jc w:val="both"/>
        <w:rPr>
          <w:rFonts w:ascii="Arial" w:hAnsi="Arial" w:cs="Arial"/>
        </w:rPr>
      </w:pPr>
    </w:p>
    <w:p w14:paraId="525EDA8C" w14:textId="78DA7349" w:rsidR="00790ADA" w:rsidRPr="00C532A6" w:rsidRDefault="00C532A6" w:rsidP="00091136">
      <w:pPr>
        <w:rPr>
          <w:rFonts w:ascii="Arial" w:hAnsi="Arial" w:cs="Arial"/>
          <w:b/>
          <w:bCs/>
        </w:rPr>
      </w:pPr>
      <w:r>
        <w:rPr>
          <w:rFonts w:ascii="Arial" w:hAnsi="Arial" w:cs="Arial"/>
          <w:b/>
          <w:sz w:val="22"/>
        </w:rPr>
        <w:t>3.1 Study Area</w:t>
      </w:r>
    </w:p>
    <w:p w14:paraId="23D6C3DD" w14:textId="5336F249" w:rsidR="00C532A6" w:rsidRDefault="00C532A6" w:rsidP="00C532A6">
      <w:pPr>
        <w:jc w:val="both"/>
        <w:rPr>
          <w:rFonts w:ascii="Arial" w:hAnsi="Arial" w:cs="Arial"/>
        </w:rPr>
      </w:pPr>
      <w:r w:rsidRPr="00C532A6">
        <w:rPr>
          <w:rFonts w:ascii="Arial" w:hAnsi="Arial" w:cs="Arial"/>
        </w:rPr>
        <w:lastRenderedPageBreak/>
        <w:t>The study area (</w:t>
      </w:r>
      <w:r w:rsidR="000C4C0B">
        <w:rPr>
          <w:rFonts w:ascii="Arial" w:hAnsi="Arial" w:cs="Arial"/>
        </w:rPr>
        <w:t>Fig</w:t>
      </w:r>
      <w:r w:rsidRPr="00C532A6">
        <w:rPr>
          <w:rFonts w:ascii="Arial" w:hAnsi="Arial" w:cs="Arial"/>
        </w:rPr>
        <w:t xml:space="preserve"> 1) encompasses Andhra Pradesh, situated on India's southeastern littoral between 12.4°-19.9°N and 76.7°-84.7°E. Spanning approximately 162,975 km², the region is characterized by diverse physiography, transitioning from the Bay of Bengal coastal plains to the Eastern Ghats, where altitudes exceed 1,600 m. A tropical monsoon climate prevails, with average annual temperatures ranging from 28 to 32 °C and precipitation levels between 800 and 1,200 mm, concentrated during the southwest monsoon (June-September). Since the state's bifurcation in 2014, major urban centers, particularly Visakhapatnam, Vijayawada-Guntur, and Tirupati, have undergone significant demographic and infrastructural expansion. For spatial consistency, the state's administrative boundaries were integrated as vector assets within Google Earth Engine (GEE).</w:t>
      </w:r>
    </w:p>
    <w:p w14:paraId="6CBEC370" w14:textId="24104A92" w:rsidR="00C532A6" w:rsidRDefault="00C532A6" w:rsidP="00C532A6">
      <w:pPr>
        <w:jc w:val="center"/>
        <w:rPr>
          <w:rFonts w:ascii="Arial" w:hAnsi="Arial" w:cs="Arial"/>
        </w:rPr>
      </w:pPr>
      <w:r w:rsidRPr="008D7298">
        <w:rPr>
          <w:noProof/>
        </w:rPr>
        <w:drawing>
          <wp:inline distT="0" distB="0" distL="0" distR="0" wp14:anchorId="200975EB" wp14:editId="25FD78A9">
            <wp:extent cx="4536831" cy="3505916"/>
            <wp:effectExtent l="0" t="0" r="0" b="0"/>
            <wp:docPr id="1095356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7725" cy="3514334"/>
                    </a:xfrm>
                    <a:prstGeom prst="rect">
                      <a:avLst/>
                    </a:prstGeom>
                    <a:noFill/>
                    <a:ln>
                      <a:noFill/>
                    </a:ln>
                  </pic:spPr>
                </pic:pic>
              </a:graphicData>
            </a:graphic>
          </wp:inline>
        </w:drawing>
      </w:r>
    </w:p>
    <w:p w14:paraId="42099E4B" w14:textId="75FA7A9B" w:rsidR="00C532A6" w:rsidRPr="00FA5C50" w:rsidRDefault="00C532A6" w:rsidP="00C532A6">
      <w:pPr>
        <w:autoSpaceDE w:val="0"/>
        <w:autoSpaceDN w:val="0"/>
        <w:adjustRightInd w:val="0"/>
        <w:jc w:val="center"/>
        <w:rPr>
          <w:rFonts w:ascii="Arial" w:hAnsi="Arial" w:cs="Arial"/>
          <w:b/>
          <w:bCs/>
          <w:color w:val="00B050"/>
          <w:szCs w:val="22"/>
        </w:rPr>
      </w:pPr>
      <w:r w:rsidRPr="00C532A6">
        <w:rPr>
          <w:rFonts w:ascii="Arial" w:hAnsi="Arial" w:cs="Arial"/>
          <w:b/>
          <w:bCs/>
          <w:szCs w:val="22"/>
        </w:rPr>
        <w:t>Fig 1. Map showing the Area of Study</w:t>
      </w:r>
      <w:r w:rsidR="00FA5C50">
        <w:rPr>
          <w:rFonts w:ascii="Arial" w:hAnsi="Arial" w:cs="Arial"/>
          <w:b/>
          <w:bCs/>
          <w:szCs w:val="22"/>
        </w:rPr>
        <w:t xml:space="preserve"> </w:t>
      </w:r>
      <w:r w:rsidR="00FA5C50" w:rsidRPr="00FA5C50">
        <w:rPr>
          <w:rFonts w:ascii="Arial" w:hAnsi="Arial" w:cs="Arial"/>
          <w:b/>
          <w:bCs/>
          <w:color w:val="00B050"/>
          <w:szCs w:val="22"/>
        </w:rPr>
        <w:t xml:space="preserve">- </w:t>
      </w:r>
      <w:r w:rsidR="00FA5C50" w:rsidRPr="00FA5C50">
        <w:rPr>
          <w:rFonts w:ascii="Arial" w:hAnsi="Arial" w:cs="Arial"/>
          <w:b/>
          <w:bCs/>
          <w:color w:val="00B050"/>
          <w:szCs w:val="22"/>
        </w:rPr>
        <w:t>I suggest increasing the number of coordinate labels on the map</w:t>
      </w:r>
      <w:r w:rsidR="00FA5C50">
        <w:rPr>
          <w:rFonts w:ascii="Arial" w:hAnsi="Arial" w:cs="Arial"/>
          <w:b/>
          <w:bCs/>
          <w:color w:val="00B050"/>
          <w:szCs w:val="22"/>
        </w:rPr>
        <w:t xml:space="preserve"> </w:t>
      </w:r>
      <w:r w:rsidR="00FA5C50" w:rsidRPr="00FA5C50">
        <w:rPr>
          <w:rFonts w:ascii="Arial" w:hAnsi="Arial" w:cs="Arial"/>
          <w:b/>
          <w:bCs/>
          <w:color w:val="00B050"/>
          <w:szCs w:val="22"/>
        </w:rPr>
        <w:t>and including the projection system.</w:t>
      </w:r>
    </w:p>
    <w:p w14:paraId="5960B460" w14:textId="77777777" w:rsidR="00091136" w:rsidRDefault="00091136" w:rsidP="00441B6F">
      <w:pPr>
        <w:pStyle w:val="Body"/>
        <w:spacing w:after="0"/>
        <w:rPr>
          <w:rFonts w:ascii="Arial" w:hAnsi="Arial" w:cs="Arial"/>
        </w:rPr>
      </w:pPr>
    </w:p>
    <w:p w14:paraId="6A3B29A5" w14:textId="77777777" w:rsidR="00091136" w:rsidRPr="00091136" w:rsidRDefault="00091136" w:rsidP="00091136">
      <w:pPr>
        <w:rPr>
          <w:rFonts w:ascii="Arial" w:hAnsi="Arial" w:cs="Arial"/>
          <w:b/>
          <w:sz w:val="22"/>
        </w:rPr>
      </w:pPr>
      <w:r w:rsidRPr="00091136">
        <w:rPr>
          <w:rFonts w:ascii="Arial" w:hAnsi="Arial" w:cs="Arial"/>
          <w:b/>
          <w:sz w:val="22"/>
        </w:rPr>
        <w:t>3.2 Data Acquisition</w:t>
      </w:r>
    </w:p>
    <w:p w14:paraId="7AB99972" w14:textId="0EBB8445" w:rsidR="00091136" w:rsidRPr="00FA5C50" w:rsidRDefault="00091136" w:rsidP="00091136">
      <w:pPr>
        <w:jc w:val="both"/>
        <w:rPr>
          <w:rFonts w:ascii="Arial" w:hAnsi="Arial" w:cs="Arial"/>
          <w:color w:val="00B050"/>
        </w:rPr>
      </w:pPr>
      <w:r w:rsidRPr="00091136">
        <w:rPr>
          <w:rFonts w:ascii="Arial" w:hAnsi="Arial" w:cs="Arial"/>
        </w:rPr>
        <w:t>All computational tasks were executed within the GEE environment to facilitate reproducibility and high-performance processing. The following primary datasets were utilized for the 2020-2024 observation period:</w:t>
      </w:r>
      <w:r w:rsidR="00FA5C50">
        <w:rPr>
          <w:rFonts w:ascii="Arial" w:hAnsi="Arial" w:cs="Arial"/>
        </w:rPr>
        <w:t xml:space="preserve"> </w:t>
      </w:r>
      <w:r w:rsidR="00FA5C50" w:rsidRPr="00FA5C50">
        <w:rPr>
          <w:rFonts w:ascii="Arial" w:hAnsi="Arial" w:cs="Arial"/>
          <w:color w:val="00B050"/>
        </w:rPr>
        <w:t>If possible, includ</w:t>
      </w:r>
      <w:r w:rsidR="00FA5C50">
        <w:rPr>
          <w:rFonts w:ascii="Arial" w:hAnsi="Arial" w:cs="Arial"/>
          <w:color w:val="00B050"/>
        </w:rPr>
        <w:t>es</w:t>
      </w:r>
      <w:r w:rsidR="00FA5C50" w:rsidRPr="00FA5C50">
        <w:rPr>
          <w:rFonts w:ascii="Arial" w:hAnsi="Arial" w:cs="Arial"/>
          <w:color w:val="00B050"/>
        </w:rPr>
        <w:t xml:space="preserve"> the 2025 data in your study.</w:t>
      </w:r>
    </w:p>
    <w:p w14:paraId="3D40A9F1"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Thermal Data:</w:t>
      </w:r>
      <w:r w:rsidRPr="00091136">
        <w:rPr>
          <w:rFonts w:ascii="Arial" w:hAnsi="Arial" w:cs="Arial"/>
        </w:rPr>
        <w:t xml:space="preserve"> MODIS/Terra (MOD11A2 v061) 8-day LST at 1 km resolution. The daytime LST band was selected to evaluate peak thermal stress.</w:t>
      </w:r>
    </w:p>
    <w:p w14:paraId="74C46262"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Vegetation Dynamics:</w:t>
      </w:r>
      <w:r w:rsidRPr="00091136">
        <w:rPr>
          <w:rFonts w:ascii="Arial" w:hAnsi="Arial" w:cs="Arial"/>
        </w:rPr>
        <w:t xml:space="preserve"> MODIS/Terra (MOD13A2 version 061) 16-day NDVI at 1 km resolution.</w:t>
      </w:r>
    </w:p>
    <w:p w14:paraId="2CFF2FA8"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Surface Reflectance:</w:t>
      </w:r>
      <w:r w:rsidRPr="00091136">
        <w:rPr>
          <w:rFonts w:ascii="Arial" w:hAnsi="Arial" w:cs="Arial"/>
        </w:rPr>
        <w:t xml:space="preserve"> MODIS/Terra (MOD09A1 version 061) 8-day composites at 500 m resolution, serving as the basis for NDBI and NDWI calculations.</w:t>
      </w:r>
    </w:p>
    <w:p w14:paraId="3EEE656F" w14:textId="77777777" w:rsidR="00091136" w:rsidRDefault="00091136" w:rsidP="009C3BD3">
      <w:pPr>
        <w:numPr>
          <w:ilvl w:val="0"/>
          <w:numId w:val="32"/>
        </w:numPr>
        <w:jc w:val="both"/>
        <w:rPr>
          <w:rFonts w:ascii="Arial" w:hAnsi="Arial" w:cs="Arial"/>
        </w:rPr>
      </w:pPr>
      <w:r w:rsidRPr="00091136">
        <w:rPr>
          <w:rFonts w:ascii="Arial" w:hAnsi="Arial" w:cs="Arial"/>
          <w:b/>
          <w:bCs/>
        </w:rPr>
        <w:t>Digital Elevation Model:</w:t>
      </w:r>
      <w:r w:rsidRPr="00091136">
        <w:rPr>
          <w:rFonts w:ascii="Arial" w:hAnsi="Arial" w:cs="Arial"/>
        </w:rPr>
        <w:t xml:space="preserve"> USGS SRTMGL1 version 003 Digital Elevation Model (30 m resolution), resampled to 1 km. </w:t>
      </w:r>
    </w:p>
    <w:p w14:paraId="40C47A1B" w14:textId="6BBCA40D" w:rsidR="00091136" w:rsidRDefault="00091136" w:rsidP="009C3BD3">
      <w:pPr>
        <w:numPr>
          <w:ilvl w:val="0"/>
          <w:numId w:val="32"/>
        </w:numPr>
        <w:jc w:val="both"/>
        <w:rPr>
          <w:rFonts w:ascii="Arial" w:hAnsi="Arial" w:cs="Arial"/>
        </w:rPr>
      </w:pPr>
      <w:r w:rsidRPr="00091136">
        <w:rPr>
          <w:rFonts w:ascii="Arial" w:hAnsi="Arial" w:cs="Arial"/>
          <w:b/>
          <w:bCs/>
        </w:rPr>
        <w:t>Land Use/Land Cover:</w:t>
      </w:r>
      <w:r w:rsidRPr="00091136">
        <w:rPr>
          <w:rFonts w:ascii="Arial" w:hAnsi="Arial" w:cs="Arial"/>
        </w:rPr>
        <w:t xml:space="preserve"> ESA World Cover v200 (10 m resolution) for 2021, aggregated to a 1 km grid.</w:t>
      </w:r>
    </w:p>
    <w:p w14:paraId="44C7F179" w14:textId="77777777" w:rsidR="00091136" w:rsidRDefault="00091136" w:rsidP="00091136">
      <w:pPr>
        <w:ind w:left="720"/>
        <w:jc w:val="both"/>
        <w:rPr>
          <w:rFonts w:ascii="Arial" w:hAnsi="Arial" w:cs="Arial"/>
        </w:rPr>
      </w:pPr>
    </w:p>
    <w:p w14:paraId="12F64D44" w14:textId="77777777" w:rsidR="00091136" w:rsidRPr="00091136" w:rsidRDefault="00091136" w:rsidP="00091136">
      <w:pPr>
        <w:rPr>
          <w:rFonts w:ascii="Arial" w:hAnsi="Arial" w:cs="Arial"/>
          <w:b/>
          <w:sz w:val="22"/>
        </w:rPr>
      </w:pPr>
      <w:r w:rsidRPr="00091136">
        <w:rPr>
          <w:rFonts w:ascii="Arial" w:hAnsi="Arial" w:cs="Arial"/>
          <w:b/>
          <w:sz w:val="22"/>
        </w:rPr>
        <w:t>3.3 LST Processing and Temporal Compositing</w:t>
      </w:r>
    </w:p>
    <w:p w14:paraId="4414D5D3" w14:textId="0DFEF336" w:rsidR="00091136" w:rsidRDefault="00091136" w:rsidP="00091136">
      <w:pPr>
        <w:jc w:val="both"/>
        <w:rPr>
          <w:rFonts w:ascii="Arial" w:hAnsi="Arial" w:cs="Arial"/>
        </w:rPr>
      </w:pPr>
      <w:r w:rsidRPr="00091136">
        <w:rPr>
          <w:rFonts w:ascii="Arial" w:hAnsi="Arial" w:cs="Arial"/>
        </w:rPr>
        <w:lastRenderedPageBreak/>
        <w:t>The MOD11A2 daytime LST values were subjected to a 0.02 scale factor and converted to Celsius. To mitigate cloud interference and ensure data quality, 8-day composites were averaged into annual mean LST composites for each year from 2020 to 2024. Spatial masking was applied using the vector boundary of Andhra Pradesh.</w:t>
      </w:r>
    </w:p>
    <w:p w14:paraId="3227881F" w14:textId="77777777" w:rsidR="00091136" w:rsidRDefault="00091136" w:rsidP="00091136">
      <w:pPr>
        <w:jc w:val="both"/>
        <w:rPr>
          <w:rFonts w:ascii="Arial" w:hAnsi="Arial" w:cs="Arial"/>
        </w:rPr>
      </w:pPr>
    </w:p>
    <w:p w14:paraId="12224202" w14:textId="77777777" w:rsidR="00091136" w:rsidRPr="00091136" w:rsidRDefault="00091136" w:rsidP="00091136">
      <w:pPr>
        <w:rPr>
          <w:rFonts w:ascii="Arial" w:hAnsi="Arial" w:cs="Arial"/>
          <w:b/>
          <w:sz w:val="22"/>
        </w:rPr>
      </w:pPr>
      <w:r w:rsidRPr="00091136">
        <w:rPr>
          <w:rFonts w:ascii="Arial" w:hAnsi="Arial" w:cs="Arial"/>
          <w:b/>
          <w:sz w:val="22"/>
        </w:rPr>
        <w:t>3.4 Derivation of Spectral Indices</w:t>
      </w:r>
    </w:p>
    <w:p w14:paraId="474B0D16" w14:textId="77777777" w:rsidR="00091136" w:rsidRPr="00091136" w:rsidRDefault="00091136" w:rsidP="00091136">
      <w:pPr>
        <w:jc w:val="both"/>
        <w:rPr>
          <w:rFonts w:ascii="Arial" w:hAnsi="Arial" w:cs="Arial"/>
        </w:rPr>
      </w:pPr>
      <w:r w:rsidRPr="00091136">
        <w:rPr>
          <w:rFonts w:ascii="Arial" w:hAnsi="Arial" w:cs="Arial"/>
        </w:rPr>
        <w:t>The NDVI was retrieved from the MOD13A2 product, scaled by 0.0001, and annual means were computed from 16-day composites. For moisture and urban density assessment, surface reflectance bands from the MOD09A1 product were utilized. The Indices were computed as follows:</w:t>
      </w:r>
    </w:p>
    <w:p w14:paraId="2541CDF9" w14:textId="77777777" w:rsidR="00091136" w:rsidRPr="00091136" w:rsidRDefault="00091136" w:rsidP="00091136">
      <w:pPr>
        <w:spacing w:line="360" w:lineRule="auto"/>
        <w:jc w:val="center"/>
        <w:rPr>
          <w:rFonts w:ascii="Arial" w:hAnsi="Arial" w:cs="Arial"/>
        </w:rPr>
      </w:pPr>
      <m:oMath>
        <m:r>
          <w:rPr>
            <w:rFonts w:ascii="Cambria Math" w:hAnsi="Cambria Math" w:cs="Arial"/>
          </w:rPr>
          <m:t xml:space="preserve">NDWI = </m:t>
        </m:r>
        <m:f>
          <m:fPr>
            <m:ctrlPr>
              <w:rPr>
                <w:rFonts w:ascii="Cambria Math" w:hAnsi="Cambria Math" w:cs="Arial"/>
                <w:i/>
              </w:rPr>
            </m:ctrlPr>
          </m:fPr>
          <m:num>
            <m:r>
              <w:rPr>
                <w:rFonts w:ascii="Cambria Math" w:hAnsi="Cambria Math" w:cs="Arial"/>
              </w:rPr>
              <m:t xml:space="preserve">(Green - SWIR1)  </m:t>
            </m:r>
          </m:num>
          <m:den>
            <m:r>
              <w:rPr>
                <w:rFonts w:ascii="Cambria Math" w:hAnsi="Cambria Math" w:cs="Arial"/>
              </w:rPr>
              <m:t>(Green + SWIR1)</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4 - Band 6)  </m:t>
            </m:r>
          </m:num>
          <m:den>
            <m:r>
              <w:rPr>
                <w:rFonts w:ascii="Cambria Math" w:hAnsi="Cambria Math" w:cs="Arial"/>
              </w:rPr>
              <m:t>(Band 4 + Band 6)</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(1)</w:t>
      </w:r>
    </w:p>
    <w:p w14:paraId="6887A026" w14:textId="77777777" w:rsidR="00091136" w:rsidRPr="00091136" w:rsidRDefault="00091136" w:rsidP="00091136">
      <w:pPr>
        <w:spacing w:line="360" w:lineRule="auto"/>
        <w:jc w:val="center"/>
        <w:rPr>
          <w:rFonts w:ascii="Arial" w:eastAsiaTheme="minorEastAsia" w:hAnsi="Arial" w:cs="Arial"/>
        </w:rPr>
      </w:pPr>
      <m:oMath>
        <m:r>
          <w:rPr>
            <w:rFonts w:ascii="Cambria Math" w:hAnsi="Cambria Math" w:cs="Arial"/>
          </w:rPr>
          <m:t xml:space="preserve">NDBI = </m:t>
        </m:r>
        <m:f>
          <m:fPr>
            <m:ctrlPr>
              <w:rPr>
                <w:rFonts w:ascii="Cambria Math" w:hAnsi="Cambria Math" w:cs="Arial"/>
                <w:i/>
              </w:rPr>
            </m:ctrlPr>
          </m:fPr>
          <m:num>
            <m:r>
              <w:rPr>
                <w:rFonts w:ascii="Cambria Math" w:hAnsi="Cambria Math" w:cs="Arial"/>
              </w:rPr>
              <m:t xml:space="preserve">(SWIR1 - NIR) </m:t>
            </m:r>
          </m:num>
          <m:den>
            <m:r>
              <w:rPr>
                <w:rFonts w:ascii="Cambria Math" w:hAnsi="Cambria Math" w:cs="Arial"/>
              </w:rPr>
              <m:t>(SWIR1 + NIR)</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6 - Band 2) </m:t>
            </m:r>
          </m:num>
          <m:den>
            <m:r>
              <w:rPr>
                <w:rFonts w:ascii="Cambria Math" w:hAnsi="Cambria Math" w:cs="Arial"/>
              </w:rPr>
              <m:t>(Band 6 + Band 2)</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(2)</w:t>
      </w:r>
    </w:p>
    <w:p w14:paraId="6859DDD6" w14:textId="77777777" w:rsidR="00091136" w:rsidRDefault="00091136" w:rsidP="00091136">
      <w:pPr>
        <w:jc w:val="both"/>
        <w:rPr>
          <w:rFonts w:ascii="Arial" w:hAnsi="Arial" w:cs="Arial"/>
        </w:rPr>
      </w:pPr>
      <w:r w:rsidRPr="00091136">
        <w:rPr>
          <w:rFonts w:ascii="Arial" w:hAnsi="Arial" w:cs="Arial"/>
        </w:rPr>
        <w:t>Annual mean composites were subsequently generated for both metrics.</w:t>
      </w:r>
    </w:p>
    <w:p w14:paraId="2634C045" w14:textId="77777777" w:rsidR="00091136" w:rsidRPr="00091136" w:rsidRDefault="00091136" w:rsidP="00091136">
      <w:pPr>
        <w:jc w:val="both"/>
        <w:rPr>
          <w:rFonts w:ascii="Arial" w:hAnsi="Arial" w:cs="Arial"/>
        </w:rPr>
      </w:pPr>
    </w:p>
    <w:p w14:paraId="5AA05373" w14:textId="77777777" w:rsidR="00091136" w:rsidRPr="00091136" w:rsidRDefault="00091136" w:rsidP="00091136">
      <w:pPr>
        <w:rPr>
          <w:rFonts w:ascii="Arial" w:hAnsi="Arial" w:cs="Arial"/>
          <w:b/>
          <w:sz w:val="22"/>
        </w:rPr>
      </w:pPr>
      <w:r w:rsidRPr="00091136">
        <w:rPr>
          <w:rFonts w:ascii="Arial" w:hAnsi="Arial" w:cs="Arial"/>
          <w:b/>
          <w:sz w:val="22"/>
        </w:rPr>
        <w:t>3.5 Topographic Characterization</w:t>
      </w:r>
    </w:p>
    <w:p w14:paraId="53AE5485" w14:textId="77777777" w:rsidR="00091136" w:rsidRDefault="00091136" w:rsidP="00091136">
      <w:pPr>
        <w:jc w:val="both"/>
        <w:rPr>
          <w:rFonts w:ascii="Arial" w:hAnsi="Arial" w:cs="Arial"/>
        </w:rPr>
      </w:pPr>
      <w:r w:rsidRPr="00091136">
        <w:rPr>
          <w:rFonts w:ascii="Arial" w:hAnsi="Arial" w:cs="Arial"/>
        </w:rPr>
        <w:t>Terrain elevation was extracted from the SRTMGL1 DEM using bilinear interpolation to match the 1 km resolution. Slope gradients (in degrees) were derived using the ee.Terrain.slope() algorithm within the GEE environment.</w:t>
      </w:r>
    </w:p>
    <w:p w14:paraId="1C3C5DEA" w14:textId="77777777" w:rsidR="00091136" w:rsidRPr="00091136" w:rsidRDefault="00091136" w:rsidP="00091136">
      <w:pPr>
        <w:jc w:val="both"/>
        <w:rPr>
          <w:rFonts w:ascii="Arial" w:hAnsi="Arial" w:cs="Arial"/>
        </w:rPr>
      </w:pPr>
    </w:p>
    <w:p w14:paraId="61ED41D0" w14:textId="77777777" w:rsidR="00091136" w:rsidRPr="00091136" w:rsidRDefault="00091136" w:rsidP="00091136">
      <w:pPr>
        <w:rPr>
          <w:rFonts w:ascii="Arial" w:hAnsi="Arial" w:cs="Arial"/>
          <w:b/>
          <w:sz w:val="22"/>
        </w:rPr>
      </w:pPr>
      <w:r w:rsidRPr="00091136">
        <w:rPr>
          <w:rFonts w:ascii="Arial" w:hAnsi="Arial" w:cs="Arial"/>
          <w:b/>
          <w:sz w:val="22"/>
        </w:rPr>
        <w:t>3.6 Urban Heat Island (UHI) Quantification</w:t>
      </w:r>
    </w:p>
    <w:p w14:paraId="6602BE0C" w14:textId="4A756DE7" w:rsidR="00091136" w:rsidRDefault="00091136" w:rsidP="00091136">
      <w:pPr>
        <w:jc w:val="both"/>
        <w:rPr>
          <w:rFonts w:ascii="Arial" w:hAnsi="Arial" w:cs="Arial"/>
        </w:rPr>
      </w:pPr>
      <w:r w:rsidRPr="00091136">
        <w:rPr>
          <w:rFonts w:ascii="Arial" w:hAnsi="Arial" w:cs="Arial"/>
        </w:rPr>
        <w:t xml:space="preserve">UHI intensity was defined as the thermal deviation between built-up areas and the rural/non-urban baseline. Non-urban pixels were identified by masking the </w:t>
      </w:r>
      <w:r>
        <w:rPr>
          <w:rFonts w:ascii="Arial" w:hAnsi="Arial" w:cs="Arial"/>
        </w:rPr>
        <w:t>“</w:t>
      </w:r>
      <w:r w:rsidRPr="00091136">
        <w:rPr>
          <w:rFonts w:ascii="Arial" w:hAnsi="Arial" w:cs="Arial"/>
        </w:rPr>
        <w:t>Built-up” category (Class 50) of the ESA WorldCover dataset. The mean LST of these non-urban zones was subtracted from the total LST distribution to produce annual spatial maps of UHI intensity.</w:t>
      </w:r>
    </w:p>
    <w:p w14:paraId="529D2628" w14:textId="77777777" w:rsidR="00091136" w:rsidRPr="00091136" w:rsidRDefault="00091136" w:rsidP="00091136">
      <w:pPr>
        <w:jc w:val="both"/>
        <w:rPr>
          <w:rFonts w:ascii="Arial" w:hAnsi="Arial" w:cs="Arial"/>
        </w:rPr>
      </w:pPr>
    </w:p>
    <w:p w14:paraId="1241CB5F" w14:textId="77777777" w:rsidR="00091136" w:rsidRPr="00091136" w:rsidRDefault="00091136" w:rsidP="00091136">
      <w:pPr>
        <w:rPr>
          <w:rFonts w:ascii="Arial" w:hAnsi="Arial" w:cs="Arial"/>
          <w:b/>
          <w:sz w:val="22"/>
        </w:rPr>
      </w:pPr>
      <w:r w:rsidRPr="00091136">
        <w:rPr>
          <w:rFonts w:ascii="Arial" w:hAnsi="Arial" w:cs="Arial"/>
          <w:b/>
          <w:sz w:val="22"/>
        </w:rPr>
        <w:t>3.7 Spatial Clustering and Hotspot Identification</w:t>
      </w:r>
    </w:p>
    <w:p w14:paraId="54AB5861" w14:textId="0123BC67" w:rsidR="00091136" w:rsidRPr="00091136" w:rsidRDefault="00091136" w:rsidP="00091136">
      <w:pPr>
        <w:jc w:val="both"/>
        <w:rPr>
          <w:rFonts w:ascii="Arial" w:hAnsi="Arial" w:cs="Arial"/>
        </w:rPr>
      </w:pPr>
      <w:r w:rsidRPr="00091136">
        <w:rPr>
          <w:rFonts w:ascii="Arial" w:hAnsi="Arial" w:cs="Arial"/>
        </w:rPr>
        <w:t>Localized spatial autocorrelation was examined through the Getis-Ord Gi* statistic. This analysis employed a 3×3 pixel moving window to identify statistically significant clusters of elevated LST. High positive Gi* values were utilized to delineate thermal hotspots across the study area.</w:t>
      </w:r>
    </w:p>
    <w:p w14:paraId="6F31E2F5" w14:textId="30979409" w:rsidR="00091136" w:rsidRDefault="00091136" w:rsidP="00091136">
      <w:pPr>
        <w:jc w:val="both"/>
        <w:rPr>
          <w:rFonts w:ascii="Arial" w:hAnsi="Arial" w:cs="Arial"/>
        </w:rPr>
      </w:pPr>
    </w:p>
    <w:p w14:paraId="246B751E" w14:textId="77777777" w:rsidR="00091136" w:rsidRPr="00091136" w:rsidRDefault="00091136" w:rsidP="00091136">
      <w:pPr>
        <w:rPr>
          <w:rFonts w:ascii="Arial" w:hAnsi="Arial" w:cs="Arial"/>
          <w:b/>
          <w:sz w:val="22"/>
        </w:rPr>
      </w:pPr>
      <w:r w:rsidRPr="00091136">
        <w:rPr>
          <w:rFonts w:ascii="Arial" w:hAnsi="Arial" w:cs="Arial"/>
          <w:b/>
          <w:sz w:val="22"/>
        </w:rPr>
        <w:t>3.8 Class-Specific Thermal Analysis</w:t>
      </w:r>
    </w:p>
    <w:p w14:paraId="4978B625" w14:textId="77777777" w:rsidR="00091136" w:rsidRDefault="00091136" w:rsidP="00091136">
      <w:pPr>
        <w:jc w:val="both"/>
        <w:rPr>
          <w:rFonts w:ascii="Arial" w:hAnsi="Arial" w:cs="Arial"/>
        </w:rPr>
      </w:pPr>
      <w:r w:rsidRPr="00091136">
        <w:rPr>
          <w:rFonts w:ascii="Arial" w:hAnsi="Arial" w:cs="Arial"/>
        </w:rPr>
        <w:t>Mean LST values were extracted for individual ESA WorldCover classes. To enhance interpretability, these were consolidated into seven primary categories such as Trees, Shrubland, Grassland, Cropland, Built-up, Bare land, and Water bodies.</w:t>
      </w:r>
    </w:p>
    <w:p w14:paraId="15F47553" w14:textId="77777777" w:rsidR="00091136" w:rsidRPr="00091136" w:rsidRDefault="00091136" w:rsidP="00091136">
      <w:pPr>
        <w:jc w:val="both"/>
        <w:rPr>
          <w:rFonts w:ascii="Arial" w:hAnsi="Arial" w:cs="Arial"/>
        </w:rPr>
      </w:pPr>
    </w:p>
    <w:p w14:paraId="36F096C3" w14:textId="77777777" w:rsidR="00091136" w:rsidRPr="008D7298" w:rsidRDefault="00091136" w:rsidP="00091136">
      <w:pPr>
        <w:rPr>
          <w:rFonts w:ascii="Times New Roman" w:hAnsi="Times New Roman"/>
          <w:b/>
          <w:bCs/>
        </w:rPr>
      </w:pPr>
      <w:r w:rsidRPr="00091136">
        <w:rPr>
          <w:rFonts w:ascii="Arial" w:hAnsi="Arial" w:cs="Arial"/>
          <w:b/>
          <w:sz w:val="22"/>
        </w:rPr>
        <w:t>3.9 Statistical Evaluation and Trend Detection</w:t>
      </w:r>
    </w:p>
    <w:p w14:paraId="46D49134" w14:textId="77777777" w:rsidR="00091136" w:rsidRPr="00091136" w:rsidRDefault="00091136" w:rsidP="00091136">
      <w:pPr>
        <w:jc w:val="both"/>
        <w:rPr>
          <w:rFonts w:ascii="Arial" w:hAnsi="Arial" w:cs="Arial"/>
        </w:rPr>
      </w:pPr>
      <w:r w:rsidRPr="00091136">
        <w:rPr>
          <w:rFonts w:ascii="Arial" w:hAnsi="Arial" w:cs="Arial"/>
        </w:rPr>
        <w:t>To determine the relationship between LST and its drivers (NDVI, NDWI, NDBI, and topography), Pearson correlation coefficients were calculated using 4,000 random samples from the 2022 dataset. Furthermore, the non-parametric Mann-Kendall test was utilized to assess the 2020-2024 time series for monotonic trends, deriving the S statistic, Z-score, and p-values.</w:t>
      </w:r>
    </w:p>
    <w:p w14:paraId="767FE317" w14:textId="63D353FA" w:rsidR="00091136" w:rsidRDefault="00091136" w:rsidP="00091136">
      <w:pPr>
        <w:jc w:val="both"/>
        <w:rPr>
          <w:rFonts w:ascii="Arial" w:hAnsi="Arial" w:cs="Arial"/>
        </w:rPr>
      </w:pPr>
      <w:r w:rsidRPr="00091136">
        <w:rPr>
          <w:rFonts w:ascii="Arial" w:hAnsi="Arial" w:cs="Arial"/>
        </w:rPr>
        <w:t>This multifaceted framework integrates established remote sensing protocols with advanced spatial statistics to provide a robust assessment of regional thermal dynamics.</w:t>
      </w:r>
    </w:p>
    <w:p w14:paraId="2D7F94F6" w14:textId="77777777" w:rsidR="00091136" w:rsidRDefault="00091136" w:rsidP="00091136">
      <w:pPr>
        <w:jc w:val="both"/>
        <w:rPr>
          <w:rFonts w:ascii="Arial" w:hAnsi="Arial" w:cs="Arial"/>
        </w:rPr>
      </w:pPr>
    </w:p>
    <w:p w14:paraId="3B3BCEA8" w14:textId="77777777" w:rsidR="00091136" w:rsidRDefault="00091136" w:rsidP="00091136">
      <w:pPr>
        <w:pStyle w:val="AbstHead"/>
        <w:spacing w:after="0"/>
        <w:jc w:val="both"/>
        <w:rPr>
          <w:rFonts w:ascii="Arial" w:hAnsi="Arial" w:cs="Arial"/>
        </w:rPr>
      </w:pPr>
      <w:r w:rsidRPr="00091136">
        <w:rPr>
          <w:rFonts w:ascii="Arial" w:hAnsi="Arial" w:cs="Arial"/>
        </w:rPr>
        <w:t>4. Results</w:t>
      </w:r>
    </w:p>
    <w:p w14:paraId="2E2FFBCF" w14:textId="77777777" w:rsidR="00091136" w:rsidRPr="00091136" w:rsidRDefault="00091136" w:rsidP="00091136">
      <w:pPr>
        <w:pStyle w:val="AbstHead"/>
        <w:spacing w:after="0"/>
        <w:jc w:val="both"/>
        <w:rPr>
          <w:rFonts w:ascii="Arial" w:hAnsi="Arial" w:cs="Arial"/>
        </w:rPr>
      </w:pPr>
    </w:p>
    <w:p w14:paraId="48E49E99" w14:textId="327489F9" w:rsidR="000C3590" w:rsidRPr="00FA5C50" w:rsidRDefault="00091136" w:rsidP="000C3590">
      <w:pPr>
        <w:jc w:val="both"/>
        <w:rPr>
          <w:rFonts w:ascii="Arial" w:hAnsi="Arial" w:cs="Arial"/>
          <w:color w:val="00B050"/>
        </w:rPr>
      </w:pPr>
      <w:r w:rsidRPr="00091136">
        <w:rPr>
          <w:rFonts w:ascii="Arial" w:hAnsi="Arial" w:cs="Arial"/>
          <w:b/>
          <w:sz w:val="22"/>
        </w:rPr>
        <w:t>4.1 Temporal Fluctuations in LST</w:t>
      </w:r>
      <w:r w:rsidR="000C3590">
        <w:rPr>
          <w:rFonts w:ascii="Arial" w:hAnsi="Arial" w:cs="Arial"/>
          <w:b/>
          <w:sz w:val="22"/>
        </w:rPr>
        <w:t xml:space="preserve"> </w:t>
      </w:r>
      <w:r w:rsidR="000C3590" w:rsidRPr="00FA5C50">
        <w:rPr>
          <w:rFonts w:ascii="Arial" w:hAnsi="Arial" w:cs="Arial"/>
          <w:color w:val="00B050"/>
        </w:rPr>
        <w:t>If possible, includ</w:t>
      </w:r>
      <w:r w:rsidR="000C3590">
        <w:rPr>
          <w:rFonts w:ascii="Arial" w:hAnsi="Arial" w:cs="Arial"/>
          <w:color w:val="00B050"/>
        </w:rPr>
        <w:t>e</w:t>
      </w:r>
      <w:r w:rsidR="000C3590" w:rsidRPr="00FA5C50">
        <w:rPr>
          <w:rFonts w:ascii="Arial" w:hAnsi="Arial" w:cs="Arial"/>
          <w:color w:val="00B050"/>
        </w:rPr>
        <w:t xml:space="preserve"> the 2025 data in your study.</w:t>
      </w:r>
    </w:p>
    <w:p w14:paraId="744CB274" w14:textId="29E46D8F" w:rsidR="00091136" w:rsidRDefault="00091136" w:rsidP="00091136">
      <w:pPr>
        <w:jc w:val="both"/>
        <w:rPr>
          <w:rFonts w:ascii="Arial" w:hAnsi="Arial" w:cs="Arial"/>
        </w:rPr>
      </w:pPr>
      <w:r w:rsidRPr="00091136">
        <w:rPr>
          <w:rFonts w:ascii="Arial" w:hAnsi="Arial" w:cs="Arial"/>
        </w:rPr>
        <w:t xml:space="preserve">The analysis of annual mean Land Surface Temperature (LST) across the study region revealed values oscillating between a minimum of 32.47°C in 2024 and a maximum of 33.89°C </w:t>
      </w:r>
      <w:r w:rsidRPr="00091136">
        <w:rPr>
          <w:rFonts w:ascii="Arial" w:hAnsi="Arial" w:cs="Arial"/>
        </w:rPr>
        <w:lastRenderedPageBreak/>
        <w:t xml:space="preserve">in 2020. A significant thermal anomaly was recorded in 2022, during which the mean LST reached 32.55°C, marking a substantial reduction of 0.82°C relative to 2021 (Table 2; </w:t>
      </w:r>
      <w:r w:rsidR="000C4C0B">
        <w:rPr>
          <w:rFonts w:ascii="Arial" w:hAnsi="Arial" w:cs="Arial"/>
        </w:rPr>
        <w:t>Fig</w:t>
      </w:r>
      <w:r w:rsidRPr="00091136">
        <w:rPr>
          <w:rFonts w:ascii="Arial" w:hAnsi="Arial" w:cs="Arial"/>
        </w:rPr>
        <w:t xml:space="preserve"> 2).</w:t>
      </w:r>
    </w:p>
    <w:p w14:paraId="0DDC2683" w14:textId="661A8749" w:rsidR="00091136" w:rsidRDefault="00091136" w:rsidP="00091136">
      <w:pPr>
        <w:jc w:val="both"/>
        <w:rPr>
          <w:rFonts w:ascii="Arial" w:hAnsi="Arial" w:cs="Arial"/>
        </w:rPr>
      </w:pPr>
      <w:r w:rsidRPr="00091136">
        <w:rPr>
          <w:rFonts w:ascii="Arial" w:hAnsi="Arial" w:cs="Arial"/>
        </w:rPr>
        <w:t>This 2022 decline served as a temporary interruption to a generally stable thermal baseline. Subsequent years showed a partial thermal rebound in 2023 to 33.21°C, followed by a secondary decline in 2024. Over the five-year observation window, an aggregate variation of approximately 1.42°C was identified, suggesting that transient environmental or anthropogenic fluctuations are superimposed upon an underlying, subtle warming trajectory.</w:t>
      </w:r>
    </w:p>
    <w:p w14:paraId="3C84A838" w14:textId="13DF5D4D" w:rsidR="00091136" w:rsidRDefault="00091136" w:rsidP="00091136">
      <w:pPr>
        <w:jc w:val="both"/>
        <w:rPr>
          <w:rFonts w:ascii="Arial" w:hAnsi="Arial" w:cs="Arial"/>
        </w:rPr>
      </w:pPr>
      <w:r w:rsidRPr="008D7298">
        <w:rPr>
          <w:noProof/>
        </w:rPr>
        <w:drawing>
          <wp:inline distT="0" distB="0" distL="0" distR="0" wp14:anchorId="7B0B00FA" wp14:editId="6B17C8BB">
            <wp:extent cx="5212080" cy="2182768"/>
            <wp:effectExtent l="0" t="0" r="0" b="0"/>
            <wp:docPr id="42112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2182768"/>
                    </a:xfrm>
                    <a:prstGeom prst="rect">
                      <a:avLst/>
                    </a:prstGeom>
                    <a:noFill/>
                    <a:ln>
                      <a:noFill/>
                    </a:ln>
                  </pic:spPr>
                </pic:pic>
              </a:graphicData>
            </a:graphic>
          </wp:inline>
        </w:drawing>
      </w:r>
    </w:p>
    <w:p w14:paraId="435F6688" w14:textId="2D61D32F" w:rsidR="00091136" w:rsidRDefault="00091136" w:rsidP="00091136">
      <w:pPr>
        <w:jc w:val="center"/>
        <w:rPr>
          <w:rFonts w:ascii="Arial" w:hAnsi="Arial" w:cs="Arial"/>
          <w:b/>
          <w:bCs/>
        </w:rPr>
      </w:pPr>
      <w:r w:rsidRPr="00091136">
        <w:rPr>
          <w:rFonts w:ascii="Arial" w:hAnsi="Arial" w:cs="Arial"/>
          <w:b/>
          <w:bCs/>
        </w:rPr>
        <w:t>Fig</w:t>
      </w:r>
      <w:r>
        <w:rPr>
          <w:rFonts w:ascii="Arial" w:hAnsi="Arial" w:cs="Arial"/>
          <w:b/>
          <w:bCs/>
        </w:rPr>
        <w:t xml:space="preserve"> </w:t>
      </w:r>
      <w:r w:rsidRPr="00091136">
        <w:rPr>
          <w:rFonts w:ascii="Arial" w:hAnsi="Arial" w:cs="Arial"/>
          <w:b/>
          <w:bCs/>
        </w:rPr>
        <w:t>2. Spatiotemporal dynamics of annual mean daytime LST in Andhra Pradesh (2020-2024</w:t>
      </w:r>
      <w:r w:rsidRPr="000C3590">
        <w:rPr>
          <w:rFonts w:ascii="Arial" w:hAnsi="Arial" w:cs="Arial"/>
          <w:b/>
          <w:bCs/>
          <w:color w:val="00B050"/>
        </w:rPr>
        <w:t xml:space="preserve">), derived </w:t>
      </w:r>
      <w:r w:rsidRPr="00091136">
        <w:rPr>
          <w:rFonts w:ascii="Arial" w:hAnsi="Arial" w:cs="Arial"/>
          <w:b/>
          <w:bCs/>
        </w:rPr>
        <w:t>from MODIS MOD11A2 daytime LST composites.</w:t>
      </w:r>
    </w:p>
    <w:p w14:paraId="745B2127" w14:textId="77777777" w:rsidR="00091136" w:rsidRDefault="00091136" w:rsidP="00091136">
      <w:pPr>
        <w:jc w:val="center"/>
        <w:rPr>
          <w:rFonts w:ascii="Arial" w:hAnsi="Arial" w:cs="Arial"/>
          <w:b/>
          <w:bCs/>
        </w:rPr>
      </w:pPr>
    </w:p>
    <w:p w14:paraId="3D451106" w14:textId="77777777" w:rsidR="00091136" w:rsidRPr="00091136" w:rsidRDefault="00091136" w:rsidP="00091136">
      <w:pPr>
        <w:jc w:val="center"/>
        <w:rPr>
          <w:rFonts w:ascii="Arial" w:hAnsi="Arial" w:cs="Arial"/>
        </w:rPr>
      </w:pPr>
      <w:r w:rsidRPr="00091136">
        <w:rPr>
          <w:rFonts w:ascii="Arial" w:hAnsi="Arial" w:cs="Arial"/>
          <w:b/>
          <w:bCs/>
        </w:rPr>
        <w:t>Table 2</w:t>
      </w:r>
      <w:r w:rsidRPr="00091136">
        <w:rPr>
          <w:rFonts w:ascii="Arial" w:hAnsi="Arial" w:cs="Arial"/>
        </w:rPr>
        <w:t>. Annual mean values of LST, NDVI, NDBI, and NDWI across Andhra Pradesh, India (2020-2024), derived from MODIS data.</w:t>
      </w:r>
    </w:p>
    <w:tbl>
      <w:tblPr>
        <w:tblStyle w:val="Tabelacomgrade"/>
        <w:tblW w:w="8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229"/>
        <w:gridCol w:w="1786"/>
        <w:gridCol w:w="1801"/>
        <w:gridCol w:w="1863"/>
      </w:tblGrid>
      <w:tr w:rsidR="00091136" w:rsidRPr="00091136" w14:paraId="60EEE658" w14:textId="77777777" w:rsidTr="003A4BAA">
        <w:trPr>
          <w:trHeight w:val="409"/>
          <w:jc w:val="center"/>
        </w:trPr>
        <w:tc>
          <w:tcPr>
            <w:tcW w:w="0" w:type="auto"/>
            <w:tcBorders>
              <w:top w:val="single" w:sz="4" w:space="0" w:color="auto"/>
              <w:bottom w:val="single" w:sz="4" w:space="0" w:color="auto"/>
            </w:tcBorders>
            <w:hideMark/>
          </w:tcPr>
          <w:p w14:paraId="429B5BBF"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Year</w:t>
            </w:r>
          </w:p>
        </w:tc>
        <w:tc>
          <w:tcPr>
            <w:tcW w:w="0" w:type="auto"/>
            <w:tcBorders>
              <w:top w:val="single" w:sz="4" w:space="0" w:color="auto"/>
              <w:bottom w:val="single" w:sz="4" w:space="0" w:color="auto"/>
            </w:tcBorders>
            <w:hideMark/>
          </w:tcPr>
          <w:p w14:paraId="5D1B7E55"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LST Mean (°C)</w:t>
            </w:r>
          </w:p>
        </w:tc>
        <w:tc>
          <w:tcPr>
            <w:tcW w:w="0" w:type="auto"/>
            <w:tcBorders>
              <w:top w:val="single" w:sz="4" w:space="0" w:color="auto"/>
              <w:bottom w:val="single" w:sz="4" w:space="0" w:color="auto"/>
            </w:tcBorders>
            <w:hideMark/>
          </w:tcPr>
          <w:p w14:paraId="02CA7BD1"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NDVI Mean</w:t>
            </w:r>
          </w:p>
        </w:tc>
        <w:tc>
          <w:tcPr>
            <w:tcW w:w="0" w:type="auto"/>
            <w:tcBorders>
              <w:top w:val="single" w:sz="4" w:space="0" w:color="auto"/>
              <w:bottom w:val="single" w:sz="4" w:space="0" w:color="auto"/>
            </w:tcBorders>
            <w:hideMark/>
          </w:tcPr>
          <w:p w14:paraId="2CFCBAD9"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NDBI Mean</w:t>
            </w:r>
          </w:p>
        </w:tc>
        <w:tc>
          <w:tcPr>
            <w:tcW w:w="0" w:type="auto"/>
            <w:tcBorders>
              <w:top w:val="single" w:sz="4" w:space="0" w:color="auto"/>
              <w:bottom w:val="single" w:sz="4" w:space="0" w:color="auto"/>
            </w:tcBorders>
            <w:hideMark/>
          </w:tcPr>
          <w:p w14:paraId="7698D9F8"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NDWI Mean</w:t>
            </w:r>
          </w:p>
        </w:tc>
      </w:tr>
      <w:tr w:rsidR="00091136" w:rsidRPr="00091136" w14:paraId="7BE2576B" w14:textId="77777777" w:rsidTr="003A4BAA">
        <w:trPr>
          <w:trHeight w:val="409"/>
          <w:jc w:val="center"/>
        </w:trPr>
        <w:tc>
          <w:tcPr>
            <w:tcW w:w="0" w:type="auto"/>
            <w:tcBorders>
              <w:top w:val="single" w:sz="4" w:space="0" w:color="auto"/>
            </w:tcBorders>
            <w:hideMark/>
          </w:tcPr>
          <w:p w14:paraId="4807A37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2020</w:t>
            </w:r>
          </w:p>
        </w:tc>
        <w:tc>
          <w:tcPr>
            <w:tcW w:w="0" w:type="auto"/>
            <w:tcBorders>
              <w:top w:val="single" w:sz="4" w:space="0" w:color="auto"/>
            </w:tcBorders>
            <w:hideMark/>
          </w:tcPr>
          <w:p w14:paraId="68181DB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33.89</w:t>
            </w:r>
          </w:p>
        </w:tc>
        <w:tc>
          <w:tcPr>
            <w:tcW w:w="0" w:type="auto"/>
            <w:tcBorders>
              <w:top w:val="single" w:sz="4" w:space="0" w:color="auto"/>
            </w:tcBorders>
            <w:hideMark/>
          </w:tcPr>
          <w:p w14:paraId="0038185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0.498</w:t>
            </w:r>
          </w:p>
        </w:tc>
        <w:tc>
          <w:tcPr>
            <w:tcW w:w="0" w:type="auto"/>
            <w:tcBorders>
              <w:top w:val="single" w:sz="4" w:space="0" w:color="auto"/>
            </w:tcBorders>
            <w:hideMark/>
          </w:tcPr>
          <w:p w14:paraId="030ACA47"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c>
          <w:tcPr>
            <w:tcW w:w="0" w:type="auto"/>
            <w:tcBorders>
              <w:top w:val="single" w:sz="4" w:space="0" w:color="auto"/>
            </w:tcBorders>
            <w:hideMark/>
          </w:tcPr>
          <w:p w14:paraId="4FFEC54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r>
      <w:tr w:rsidR="00091136" w:rsidRPr="00091136" w14:paraId="5DF45DC5" w14:textId="77777777" w:rsidTr="003A4BAA">
        <w:trPr>
          <w:trHeight w:val="409"/>
          <w:jc w:val="center"/>
        </w:trPr>
        <w:tc>
          <w:tcPr>
            <w:tcW w:w="0" w:type="auto"/>
            <w:hideMark/>
          </w:tcPr>
          <w:p w14:paraId="354097B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2021</w:t>
            </w:r>
          </w:p>
        </w:tc>
        <w:tc>
          <w:tcPr>
            <w:tcW w:w="0" w:type="auto"/>
            <w:hideMark/>
          </w:tcPr>
          <w:p w14:paraId="0A08F41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33.36</w:t>
            </w:r>
          </w:p>
        </w:tc>
        <w:tc>
          <w:tcPr>
            <w:tcW w:w="0" w:type="auto"/>
            <w:hideMark/>
          </w:tcPr>
          <w:p w14:paraId="1487E694"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0.504</w:t>
            </w:r>
          </w:p>
        </w:tc>
        <w:tc>
          <w:tcPr>
            <w:tcW w:w="0" w:type="auto"/>
            <w:hideMark/>
          </w:tcPr>
          <w:p w14:paraId="3CA56A4C"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c>
          <w:tcPr>
            <w:tcW w:w="0" w:type="auto"/>
            <w:hideMark/>
          </w:tcPr>
          <w:p w14:paraId="30EBB7B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r>
      <w:tr w:rsidR="00091136" w:rsidRPr="00091136" w14:paraId="4CFDC845" w14:textId="77777777" w:rsidTr="003A4BAA">
        <w:trPr>
          <w:trHeight w:val="409"/>
          <w:jc w:val="center"/>
        </w:trPr>
        <w:tc>
          <w:tcPr>
            <w:tcW w:w="0" w:type="auto"/>
            <w:hideMark/>
          </w:tcPr>
          <w:p w14:paraId="02BE2A6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2022</w:t>
            </w:r>
          </w:p>
        </w:tc>
        <w:tc>
          <w:tcPr>
            <w:tcW w:w="0" w:type="auto"/>
            <w:hideMark/>
          </w:tcPr>
          <w:p w14:paraId="546E8BF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32.55</w:t>
            </w:r>
          </w:p>
        </w:tc>
        <w:tc>
          <w:tcPr>
            <w:tcW w:w="0" w:type="auto"/>
            <w:hideMark/>
          </w:tcPr>
          <w:p w14:paraId="2FFC399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0.493</w:t>
            </w:r>
          </w:p>
        </w:tc>
        <w:tc>
          <w:tcPr>
            <w:tcW w:w="0" w:type="auto"/>
            <w:hideMark/>
          </w:tcPr>
          <w:p w14:paraId="7A39D21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c>
          <w:tcPr>
            <w:tcW w:w="0" w:type="auto"/>
            <w:hideMark/>
          </w:tcPr>
          <w:p w14:paraId="173E52DE"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r>
      <w:tr w:rsidR="00091136" w:rsidRPr="00091136" w14:paraId="259A8A0A" w14:textId="77777777" w:rsidTr="003A4BAA">
        <w:trPr>
          <w:trHeight w:val="409"/>
          <w:jc w:val="center"/>
        </w:trPr>
        <w:tc>
          <w:tcPr>
            <w:tcW w:w="0" w:type="auto"/>
            <w:hideMark/>
          </w:tcPr>
          <w:p w14:paraId="3EF8CCB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2023</w:t>
            </w:r>
          </w:p>
        </w:tc>
        <w:tc>
          <w:tcPr>
            <w:tcW w:w="0" w:type="auto"/>
            <w:hideMark/>
          </w:tcPr>
          <w:p w14:paraId="69D1830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33.21</w:t>
            </w:r>
          </w:p>
        </w:tc>
        <w:tc>
          <w:tcPr>
            <w:tcW w:w="0" w:type="auto"/>
            <w:hideMark/>
          </w:tcPr>
          <w:p w14:paraId="259CB6D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0.495</w:t>
            </w:r>
          </w:p>
        </w:tc>
        <w:tc>
          <w:tcPr>
            <w:tcW w:w="0" w:type="auto"/>
            <w:hideMark/>
          </w:tcPr>
          <w:p w14:paraId="081FA71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c>
          <w:tcPr>
            <w:tcW w:w="0" w:type="auto"/>
            <w:hideMark/>
          </w:tcPr>
          <w:p w14:paraId="41599AF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r>
      <w:tr w:rsidR="00091136" w:rsidRPr="00091136" w14:paraId="243C3E0B" w14:textId="77777777" w:rsidTr="003A4BAA">
        <w:trPr>
          <w:trHeight w:val="409"/>
          <w:jc w:val="center"/>
        </w:trPr>
        <w:tc>
          <w:tcPr>
            <w:tcW w:w="0" w:type="auto"/>
            <w:tcBorders>
              <w:bottom w:val="single" w:sz="4" w:space="0" w:color="auto"/>
            </w:tcBorders>
            <w:hideMark/>
          </w:tcPr>
          <w:p w14:paraId="34AE5DBA"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2024</w:t>
            </w:r>
          </w:p>
        </w:tc>
        <w:tc>
          <w:tcPr>
            <w:tcW w:w="0" w:type="auto"/>
            <w:tcBorders>
              <w:bottom w:val="single" w:sz="4" w:space="0" w:color="auto"/>
            </w:tcBorders>
            <w:hideMark/>
          </w:tcPr>
          <w:p w14:paraId="204E75F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32.47</w:t>
            </w:r>
          </w:p>
        </w:tc>
        <w:tc>
          <w:tcPr>
            <w:tcW w:w="0" w:type="auto"/>
            <w:tcBorders>
              <w:bottom w:val="single" w:sz="4" w:space="0" w:color="auto"/>
            </w:tcBorders>
            <w:hideMark/>
          </w:tcPr>
          <w:p w14:paraId="7D109D4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0.492</w:t>
            </w:r>
          </w:p>
        </w:tc>
        <w:tc>
          <w:tcPr>
            <w:tcW w:w="0" w:type="auto"/>
            <w:tcBorders>
              <w:bottom w:val="single" w:sz="4" w:space="0" w:color="auto"/>
            </w:tcBorders>
            <w:hideMark/>
          </w:tcPr>
          <w:p w14:paraId="016ECC7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c>
          <w:tcPr>
            <w:tcW w:w="0" w:type="auto"/>
            <w:tcBorders>
              <w:bottom w:val="single" w:sz="4" w:space="0" w:color="auto"/>
            </w:tcBorders>
            <w:hideMark/>
          </w:tcPr>
          <w:p w14:paraId="12A6CE1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r>
    </w:tbl>
    <w:p w14:paraId="67998D54" w14:textId="77777777" w:rsidR="00091136" w:rsidRDefault="00091136" w:rsidP="00091136">
      <w:pPr>
        <w:jc w:val="both"/>
        <w:rPr>
          <w:rFonts w:ascii="Arial" w:hAnsi="Arial" w:cs="Arial"/>
        </w:rPr>
      </w:pPr>
    </w:p>
    <w:p w14:paraId="2967C941" w14:textId="009A1717" w:rsidR="000C3590" w:rsidRPr="00FA5C50" w:rsidRDefault="000C3590" w:rsidP="000C3590">
      <w:pPr>
        <w:jc w:val="both"/>
        <w:rPr>
          <w:rFonts w:ascii="Arial" w:hAnsi="Arial" w:cs="Arial"/>
          <w:color w:val="00B050"/>
        </w:rPr>
      </w:pPr>
      <w:r w:rsidRPr="00FA5C50">
        <w:rPr>
          <w:rFonts w:ascii="Arial" w:hAnsi="Arial" w:cs="Arial"/>
          <w:color w:val="00B050"/>
        </w:rPr>
        <w:t>If possible, includ</w:t>
      </w:r>
      <w:r>
        <w:rPr>
          <w:rFonts w:ascii="Arial" w:hAnsi="Arial" w:cs="Arial"/>
          <w:color w:val="00B050"/>
        </w:rPr>
        <w:t>e</w:t>
      </w:r>
      <w:r w:rsidRPr="00FA5C50">
        <w:rPr>
          <w:rFonts w:ascii="Arial" w:hAnsi="Arial" w:cs="Arial"/>
          <w:color w:val="00B050"/>
        </w:rPr>
        <w:t xml:space="preserve"> the 2025 data in your study.</w:t>
      </w:r>
    </w:p>
    <w:p w14:paraId="2F4F7569" w14:textId="77777777" w:rsidR="00623D25" w:rsidRPr="00623D25" w:rsidRDefault="00623D25" w:rsidP="00623D25">
      <w:pPr>
        <w:rPr>
          <w:rFonts w:ascii="Arial" w:hAnsi="Arial" w:cs="Arial"/>
          <w:b/>
          <w:sz w:val="22"/>
        </w:rPr>
      </w:pPr>
      <w:r w:rsidRPr="00623D25">
        <w:rPr>
          <w:rFonts w:ascii="Arial" w:hAnsi="Arial" w:cs="Arial"/>
          <w:b/>
          <w:sz w:val="22"/>
        </w:rPr>
        <w:t>4.2 Correlation Analysis of Biophysical and Topographic Drivers</w:t>
      </w:r>
    </w:p>
    <w:p w14:paraId="1657FD49" w14:textId="68587217" w:rsidR="00623D25" w:rsidRPr="00623D25" w:rsidRDefault="00623D25" w:rsidP="00623D25">
      <w:pPr>
        <w:jc w:val="both"/>
        <w:rPr>
          <w:rFonts w:ascii="Arial" w:hAnsi="Arial" w:cs="Arial"/>
        </w:rPr>
      </w:pPr>
      <w:r w:rsidRPr="00623D25">
        <w:rPr>
          <w:rFonts w:ascii="Arial" w:hAnsi="Arial" w:cs="Arial"/>
        </w:rPr>
        <w:t>Examination of the scatter plots for the year 2022 established distinct associations between LST and the various environmental parameters under investigation (</w:t>
      </w:r>
      <w:r w:rsidR="000C4C0B">
        <w:rPr>
          <w:rFonts w:ascii="Arial" w:hAnsi="Arial" w:cs="Arial"/>
        </w:rPr>
        <w:t>Fig.s</w:t>
      </w:r>
      <w:r w:rsidRPr="00623D25">
        <w:rPr>
          <w:rFonts w:ascii="Arial" w:hAnsi="Arial" w:cs="Arial"/>
        </w:rPr>
        <w:t xml:space="preserve"> 3-8). The most significant positive relationship was the Normalized Difference Built-up Index (NDBI), which yielded a correlation coefficient of r = +0.794. This strong relationship confirms that intensification in built-up density is a primary factor in the elevation of regional surface temperatures (</w:t>
      </w:r>
      <w:r w:rsidR="000C4C0B">
        <w:rPr>
          <w:rFonts w:ascii="Arial" w:hAnsi="Arial" w:cs="Arial"/>
        </w:rPr>
        <w:t>Fig</w:t>
      </w:r>
      <w:r w:rsidRPr="00623D25">
        <w:rPr>
          <w:rFonts w:ascii="Arial" w:hAnsi="Arial" w:cs="Arial"/>
        </w:rPr>
        <w:t xml:space="preserve"> 5).</w:t>
      </w:r>
    </w:p>
    <w:p w14:paraId="489C9F94" w14:textId="502BE338" w:rsidR="00623D25" w:rsidRPr="00623D25" w:rsidRDefault="00623D25" w:rsidP="00623D25">
      <w:pPr>
        <w:jc w:val="both"/>
        <w:rPr>
          <w:rFonts w:ascii="Arial" w:hAnsi="Arial" w:cs="Arial"/>
        </w:rPr>
      </w:pPr>
      <w:r w:rsidRPr="00623D25">
        <w:rPr>
          <w:rFonts w:ascii="Arial" w:hAnsi="Arial" w:cs="Arial"/>
        </w:rPr>
        <w:t>Conversely, biophysical features demonstrated a clear mitigating impact on thermal levels. A pronounced inverse relationship was identified with the Normalized Difference Vegetation Index (NDVI, r = -0.654), illustrating the robust cooling effect provided by biomass (</w:t>
      </w:r>
      <w:r w:rsidR="000C4C0B">
        <w:rPr>
          <w:rFonts w:ascii="Arial" w:hAnsi="Arial" w:cs="Arial"/>
        </w:rPr>
        <w:t>Fig</w:t>
      </w:r>
      <w:r w:rsidRPr="00623D25">
        <w:rPr>
          <w:rFonts w:ascii="Arial" w:hAnsi="Arial" w:cs="Arial"/>
        </w:rPr>
        <w:t xml:space="preserve"> 3). Similarly, moisture availability served as a thermal regulator, as indicated by the moderate negative correlation with the Normalized Difference Water Index (NDWI, r = -0.541; </w:t>
      </w:r>
      <w:r w:rsidR="000C4C0B">
        <w:rPr>
          <w:rFonts w:ascii="Arial" w:hAnsi="Arial" w:cs="Arial"/>
        </w:rPr>
        <w:t>Fig</w:t>
      </w:r>
      <w:r w:rsidRPr="00623D25">
        <w:rPr>
          <w:rFonts w:ascii="Arial" w:hAnsi="Arial" w:cs="Arial"/>
        </w:rPr>
        <w:t xml:space="preserve"> 4).</w:t>
      </w:r>
    </w:p>
    <w:p w14:paraId="3BA2C43D" w14:textId="65A6D509" w:rsidR="00623D25" w:rsidRPr="00623D25" w:rsidRDefault="00623D25" w:rsidP="00623D25">
      <w:pPr>
        <w:jc w:val="both"/>
        <w:rPr>
          <w:rFonts w:ascii="Arial" w:hAnsi="Arial" w:cs="Arial"/>
        </w:rPr>
      </w:pPr>
      <w:r w:rsidRPr="00623D25">
        <w:rPr>
          <w:rFonts w:ascii="Arial" w:hAnsi="Arial" w:cs="Arial"/>
        </w:rPr>
        <w:t xml:space="preserve">Regarding topographic variables, the influences were found to be more subtle yet statistically significant. Elevation demonstrated a negative association (r = -0.201), aligned with the </w:t>
      </w:r>
      <w:r w:rsidRPr="00623D25">
        <w:rPr>
          <w:rFonts w:ascii="Arial" w:hAnsi="Arial" w:cs="Arial"/>
        </w:rPr>
        <w:lastRenderedPageBreak/>
        <w:t>vertical lapse rate cooling effects typically observed across the Eastern Ghats (</w:t>
      </w:r>
      <w:r w:rsidR="000C4C0B">
        <w:rPr>
          <w:rFonts w:ascii="Arial" w:hAnsi="Arial" w:cs="Arial"/>
        </w:rPr>
        <w:t>Fig</w:t>
      </w:r>
      <w:r w:rsidRPr="00623D25">
        <w:rPr>
          <w:rFonts w:ascii="Arial" w:hAnsi="Arial" w:cs="Arial"/>
        </w:rPr>
        <w:t xml:space="preserve"> 7). Notably, the slope of the terrain exhibited a stronger negative correlation (r = -0.504). This suggests that steeper gradients are associated with lower LST values, potentially due to superior surface drainage and limited heat storage capacity compared to flatter, low-lying areas (</w:t>
      </w:r>
      <w:r w:rsidR="000C4C0B">
        <w:rPr>
          <w:rFonts w:ascii="Arial" w:hAnsi="Arial" w:cs="Arial"/>
        </w:rPr>
        <w:t>Fig</w:t>
      </w:r>
      <w:r w:rsidRPr="00623D25">
        <w:rPr>
          <w:rFonts w:ascii="Arial" w:hAnsi="Arial" w:cs="Arial"/>
        </w:rPr>
        <w:t xml:space="preserve"> 8).</w:t>
      </w:r>
    </w:p>
    <w:p w14:paraId="45F5AE95" w14:textId="6E4F18F8" w:rsidR="00623D25" w:rsidRDefault="00623D25" w:rsidP="00623D25">
      <w:pPr>
        <w:jc w:val="both"/>
        <w:rPr>
          <w:rFonts w:ascii="Arial" w:hAnsi="Arial" w:cs="Arial"/>
        </w:rPr>
      </w:pPr>
      <w:r w:rsidRPr="00623D25">
        <w:rPr>
          <w:rFonts w:ascii="Arial" w:hAnsi="Arial" w:cs="Arial"/>
        </w:rPr>
        <w:t>As summarized in Table 3, these findings validate the hypothesis that urbanization remains the preeminent driver of thermal variation within the state, followed in significance by vegetation cover and topographic characteristics.</w:t>
      </w:r>
    </w:p>
    <w:p w14:paraId="37290C18" w14:textId="77777777" w:rsidR="00623D25" w:rsidRDefault="00623D25" w:rsidP="00623D25">
      <w:pPr>
        <w:jc w:val="both"/>
        <w:rPr>
          <w:rFonts w:ascii="Arial" w:hAnsi="Arial" w:cs="Arial"/>
        </w:rPr>
      </w:pPr>
    </w:p>
    <w:p w14:paraId="35CDB2F9" w14:textId="77777777" w:rsidR="00623D25" w:rsidRPr="00623D25" w:rsidRDefault="00623D25" w:rsidP="00623D25">
      <w:pPr>
        <w:jc w:val="center"/>
        <w:rPr>
          <w:rFonts w:ascii="Arial" w:hAnsi="Arial" w:cs="Arial"/>
          <w:b/>
          <w:bCs/>
        </w:rPr>
      </w:pPr>
      <w:r w:rsidRPr="00623D25">
        <w:rPr>
          <w:rFonts w:ascii="Arial" w:hAnsi="Arial" w:cs="Arial"/>
          <w:b/>
          <w:bCs/>
        </w:rPr>
        <w:t>Table 3. Pearson correlation coefficients (r) between LST and driving factors (NDVI, NDWI, NDBI, elevation, and slope) for 2022 in Andhra Pradesh, India, based on 4,000 random samples from MODIS and SRTM data.</w:t>
      </w:r>
    </w:p>
    <w:tbl>
      <w:tblPr>
        <w:tblStyle w:val="Tabelacomgrade"/>
        <w:tblW w:w="7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4637"/>
      </w:tblGrid>
      <w:tr w:rsidR="00623D25" w:rsidRPr="00623D25" w14:paraId="6A019A06" w14:textId="77777777" w:rsidTr="00623D25">
        <w:trPr>
          <w:trHeight w:val="396"/>
          <w:jc w:val="center"/>
        </w:trPr>
        <w:tc>
          <w:tcPr>
            <w:tcW w:w="0" w:type="auto"/>
            <w:tcBorders>
              <w:top w:val="single" w:sz="4" w:space="0" w:color="auto"/>
              <w:bottom w:val="single" w:sz="4" w:space="0" w:color="auto"/>
            </w:tcBorders>
            <w:hideMark/>
          </w:tcPr>
          <w:p w14:paraId="718C3926"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Factor</w:t>
            </w:r>
          </w:p>
        </w:tc>
        <w:tc>
          <w:tcPr>
            <w:tcW w:w="0" w:type="auto"/>
            <w:tcBorders>
              <w:top w:val="single" w:sz="4" w:space="0" w:color="auto"/>
              <w:bottom w:val="single" w:sz="4" w:space="0" w:color="auto"/>
            </w:tcBorders>
            <w:hideMark/>
          </w:tcPr>
          <w:p w14:paraId="2B795D6B"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Pearson r with LST</w:t>
            </w:r>
          </w:p>
        </w:tc>
      </w:tr>
      <w:tr w:rsidR="00623D25" w:rsidRPr="00623D25" w14:paraId="3B03D64D" w14:textId="77777777" w:rsidTr="00623D25">
        <w:trPr>
          <w:trHeight w:val="396"/>
          <w:jc w:val="center"/>
        </w:trPr>
        <w:tc>
          <w:tcPr>
            <w:tcW w:w="0" w:type="auto"/>
            <w:tcBorders>
              <w:top w:val="single" w:sz="4" w:space="0" w:color="auto"/>
            </w:tcBorders>
            <w:hideMark/>
          </w:tcPr>
          <w:p w14:paraId="5A7ED54F"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NDVI</w:t>
            </w:r>
          </w:p>
        </w:tc>
        <w:tc>
          <w:tcPr>
            <w:tcW w:w="0" w:type="auto"/>
            <w:tcBorders>
              <w:top w:val="single" w:sz="4" w:space="0" w:color="auto"/>
            </w:tcBorders>
            <w:hideMark/>
          </w:tcPr>
          <w:p w14:paraId="4ECA1E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−0.654</w:t>
            </w:r>
          </w:p>
        </w:tc>
      </w:tr>
      <w:tr w:rsidR="00623D25" w:rsidRPr="00623D25" w14:paraId="27ED8892" w14:textId="77777777" w:rsidTr="00623D25">
        <w:trPr>
          <w:trHeight w:val="396"/>
          <w:jc w:val="center"/>
        </w:trPr>
        <w:tc>
          <w:tcPr>
            <w:tcW w:w="0" w:type="auto"/>
            <w:hideMark/>
          </w:tcPr>
          <w:p w14:paraId="1D412D3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NDWI</w:t>
            </w:r>
          </w:p>
        </w:tc>
        <w:tc>
          <w:tcPr>
            <w:tcW w:w="0" w:type="auto"/>
            <w:hideMark/>
          </w:tcPr>
          <w:p w14:paraId="686FE6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−0.541</w:t>
            </w:r>
          </w:p>
        </w:tc>
      </w:tr>
      <w:tr w:rsidR="00623D25" w:rsidRPr="00623D25" w14:paraId="0F94BC59" w14:textId="77777777" w:rsidTr="00623D25">
        <w:trPr>
          <w:trHeight w:val="396"/>
          <w:jc w:val="center"/>
        </w:trPr>
        <w:tc>
          <w:tcPr>
            <w:tcW w:w="0" w:type="auto"/>
            <w:hideMark/>
          </w:tcPr>
          <w:p w14:paraId="5E9D037B"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NDBI</w:t>
            </w:r>
          </w:p>
        </w:tc>
        <w:tc>
          <w:tcPr>
            <w:tcW w:w="0" w:type="auto"/>
            <w:hideMark/>
          </w:tcPr>
          <w:p w14:paraId="489B799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+0.794</w:t>
            </w:r>
          </w:p>
        </w:tc>
      </w:tr>
      <w:tr w:rsidR="00623D25" w:rsidRPr="00623D25" w14:paraId="3100F982" w14:textId="77777777" w:rsidTr="00623D25">
        <w:trPr>
          <w:trHeight w:val="396"/>
          <w:jc w:val="center"/>
        </w:trPr>
        <w:tc>
          <w:tcPr>
            <w:tcW w:w="0" w:type="auto"/>
            <w:hideMark/>
          </w:tcPr>
          <w:p w14:paraId="580A6D0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Elevation</w:t>
            </w:r>
          </w:p>
        </w:tc>
        <w:tc>
          <w:tcPr>
            <w:tcW w:w="0" w:type="auto"/>
            <w:hideMark/>
          </w:tcPr>
          <w:p w14:paraId="2305CFC8"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−0.201</w:t>
            </w:r>
          </w:p>
        </w:tc>
      </w:tr>
      <w:tr w:rsidR="00623D25" w:rsidRPr="00623D25" w14:paraId="03786EA4" w14:textId="77777777" w:rsidTr="00623D25">
        <w:trPr>
          <w:trHeight w:val="396"/>
          <w:jc w:val="center"/>
        </w:trPr>
        <w:tc>
          <w:tcPr>
            <w:tcW w:w="0" w:type="auto"/>
            <w:tcBorders>
              <w:bottom w:val="single" w:sz="4" w:space="0" w:color="auto"/>
            </w:tcBorders>
            <w:hideMark/>
          </w:tcPr>
          <w:p w14:paraId="0D70BF8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Slope</w:t>
            </w:r>
          </w:p>
        </w:tc>
        <w:tc>
          <w:tcPr>
            <w:tcW w:w="0" w:type="auto"/>
            <w:tcBorders>
              <w:bottom w:val="single" w:sz="4" w:space="0" w:color="auto"/>
            </w:tcBorders>
            <w:hideMark/>
          </w:tcPr>
          <w:p w14:paraId="396F7215"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−0.504</w:t>
            </w:r>
          </w:p>
        </w:tc>
      </w:tr>
    </w:tbl>
    <w:p w14:paraId="4FA759AB" w14:textId="77777777" w:rsidR="00623D25" w:rsidRDefault="00623D25" w:rsidP="00623D25">
      <w:pPr>
        <w:jc w:val="both"/>
        <w:rPr>
          <w:rFonts w:ascii="Arial" w:hAnsi="Arial" w:cs="Arial"/>
        </w:rPr>
      </w:pPr>
    </w:p>
    <w:p w14:paraId="0AE04674" w14:textId="77777777" w:rsidR="00623D25" w:rsidRDefault="00623D25" w:rsidP="00623D25">
      <w:pPr>
        <w:jc w:val="both"/>
        <w:rPr>
          <w:rFonts w:ascii="Arial" w:hAnsi="Arial" w:cs="Arial"/>
        </w:rPr>
      </w:pPr>
    </w:p>
    <w:p w14:paraId="1C5178FA" w14:textId="1062481E" w:rsidR="00623D25" w:rsidRDefault="00623D25" w:rsidP="00623D25">
      <w:pPr>
        <w:jc w:val="center"/>
        <w:rPr>
          <w:rFonts w:ascii="Arial" w:hAnsi="Arial" w:cs="Arial"/>
        </w:rPr>
      </w:pPr>
      <w:r w:rsidRPr="008D7298">
        <w:rPr>
          <w:noProof/>
        </w:rPr>
        <w:drawing>
          <wp:inline distT="0" distB="0" distL="0" distR="0" wp14:anchorId="25757354" wp14:editId="2DAC02E8">
            <wp:extent cx="4724400" cy="1924050"/>
            <wp:effectExtent l="0" t="0" r="0" b="0"/>
            <wp:docPr id="17135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6" t="6692" r="6288" b="5139"/>
                    <a:stretch>
                      <a:fillRect/>
                    </a:stretch>
                  </pic:blipFill>
                  <pic:spPr bwMode="auto">
                    <a:xfrm>
                      <a:off x="0" y="0"/>
                      <a:ext cx="4725569" cy="1924526"/>
                    </a:xfrm>
                    <a:prstGeom prst="rect">
                      <a:avLst/>
                    </a:prstGeom>
                    <a:noFill/>
                    <a:ln>
                      <a:noFill/>
                    </a:ln>
                    <a:extLst>
                      <a:ext uri="{53640926-AAD7-44D8-BBD7-CCE9431645EC}">
                        <a14:shadowObscured xmlns:a14="http://schemas.microsoft.com/office/drawing/2010/main"/>
                      </a:ext>
                    </a:extLst>
                  </pic:spPr>
                </pic:pic>
              </a:graphicData>
            </a:graphic>
          </wp:inline>
        </w:drawing>
      </w:r>
    </w:p>
    <w:p w14:paraId="317A8379" w14:textId="389E551B" w:rsidR="00623D25" w:rsidRPr="00623D25" w:rsidRDefault="00623D25" w:rsidP="00623D25">
      <w:pPr>
        <w:jc w:val="center"/>
        <w:rPr>
          <w:rFonts w:ascii="Arial" w:hAnsi="Arial" w:cs="Arial"/>
          <w:b/>
          <w:bCs/>
        </w:rPr>
      </w:pPr>
      <w:r w:rsidRPr="00623D25">
        <w:rPr>
          <w:rFonts w:ascii="Arial" w:hAnsi="Arial" w:cs="Arial"/>
          <w:b/>
          <w:bCs/>
        </w:rPr>
        <w:t>Fig 3. Relationship between LST and NDVI in Andhra Pradesh for 2022 (n = 5,000 random samples; MODIS data), showing vegetation cooling effect with trend line and R² value.</w:t>
      </w:r>
    </w:p>
    <w:p w14:paraId="75F831A1" w14:textId="77777777" w:rsidR="00623D25" w:rsidRDefault="00623D25" w:rsidP="00623D25">
      <w:pPr>
        <w:jc w:val="both"/>
        <w:rPr>
          <w:rFonts w:ascii="Arial" w:hAnsi="Arial" w:cs="Arial"/>
        </w:rPr>
      </w:pPr>
    </w:p>
    <w:p w14:paraId="6942C8D5" w14:textId="27106532" w:rsidR="00623D25" w:rsidRDefault="00623D25" w:rsidP="00623D25">
      <w:pPr>
        <w:jc w:val="center"/>
        <w:rPr>
          <w:rFonts w:ascii="Arial" w:hAnsi="Arial" w:cs="Arial"/>
        </w:rPr>
      </w:pPr>
      <w:r w:rsidRPr="008D7298">
        <w:rPr>
          <w:rFonts w:ascii="Times New Roman" w:hAnsi="Times New Roman"/>
          <w:noProof/>
          <w:sz w:val="24"/>
          <w:szCs w:val="24"/>
        </w:rPr>
        <w:lastRenderedPageBreak/>
        <w:drawing>
          <wp:inline distT="0" distB="0" distL="0" distR="0" wp14:anchorId="3B070050" wp14:editId="08440784">
            <wp:extent cx="4883150" cy="1936750"/>
            <wp:effectExtent l="0" t="0" r="0" b="0"/>
            <wp:docPr id="926277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3168" t="6702" r="3108" b="4418"/>
                    <a:stretch>
                      <a:fillRect/>
                    </a:stretch>
                  </pic:blipFill>
                  <pic:spPr bwMode="auto">
                    <a:xfrm>
                      <a:off x="0" y="0"/>
                      <a:ext cx="4884953" cy="1937465"/>
                    </a:xfrm>
                    <a:prstGeom prst="rect">
                      <a:avLst/>
                    </a:prstGeom>
                    <a:noFill/>
                    <a:ln>
                      <a:noFill/>
                    </a:ln>
                    <a:extLst>
                      <a:ext uri="{53640926-AAD7-44D8-BBD7-CCE9431645EC}">
                        <a14:shadowObscured xmlns:a14="http://schemas.microsoft.com/office/drawing/2010/main"/>
                      </a:ext>
                    </a:extLst>
                  </pic:spPr>
                </pic:pic>
              </a:graphicData>
            </a:graphic>
          </wp:inline>
        </w:drawing>
      </w:r>
    </w:p>
    <w:p w14:paraId="45F7AA67" w14:textId="2FDE3F7A" w:rsidR="00623D25" w:rsidRPr="00623D25" w:rsidRDefault="00623D25" w:rsidP="00623D25">
      <w:pPr>
        <w:jc w:val="center"/>
        <w:rPr>
          <w:rFonts w:ascii="Arial" w:hAnsi="Arial" w:cs="Arial"/>
          <w:b/>
          <w:bCs/>
        </w:rPr>
      </w:pPr>
      <w:r w:rsidRPr="00623D25">
        <w:rPr>
          <w:rFonts w:ascii="Arial" w:hAnsi="Arial" w:cs="Arial"/>
          <w:b/>
          <w:bCs/>
        </w:rPr>
        <w:t>Fig 4. Relationship between LST and NDWI in Andhra Pradesh for 2022 (n = 5,000 random samples; MODIS MOD09A1 data), illustrating water body cooling effect with trend line and R² value.</w:t>
      </w:r>
    </w:p>
    <w:p w14:paraId="3029CF30" w14:textId="606A0AC9" w:rsidR="00623D25" w:rsidRDefault="00623D25" w:rsidP="00623D25">
      <w:pPr>
        <w:jc w:val="center"/>
        <w:rPr>
          <w:rFonts w:ascii="Arial" w:hAnsi="Arial" w:cs="Arial"/>
        </w:rPr>
      </w:pPr>
      <w:r w:rsidRPr="008D7298">
        <w:rPr>
          <w:noProof/>
        </w:rPr>
        <w:drawing>
          <wp:inline distT="0" distB="0" distL="0" distR="0" wp14:anchorId="5F2CAE30" wp14:editId="6482118F">
            <wp:extent cx="4832350" cy="1962150"/>
            <wp:effectExtent l="0" t="0" r="0" b="0"/>
            <wp:docPr id="1141245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3655" t="7566" r="3618" b="2531"/>
                    <a:stretch>
                      <a:fillRect/>
                    </a:stretch>
                  </pic:blipFill>
                  <pic:spPr bwMode="auto">
                    <a:xfrm>
                      <a:off x="0" y="0"/>
                      <a:ext cx="4832954" cy="1962395"/>
                    </a:xfrm>
                    <a:prstGeom prst="rect">
                      <a:avLst/>
                    </a:prstGeom>
                    <a:noFill/>
                    <a:ln>
                      <a:noFill/>
                    </a:ln>
                    <a:extLst>
                      <a:ext uri="{53640926-AAD7-44D8-BBD7-CCE9431645EC}">
                        <a14:shadowObscured xmlns:a14="http://schemas.microsoft.com/office/drawing/2010/main"/>
                      </a:ext>
                    </a:extLst>
                  </pic:spPr>
                </pic:pic>
              </a:graphicData>
            </a:graphic>
          </wp:inline>
        </w:drawing>
      </w:r>
    </w:p>
    <w:p w14:paraId="1ACA8B90" w14:textId="57AC9BC0" w:rsidR="00623D25" w:rsidRDefault="00623D25" w:rsidP="00623D25">
      <w:pPr>
        <w:jc w:val="center"/>
        <w:rPr>
          <w:rFonts w:ascii="Arial" w:hAnsi="Arial" w:cs="Arial"/>
          <w:b/>
          <w:bCs/>
        </w:rPr>
      </w:pPr>
      <w:r w:rsidRPr="00623D25">
        <w:rPr>
          <w:rFonts w:ascii="Arial" w:hAnsi="Arial" w:cs="Arial"/>
          <w:b/>
          <w:bCs/>
        </w:rPr>
        <w:t>Fig 5. Relationship between LST and NDBI in Andhra Pradesh, India, for 2022 (n = 5,000 random samples; MODIS MOD09A1 data), demonstrating urban heating effect with trend line and R² value.</w:t>
      </w:r>
    </w:p>
    <w:p w14:paraId="1BDEEADF" w14:textId="77777777" w:rsidR="00623D25" w:rsidRPr="00623D25" w:rsidRDefault="00623D25" w:rsidP="00623D25">
      <w:pPr>
        <w:jc w:val="center"/>
        <w:rPr>
          <w:rFonts w:ascii="Arial" w:hAnsi="Arial" w:cs="Arial"/>
          <w:b/>
          <w:bCs/>
        </w:rPr>
      </w:pPr>
    </w:p>
    <w:p w14:paraId="6758DEEA" w14:textId="17B6492D" w:rsidR="00623D25" w:rsidRDefault="00623D25" w:rsidP="00623D25">
      <w:pPr>
        <w:spacing w:line="276" w:lineRule="auto"/>
        <w:jc w:val="center"/>
        <w:rPr>
          <w:rFonts w:ascii="Arial" w:hAnsi="Arial" w:cs="Arial"/>
          <w:b/>
          <w:bCs/>
        </w:rPr>
      </w:pPr>
      <w:r w:rsidRPr="008D7298">
        <w:rPr>
          <w:noProof/>
        </w:rPr>
        <w:drawing>
          <wp:inline distT="0" distB="0" distL="0" distR="0" wp14:anchorId="3C58C494" wp14:editId="7F3A3D9C">
            <wp:extent cx="5245100" cy="2101850"/>
            <wp:effectExtent l="0" t="0" r="0" b="0"/>
            <wp:docPr id="2080450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 t="8468" r="5718" b="3967"/>
                    <a:stretch>
                      <a:fillRect/>
                    </a:stretch>
                  </pic:blipFill>
                  <pic:spPr bwMode="auto">
                    <a:xfrm>
                      <a:off x="0" y="0"/>
                      <a:ext cx="5245100" cy="2101850"/>
                    </a:xfrm>
                    <a:prstGeom prst="rect">
                      <a:avLst/>
                    </a:prstGeom>
                    <a:noFill/>
                    <a:ln>
                      <a:noFill/>
                    </a:ln>
                    <a:extLst>
                      <a:ext uri="{53640926-AAD7-44D8-BBD7-CCE9431645EC}">
                        <a14:shadowObscured xmlns:a14="http://schemas.microsoft.com/office/drawing/2010/main"/>
                      </a:ext>
                    </a:extLst>
                  </pic:spPr>
                </pic:pic>
              </a:graphicData>
            </a:graphic>
          </wp:inline>
        </w:drawing>
      </w:r>
      <w:r w:rsidRPr="00623D25">
        <w:rPr>
          <w:rFonts w:ascii="Arial" w:hAnsi="Arial" w:cs="Arial"/>
          <w:b/>
          <w:bCs/>
        </w:rPr>
        <w:t>Fig 6. Relationship between LST and elevation in Andhra Pradesh, India, for 2022 (n = 5,000 random samples; SRTMGL1 DEM and MODIS data), reflecting temperature lapse rate effect with trend line and R² value.</w:t>
      </w:r>
    </w:p>
    <w:p w14:paraId="793B791A" w14:textId="77777777" w:rsidR="00623D25" w:rsidRPr="008D7298" w:rsidRDefault="00623D25" w:rsidP="00623D25">
      <w:pPr>
        <w:spacing w:line="276" w:lineRule="auto"/>
        <w:jc w:val="center"/>
        <w:rPr>
          <w:rFonts w:ascii="Times New Roman" w:hAnsi="Times New Roman"/>
          <w:sz w:val="24"/>
          <w:szCs w:val="24"/>
        </w:rPr>
      </w:pPr>
    </w:p>
    <w:p w14:paraId="576C9B69" w14:textId="5CCFB4A8" w:rsidR="00623D25" w:rsidRDefault="00623D25" w:rsidP="00623D25">
      <w:pPr>
        <w:spacing w:line="276" w:lineRule="auto"/>
        <w:jc w:val="center"/>
        <w:rPr>
          <w:rFonts w:ascii="Arial" w:hAnsi="Arial" w:cs="Arial"/>
          <w:b/>
          <w:bCs/>
        </w:rPr>
      </w:pPr>
      <w:r w:rsidRPr="008D7298">
        <w:rPr>
          <w:noProof/>
        </w:rPr>
        <w:lastRenderedPageBreak/>
        <w:drawing>
          <wp:inline distT="0" distB="0" distL="0" distR="0" wp14:anchorId="509B177D" wp14:editId="0073A097">
            <wp:extent cx="5080000" cy="2127250"/>
            <wp:effectExtent l="0" t="0" r="0" b="0"/>
            <wp:docPr id="918567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4653" t="7672" r="6714" b="3704"/>
                    <a:stretch>
                      <a:fillRect/>
                    </a:stretch>
                  </pic:blipFill>
                  <pic:spPr bwMode="auto">
                    <a:xfrm>
                      <a:off x="0" y="0"/>
                      <a:ext cx="5080000" cy="2127250"/>
                    </a:xfrm>
                    <a:prstGeom prst="rect">
                      <a:avLst/>
                    </a:prstGeom>
                    <a:noFill/>
                    <a:ln>
                      <a:noFill/>
                    </a:ln>
                    <a:extLst>
                      <a:ext uri="{53640926-AAD7-44D8-BBD7-CCE9431645EC}">
                        <a14:shadowObscured xmlns:a14="http://schemas.microsoft.com/office/drawing/2010/main"/>
                      </a:ext>
                    </a:extLst>
                  </pic:spPr>
                </pic:pic>
              </a:graphicData>
            </a:graphic>
          </wp:inline>
        </w:drawing>
      </w:r>
      <w:r w:rsidRPr="008D7298">
        <w:t xml:space="preserve"> </w:t>
      </w:r>
      <w:r w:rsidRPr="00623D25">
        <w:rPr>
          <w:rFonts w:ascii="Arial" w:hAnsi="Arial" w:cs="Arial"/>
          <w:b/>
          <w:bCs/>
        </w:rPr>
        <w:t>Fig 7. Relationship between LST and terrain slope in Andhra Pradesh, India, for 2022 (n = 5,000 random samples; derived from SRTMGL1 DEM and MODIS data), indicating topographic influence with trend line and R² value.</w:t>
      </w:r>
    </w:p>
    <w:p w14:paraId="5F311D95" w14:textId="77777777" w:rsidR="00623D25" w:rsidRPr="00623D25" w:rsidRDefault="00623D25" w:rsidP="00623D25">
      <w:pPr>
        <w:spacing w:line="276" w:lineRule="auto"/>
        <w:jc w:val="center"/>
        <w:rPr>
          <w:rFonts w:ascii="Arial" w:hAnsi="Arial" w:cs="Arial"/>
          <w:b/>
          <w:bCs/>
        </w:rPr>
      </w:pPr>
    </w:p>
    <w:p w14:paraId="7C92F444" w14:textId="77777777" w:rsidR="00623D25" w:rsidRPr="008D7298" w:rsidRDefault="00623D25" w:rsidP="00623D25">
      <w:pPr>
        <w:spacing w:line="360" w:lineRule="auto"/>
        <w:jc w:val="center"/>
        <w:rPr>
          <w:rFonts w:ascii="Times New Roman" w:hAnsi="Times New Roman"/>
          <w:sz w:val="24"/>
          <w:szCs w:val="24"/>
        </w:rPr>
      </w:pPr>
      <w:r w:rsidRPr="008D7298">
        <w:rPr>
          <w:noProof/>
        </w:rPr>
        <w:drawing>
          <wp:inline distT="0" distB="0" distL="0" distR="0" wp14:anchorId="18EEF31B" wp14:editId="125560B3">
            <wp:extent cx="5124450" cy="2057400"/>
            <wp:effectExtent l="0" t="0" r="0" b="0"/>
            <wp:docPr id="757952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8976" t="8790" r="1598" b="5477"/>
                    <a:stretch>
                      <a:fillRect/>
                    </a:stretch>
                  </pic:blipFill>
                  <pic:spPr bwMode="auto">
                    <a:xfrm>
                      <a:off x="0" y="0"/>
                      <a:ext cx="5125481" cy="2057814"/>
                    </a:xfrm>
                    <a:prstGeom prst="rect">
                      <a:avLst/>
                    </a:prstGeom>
                    <a:noFill/>
                    <a:ln>
                      <a:noFill/>
                    </a:ln>
                    <a:extLst>
                      <a:ext uri="{53640926-AAD7-44D8-BBD7-CCE9431645EC}">
                        <a14:shadowObscured xmlns:a14="http://schemas.microsoft.com/office/drawing/2010/main"/>
                      </a:ext>
                    </a:extLst>
                  </pic:spPr>
                </pic:pic>
              </a:graphicData>
            </a:graphic>
          </wp:inline>
        </w:drawing>
      </w:r>
    </w:p>
    <w:p w14:paraId="09EF8113" w14:textId="0F43037A" w:rsidR="00623D25" w:rsidRPr="00623D25" w:rsidRDefault="00623D25" w:rsidP="00623D25">
      <w:pPr>
        <w:spacing w:line="276" w:lineRule="auto"/>
        <w:jc w:val="center"/>
        <w:rPr>
          <w:rFonts w:ascii="Arial" w:hAnsi="Arial" w:cs="Arial"/>
          <w:b/>
          <w:bCs/>
        </w:rPr>
      </w:pPr>
      <w:r w:rsidRPr="00623D25">
        <w:rPr>
          <w:rFonts w:ascii="Arial" w:hAnsi="Arial" w:cs="Arial"/>
          <w:b/>
          <w:bCs/>
        </w:rPr>
        <w:t>Fig 8. Mean land surface temperature by land cover class in Andhra Pradesh, India, for 2022 (ESA WorldCover 2021 classification; MODIS LST data), highlighting highest temperatures in built-up areas.</w:t>
      </w:r>
    </w:p>
    <w:p w14:paraId="5F21ABCE" w14:textId="77777777" w:rsidR="00623D25" w:rsidRDefault="00623D25" w:rsidP="00623D25">
      <w:pPr>
        <w:jc w:val="both"/>
        <w:rPr>
          <w:rFonts w:ascii="Arial" w:hAnsi="Arial" w:cs="Arial"/>
        </w:rPr>
      </w:pPr>
    </w:p>
    <w:p w14:paraId="64CFE91F" w14:textId="1A4267F0" w:rsidR="000C3590" w:rsidRPr="00FA5C50" w:rsidRDefault="00623D25" w:rsidP="000C3590">
      <w:pPr>
        <w:jc w:val="both"/>
        <w:rPr>
          <w:rFonts w:ascii="Arial" w:hAnsi="Arial" w:cs="Arial"/>
          <w:color w:val="00B050"/>
        </w:rPr>
      </w:pPr>
      <w:r w:rsidRPr="00623D25">
        <w:rPr>
          <w:rFonts w:ascii="Arial" w:hAnsi="Arial" w:cs="Arial"/>
          <w:b/>
          <w:sz w:val="22"/>
        </w:rPr>
        <w:t>4.3 Evaluation of Urban Heat Island (UHI) Intensity</w:t>
      </w:r>
      <w:r w:rsidR="000C3590">
        <w:rPr>
          <w:rFonts w:ascii="Arial" w:hAnsi="Arial" w:cs="Arial"/>
          <w:b/>
          <w:sz w:val="22"/>
        </w:rPr>
        <w:t xml:space="preserve"> </w:t>
      </w:r>
      <w:r w:rsidR="000C3590" w:rsidRPr="00FA5C50">
        <w:rPr>
          <w:rFonts w:ascii="Arial" w:hAnsi="Arial" w:cs="Arial"/>
          <w:color w:val="00B050"/>
        </w:rPr>
        <w:t>If possible, includ</w:t>
      </w:r>
      <w:r w:rsidR="000C3590">
        <w:rPr>
          <w:rFonts w:ascii="Arial" w:hAnsi="Arial" w:cs="Arial"/>
          <w:color w:val="00B050"/>
        </w:rPr>
        <w:t>e</w:t>
      </w:r>
      <w:r w:rsidR="000C3590" w:rsidRPr="00FA5C50">
        <w:rPr>
          <w:rFonts w:ascii="Arial" w:hAnsi="Arial" w:cs="Arial"/>
          <w:color w:val="00B050"/>
        </w:rPr>
        <w:t xml:space="preserve"> the 2025 data in your study.</w:t>
      </w:r>
    </w:p>
    <w:p w14:paraId="58E3D3F8" w14:textId="77777777" w:rsidR="00623D25" w:rsidRPr="00623D25" w:rsidRDefault="00623D25" w:rsidP="00623D25">
      <w:pPr>
        <w:rPr>
          <w:rFonts w:ascii="Arial" w:hAnsi="Arial" w:cs="Arial"/>
        </w:rPr>
      </w:pPr>
      <w:r w:rsidRPr="00623D25">
        <w:rPr>
          <w:rFonts w:ascii="Arial" w:hAnsi="Arial" w:cs="Arial"/>
        </w:rPr>
        <w:t>The analysis of mean UHI intensity revealed that values remained relatively stable and modest throughout the observation period, fluctuating between a minimum of 0.006 °C in 2024 and a maximum of 0.010 °C during the 2021-2022 interval (Table 4).</w:t>
      </w:r>
    </w:p>
    <w:p w14:paraId="3747BE7D" w14:textId="77777777" w:rsidR="00623D25" w:rsidRPr="00623D25" w:rsidRDefault="00623D25" w:rsidP="00623D25">
      <w:pPr>
        <w:jc w:val="both"/>
        <w:rPr>
          <w:rFonts w:ascii="Arial" w:hAnsi="Arial" w:cs="Arial"/>
        </w:rPr>
      </w:pPr>
      <w:r w:rsidRPr="00623D25">
        <w:rPr>
          <w:rFonts w:ascii="Arial" w:hAnsi="Arial" w:cs="Arial"/>
        </w:rPr>
        <w:t>This marginal peak observed between 2021 and 2022 was succeeded by a progressive decline toward the end of the study period. This downward trend potentially signifies a period of localized vegetation resurgence alongside the residual effects of curtailed anthropogenic activities during the final phases of pandemic-related restrictions. Despite the low absolute values, the persistence of the UHI effect across all years emphasizes a consistent thermal disparity between the urban centers and their rural counterparts.</w:t>
      </w:r>
    </w:p>
    <w:p w14:paraId="3F214140" w14:textId="77777777" w:rsidR="00623D25" w:rsidRDefault="00623D25" w:rsidP="00623D25">
      <w:pPr>
        <w:jc w:val="center"/>
        <w:rPr>
          <w:rFonts w:ascii="Arial" w:hAnsi="Arial" w:cs="Arial"/>
        </w:rPr>
      </w:pPr>
    </w:p>
    <w:p w14:paraId="5663A2BE" w14:textId="59983475" w:rsidR="00623D25" w:rsidRPr="00623D25" w:rsidRDefault="00623D25" w:rsidP="00623D25">
      <w:pPr>
        <w:jc w:val="center"/>
        <w:rPr>
          <w:rFonts w:ascii="Arial" w:hAnsi="Arial" w:cs="Arial"/>
          <w:b/>
          <w:bCs/>
        </w:rPr>
      </w:pPr>
      <w:r w:rsidRPr="00623D25">
        <w:rPr>
          <w:rFonts w:ascii="Arial" w:hAnsi="Arial" w:cs="Arial"/>
          <w:b/>
          <w:bCs/>
        </w:rPr>
        <w:t>Table 4. Annual mean urban heat island (UHI) intensity in Andhra Pradesh, India (2020-2024), calculated as the difference between actual LST and mean non-urban LST (excluding built-up areas from ESA WorldCover 2021).</w:t>
      </w:r>
    </w:p>
    <w:tbl>
      <w:tblPr>
        <w:tblStyle w:val="Tabelacomgrade"/>
        <w:tblW w:w="6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4799"/>
      </w:tblGrid>
      <w:tr w:rsidR="00623D25" w:rsidRPr="00623D25" w14:paraId="16F89821" w14:textId="77777777" w:rsidTr="00623D25">
        <w:trPr>
          <w:trHeight w:val="354"/>
          <w:jc w:val="center"/>
        </w:trPr>
        <w:tc>
          <w:tcPr>
            <w:tcW w:w="0" w:type="auto"/>
            <w:tcBorders>
              <w:top w:val="single" w:sz="4" w:space="0" w:color="auto"/>
              <w:bottom w:val="single" w:sz="4" w:space="0" w:color="auto"/>
            </w:tcBorders>
            <w:hideMark/>
          </w:tcPr>
          <w:p w14:paraId="47672AFD"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lastRenderedPageBreak/>
              <w:t>Year</w:t>
            </w:r>
          </w:p>
        </w:tc>
        <w:tc>
          <w:tcPr>
            <w:tcW w:w="0" w:type="auto"/>
            <w:tcBorders>
              <w:top w:val="single" w:sz="4" w:space="0" w:color="auto"/>
              <w:bottom w:val="single" w:sz="4" w:space="0" w:color="auto"/>
            </w:tcBorders>
            <w:hideMark/>
          </w:tcPr>
          <w:p w14:paraId="5BE90F30"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Mean UHI Intensity (°C)</w:t>
            </w:r>
          </w:p>
        </w:tc>
      </w:tr>
      <w:tr w:rsidR="00623D25" w:rsidRPr="00623D25" w14:paraId="460C40F1" w14:textId="77777777" w:rsidTr="00623D25">
        <w:trPr>
          <w:trHeight w:val="363"/>
          <w:jc w:val="center"/>
        </w:trPr>
        <w:tc>
          <w:tcPr>
            <w:tcW w:w="0" w:type="auto"/>
            <w:tcBorders>
              <w:top w:val="single" w:sz="4" w:space="0" w:color="auto"/>
            </w:tcBorders>
            <w:hideMark/>
          </w:tcPr>
          <w:p w14:paraId="59F0EED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2020</w:t>
            </w:r>
          </w:p>
        </w:tc>
        <w:tc>
          <w:tcPr>
            <w:tcW w:w="0" w:type="auto"/>
            <w:tcBorders>
              <w:top w:val="single" w:sz="4" w:space="0" w:color="auto"/>
            </w:tcBorders>
            <w:hideMark/>
          </w:tcPr>
          <w:p w14:paraId="0B07D1E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5E8B0277" w14:textId="77777777" w:rsidTr="00623D25">
        <w:trPr>
          <w:trHeight w:val="354"/>
          <w:jc w:val="center"/>
        </w:trPr>
        <w:tc>
          <w:tcPr>
            <w:tcW w:w="0" w:type="auto"/>
            <w:hideMark/>
          </w:tcPr>
          <w:p w14:paraId="5F2435F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2021</w:t>
            </w:r>
          </w:p>
        </w:tc>
        <w:tc>
          <w:tcPr>
            <w:tcW w:w="0" w:type="auto"/>
            <w:hideMark/>
          </w:tcPr>
          <w:p w14:paraId="0B372B76"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34F1B55D" w14:textId="77777777" w:rsidTr="00623D25">
        <w:trPr>
          <w:trHeight w:val="363"/>
          <w:jc w:val="center"/>
        </w:trPr>
        <w:tc>
          <w:tcPr>
            <w:tcW w:w="0" w:type="auto"/>
            <w:hideMark/>
          </w:tcPr>
          <w:p w14:paraId="15EA7CB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2022</w:t>
            </w:r>
          </w:p>
        </w:tc>
        <w:tc>
          <w:tcPr>
            <w:tcW w:w="0" w:type="auto"/>
            <w:hideMark/>
          </w:tcPr>
          <w:p w14:paraId="5FBEC75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616CEC28" w14:textId="77777777" w:rsidTr="00623D25">
        <w:trPr>
          <w:trHeight w:val="354"/>
          <w:jc w:val="center"/>
        </w:trPr>
        <w:tc>
          <w:tcPr>
            <w:tcW w:w="0" w:type="auto"/>
            <w:hideMark/>
          </w:tcPr>
          <w:p w14:paraId="37C76E1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2023</w:t>
            </w:r>
          </w:p>
        </w:tc>
        <w:tc>
          <w:tcPr>
            <w:tcW w:w="0" w:type="auto"/>
            <w:hideMark/>
          </w:tcPr>
          <w:p w14:paraId="78D6BF1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237337C7" w14:textId="77777777" w:rsidTr="00623D25">
        <w:trPr>
          <w:trHeight w:val="354"/>
          <w:jc w:val="center"/>
        </w:trPr>
        <w:tc>
          <w:tcPr>
            <w:tcW w:w="0" w:type="auto"/>
            <w:tcBorders>
              <w:bottom w:val="single" w:sz="4" w:space="0" w:color="auto"/>
            </w:tcBorders>
            <w:hideMark/>
          </w:tcPr>
          <w:p w14:paraId="2AAC937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2024</w:t>
            </w:r>
          </w:p>
        </w:tc>
        <w:tc>
          <w:tcPr>
            <w:tcW w:w="0" w:type="auto"/>
            <w:tcBorders>
              <w:bottom w:val="single" w:sz="4" w:space="0" w:color="auto"/>
            </w:tcBorders>
            <w:hideMark/>
          </w:tcPr>
          <w:p w14:paraId="39A253BC"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0.006</w:t>
            </w:r>
          </w:p>
        </w:tc>
      </w:tr>
    </w:tbl>
    <w:p w14:paraId="0AB05B45" w14:textId="39FC2C75" w:rsidR="000C3590" w:rsidRPr="00FA5C50" w:rsidRDefault="000C3590" w:rsidP="000C3590">
      <w:pPr>
        <w:jc w:val="both"/>
        <w:rPr>
          <w:rFonts w:ascii="Arial" w:hAnsi="Arial" w:cs="Arial"/>
          <w:color w:val="00B050"/>
        </w:rPr>
      </w:pPr>
      <w:r w:rsidRPr="00FA5C50">
        <w:rPr>
          <w:rFonts w:ascii="Arial" w:hAnsi="Arial" w:cs="Arial"/>
          <w:color w:val="00B050"/>
        </w:rPr>
        <w:t xml:space="preserve">If possible, </w:t>
      </w:r>
      <w:r w:rsidRPr="00FA5C50">
        <w:rPr>
          <w:rFonts w:ascii="Arial" w:hAnsi="Arial" w:cs="Arial"/>
          <w:color w:val="00B050"/>
        </w:rPr>
        <w:t>includ</w:t>
      </w:r>
      <w:r>
        <w:rPr>
          <w:rFonts w:ascii="Arial" w:hAnsi="Arial" w:cs="Arial"/>
          <w:color w:val="00B050"/>
        </w:rPr>
        <w:t>e</w:t>
      </w:r>
      <w:r w:rsidRPr="00FA5C50">
        <w:rPr>
          <w:rFonts w:ascii="Arial" w:hAnsi="Arial" w:cs="Arial"/>
          <w:color w:val="00B050"/>
        </w:rPr>
        <w:t xml:space="preserve"> the 2025 data in your study.</w:t>
      </w:r>
    </w:p>
    <w:p w14:paraId="162F9706" w14:textId="77777777" w:rsidR="00623D25" w:rsidRPr="00DD112B" w:rsidRDefault="00623D25" w:rsidP="00DD112B">
      <w:pPr>
        <w:jc w:val="both"/>
        <w:rPr>
          <w:rFonts w:ascii="Arial" w:hAnsi="Arial" w:cs="Arial"/>
          <w:b/>
          <w:bCs/>
        </w:rPr>
      </w:pPr>
    </w:p>
    <w:p w14:paraId="224313E9" w14:textId="77777777" w:rsidR="00DD112B" w:rsidRPr="00DD112B" w:rsidRDefault="00DD112B" w:rsidP="00DD112B">
      <w:pPr>
        <w:rPr>
          <w:rFonts w:ascii="Arial" w:hAnsi="Arial" w:cs="Arial"/>
          <w:b/>
          <w:sz w:val="22"/>
        </w:rPr>
      </w:pPr>
      <w:r w:rsidRPr="00DD112B">
        <w:rPr>
          <w:rFonts w:ascii="Arial" w:hAnsi="Arial" w:cs="Arial"/>
          <w:b/>
          <w:sz w:val="22"/>
        </w:rPr>
        <w:t>4.4 Spatial Autocorrelation and Hotspot Assessment</w:t>
      </w:r>
    </w:p>
    <w:p w14:paraId="025F8892" w14:textId="76B286A9" w:rsidR="00DD112B" w:rsidRPr="00DD112B" w:rsidRDefault="00DD112B" w:rsidP="00DD112B">
      <w:pPr>
        <w:jc w:val="both"/>
        <w:rPr>
          <w:rFonts w:ascii="Arial" w:hAnsi="Arial" w:cs="Arial"/>
        </w:rPr>
      </w:pPr>
      <w:r w:rsidRPr="00DD112B">
        <w:rPr>
          <w:rFonts w:ascii="Arial" w:hAnsi="Arial" w:cs="Arial"/>
        </w:rPr>
        <w:t xml:space="preserve">Application of the Getis-Ord Gi* statistics revealed a persistent spatial clustering of elevated LST across the study area. Mean values within these statistically significant hotspots fluctuated between 32.97 in 2020 and a peak of 37.21 in 2022 (Table 5, </w:t>
      </w:r>
      <w:r w:rsidR="000C4C0B">
        <w:rPr>
          <w:rFonts w:ascii="Arial" w:hAnsi="Arial" w:cs="Arial"/>
        </w:rPr>
        <w:t>Fig</w:t>
      </w:r>
      <w:r w:rsidRPr="00DD112B">
        <w:rPr>
          <w:rFonts w:ascii="Arial" w:hAnsi="Arial" w:cs="Arial"/>
        </w:rPr>
        <w:t xml:space="preserve"> 10).</w:t>
      </w:r>
    </w:p>
    <w:p w14:paraId="260701FD" w14:textId="77777777" w:rsidR="00DD112B" w:rsidRDefault="00DD112B" w:rsidP="00DD112B">
      <w:pPr>
        <w:jc w:val="both"/>
        <w:rPr>
          <w:rFonts w:ascii="Arial" w:hAnsi="Arial" w:cs="Arial"/>
        </w:rPr>
      </w:pPr>
      <w:r w:rsidRPr="00DD112B">
        <w:rPr>
          <w:rFonts w:ascii="Arial" w:hAnsi="Arial" w:cs="Arial"/>
        </w:rPr>
        <w:t>Notably, the most pronounced thermal clustering was observed in 2022, a year characterized by a general state-level LST anomaly. This indicates that while regional temperatures may have experienced a temporary decline, localized thermal intensification remained robust within identified hotspots. These results suggest that specific urban and industrial corridors maintain elevated thermal signatures even during periods of broader regional cooling.</w:t>
      </w:r>
    </w:p>
    <w:p w14:paraId="6C15D89D" w14:textId="77777777" w:rsidR="00DD112B" w:rsidRPr="00DD112B" w:rsidRDefault="00DD112B" w:rsidP="00DD112B">
      <w:pPr>
        <w:jc w:val="both"/>
        <w:rPr>
          <w:rFonts w:ascii="Arial" w:hAnsi="Arial" w:cs="Arial"/>
        </w:rPr>
      </w:pPr>
    </w:p>
    <w:p w14:paraId="75E3FC2F" w14:textId="77777777" w:rsidR="00DD112B" w:rsidRPr="00DD112B" w:rsidRDefault="00DD112B" w:rsidP="00DD112B">
      <w:pPr>
        <w:jc w:val="center"/>
        <w:rPr>
          <w:rFonts w:ascii="Arial" w:hAnsi="Arial" w:cs="Arial"/>
          <w:b/>
          <w:bCs/>
        </w:rPr>
      </w:pPr>
      <w:r w:rsidRPr="00DD112B">
        <w:rPr>
          <w:rFonts w:ascii="Arial" w:hAnsi="Arial" w:cs="Arial"/>
          <w:b/>
          <w:bCs/>
        </w:rPr>
        <w:t>Table 5. Annual mean Getis-Ord Gi* statistic values for land surface temperature clustering in Andhra Pradesh, India (2020-2024).</w:t>
      </w:r>
    </w:p>
    <w:tbl>
      <w:tblPr>
        <w:tblStyle w:val="Tabelacomgrade"/>
        <w:tblW w:w="5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4070"/>
      </w:tblGrid>
      <w:tr w:rsidR="00DD112B" w:rsidRPr="00DD112B" w14:paraId="5072D8B4" w14:textId="77777777" w:rsidTr="00DD112B">
        <w:trPr>
          <w:trHeight w:val="357"/>
          <w:jc w:val="center"/>
        </w:trPr>
        <w:tc>
          <w:tcPr>
            <w:tcW w:w="0" w:type="auto"/>
            <w:tcBorders>
              <w:top w:val="single" w:sz="4" w:space="0" w:color="auto"/>
              <w:bottom w:val="single" w:sz="4" w:space="0" w:color="auto"/>
            </w:tcBorders>
            <w:hideMark/>
          </w:tcPr>
          <w:p w14:paraId="464E8D8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Year</w:t>
            </w:r>
          </w:p>
        </w:tc>
        <w:tc>
          <w:tcPr>
            <w:tcW w:w="0" w:type="auto"/>
            <w:tcBorders>
              <w:top w:val="single" w:sz="4" w:space="0" w:color="auto"/>
              <w:bottom w:val="single" w:sz="4" w:space="0" w:color="auto"/>
            </w:tcBorders>
            <w:hideMark/>
          </w:tcPr>
          <w:p w14:paraId="4E98A15A"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Mean Gi* Statistic</w:t>
            </w:r>
          </w:p>
        </w:tc>
      </w:tr>
      <w:tr w:rsidR="00DD112B" w:rsidRPr="00DD112B" w14:paraId="472B0344" w14:textId="77777777" w:rsidTr="00DD112B">
        <w:trPr>
          <w:trHeight w:val="366"/>
          <w:jc w:val="center"/>
        </w:trPr>
        <w:tc>
          <w:tcPr>
            <w:tcW w:w="0" w:type="auto"/>
            <w:tcBorders>
              <w:top w:val="single" w:sz="4" w:space="0" w:color="auto"/>
            </w:tcBorders>
            <w:hideMark/>
          </w:tcPr>
          <w:p w14:paraId="60F0578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w:t>
            </w:r>
          </w:p>
        </w:tc>
        <w:tc>
          <w:tcPr>
            <w:tcW w:w="0" w:type="auto"/>
            <w:tcBorders>
              <w:top w:val="single" w:sz="4" w:space="0" w:color="auto"/>
            </w:tcBorders>
            <w:hideMark/>
          </w:tcPr>
          <w:p w14:paraId="7F5A52E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32.97</w:t>
            </w:r>
          </w:p>
        </w:tc>
      </w:tr>
      <w:tr w:rsidR="00DD112B" w:rsidRPr="00DD112B" w14:paraId="7FF4352B" w14:textId="77777777" w:rsidTr="00DD112B">
        <w:trPr>
          <w:trHeight w:val="357"/>
          <w:jc w:val="center"/>
        </w:trPr>
        <w:tc>
          <w:tcPr>
            <w:tcW w:w="0" w:type="auto"/>
            <w:hideMark/>
          </w:tcPr>
          <w:p w14:paraId="58292D1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2021</w:t>
            </w:r>
          </w:p>
        </w:tc>
        <w:tc>
          <w:tcPr>
            <w:tcW w:w="0" w:type="auto"/>
            <w:hideMark/>
          </w:tcPr>
          <w:p w14:paraId="3EB34F4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34.08</w:t>
            </w:r>
          </w:p>
        </w:tc>
      </w:tr>
      <w:tr w:rsidR="00DD112B" w:rsidRPr="00DD112B" w14:paraId="55161605" w14:textId="77777777" w:rsidTr="00DD112B">
        <w:trPr>
          <w:trHeight w:val="366"/>
          <w:jc w:val="center"/>
        </w:trPr>
        <w:tc>
          <w:tcPr>
            <w:tcW w:w="0" w:type="auto"/>
            <w:hideMark/>
          </w:tcPr>
          <w:p w14:paraId="56A8BA8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2022</w:t>
            </w:r>
          </w:p>
        </w:tc>
        <w:tc>
          <w:tcPr>
            <w:tcW w:w="0" w:type="auto"/>
            <w:hideMark/>
          </w:tcPr>
          <w:p w14:paraId="22092D2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37.21</w:t>
            </w:r>
          </w:p>
        </w:tc>
      </w:tr>
      <w:tr w:rsidR="00DD112B" w:rsidRPr="00DD112B" w14:paraId="47AD1072" w14:textId="77777777" w:rsidTr="00DD112B">
        <w:trPr>
          <w:trHeight w:val="357"/>
          <w:jc w:val="center"/>
        </w:trPr>
        <w:tc>
          <w:tcPr>
            <w:tcW w:w="0" w:type="auto"/>
            <w:hideMark/>
          </w:tcPr>
          <w:p w14:paraId="4B57AA63"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2023</w:t>
            </w:r>
          </w:p>
        </w:tc>
        <w:tc>
          <w:tcPr>
            <w:tcW w:w="0" w:type="auto"/>
            <w:hideMark/>
          </w:tcPr>
          <w:p w14:paraId="7D30795E"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34.34</w:t>
            </w:r>
          </w:p>
        </w:tc>
      </w:tr>
      <w:tr w:rsidR="00DD112B" w:rsidRPr="00DD112B" w14:paraId="4F267C09" w14:textId="77777777" w:rsidTr="00DD112B">
        <w:trPr>
          <w:trHeight w:val="357"/>
          <w:jc w:val="center"/>
        </w:trPr>
        <w:tc>
          <w:tcPr>
            <w:tcW w:w="0" w:type="auto"/>
            <w:tcBorders>
              <w:bottom w:val="single" w:sz="4" w:space="0" w:color="auto"/>
            </w:tcBorders>
            <w:hideMark/>
          </w:tcPr>
          <w:p w14:paraId="555CC4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2024</w:t>
            </w:r>
          </w:p>
        </w:tc>
        <w:tc>
          <w:tcPr>
            <w:tcW w:w="0" w:type="auto"/>
            <w:tcBorders>
              <w:bottom w:val="single" w:sz="4" w:space="0" w:color="auto"/>
            </w:tcBorders>
            <w:hideMark/>
          </w:tcPr>
          <w:p w14:paraId="62F0E8F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36.59</w:t>
            </w:r>
          </w:p>
        </w:tc>
      </w:tr>
    </w:tbl>
    <w:p w14:paraId="3BDDED46" w14:textId="4BE47746" w:rsidR="000C3590" w:rsidRPr="00FA5C50" w:rsidRDefault="000C3590" w:rsidP="000C3590">
      <w:pPr>
        <w:jc w:val="both"/>
        <w:rPr>
          <w:rFonts w:ascii="Arial" w:hAnsi="Arial" w:cs="Arial"/>
          <w:color w:val="00B050"/>
        </w:rPr>
      </w:pPr>
      <w:r w:rsidRPr="00FA5C50">
        <w:rPr>
          <w:rFonts w:ascii="Arial" w:hAnsi="Arial" w:cs="Arial"/>
          <w:color w:val="00B050"/>
        </w:rPr>
        <w:t>If possible, includ</w:t>
      </w:r>
      <w:r>
        <w:rPr>
          <w:rFonts w:ascii="Arial" w:hAnsi="Arial" w:cs="Arial"/>
          <w:color w:val="00B050"/>
        </w:rPr>
        <w:t>e</w:t>
      </w:r>
      <w:r w:rsidRPr="00FA5C50">
        <w:rPr>
          <w:rFonts w:ascii="Arial" w:hAnsi="Arial" w:cs="Arial"/>
          <w:color w:val="00B050"/>
        </w:rPr>
        <w:t xml:space="preserve"> the 2025 data in your study.</w:t>
      </w:r>
    </w:p>
    <w:p w14:paraId="12714E79" w14:textId="77777777" w:rsidR="00DD112B" w:rsidRPr="00DD112B" w:rsidRDefault="00DD112B" w:rsidP="00DD112B">
      <w:pPr>
        <w:jc w:val="both"/>
        <w:rPr>
          <w:rFonts w:ascii="Arial" w:hAnsi="Arial" w:cs="Arial"/>
          <w:b/>
          <w:bCs/>
        </w:rPr>
      </w:pPr>
    </w:p>
    <w:p w14:paraId="23E190B7" w14:textId="77777777" w:rsidR="00DD112B" w:rsidRPr="00DD112B" w:rsidRDefault="00DD112B" w:rsidP="00DD112B">
      <w:pPr>
        <w:rPr>
          <w:rFonts w:ascii="Arial" w:hAnsi="Arial" w:cs="Arial"/>
          <w:b/>
          <w:bCs/>
        </w:rPr>
      </w:pPr>
      <w:r w:rsidRPr="00DD112B">
        <w:rPr>
          <w:rFonts w:ascii="Arial" w:hAnsi="Arial" w:cs="Arial"/>
          <w:b/>
          <w:sz w:val="22"/>
        </w:rPr>
        <w:t>4.5 Evaluation of Land Cover-Specific Thermal Signatures</w:t>
      </w:r>
    </w:p>
    <w:p w14:paraId="1F798F34" w14:textId="209AE66B" w:rsidR="00DD112B" w:rsidRPr="00DD112B" w:rsidRDefault="00DD112B" w:rsidP="00DD112B">
      <w:pPr>
        <w:jc w:val="both"/>
        <w:rPr>
          <w:rFonts w:ascii="Arial" w:hAnsi="Arial" w:cs="Arial"/>
        </w:rPr>
      </w:pPr>
      <w:r w:rsidRPr="00DD112B">
        <w:rPr>
          <w:rFonts w:ascii="Arial" w:hAnsi="Arial" w:cs="Arial"/>
        </w:rPr>
        <w:t>The analysis of thermal variations across different land-cover categories confirmed that built-up surfaces consistently maintained the highest mean LST throughout the study period. These impervious zones typically exhibited temperatures 2-4 °C higher than those recorded for vegetated classes (</w:t>
      </w:r>
      <w:r w:rsidR="000C4C0B">
        <w:rPr>
          <w:rFonts w:ascii="Arial" w:hAnsi="Arial" w:cs="Arial"/>
        </w:rPr>
        <w:t>Fig</w:t>
      </w:r>
      <w:r w:rsidRPr="00DD112B">
        <w:rPr>
          <w:rFonts w:ascii="Arial" w:hAnsi="Arial" w:cs="Arial"/>
        </w:rPr>
        <w:t xml:space="preserve"> 9).</w:t>
      </w:r>
    </w:p>
    <w:p w14:paraId="157785C0" w14:textId="77777777" w:rsidR="00DD112B" w:rsidRDefault="00DD112B" w:rsidP="00DD112B">
      <w:pPr>
        <w:jc w:val="both"/>
        <w:rPr>
          <w:rFonts w:ascii="Arial" w:hAnsi="Arial" w:cs="Arial"/>
        </w:rPr>
      </w:pPr>
      <w:r w:rsidRPr="00DD112B">
        <w:rPr>
          <w:rFonts w:ascii="Arial" w:hAnsi="Arial" w:cs="Arial"/>
        </w:rPr>
        <w:t>In contrast, water bodies were identified as the coolest land-cover category, followed by areas characterized by tree cover and shrubland. Cropland and grassland surfaces demonstrated intermediate thermal values. Meanwhile, bare land exhibited notable temperature fluctuations, which were likely associated with seasonal changes in soil moisture and surface exposure. These results further validate the significant impact of surface material composition on regional thermal patterns.</w:t>
      </w:r>
    </w:p>
    <w:p w14:paraId="7A678E4D" w14:textId="38157C61" w:rsidR="00DD112B" w:rsidRPr="00DD112B" w:rsidRDefault="00DD112B" w:rsidP="00DD112B">
      <w:pPr>
        <w:jc w:val="center"/>
        <w:rPr>
          <w:rFonts w:ascii="Arial" w:hAnsi="Arial" w:cs="Arial"/>
        </w:rPr>
      </w:pPr>
      <w:r w:rsidRPr="008D7298">
        <w:rPr>
          <w:noProof/>
        </w:rPr>
        <w:lastRenderedPageBreak/>
        <w:drawing>
          <wp:inline distT="0" distB="0" distL="0" distR="0" wp14:anchorId="2B515D52" wp14:editId="2B11C1E7">
            <wp:extent cx="5042222" cy="2159000"/>
            <wp:effectExtent l="0" t="0" r="0" b="0"/>
            <wp:docPr id="1060843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l="4142" t="8438" r="5923" b="-389"/>
                    <a:stretch>
                      <a:fillRect/>
                    </a:stretch>
                  </pic:blipFill>
                  <pic:spPr bwMode="auto">
                    <a:xfrm>
                      <a:off x="0" y="0"/>
                      <a:ext cx="5046030" cy="2160631"/>
                    </a:xfrm>
                    <a:prstGeom prst="rect">
                      <a:avLst/>
                    </a:prstGeom>
                    <a:noFill/>
                    <a:ln>
                      <a:noFill/>
                    </a:ln>
                    <a:extLst>
                      <a:ext uri="{53640926-AAD7-44D8-BBD7-CCE9431645EC}">
                        <a14:shadowObscured xmlns:a14="http://schemas.microsoft.com/office/drawing/2010/main"/>
                      </a:ext>
                    </a:extLst>
                  </pic:spPr>
                </pic:pic>
              </a:graphicData>
            </a:graphic>
          </wp:inline>
        </w:drawing>
      </w:r>
    </w:p>
    <w:p w14:paraId="39BAD4DA" w14:textId="77777777" w:rsidR="000C3590" w:rsidRPr="00FA5C50" w:rsidRDefault="00DD112B" w:rsidP="000C3590">
      <w:pPr>
        <w:jc w:val="both"/>
        <w:rPr>
          <w:rFonts w:ascii="Arial" w:hAnsi="Arial" w:cs="Arial"/>
          <w:color w:val="00B050"/>
        </w:rPr>
      </w:pPr>
      <w:r w:rsidRPr="00DD112B">
        <w:rPr>
          <w:rFonts w:ascii="Arial" w:hAnsi="Arial" w:cs="Arial"/>
          <w:b/>
          <w:bCs/>
        </w:rPr>
        <w:t>Fig 9. Inter-annual variation in mean land surface temperature across major land cover classes in Andhra Pradesh, India (2020-2024), based on ESA WorldCover 2021 and MODIS LST data.</w:t>
      </w:r>
      <w:r w:rsidR="000C3590">
        <w:rPr>
          <w:rFonts w:ascii="Arial" w:hAnsi="Arial" w:cs="Arial"/>
          <w:b/>
          <w:bCs/>
        </w:rPr>
        <w:t xml:space="preserve"> </w:t>
      </w:r>
      <w:r w:rsidR="000C3590" w:rsidRPr="00FA5C50">
        <w:rPr>
          <w:rFonts w:ascii="Arial" w:hAnsi="Arial" w:cs="Arial"/>
          <w:color w:val="00B050"/>
        </w:rPr>
        <w:t>If possible, includ</w:t>
      </w:r>
      <w:r w:rsidR="000C3590">
        <w:rPr>
          <w:rFonts w:ascii="Arial" w:hAnsi="Arial" w:cs="Arial"/>
          <w:color w:val="00B050"/>
        </w:rPr>
        <w:t>e</w:t>
      </w:r>
      <w:r w:rsidR="000C3590" w:rsidRPr="00FA5C50">
        <w:rPr>
          <w:rFonts w:ascii="Arial" w:hAnsi="Arial" w:cs="Arial"/>
          <w:color w:val="00B050"/>
        </w:rPr>
        <w:t xml:space="preserve"> the 2025 data in your study.</w:t>
      </w:r>
    </w:p>
    <w:p w14:paraId="0B46A4BB" w14:textId="4F848B22" w:rsidR="00623D25" w:rsidRDefault="00623D25" w:rsidP="00DD112B">
      <w:pPr>
        <w:spacing w:line="276" w:lineRule="auto"/>
        <w:jc w:val="center"/>
        <w:rPr>
          <w:rFonts w:ascii="Arial" w:hAnsi="Arial" w:cs="Arial"/>
          <w:b/>
          <w:bCs/>
        </w:rPr>
      </w:pPr>
    </w:p>
    <w:p w14:paraId="75AE562E" w14:textId="77777777" w:rsidR="00DD112B" w:rsidRDefault="00DD112B" w:rsidP="00DD112B">
      <w:pPr>
        <w:spacing w:line="276" w:lineRule="auto"/>
        <w:jc w:val="center"/>
        <w:rPr>
          <w:rFonts w:ascii="Arial" w:hAnsi="Arial" w:cs="Arial"/>
          <w:b/>
          <w:bCs/>
        </w:rPr>
      </w:pPr>
    </w:p>
    <w:p w14:paraId="183DDF9C" w14:textId="5F6FBA85" w:rsidR="00DD112B" w:rsidRDefault="00DD112B" w:rsidP="00DD112B">
      <w:pPr>
        <w:spacing w:line="276" w:lineRule="auto"/>
        <w:jc w:val="both"/>
        <w:rPr>
          <w:rFonts w:ascii="Arial" w:hAnsi="Arial" w:cs="Arial"/>
        </w:rPr>
      </w:pPr>
      <w:r w:rsidRPr="008D7298">
        <w:rPr>
          <w:noProof/>
        </w:rPr>
        <w:lastRenderedPageBreak/>
        <w:drawing>
          <wp:inline distT="0" distB="0" distL="0" distR="0" wp14:anchorId="5C535762" wp14:editId="0C9F0713">
            <wp:extent cx="5212080" cy="6533290"/>
            <wp:effectExtent l="0" t="0" r="0" b="0"/>
            <wp:docPr id="46227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2080" cy="6533290"/>
                    </a:xfrm>
                    <a:prstGeom prst="rect">
                      <a:avLst/>
                    </a:prstGeom>
                    <a:noFill/>
                    <a:ln>
                      <a:noFill/>
                    </a:ln>
                  </pic:spPr>
                </pic:pic>
              </a:graphicData>
            </a:graphic>
          </wp:inline>
        </w:drawing>
      </w:r>
    </w:p>
    <w:p w14:paraId="727A7E6D" w14:textId="4B06C5AA" w:rsidR="00DD112B" w:rsidRDefault="000C4C0B" w:rsidP="00DD112B">
      <w:pPr>
        <w:spacing w:line="276" w:lineRule="auto"/>
        <w:jc w:val="center"/>
        <w:rPr>
          <w:rFonts w:ascii="Arial" w:hAnsi="Arial" w:cs="Arial"/>
          <w:b/>
          <w:bCs/>
        </w:rPr>
      </w:pPr>
      <w:r>
        <w:rPr>
          <w:rFonts w:ascii="Arial" w:hAnsi="Arial" w:cs="Arial"/>
          <w:b/>
          <w:bCs/>
        </w:rPr>
        <w:t>Fig</w:t>
      </w:r>
      <w:r w:rsidR="00DD112B" w:rsidRPr="00DD112B">
        <w:rPr>
          <w:rFonts w:ascii="Arial" w:hAnsi="Arial" w:cs="Arial"/>
          <w:b/>
          <w:bCs/>
        </w:rPr>
        <w:t xml:space="preserve"> 10. Spatial distribution of LST (left), urban heat island (UHI) intensity (middle) and Getis-Ord Gi* hotspots (right) for selected years in Andhra Pradesh, India (2020-2024).</w:t>
      </w:r>
    </w:p>
    <w:p w14:paraId="46E588AB" w14:textId="595C380D" w:rsidR="000C3590" w:rsidRPr="00FA5C50" w:rsidRDefault="000C3590" w:rsidP="000C3590">
      <w:pPr>
        <w:autoSpaceDE w:val="0"/>
        <w:autoSpaceDN w:val="0"/>
        <w:adjustRightInd w:val="0"/>
        <w:jc w:val="center"/>
        <w:rPr>
          <w:rFonts w:ascii="Arial" w:hAnsi="Arial" w:cs="Arial"/>
          <w:b/>
          <w:bCs/>
          <w:color w:val="00B050"/>
          <w:szCs w:val="22"/>
        </w:rPr>
      </w:pPr>
      <w:r w:rsidRPr="000C3590">
        <w:rPr>
          <w:rFonts w:ascii="Arial" w:hAnsi="Arial" w:cs="Arial"/>
          <w:b/>
          <w:bCs/>
          <w:color w:val="00B050"/>
        </w:rPr>
        <w:t>It is very difficult to see and interpret the thematic maps, because the legends are ve</w:t>
      </w:r>
      <w:r>
        <w:rPr>
          <w:rFonts w:ascii="Arial" w:hAnsi="Arial" w:cs="Arial"/>
          <w:b/>
          <w:bCs/>
          <w:color w:val="00B050"/>
        </w:rPr>
        <w:t>r</w:t>
      </w:r>
      <w:r w:rsidRPr="000C3590">
        <w:rPr>
          <w:rFonts w:ascii="Arial" w:hAnsi="Arial" w:cs="Arial"/>
          <w:b/>
          <w:bCs/>
          <w:color w:val="00B050"/>
        </w:rPr>
        <w:t>y small.</w:t>
      </w:r>
      <w:r>
        <w:rPr>
          <w:rFonts w:ascii="Arial" w:hAnsi="Arial" w:cs="Arial"/>
          <w:b/>
          <w:bCs/>
          <w:color w:val="00B050"/>
        </w:rPr>
        <w:t xml:space="preserve"> I suggest dividing in 3 figures with one legend by thematic map. Additionally, </w:t>
      </w:r>
      <w:r w:rsidRPr="00FA5C50">
        <w:rPr>
          <w:rFonts w:ascii="Arial" w:hAnsi="Arial" w:cs="Arial"/>
          <w:b/>
          <w:bCs/>
          <w:color w:val="00B050"/>
          <w:szCs w:val="22"/>
        </w:rPr>
        <w:t>I suggest increasing the number of coordinate labels on the map</w:t>
      </w:r>
      <w:r>
        <w:rPr>
          <w:rFonts w:ascii="Arial" w:hAnsi="Arial" w:cs="Arial"/>
          <w:b/>
          <w:bCs/>
          <w:color w:val="00B050"/>
          <w:szCs w:val="22"/>
        </w:rPr>
        <w:t xml:space="preserve"> </w:t>
      </w:r>
      <w:r w:rsidRPr="00FA5C50">
        <w:rPr>
          <w:rFonts w:ascii="Arial" w:hAnsi="Arial" w:cs="Arial"/>
          <w:b/>
          <w:bCs/>
          <w:color w:val="00B050"/>
          <w:szCs w:val="22"/>
        </w:rPr>
        <w:t>and including the projection system.</w:t>
      </w:r>
    </w:p>
    <w:p w14:paraId="6EB8EAF3" w14:textId="77777777" w:rsidR="000C3590" w:rsidRDefault="000C3590" w:rsidP="000C3590">
      <w:pPr>
        <w:pStyle w:val="Body"/>
        <w:spacing w:after="0"/>
        <w:rPr>
          <w:rFonts w:ascii="Arial" w:hAnsi="Arial" w:cs="Arial"/>
        </w:rPr>
      </w:pPr>
    </w:p>
    <w:p w14:paraId="15E25C61" w14:textId="471A5C85" w:rsidR="000C3590" w:rsidRPr="000C3590" w:rsidRDefault="000C3590" w:rsidP="00DD112B">
      <w:pPr>
        <w:spacing w:line="276" w:lineRule="auto"/>
        <w:jc w:val="center"/>
        <w:rPr>
          <w:rFonts w:ascii="Arial" w:hAnsi="Arial" w:cs="Arial"/>
          <w:b/>
          <w:bCs/>
          <w:color w:val="00B050"/>
        </w:rPr>
      </w:pPr>
    </w:p>
    <w:p w14:paraId="005CF835" w14:textId="77777777" w:rsidR="00DD112B" w:rsidRPr="00DD112B" w:rsidRDefault="00DD112B" w:rsidP="00DD112B">
      <w:pPr>
        <w:rPr>
          <w:rFonts w:ascii="Arial" w:hAnsi="Arial" w:cs="Arial"/>
          <w:b/>
          <w:bCs/>
        </w:rPr>
      </w:pPr>
      <w:r w:rsidRPr="00DD112B">
        <w:rPr>
          <w:rFonts w:ascii="Arial" w:hAnsi="Arial" w:cs="Arial"/>
          <w:b/>
          <w:sz w:val="22"/>
        </w:rPr>
        <w:lastRenderedPageBreak/>
        <w:t>4.6 Non-Parametric Trend Detection</w:t>
      </w:r>
    </w:p>
    <w:p w14:paraId="09AAABCD" w14:textId="77777777" w:rsidR="00DD112B" w:rsidRPr="00DD112B" w:rsidRDefault="00DD112B" w:rsidP="00DD112B">
      <w:pPr>
        <w:jc w:val="both"/>
        <w:rPr>
          <w:rFonts w:ascii="Arial" w:hAnsi="Arial" w:cs="Arial"/>
        </w:rPr>
      </w:pPr>
      <w:r w:rsidRPr="00DD112B">
        <w:rPr>
          <w:rFonts w:ascii="Arial" w:hAnsi="Arial" w:cs="Arial"/>
        </w:rPr>
        <w:t>The application of the Mann-Kendall test to the annual mean LST time series resulted in an S statistic of +10, which represents the maximum possible value for a five-observation sequence. The analysis further produced a Z-score of 2.205 and a p-value of 0.051 (Table 6). These metrics denote a powerful monotonic increasing trajectory that closely approaches statistical significance at the 95% confidence interval.</w:t>
      </w:r>
    </w:p>
    <w:p w14:paraId="738D80D5" w14:textId="6154EB8D" w:rsidR="00DD112B" w:rsidRDefault="00DD112B" w:rsidP="00DD112B">
      <w:pPr>
        <w:jc w:val="both"/>
        <w:rPr>
          <w:rFonts w:ascii="Arial" w:hAnsi="Arial" w:cs="Arial"/>
        </w:rPr>
      </w:pPr>
      <w:r w:rsidRPr="00DD112B">
        <w:rPr>
          <w:rFonts w:ascii="Arial" w:hAnsi="Arial" w:cs="Arial"/>
        </w:rPr>
        <w:t>In view of the perfect positive pairing observed within the data and the constraints of the short-term time series, the results provide evidence of a robust warming signal throughout the 2020-2024</w:t>
      </w:r>
      <w:r w:rsidR="00CB38E1">
        <w:rPr>
          <w:rFonts w:ascii="Arial" w:hAnsi="Arial" w:cs="Arial"/>
        </w:rPr>
        <w:t xml:space="preserve"> </w:t>
      </w:r>
      <w:r w:rsidR="00CB38E1" w:rsidRPr="00CB38E1">
        <w:rPr>
          <w:rFonts w:ascii="Arial" w:hAnsi="Arial" w:cs="Arial"/>
          <w:color w:val="00B050"/>
        </w:rPr>
        <w:t>(2025?)</w:t>
      </w:r>
      <w:r w:rsidRPr="00CB38E1">
        <w:rPr>
          <w:rFonts w:ascii="Arial" w:hAnsi="Arial" w:cs="Arial"/>
          <w:color w:val="00B050"/>
        </w:rPr>
        <w:t xml:space="preserve"> </w:t>
      </w:r>
      <w:r w:rsidRPr="00DD112B">
        <w:rPr>
          <w:rFonts w:ascii="Arial" w:hAnsi="Arial" w:cs="Arial"/>
        </w:rPr>
        <w:t>period. This trend suggests that despite inter-annual fluctuations, the regional thermal environment is experiencing a consistent upward shift.</w:t>
      </w:r>
    </w:p>
    <w:p w14:paraId="5ED14042" w14:textId="77777777" w:rsidR="00DD112B" w:rsidRPr="00DD112B" w:rsidRDefault="00DD112B" w:rsidP="00DD112B">
      <w:pPr>
        <w:jc w:val="both"/>
        <w:rPr>
          <w:rFonts w:ascii="Arial" w:hAnsi="Arial" w:cs="Arial"/>
        </w:rPr>
      </w:pPr>
    </w:p>
    <w:p w14:paraId="16945DCA" w14:textId="497281E7" w:rsidR="00DD112B" w:rsidRPr="00DD112B" w:rsidRDefault="00DD112B" w:rsidP="00DD112B">
      <w:pPr>
        <w:jc w:val="center"/>
        <w:rPr>
          <w:rFonts w:ascii="Arial" w:hAnsi="Arial" w:cs="Arial"/>
          <w:b/>
          <w:bCs/>
        </w:rPr>
      </w:pPr>
      <w:r w:rsidRPr="00DD112B">
        <w:rPr>
          <w:rFonts w:ascii="Arial" w:hAnsi="Arial" w:cs="Arial"/>
          <w:b/>
          <w:bCs/>
        </w:rPr>
        <w:t>Table 6. Mann-Kendall trend test result for annual mean land surface temperature across Andhra Pradesh, India (2020-2024).</w:t>
      </w:r>
      <w:r w:rsidR="00CB38E1">
        <w:rPr>
          <w:rFonts w:ascii="Arial" w:hAnsi="Arial" w:cs="Arial"/>
          <w:b/>
          <w:bCs/>
        </w:rPr>
        <w:t xml:space="preserve"> </w:t>
      </w:r>
      <w:r w:rsidR="00CB38E1" w:rsidRPr="00CB38E1">
        <w:rPr>
          <w:rFonts w:ascii="Arial" w:hAnsi="Arial" w:cs="Arial"/>
          <w:color w:val="00B050"/>
        </w:rPr>
        <w:t>(2025?)</w:t>
      </w:r>
    </w:p>
    <w:tbl>
      <w:tblPr>
        <w:tblStyle w:val="Tabelacomgrade"/>
        <w:tblW w:w="5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095"/>
      </w:tblGrid>
      <w:tr w:rsidR="00DD112B" w:rsidRPr="00DD112B" w14:paraId="7897905B" w14:textId="77777777" w:rsidTr="00DD112B">
        <w:trPr>
          <w:trHeight w:val="333"/>
          <w:jc w:val="center"/>
        </w:trPr>
        <w:tc>
          <w:tcPr>
            <w:tcW w:w="0" w:type="auto"/>
            <w:tcBorders>
              <w:top w:val="single" w:sz="4" w:space="0" w:color="auto"/>
              <w:bottom w:val="single" w:sz="4" w:space="0" w:color="auto"/>
            </w:tcBorders>
            <w:hideMark/>
          </w:tcPr>
          <w:p w14:paraId="54DEC0A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Parameter</w:t>
            </w:r>
          </w:p>
        </w:tc>
        <w:tc>
          <w:tcPr>
            <w:tcW w:w="0" w:type="auto"/>
            <w:tcBorders>
              <w:top w:val="single" w:sz="4" w:space="0" w:color="auto"/>
              <w:bottom w:val="single" w:sz="4" w:space="0" w:color="auto"/>
            </w:tcBorders>
            <w:hideMark/>
          </w:tcPr>
          <w:p w14:paraId="0091E8AB"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Value</w:t>
            </w:r>
          </w:p>
        </w:tc>
      </w:tr>
      <w:tr w:rsidR="00DD112B" w:rsidRPr="00DD112B" w14:paraId="20D17B42" w14:textId="77777777" w:rsidTr="00DD112B">
        <w:trPr>
          <w:trHeight w:val="341"/>
          <w:jc w:val="center"/>
        </w:trPr>
        <w:tc>
          <w:tcPr>
            <w:tcW w:w="0" w:type="auto"/>
            <w:tcBorders>
              <w:top w:val="single" w:sz="4" w:space="0" w:color="auto"/>
            </w:tcBorders>
            <w:hideMark/>
          </w:tcPr>
          <w:p w14:paraId="6989E1A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Period</w:t>
            </w:r>
          </w:p>
        </w:tc>
        <w:tc>
          <w:tcPr>
            <w:tcW w:w="0" w:type="auto"/>
            <w:tcBorders>
              <w:top w:val="single" w:sz="4" w:space="0" w:color="auto"/>
            </w:tcBorders>
            <w:hideMark/>
          </w:tcPr>
          <w:p w14:paraId="69A2ACF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2020-2024</w:t>
            </w:r>
          </w:p>
        </w:tc>
      </w:tr>
      <w:tr w:rsidR="00DD112B" w:rsidRPr="00DD112B" w14:paraId="422381D8" w14:textId="77777777" w:rsidTr="00DD112B">
        <w:trPr>
          <w:trHeight w:val="333"/>
          <w:jc w:val="center"/>
        </w:trPr>
        <w:tc>
          <w:tcPr>
            <w:tcW w:w="0" w:type="auto"/>
            <w:hideMark/>
          </w:tcPr>
          <w:p w14:paraId="1F72676C"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 Statistic</w:t>
            </w:r>
          </w:p>
        </w:tc>
        <w:tc>
          <w:tcPr>
            <w:tcW w:w="0" w:type="auto"/>
            <w:hideMark/>
          </w:tcPr>
          <w:p w14:paraId="02F668E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+10</w:t>
            </w:r>
          </w:p>
        </w:tc>
      </w:tr>
      <w:tr w:rsidR="00DD112B" w:rsidRPr="00DD112B" w14:paraId="2FF1D587" w14:textId="77777777" w:rsidTr="00DD112B">
        <w:trPr>
          <w:trHeight w:val="341"/>
          <w:jc w:val="center"/>
        </w:trPr>
        <w:tc>
          <w:tcPr>
            <w:tcW w:w="0" w:type="auto"/>
            <w:hideMark/>
          </w:tcPr>
          <w:p w14:paraId="6739151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Z Score</w:t>
            </w:r>
          </w:p>
        </w:tc>
        <w:tc>
          <w:tcPr>
            <w:tcW w:w="0" w:type="auto"/>
            <w:hideMark/>
          </w:tcPr>
          <w:p w14:paraId="13EAC0C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2.205</w:t>
            </w:r>
          </w:p>
        </w:tc>
      </w:tr>
      <w:tr w:rsidR="00DD112B" w:rsidRPr="00DD112B" w14:paraId="7D3C30C6" w14:textId="77777777" w:rsidTr="00DD112B">
        <w:trPr>
          <w:trHeight w:val="333"/>
          <w:jc w:val="center"/>
        </w:trPr>
        <w:tc>
          <w:tcPr>
            <w:tcW w:w="0" w:type="auto"/>
            <w:hideMark/>
          </w:tcPr>
          <w:p w14:paraId="6B9969F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p-value (approximate)</w:t>
            </w:r>
          </w:p>
        </w:tc>
        <w:tc>
          <w:tcPr>
            <w:tcW w:w="0" w:type="auto"/>
            <w:hideMark/>
          </w:tcPr>
          <w:p w14:paraId="7783255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0.0508</w:t>
            </w:r>
          </w:p>
        </w:tc>
      </w:tr>
      <w:tr w:rsidR="00DD112B" w:rsidRPr="00DD112B" w14:paraId="28AE1B13" w14:textId="77777777" w:rsidTr="00DD112B">
        <w:trPr>
          <w:trHeight w:val="333"/>
          <w:jc w:val="center"/>
        </w:trPr>
        <w:tc>
          <w:tcPr>
            <w:tcW w:w="0" w:type="auto"/>
            <w:hideMark/>
          </w:tcPr>
          <w:p w14:paraId="092828B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Significance (5%)</w:t>
            </w:r>
          </w:p>
        </w:tc>
        <w:tc>
          <w:tcPr>
            <w:tcW w:w="0" w:type="auto"/>
            <w:hideMark/>
          </w:tcPr>
          <w:p w14:paraId="64AF005F"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No</w:t>
            </w:r>
          </w:p>
        </w:tc>
      </w:tr>
      <w:tr w:rsidR="00DD112B" w:rsidRPr="00DD112B" w14:paraId="16FFB823" w14:textId="77777777" w:rsidTr="00DD112B">
        <w:trPr>
          <w:trHeight w:val="341"/>
          <w:jc w:val="center"/>
        </w:trPr>
        <w:tc>
          <w:tcPr>
            <w:tcW w:w="0" w:type="auto"/>
            <w:tcBorders>
              <w:bottom w:val="single" w:sz="4" w:space="0" w:color="auto"/>
            </w:tcBorders>
            <w:hideMark/>
          </w:tcPr>
          <w:p w14:paraId="3A51643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Trend Direction</w:t>
            </w:r>
          </w:p>
        </w:tc>
        <w:tc>
          <w:tcPr>
            <w:tcW w:w="0" w:type="auto"/>
            <w:tcBorders>
              <w:bottom w:val="single" w:sz="4" w:space="0" w:color="auto"/>
            </w:tcBorders>
            <w:hideMark/>
          </w:tcPr>
          <w:p w14:paraId="5F7E9A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Increasing</w:t>
            </w:r>
          </w:p>
        </w:tc>
      </w:tr>
    </w:tbl>
    <w:p w14:paraId="182747EF" w14:textId="77777777" w:rsidR="00DD112B" w:rsidRDefault="00DD112B" w:rsidP="00DD112B">
      <w:pPr>
        <w:spacing w:line="276" w:lineRule="auto"/>
        <w:jc w:val="both"/>
        <w:rPr>
          <w:rFonts w:ascii="Arial" w:hAnsi="Arial" w:cs="Arial"/>
        </w:rPr>
      </w:pPr>
    </w:p>
    <w:p w14:paraId="3AF7FC26" w14:textId="3EBB97B5" w:rsidR="00DD112B" w:rsidRPr="00DD112B" w:rsidRDefault="00DD112B" w:rsidP="00DD112B">
      <w:pPr>
        <w:spacing w:line="276" w:lineRule="auto"/>
        <w:jc w:val="both"/>
        <w:rPr>
          <w:rFonts w:ascii="Arial" w:hAnsi="Arial" w:cs="Arial"/>
        </w:rPr>
      </w:pPr>
      <w:r w:rsidRPr="00DD112B">
        <w:rPr>
          <w:rFonts w:ascii="Arial" w:hAnsi="Arial" w:cs="Arial"/>
        </w:rPr>
        <w:t>The results demonstrate that, notwithstanding a transient cooling anomaly observed in 2022, Andhra Pradesh was subject to persistent thermal pressure throughout the study period. This phenomenon was primarily catalyzed by the intensification of urban expansion, although its magnitude was modulated by the varying influences of vegetative cover, surface water bodies, and regional topographic characteristics.</w:t>
      </w:r>
    </w:p>
    <w:p w14:paraId="6C4B9F73" w14:textId="1B177FC5" w:rsidR="00DD112B" w:rsidRDefault="00DD112B" w:rsidP="00DD112B">
      <w:pPr>
        <w:spacing w:line="276" w:lineRule="auto"/>
        <w:jc w:val="both"/>
        <w:rPr>
          <w:rFonts w:ascii="Arial" w:hAnsi="Arial" w:cs="Arial"/>
        </w:rPr>
      </w:pPr>
      <w:r w:rsidRPr="00DD112B">
        <w:rPr>
          <w:rFonts w:ascii="Arial" w:hAnsi="Arial" w:cs="Arial"/>
        </w:rPr>
        <w:t>It was further evidence that the interplay between these biophysical and anthropogenic factors dictates the state’s thermal profile. While urbanization remains the predominant forcing agent, the cooling contributions of natural land covers and elevation-related lapse rates serve as critical regulatory mechanisms. Consequently, the findings suggest that the overarching warming trajectory persists even when short-term environmental fluctuations temporarily suppress regional mean temperatures.</w:t>
      </w:r>
    </w:p>
    <w:p w14:paraId="3343786C" w14:textId="77777777" w:rsidR="00DD112B" w:rsidRDefault="00DD112B" w:rsidP="00DD112B">
      <w:pPr>
        <w:spacing w:line="276" w:lineRule="auto"/>
        <w:jc w:val="both"/>
        <w:rPr>
          <w:rFonts w:ascii="Arial" w:hAnsi="Arial" w:cs="Arial"/>
        </w:rPr>
      </w:pPr>
    </w:p>
    <w:p w14:paraId="337D82FF" w14:textId="77777777" w:rsidR="00DD112B" w:rsidRPr="00DD112B" w:rsidRDefault="00DD112B" w:rsidP="00DD112B">
      <w:pPr>
        <w:pStyle w:val="AbstHead"/>
        <w:spacing w:after="0"/>
        <w:jc w:val="both"/>
        <w:rPr>
          <w:rFonts w:ascii="Arial" w:hAnsi="Arial" w:cs="Arial"/>
        </w:rPr>
      </w:pPr>
      <w:r w:rsidRPr="00DD112B">
        <w:rPr>
          <w:rFonts w:ascii="Arial" w:hAnsi="Arial" w:cs="Arial"/>
        </w:rPr>
        <w:t>5. Discussion</w:t>
      </w:r>
    </w:p>
    <w:p w14:paraId="3B099602" w14:textId="77777777" w:rsidR="00DD112B" w:rsidRPr="00DD112B" w:rsidRDefault="00DD112B" w:rsidP="00DD112B">
      <w:pPr>
        <w:jc w:val="both"/>
        <w:rPr>
          <w:rFonts w:ascii="Arial" w:hAnsi="Arial" w:cs="Arial"/>
          <w:b/>
          <w:bCs/>
        </w:rPr>
      </w:pPr>
    </w:p>
    <w:p w14:paraId="711740E2" w14:textId="77777777" w:rsidR="00DD112B" w:rsidRPr="000C4C0B" w:rsidRDefault="00DD112B" w:rsidP="000C4C0B">
      <w:pPr>
        <w:rPr>
          <w:rFonts w:ascii="Arial" w:hAnsi="Arial" w:cs="Arial"/>
          <w:b/>
          <w:sz w:val="22"/>
        </w:rPr>
      </w:pPr>
      <w:r w:rsidRPr="000C4C0B">
        <w:rPr>
          <w:rFonts w:ascii="Arial" w:hAnsi="Arial" w:cs="Arial"/>
          <w:b/>
          <w:sz w:val="22"/>
        </w:rPr>
        <w:t>5.1 Temporal Variability and the 2022 Thermal Anomaly</w:t>
      </w:r>
    </w:p>
    <w:p w14:paraId="24210C8C" w14:textId="15DE667D" w:rsidR="00DD112B" w:rsidRDefault="00DD112B" w:rsidP="00DD112B">
      <w:pPr>
        <w:jc w:val="both"/>
        <w:rPr>
          <w:rFonts w:ascii="Arial" w:hAnsi="Arial" w:cs="Arial"/>
        </w:rPr>
      </w:pPr>
      <w:r w:rsidRPr="00DD112B">
        <w:rPr>
          <w:rFonts w:ascii="Arial" w:hAnsi="Arial" w:cs="Arial"/>
        </w:rPr>
        <w:t>The findings offer a detailed perspective on LST fluctuations in Andhra Pradesh from 2020 to 2024</w:t>
      </w:r>
      <w:r w:rsidR="00CB38E1">
        <w:rPr>
          <w:rFonts w:ascii="Arial" w:hAnsi="Arial" w:cs="Arial"/>
        </w:rPr>
        <w:t xml:space="preserve"> </w:t>
      </w:r>
      <w:r w:rsidR="00CB38E1" w:rsidRPr="00CB38E1">
        <w:rPr>
          <w:rFonts w:ascii="Arial" w:hAnsi="Arial" w:cs="Arial"/>
          <w:color w:val="00B050"/>
        </w:rPr>
        <w:t>(2025?)</w:t>
      </w:r>
      <w:r w:rsidRPr="00DD112B">
        <w:rPr>
          <w:rFonts w:ascii="Arial" w:hAnsi="Arial" w:cs="Arial"/>
        </w:rPr>
        <w:t xml:space="preserve">, identifying a dual pattern of transient oscillations and an underlying upward monotonic trajectory. The distinct thermal decline recorded in 2022 (-0.82 °C relative to the 2021) is consistent with the enhanced vegetative cover and the suppression of anthropogenic activity during the concluding phases of COVID-19 restrictions. Furthermore, optimal monsoon patterns during this interval likely augmented soil moisture levels and latent heat flux through evapotranspiration. Parallel observations of short-term cooling have been documented across various Indian territories during the pandemic </w:t>
      </w:r>
      <w:sdt>
        <w:sdtPr>
          <w:rPr>
            <w:rFonts w:ascii="Arial" w:hAnsi="Arial" w:cs="Arial"/>
            <w:color w:val="000000"/>
          </w:rPr>
          <w:tag w:val="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304509691"/>
          <w:placeholder>
            <w:docPart w:val="DE2DE42FA0BE4739A3B1677E0C48C21D"/>
          </w:placeholder>
        </w:sdtPr>
        <w:sdtContent>
          <w:r w:rsidR="000C4C0B" w:rsidRPr="000C4C0B">
            <w:rPr>
              <w:rFonts w:ascii="Arial" w:hAnsi="Arial" w:cs="Arial"/>
              <w:color w:val="000000"/>
            </w:rPr>
            <w:t>(Lele et al., 2021)</w:t>
          </w:r>
        </w:sdtContent>
      </w:sdt>
      <w:r w:rsidRPr="00DD112B">
        <w:rPr>
          <w:rFonts w:ascii="Arial" w:hAnsi="Arial" w:cs="Arial"/>
        </w:rPr>
        <w:t>,</w:t>
      </w:r>
      <w:sdt>
        <w:sdtPr>
          <w:rPr>
            <w:rFonts w:ascii="Arial" w:hAnsi="Arial" w:cs="Arial"/>
            <w:color w:val="000000"/>
          </w:rPr>
          <w:tag w:val="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1918282845"/>
          <w:placeholder>
            <w:docPart w:val="DE2DE42FA0BE4739A3B1677E0C48C21D"/>
          </w:placeholder>
        </w:sdtPr>
        <w:sdtContent>
          <w:r w:rsidR="000C4C0B" w:rsidRPr="000C4C0B">
            <w:rPr>
              <w:rFonts w:ascii="Arial" w:hAnsi="Arial" w:cs="Arial"/>
              <w:color w:val="000000"/>
            </w:rPr>
            <w:t>(Maithani et al., 2020)</w:t>
          </w:r>
        </w:sdtContent>
      </w:sdt>
      <w:r w:rsidRPr="00DD112B">
        <w:rPr>
          <w:rFonts w:ascii="Arial" w:hAnsi="Arial" w:cs="Arial"/>
        </w:rPr>
        <w:t>, reinforcing the premise that diminished industrial and vehicular emissions, when coupled with ecological recovery, can temporarily mitigate regional thermal stress.</w:t>
      </w:r>
    </w:p>
    <w:p w14:paraId="79E4E993" w14:textId="77777777" w:rsidR="000C4C0B" w:rsidRPr="00DD112B" w:rsidRDefault="000C4C0B" w:rsidP="00DD112B">
      <w:pPr>
        <w:jc w:val="both"/>
        <w:rPr>
          <w:rFonts w:ascii="Arial" w:hAnsi="Arial" w:cs="Arial"/>
        </w:rPr>
      </w:pPr>
    </w:p>
    <w:p w14:paraId="22EB26CF" w14:textId="77777777" w:rsidR="00DD112B" w:rsidRPr="000C4C0B" w:rsidRDefault="00DD112B" w:rsidP="000C4C0B">
      <w:pPr>
        <w:rPr>
          <w:rFonts w:ascii="Arial" w:hAnsi="Arial" w:cs="Arial"/>
          <w:b/>
          <w:sz w:val="22"/>
        </w:rPr>
      </w:pPr>
      <w:r w:rsidRPr="000C4C0B">
        <w:rPr>
          <w:rFonts w:ascii="Arial" w:hAnsi="Arial" w:cs="Arial"/>
          <w:b/>
          <w:sz w:val="22"/>
        </w:rPr>
        <w:t>5.2 Urbanization as the Preeminent Thermal Driver</w:t>
      </w:r>
    </w:p>
    <w:p w14:paraId="323CA5C5" w14:textId="524FADCE" w:rsidR="00DD112B" w:rsidRPr="00DD112B" w:rsidRDefault="00DD112B" w:rsidP="00DD112B">
      <w:pPr>
        <w:jc w:val="both"/>
        <w:rPr>
          <w:rFonts w:ascii="Arial" w:hAnsi="Arial" w:cs="Arial"/>
        </w:rPr>
      </w:pPr>
      <w:r w:rsidRPr="00DD112B">
        <w:rPr>
          <w:rFonts w:ascii="Arial" w:hAnsi="Arial" w:cs="Arial"/>
        </w:rPr>
        <w:lastRenderedPageBreak/>
        <w:t>The resurgence of mean LST during the 2023-2024</w:t>
      </w:r>
      <w:r w:rsidR="00CB38E1">
        <w:rPr>
          <w:rFonts w:ascii="Arial" w:hAnsi="Arial" w:cs="Arial"/>
        </w:rPr>
        <w:t xml:space="preserve"> </w:t>
      </w:r>
      <w:r w:rsidR="00CB38E1" w:rsidRPr="00CB38E1">
        <w:rPr>
          <w:rFonts w:ascii="Arial" w:hAnsi="Arial" w:cs="Arial"/>
          <w:color w:val="00B050"/>
        </w:rPr>
        <w:t>(2025?)</w:t>
      </w:r>
      <w:r w:rsidRPr="00DD112B">
        <w:rPr>
          <w:rFonts w:ascii="Arial" w:hAnsi="Arial" w:cs="Arial"/>
        </w:rPr>
        <w:t xml:space="preserve"> period, substantiated by the Mann-Kendall results (S = +10, Z = 2.205, p = 0.051), suggests a transition back to the established warming trend necessitated by urban sprawl. While the p-value slightly exceeds the conventional 0.05 threshold, the attainment of the maximum possible S statistic for a five-year sequence provides compelling evidence of a consistent warming signal, especially when aligned with rising NDBI metrics. Within environmental monitoring, short-duration time series often face statistical power constraints, leading researchers to interpret p &lt; 0.10 as indicative of substantive shifts </w:t>
      </w:r>
      <w:sdt>
        <w:sdtPr>
          <w:rPr>
            <w:rFonts w:ascii="Arial" w:hAnsi="Arial" w:cs="Arial"/>
            <w:color w:val="000000"/>
          </w:rPr>
          <w:tag w:val="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996994761"/>
          <w:placeholder>
            <w:docPart w:val="DE2DE42FA0BE4739A3B1677E0C48C21D"/>
          </w:placeholder>
        </w:sdtPr>
        <w:sdtContent>
          <w:r w:rsidR="000C4C0B" w:rsidRPr="000C4C0B">
            <w:rPr>
              <w:rFonts w:ascii="Arial" w:hAnsi="Arial" w:cs="Arial"/>
              <w:color w:val="000000"/>
            </w:rPr>
            <w:t>(Nayak et al., 2023)</w:t>
          </w:r>
        </w:sdtContent>
      </w:sdt>
      <w:r w:rsidRPr="00DD112B">
        <w:rPr>
          <w:rFonts w:ascii="Arial" w:hAnsi="Arial" w:cs="Arial"/>
        </w:rPr>
        <w:t xml:space="preserve">. This observation aligns with broader national assessments where urban-induced warming persists as a dominant feature despite intermittent cooling events </w:t>
      </w:r>
      <w:sdt>
        <w:sdtPr>
          <w:rPr>
            <w:rFonts w:ascii="Arial" w:hAnsi="Arial" w:cs="Arial"/>
            <w:color w:val="000000"/>
          </w:rPr>
          <w:tag w:val="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106412786"/>
          <w:placeholder>
            <w:docPart w:val="DE2DE42FA0BE4739A3B1677E0C48C21D"/>
          </w:placeholder>
        </w:sdtPr>
        <w:sdtContent>
          <w:r w:rsidR="000C4C0B" w:rsidRPr="000C4C0B">
            <w:rPr>
              <w:rFonts w:ascii="Arial" w:hAnsi="Arial" w:cs="Arial"/>
              <w:color w:val="000000"/>
            </w:rPr>
            <w:t>(Nayak et al., 2023)</w:t>
          </w:r>
        </w:sdtContent>
      </w:sdt>
      <w:r w:rsidRPr="00DD112B">
        <w:rPr>
          <w:rFonts w:ascii="Arial" w:hAnsi="Arial" w:cs="Arial"/>
        </w:rPr>
        <w:t>.</w:t>
      </w:r>
    </w:p>
    <w:p w14:paraId="5BB056D9" w14:textId="5C4EDD16" w:rsidR="00DD112B" w:rsidRDefault="00DD112B" w:rsidP="00DD112B">
      <w:pPr>
        <w:jc w:val="both"/>
        <w:rPr>
          <w:rFonts w:ascii="Arial" w:hAnsi="Arial" w:cs="Arial"/>
        </w:rPr>
      </w:pPr>
      <w:r w:rsidRPr="00DD112B">
        <w:rPr>
          <w:rFonts w:ascii="Arial" w:hAnsi="Arial" w:cs="Arial"/>
        </w:rPr>
        <w:t xml:space="preserve">The overwhelming correlation between NDBI and LST (r = +0.794) highlights the decisive impact of urbanization. Built-up surfaces not only yielded the highest thermal means but also exhibited the most rigorous statistical association with LST, confirming that the replacement of natural substrates with impervious materials is the fundamental mechanism driving regional warming. This outcome corroborates previous site-specific research in Visakhapatnam </w:t>
      </w:r>
      <w:sdt>
        <w:sdtPr>
          <w:rPr>
            <w:rFonts w:ascii="Arial" w:hAnsi="Arial" w:cs="Arial"/>
            <w:color w:val="000000"/>
          </w:rPr>
          <w:tag w:val="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616477063"/>
          <w:placeholder>
            <w:docPart w:val="DE2DE42FA0BE4739A3B1677E0C48C21D"/>
          </w:placeholder>
        </w:sdtPr>
        <w:sdtContent>
          <w:r w:rsidR="000C4C0B" w:rsidRPr="000C4C0B">
            <w:rPr>
              <w:rFonts w:ascii="Arial" w:hAnsi="Arial" w:cs="Arial"/>
              <w:color w:val="000000"/>
            </w:rPr>
            <w:t>(Nikkala et al., 2022)</w:t>
          </w:r>
        </w:sdtContent>
      </w:sdt>
      <w:r w:rsidRPr="00DD112B">
        <w:rPr>
          <w:rFonts w:ascii="Arial" w:hAnsi="Arial" w:cs="Arial"/>
        </w:rPr>
        <w:t xml:space="preserve"> and the state’s semi-arid regions </w:t>
      </w:r>
      <w:sdt>
        <w:sdtPr>
          <w:rPr>
            <w:rFonts w:ascii="Arial" w:hAnsi="Arial" w:cs="Arial"/>
            <w:color w:val="000000"/>
          </w:rPr>
          <w:tag w:val="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514331448"/>
          <w:placeholder>
            <w:docPart w:val="DE2DE42FA0BE4739A3B1677E0C48C21D"/>
          </w:placeholder>
        </w:sdtPr>
        <w:sdtContent>
          <w:r w:rsidR="000C4C0B" w:rsidRPr="000C4C0B">
            <w:rPr>
              <w:rFonts w:ascii="Arial" w:hAnsi="Arial" w:cs="Arial"/>
              <w:color w:val="000000"/>
            </w:rPr>
            <w:t>(Pradeep Kumar et al., 2023)</w:t>
          </w:r>
        </w:sdtContent>
      </w:sdt>
      <w:r w:rsidRPr="00DD112B">
        <w:rPr>
          <w:rFonts w:ascii="Arial" w:hAnsi="Arial" w:cs="Arial"/>
        </w:rPr>
        <w:t>, where NDBI served as robust indicators of thermal stress.</w:t>
      </w:r>
    </w:p>
    <w:p w14:paraId="219302BE" w14:textId="77777777" w:rsidR="000C4C0B" w:rsidRPr="00DD112B" w:rsidRDefault="000C4C0B" w:rsidP="00DD112B">
      <w:pPr>
        <w:jc w:val="both"/>
        <w:rPr>
          <w:rFonts w:ascii="Arial" w:hAnsi="Arial" w:cs="Arial"/>
        </w:rPr>
      </w:pPr>
    </w:p>
    <w:p w14:paraId="1700AC55" w14:textId="77777777" w:rsidR="00DD112B" w:rsidRPr="000C4C0B" w:rsidRDefault="00DD112B" w:rsidP="000C4C0B">
      <w:pPr>
        <w:rPr>
          <w:rFonts w:ascii="Arial" w:hAnsi="Arial" w:cs="Arial"/>
          <w:b/>
          <w:sz w:val="22"/>
        </w:rPr>
      </w:pPr>
      <w:r w:rsidRPr="000C4C0B">
        <w:rPr>
          <w:rFonts w:ascii="Arial" w:hAnsi="Arial" w:cs="Arial"/>
          <w:b/>
          <w:sz w:val="22"/>
        </w:rPr>
        <w:t>5.3 Modulating Effects of Biophysical and Topographic Factors</w:t>
      </w:r>
    </w:p>
    <w:p w14:paraId="0FE00921" w14:textId="77777777" w:rsidR="00DD112B" w:rsidRDefault="00DD112B" w:rsidP="00DD112B">
      <w:pPr>
        <w:jc w:val="both"/>
        <w:rPr>
          <w:rFonts w:ascii="Arial" w:hAnsi="Arial" w:cs="Arial"/>
        </w:rPr>
      </w:pPr>
      <w:r w:rsidRPr="00DD112B">
        <w:rPr>
          <w:rFonts w:ascii="Arial" w:hAnsi="Arial" w:cs="Arial"/>
        </w:rPr>
        <w:t>Conversely, vegetation (NDVI, r = -0.654) and aquatic bodies (NDWI, r = -0.541) acted as significant thermal buffers, likely due to their capacity for evapotranspiration and latent heat flux. Topographic influences, while secondary, provided essential modulation. The inverse relationship with slope (r = -0.504) suggests that steeper terrain configurations may hinder heat retention through improved drainage, while the more attenuated elevation correlation (r = -0.201) is likely a reflection of the state's limited altitudinal gradient across its coastal plains.</w:t>
      </w:r>
    </w:p>
    <w:p w14:paraId="5786918C" w14:textId="77777777" w:rsidR="000C4C0B" w:rsidRPr="00DD112B" w:rsidRDefault="000C4C0B" w:rsidP="00DD112B">
      <w:pPr>
        <w:jc w:val="both"/>
        <w:rPr>
          <w:rFonts w:ascii="Arial" w:hAnsi="Arial" w:cs="Arial"/>
        </w:rPr>
      </w:pPr>
    </w:p>
    <w:p w14:paraId="20CAFF12" w14:textId="77777777" w:rsidR="00DD112B" w:rsidRPr="00DD112B" w:rsidRDefault="00DD112B" w:rsidP="000C4C0B">
      <w:pPr>
        <w:rPr>
          <w:rFonts w:ascii="Arial" w:hAnsi="Arial" w:cs="Arial"/>
          <w:b/>
          <w:bCs/>
        </w:rPr>
      </w:pPr>
      <w:r w:rsidRPr="000C4C0B">
        <w:rPr>
          <w:rFonts w:ascii="Arial" w:hAnsi="Arial" w:cs="Arial"/>
          <w:b/>
          <w:sz w:val="22"/>
        </w:rPr>
        <w:t>5.4 Spatial Clustering and Planning Implications</w:t>
      </w:r>
    </w:p>
    <w:p w14:paraId="26A82557" w14:textId="77777777" w:rsidR="00DD112B" w:rsidRPr="00DD112B" w:rsidRDefault="00DD112B" w:rsidP="00DD112B">
      <w:pPr>
        <w:jc w:val="both"/>
        <w:rPr>
          <w:rFonts w:ascii="Arial" w:hAnsi="Arial" w:cs="Arial"/>
        </w:rPr>
      </w:pPr>
      <w:r w:rsidRPr="00DD112B">
        <w:rPr>
          <w:rFonts w:ascii="Arial" w:hAnsi="Arial" w:cs="Arial"/>
        </w:rPr>
        <w:t xml:space="preserve">Although UHI intensities remained relatively modest (0.006-0.010 °C), reflecting a more decentralized urban footprint compared to India’s megacities, the </w:t>
      </w:r>
      <w:r w:rsidRPr="00DD112B">
        <w:rPr>
          <w:rFonts w:ascii="Arial" w:hAnsi="Arial" w:cs="Arial"/>
          <w:szCs w:val="22"/>
        </w:rPr>
        <w:t>Getis-Ord Gi*</w:t>
      </w:r>
      <w:r w:rsidRPr="00DD112B">
        <w:rPr>
          <w:rFonts w:ascii="Arial" w:hAnsi="Arial" w:cs="Arial"/>
        </w:rPr>
        <w:t xml:space="preserve"> analysis identified persistent spatial clusters of elevated LST. These hotspots were remarkably distinct in 2022, indicating that localized thermal intensification can persist even during years of regional cooling. Land-cover assessments further established a clear thermal hierarchy, with artificial surfaces consistently maintaining a 2-4 °C temperature over natural classes.</w:t>
      </w:r>
    </w:p>
    <w:p w14:paraId="1BAD3F3E" w14:textId="77777777" w:rsidR="00DD112B" w:rsidRDefault="00DD112B" w:rsidP="00DD112B">
      <w:pPr>
        <w:jc w:val="both"/>
        <w:rPr>
          <w:rFonts w:ascii="Arial" w:hAnsi="Arial" w:cs="Arial"/>
        </w:rPr>
      </w:pPr>
      <w:r w:rsidRPr="00DD112B">
        <w:rPr>
          <w:rFonts w:ascii="Arial" w:hAnsi="Arial" w:cs="Arial"/>
        </w:rPr>
        <w:t>These dynamics suggest that urbanization remains the dominant factor shaping the thermal landscape of Andhra Pradesh, outweighing the cooling contributions of topography and moisture. This necessitates the integration of heat-resilient strategies, such as the expansion of “blue-green” infrastructure, in rapidly developing hubs like Visakhapatnam and Vijayawada.</w:t>
      </w:r>
    </w:p>
    <w:p w14:paraId="663B9110" w14:textId="77777777" w:rsidR="000C4C0B" w:rsidRPr="00DD112B" w:rsidRDefault="000C4C0B" w:rsidP="00DD112B">
      <w:pPr>
        <w:jc w:val="both"/>
        <w:rPr>
          <w:rFonts w:ascii="Arial" w:hAnsi="Arial" w:cs="Arial"/>
        </w:rPr>
      </w:pPr>
    </w:p>
    <w:p w14:paraId="605FEFAF" w14:textId="77777777" w:rsidR="00DD112B" w:rsidRPr="000C4C0B" w:rsidRDefault="00DD112B" w:rsidP="000C4C0B">
      <w:pPr>
        <w:rPr>
          <w:rFonts w:ascii="Arial" w:hAnsi="Arial" w:cs="Arial"/>
          <w:b/>
          <w:sz w:val="22"/>
        </w:rPr>
      </w:pPr>
      <w:r w:rsidRPr="000C4C0B">
        <w:rPr>
          <w:rFonts w:ascii="Arial" w:hAnsi="Arial" w:cs="Arial"/>
          <w:b/>
          <w:sz w:val="22"/>
        </w:rPr>
        <w:t>5.5 Limitations and Future Directions</w:t>
      </w:r>
    </w:p>
    <w:p w14:paraId="2FCB4BBA" w14:textId="626E3FAC" w:rsidR="00DD112B" w:rsidRDefault="00DD112B" w:rsidP="00DD112B">
      <w:pPr>
        <w:jc w:val="both"/>
        <w:rPr>
          <w:rFonts w:ascii="Arial" w:hAnsi="Arial" w:cs="Arial"/>
        </w:rPr>
      </w:pPr>
      <w:r w:rsidRPr="00DD112B">
        <w:rPr>
          <w:rFonts w:ascii="Arial" w:hAnsi="Arial" w:cs="Arial"/>
        </w:rPr>
        <w:t xml:space="preserve">The current study is bounded by the 1 km spatial resolution of MODIS data, which may obscure fine-scale intra-urban thermal variations, and a five-year window that limits the long-term predictive power of trend statistics. Future research should utilize </w:t>
      </w:r>
      <w:r w:rsidR="00CB38E1" w:rsidRPr="00CB38E1">
        <w:rPr>
          <w:rFonts w:ascii="Arial" w:hAnsi="Arial" w:cs="Arial"/>
          <w:color w:val="00B050"/>
        </w:rPr>
        <w:t>better</w:t>
      </w:r>
      <w:r w:rsidRPr="00CB38E1">
        <w:rPr>
          <w:rFonts w:ascii="Arial" w:hAnsi="Arial" w:cs="Arial"/>
          <w:color w:val="00B050"/>
        </w:rPr>
        <w:t xml:space="preserve">-resolution </w:t>
      </w:r>
      <w:r w:rsidRPr="00DD112B">
        <w:rPr>
          <w:rFonts w:ascii="Arial" w:hAnsi="Arial" w:cs="Arial"/>
        </w:rPr>
        <w:t>datasets, such as Landsat-9 or Sentinel-2, to facilitate sub-urban analysis and extend the temporal scope to refine trend detection. Nevertheless, this study advances the regional LST study in India by synthesizing spectral indices, topographic drivers, and spatial statistics into a reproducible framework for monitoring developing states.</w:t>
      </w:r>
    </w:p>
    <w:p w14:paraId="7CCB10BE" w14:textId="77777777" w:rsidR="000C4C0B" w:rsidRDefault="000C4C0B" w:rsidP="00DD112B">
      <w:pPr>
        <w:jc w:val="both"/>
        <w:rPr>
          <w:rFonts w:ascii="Arial" w:hAnsi="Arial" w:cs="Arial"/>
        </w:rPr>
      </w:pPr>
    </w:p>
    <w:p w14:paraId="040E911C" w14:textId="77777777" w:rsidR="000C4C0B" w:rsidRDefault="000C4C0B" w:rsidP="000C4C0B">
      <w:pPr>
        <w:pStyle w:val="AbstHead"/>
        <w:spacing w:after="0"/>
        <w:jc w:val="both"/>
        <w:rPr>
          <w:rFonts w:ascii="Arial" w:hAnsi="Arial" w:cs="Arial"/>
        </w:rPr>
      </w:pPr>
      <w:r w:rsidRPr="000C4C0B">
        <w:rPr>
          <w:rFonts w:ascii="Arial" w:hAnsi="Arial" w:cs="Arial"/>
        </w:rPr>
        <w:t>6. Conclusions</w:t>
      </w:r>
    </w:p>
    <w:p w14:paraId="6F5858B2" w14:textId="77777777" w:rsidR="000C4C0B" w:rsidRPr="000C4C0B" w:rsidRDefault="000C4C0B" w:rsidP="000C4C0B">
      <w:pPr>
        <w:pStyle w:val="AbstHead"/>
        <w:spacing w:after="0"/>
        <w:jc w:val="both"/>
        <w:rPr>
          <w:rFonts w:ascii="Arial" w:hAnsi="Arial" w:cs="Arial"/>
        </w:rPr>
      </w:pPr>
    </w:p>
    <w:p w14:paraId="3DE18204" w14:textId="0C4D292A" w:rsidR="000C4C0B" w:rsidRPr="000C4C0B" w:rsidRDefault="000C4C0B" w:rsidP="000C4C0B">
      <w:pPr>
        <w:jc w:val="both"/>
        <w:rPr>
          <w:rFonts w:ascii="Arial" w:hAnsi="Arial" w:cs="Arial"/>
        </w:rPr>
      </w:pPr>
      <w:r w:rsidRPr="000C4C0B">
        <w:rPr>
          <w:rFonts w:ascii="Arial" w:hAnsi="Arial" w:cs="Arial"/>
        </w:rPr>
        <w:t>The present study has systematically evaluated Land Surface Temperature (LST) configurations across Andhra Pradesh, India, throughout the 2020-2024</w:t>
      </w:r>
      <w:r w:rsidR="00CB38E1">
        <w:rPr>
          <w:rFonts w:ascii="Arial" w:hAnsi="Arial" w:cs="Arial"/>
        </w:rPr>
        <w:t xml:space="preserve"> </w:t>
      </w:r>
      <w:r w:rsidR="00CB38E1" w:rsidRPr="00CB38E1">
        <w:rPr>
          <w:rFonts w:ascii="Arial" w:hAnsi="Arial" w:cs="Arial"/>
          <w:color w:val="00B050"/>
        </w:rPr>
        <w:t xml:space="preserve">(2025?) </w:t>
      </w:r>
      <w:r w:rsidRPr="000C4C0B">
        <w:rPr>
          <w:rFonts w:ascii="Arial" w:hAnsi="Arial" w:cs="Arial"/>
        </w:rPr>
        <w:t xml:space="preserve"> interval.  By synthesizing biophysical, anthropogenic, and topographic drivers through MODIS data and the Google Earth Engine environment, several critical insights were established. They are,</w:t>
      </w:r>
    </w:p>
    <w:p w14:paraId="0F4598B1"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lastRenderedPageBreak/>
        <w:t>Temporal Variability:</w:t>
      </w:r>
      <w:r w:rsidRPr="000C4C0B">
        <w:rPr>
          <w:rFonts w:ascii="Arial" w:hAnsi="Arial" w:cs="Arial"/>
        </w:rPr>
        <w:t xml:space="preserve"> Annual mean LST demonstrated significant inter-annual fluctuations, specifically characterized by a 0.82 °C thermal decline in 2022. This anomaly is largely ascribed to expanded vegetative cover and suppressed anthropogenic forcing during the residual phases of COVID-19 restrictions, prior to a thermal rebound in the subsequent years.</w:t>
      </w:r>
    </w:p>
    <w:p w14:paraId="7BFF6B7B"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Driving Mechanisms:</w:t>
      </w:r>
      <w:r w:rsidRPr="000C4C0B">
        <w:rPr>
          <w:rFonts w:ascii="Arial" w:hAnsi="Arial" w:cs="Arial"/>
        </w:rPr>
        <w:t xml:space="preserve"> Pearson Correlation assessments for 2022 pinpointed the Normalized Difference Built-up Index (NDBI) as the dominant positive driver of LST (r = +0.794), confirming urban density as the primary regional warming agent. Conversely, the Normalized Difference Vegetation Index (NDVI, r = -0.654) and the Normalized Difference Water Index (NDWI, r = -0.541) acted as </w:t>
      </w:r>
      <w:r w:rsidRPr="000C4C0B">
        <w:rPr>
          <w:rFonts w:ascii="Arial" w:hAnsi="Arial" w:cs="Arial"/>
          <w:szCs w:val="22"/>
        </w:rPr>
        <w:t>substantial cooling influencers</w:t>
      </w:r>
      <w:r w:rsidRPr="000C4C0B">
        <w:rPr>
          <w:rFonts w:ascii="Arial" w:hAnsi="Arial" w:cs="Arial"/>
        </w:rPr>
        <w:t>. Topographic factors remained secondary, with slope gradients (r = -0.504) and elevation (r = -0.201) demonstrating inverse associations with surface temperature.</w:t>
      </w:r>
    </w:p>
    <w:p w14:paraId="10CB3BD5"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Spatial and Heat Island Dynamics:</w:t>
      </w:r>
      <w:r w:rsidRPr="000C4C0B">
        <w:rPr>
          <w:rFonts w:ascii="Arial" w:hAnsi="Arial" w:cs="Arial"/>
        </w:rPr>
        <w:t xml:space="preserve"> While Urban Heat Island (UHI) intensities were found to be modest (0.006 - 0.010 °C), reflective of the state's decentralized urban footprint,</w:t>
      </w:r>
      <w:r w:rsidRPr="000C4C0B">
        <w:rPr>
          <w:rFonts w:ascii="Arial" w:hAnsi="Arial" w:cs="Arial"/>
          <w:sz w:val="24"/>
          <w:szCs w:val="24"/>
        </w:rPr>
        <w:t xml:space="preserve"> </w:t>
      </w:r>
      <w:r w:rsidRPr="000C4C0B">
        <w:rPr>
          <w:rFonts w:ascii="Arial" w:hAnsi="Arial" w:cs="Arial"/>
          <w:szCs w:val="22"/>
        </w:rPr>
        <w:t>Getis-Ord Gi*</w:t>
      </w:r>
      <w:r w:rsidRPr="000C4C0B">
        <w:rPr>
          <w:rFonts w:ascii="Arial" w:hAnsi="Arial" w:cs="Arial"/>
        </w:rPr>
        <w:t xml:space="preserve"> statistics confirmed that statistically significant thermal hotspots persist within major metropolitan corridors.</w:t>
      </w:r>
    </w:p>
    <w:p w14:paraId="5FC30E74"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Land-Cover Thermal Hierarchy:</w:t>
      </w:r>
      <w:r w:rsidRPr="000C4C0B">
        <w:rPr>
          <w:rFonts w:ascii="Arial" w:hAnsi="Arial" w:cs="Arial"/>
        </w:rPr>
        <w:t xml:space="preserve"> Comparative analysis of land-use classes consistently identified impervious built-up zones as the warmest surfaces across all observation years, whereas aquatic and forested environments maintained the lowest thermal signatures.</w:t>
      </w:r>
    </w:p>
    <w:p w14:paraId="590E5B32"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Trend Trajectory:</w:t>
      </w:r>
      <w:r w:rsidRPr="000C4C0B">
        <w:rPr>
          <w:rFonts w:ascii="Arial" w:hAnsi="Arial" w:cs="Arial"/>
        </w:rPr>
        <w:t xml:space="preserve"> The Mann-Kendall test indicated a robust monotonic increasing trend in annual LST (S = +10, Z = 2.205, p = 0.051). Although the p-value placed at the threshold of traditional significance, the maximum positive S statistic for the five-year series reinforces an underlying warming signal that persists despite short-term environmental fluctuations.</w:t>
      </w:r>
    </w:p>
    <w:p w14:paraId="16CD6BF4" w14:textId="77777777" w:rsidR="000C4C0B" w:rsidRPr="000C4C0B" w:rsidRDefault="000C4C0B" w:rsidP="000C4C0B">
      <w:pPr>
        <w:jc w:val="both"/>
        <w:rPr>
          <w:rFonts w:ascii="Arial" w:hAnsi="Arial" w:cs="Arial"/>
        </w:rPr>
      </w:pPr>
      <w:r w:rsidRPr="000C4C0B">
        <w:rPr>
          <w:rFonts w:ascii="Arial" w:hAnsi="Arial" w:cs="Arial"/>
        </w:rPr>
        <w:t>The findings reveal that urban growth serves as the dominant driver of the thermal landscape in Andhra Pradesh, despite the localized cooling benefits provided by vegetation and topography. These results provide an empirical foundation for urban planning authorities to implement heat-resilient strategies, such as the strategic integration of “blue-green” infrastructure, to mitigate thermal stress in rapidly industrializing coastal regions.</w:t>
      </w:r>
    </w:p>
    <w:p w14:paraId="389AD6DC" w14:textId="78643A24" w:rsidR="000C4C0B" w:rsidRDefault="000C4C0B" w:rsidP="000C4C0B">
      <w:pPr>
        <w:jc w:val="both"/>
        <w:rPr>
          <w:rFonts w:ascii="Arial" w:hAnsi="Arial" w:cs="Arial"/>
        </w:rPr>
      </w:pPr>
      <w:r w:rsidRPr="000C4C0B">
        <w:rPr>
          <w:rFonts w:ascii="Arial" w:hAnsi="Arial" w:cs="Arial"/>
        </w:rPr>
        <w:t xml:space="preserve">While the spatial resolution of MODIS and the five-year temporal window present certain constraints, this study establishes a robust, reproducible framework for regional thermal monitoring. Future research, utilizing </w:t>
      </w:r>
      <w:r w:rsidR="00CB38E1" w:rsidRPr="00CB38E1">
        <w:rPr>
          <w:rFonts w:ascii="Arial" w:hAnsi="Arial" w:cs="Arial"/>
          <w:color w:val="00B050"/>
        </w:rPr>
        <w:t xml:space="preserve">better-resolution </w:t>
      </w:r>
      <w:r w:rsidRPr="000C4C0B">
        <w:rPr>
          <w:rFonts w:ascii="Arial" w:hAnsi="Arial" w:cs="Arial"/>
        </w:rPr>
        <w:t>sensors, such as Landsat-9 or Sentinel-2, will be essential for detailing intra-urban thermal configurations and strengthening long-term trend detection.</w:t>
      </w:r>
    </w:p>
    <w:p w14:paraId="4FAF7CED" w14:textId="77777777" w:rsidR="000C4C0B" w:rsidRDefault="000C4C0B" w:rsidP="000C4C0B">
      <w:pPr>
        <w:jc w:val="both"/>
        <w:rPr>
          <w:rFonts w:ascii="Arial" w:hAnsi="Arial" w:cs="Arial"/>
        </w:rPr>
      </w:pPr>
    </w:p>
    <w:p w14:paraId="19790279" w14:textId="77777777" w:rsidR="000C4C0B" w:rsidRDefault="000C4C0B" w:rsidP="000C4C0B">
      <w:pPr>
        <w:pStyle w:val="AbstHead"/>
        <w:spacing w:after="0"/>
        <w:jc w:val="both"/>
        <w:rPr>
          <w:rFonts w:ascii="Arial" w:hAnsi="Arial" w:cs="Arial"/>
        </w:rPr>
      </w:pPr>
      <w:r w:rsidRPr="000C4C0B">
        <w:rPr>
          <w:rFonts w:ascii="Arial" w:hAnsi="Arial" w:cs="Arial"/>
        </w:rPr>
        <w:t>Declarations</w:t>
      </w:r>
    </w:p>
    <w:p w14:paraId="60531311" w14:textId="77777777" w:rsidR="000C4C0B" w:rsidRPr="000C4C0B" w:rsidRDefault="000C4C0B" w:rsidP="000C4C0B">
      <w:pPr>
        <w:pStyle w:val="AbstHead"/>
        <w:spacing w:after="0"/>
        <w:jc w:val="both"/>
        <w:rPr>
          <w:rFonts w:ascii="Arial" w:hAnsi="Arial" w:cs="Arial"/>
          <w:b w:val="0"/>
          <w:bCs/>
        </w:rPr>
      </w:pPr>
    </w:p>
    <w:p w14:paraId="5260932E" w14:textId="77777777" w:rsidR="000C4C0B" w:rsidRPr="000C4C0B" w:rsidRDefault="000C4C0B" w:rsidP="000C4C0B">
      <w:pPr>
        <w:rPr>
          <w:rFonts w:ascii="Arial" w:hAnsi="Arial" w:cs="Arial"/>
          <w:b/>
          <w:sz w:val="22"/>
        </w:rPr>
      </w:pPr>
      <w:r w:rsidRPr="000C4C0B">
        <w:rPr>
          <w:rFonts w:ascii="Arial" w:hAnsi="Arial" w:cs="Arial"/>
          <w:b/>
          <w:sz w:val="22"/>
        </w:rPr>
        <w:t>Consent for Publication</w:t>
      </w:r>
    </w:p>
    <w:p w14:paraId="5DFB2087" w14:textId="77777777" w:rsidR="000C4C0B" w:rsidRDefault="000C4C0B" w:rsidP="000C4C0B">
      <w:pPr>
        <w:jc w:val="both"/>
        <w:rPr>
          <w:rFonts w:ascii="Arial" w:hAnsi="Arial" w:cs="Arial"/>
        </w:rPr>
      </w:pPr>
      <w:r w:rsidRPr="000C4C0B">
        <w:rPr>
          <w:rFonts w:ascii="Arial" w:hAnsi="Arial" w:cs="Arial"/>
        </w:rPr>
        <w:t>All authors have read and approved the final manuscript for submission.</w:t>
      </w:r>
    </w:p>
    <w:p w14:paraId="61B1666F" w14:textId="77777777" w:rsidR="000C4C0B" w:rsidRPr="000C4C0B" w:rsidRDefault="000C4C0B" w:rsidP="000C4C0B">
      <w:pPr>
        <w:jc w:val="both"/>
        <w:rPr>
          <w:rFonts w:ascii="Arial" w:hAnsi="Arial" w:cs="Arial"/>
        </w:rPr>
      </w:pPr>
    </w:p>
    <w:p w14:paraId="061BCC90" w14:textId="77777777" w:rsidR="000C4C0B" w:rsidRPr="000C4C0B" w:rsidRDefault="000C4C0B" w:rsidP="000C4C0B">
      <w:pPr>
        <w:rPr>
          <w:rFonts w:ascii="Arial" w:hAnsi="Arial" w:cs="Arial"/>
          <w:b/>
          <w:bCs/>
        </w:rPr>
      </w:pPr>
      <w:r w:rsidRPr="000C4C0B">
        <w:rPr>
          <w:rFonts w:ascii="Arial" w:hAnsi="Arial" w:cs="Arial"/>
          <w:b/>
          <w:sz w:val="22"/>
        </w:rPr>
        <w:t>Conflict of Interest</w:t>
      </w:r>
    </w:p>
    <w:p w14:paraId="73836AE7" w14:textId="77777777" w:rsidR="000C4C0B" w:rsidRDefault="000C4C0B" w:rsidP="000C4C0B">
      <w:pPr>
        <w:jc w:val="both"/>
        <w:rPr>
          <w:rFonts w:ascii="Arial" w:hAnsi="Arial" w:cs="Arial"/>
        </w:rPr>
      </w:pPr>
      <w:r w:rsidRPr="000C4C0B">
        <w:rPr>
          <w:rFonts w:ascii="Arial" w:hAnsi="Arial" w:cs="Arial"/>
        </w:rPr>
        <w:t xml:space="preserve">The authors declare that they do not have known competing financial interests or personal relationships that could have appeared to influence the content of the article.  </w:t>
      </w:r>
    </w:p>
    <w:p w14:paraId="6C5486C3" w14:textId="77777777" w:rsidR="000C4C0B" w:rsidRPr="000C4C0B" w:rsidRDefault="000C4C0B" w:rsidP="000C4C0B">
      <w:pPr>
        <w:rPr>
          <w:rFonts w:ascii="Arial" w:hAnsi="Arial" w:cs="Arial"/>
          <w:b/>
          <w:sz w:val="22"/>
        </w:rPr>
      </w:pPr>
    </w:p>
    <w:p w14:paraId="72500AA9" w14:textId="77777777" w:rsidR="000C4C0B" w:rsidRPr="000C4C0B" w:rsidRDefault="000C4C0B" w:rsidP="000C4C0B">
      <w:pPr>
        <w:rPr>
          <w:rFonts w:ascii="Arial" w:hAnsi="Arial" w:cs="Arial"/>
        </w:rPr>
      </w:pPr>
    </w:p>
    <w:p w14:paraId="2E86A1AE" w14:textId="77777777" w:rsidR="000C4C0B" w:rsidRDefault="000C4C0B" w:rsidP="000C4C0B">
      <w:pPr>
        <w:pStyle w:val="AbstHead"/>
        <w:spacing w:after="0"/>
        <w:jc w:val="both"/>
        <w:rPr>
          <w:rFonts w:ascii="Arial" w:hAnsi="Arial" w:cs="Arial"/>
        </w:rPr>
      </w:pPr>
      <w:r w:rsidRPr="000C4C0B">
        <w:rPr>
          <w:rFonts w:ascii="Arial" w:hAnsi="Arial" w:cs="Arial"/>
        </w:rPr>
        <w:lastRenderedPageBreak/>
        <w:t>Data and Code Availability</w:t>
      </w:r>
    </w:p>
    <w:p w14:paraId="451D5100" w14:textId="77777777" w:rsidR="000C4C0B" w:rsidRPr="000C4C0B" w:rsidRDefault="000C4C0B" w:rsidP="000C4C0B">
      <w:pPr>
        <w:pStyle w:val="AbstHead"/>
        <w:spacing w:after="0"/>
        <w:jc w:val="both"/>
        <w:rPr>
          <w:rFonts w:ascii="Arial" w:hAnsi="Arial" w:cs="Arial"/>
        </w:rPr>
      </w:pPr>
    </w:p>
    <w:p w14:paraId="7DF5628E" w14:textId="77777777" w:rsidR="000C4C0B" w:rsidRPr="000C4C0B" w:rsidRDefault="000C4C0B" w:rsidP="000C4C0B">
      <w:pPr>
        <w:jc w:val="both"/>
        <w:rPr>
          <w:rFonts w:ascii="Arial" w:hAnsi="Arial" w:cs="Arial"/>
        </w:rPr>
      </w:pPr>
      <w:r w:rsidRPr="000C4C0B">
        <w:rPr>
          <w:rFonts w:ascii="Arial" w:hAnsi="Arial" w:cs="Arial"/>
        </w:rPr>
        <w:t xml:space="preserve">All the datasets utilized in the present study can be accessed through Google Earth Engine (GEE) which are made available from </w:t>
      </w:r>
      <w:r w:rsidRPr="000C4C0B">
        <w:rPr>
          <w:rFonts w:ascii="Arial" w:hAnsi="Arial" w:cs="Arial"/>
          <w:b/>
          <w:bCs/>
        </w:rPr>
        <w:t>NASA LP DAAC</w:t>
      </w:r>
      <w:r w:rsidRPr="000C4C0B">
        <w:rPr>
          <w:rFonts w:ascii="Arial" w:hAnsi="Arial" w:cs="Arial"/>
        </w:rPr>
        <w:t xml:space="preserve"> and </w:t>
      </w:r>
      <w:r w:rsidRPr="000C4C0B">
        <w:rPr>
          <w:rFonts w:ascii="Arial" w:hAnsi="Arial" w:cs="Arial"/>
          <w:b/>
          <w:bCs/>
        </w:rPr>
        <w:t>USGS</w:t>
      </w:r>
      <w:r w:rsidRPr="000C4C0B">
        <w:rPr>
          <w:rFonts w:ascii="Arial" w:hAnsi="Arial" w:cs="Arial"/>
        </w:rPr>
        <w:t xml:space="preserve"> repositories.  </w:t>
      </w:r>
    </w:p>
    <w:p w14:paraId="49D2D354" w14:textId="77777777" w:rsidR="000C4C0B" w:rsidRDefault="000C4C0B" w:rsidP="000C4C0B">
      <w:pPr>
        <w:jc w:val="both"/>
        <w:rPr>
          <w:rFonts w:ascii="Arial" w:hAnsi="Arial" w:cs="Arial"/>
        </w:rPr>
      </w:pPr>
      <w:r w:rsidRPr="000C4C0B">
        <w:rPr>
          <w:rFonts w:ascii="Arial" w:hAnsi="Arial" w:cs="Arial"/>
        </w:rPr>
        <w:t>The computational framework, such as scripts for Land Surface Temperature (LST) retrieval, spectral index calculation, and spatial analysis, was developed using the GEE JavaScript API. The complete source code is made available in a public repository, (</w:t>
      </w:r>
      <w:r w:rsidRPr="000C4C0B">
        <w:rPr>
          <w:rFonts w:ascii="Arial" w:hAnsi="Arial" w:cs="Arial"/>
          <w:b/>
          <w:bCs/>
        </w:rPr>
        <w:t>GitHub Repository:</w:t>
      </w:r>
      <w:r w:rsidRPr="000C4C0B">
        <w:rPr>
          <w:rFonts w:ascii="Arial" w:hAnsi="Arial" w:cs="Arial"/>
        </w:rPr>
        <w:t xml:space="preserve"> </w:t>
      </w:r>
      <w:hyperlink r:id="rId31" w:tgtFrame="_blank" w:history="1">
        <w:r w:rsidRPr="000C4C0B">
          <w:rPr>
            <w:rStyle w:val="Hyperlink"/>
            <w:rFonts w:ascii="Arial" w:hAnsi="Arial" w:cs="Arial"/>
          </w:rPr>
          <w:t>https://github.com/suneelcs1615/GoogleEarthEngine/blob/main/LST.js</w:t>
        </w:r>
      </w:hyperlink>
      <w:r w:rsidRPr="000C4C0B">
        <w:rPr>
          <w:rFonts w:ascii="Arial" w:hAnsi="Arial" w:cs="Arial"/>
        </w:rPr>
        <w:t xml:space="preserve">) to ensure the reproducibility of the findings and to facilitate further regional thermal studies. </w:t>
      </w:r>
    </w:p>
    <w:p w14:paraId="55ED54C9" w14:textId="77777777" w:rsidR="000C4C0B" w:rsidRPr="000C4C0B" w:rsidRDefault="000C4C0B" w:rsidP="000C4C0B">
      <w:pPr>
        <w:jc w:val="both"/>
        <w:rPr>
          <w:rFonts w:ascii="Arial" w:hAnsi="Arial" w:cs="Arial"/>
        </w:rPr>
      </w:pPr>
    </w:p>
    <w:p w14:paraId="52F01E85" w14:textId="77777777" w:rsidR="000C4C0B" w:rsidRPr="000C4C0B" w:rsidRDefault="000C4C0B" w:rsidP="000C4C0B">
      <w:pPr>
        <w:jc w:val="both"/>
        <w:rPr>
          <w:rFonts w:ascii="Arial" w:hAnsi="Arial" w:cs="Arial"/>
        </w:rPr>
      </w:pPr>
    </w:p>
    <w:p w14:paraId="412270AB" w14:textId="7933D131" w:rsidR="000C4C0B" w:rsidRDefault="000C4C0B" w:rsidP="000C4C0B">
      <w:pPr>
        <w:pStyle w:val="AbstHead"/>
        <w:spacing w:after="0"/>
        <w:jc w:val="both"/>
        <w:rPr>
          <w:rFonts w:ascii="Arial" w:hAnsi="Arial" w:cs="Arial"/>
        </w:rPr>
      </w:pPr>
      <w:r w:rsidRPr="000C4C0B">
        <w:rPr>
          <w:rFonts w:ascii="Arial" w:hAnsi="Arial" w:cs="Arial"/>
        </w:rPr>
        <w:t>References:</w:t>
      </w:r>
    </w:p>
    <w:p w14:paraId="7743B3CF" w14:textId="77777777" w:rsidR="000C4C0B" w:rsidRDefault="000C4C0B" w:rsidP="000C4C0B">
      <w:pPr>
        <w:pStyle w:val="AbstHead"/>
        <w:spacing w:after="0"/>
        <w:jc w:val="both"/>
        <w:rPr>
          <w:rFonts w:ascii="Arial" w:hAnsi="Arial" w:cs="Arial"/>
        </w:rPr>
      </w:pPr>
    </w:p>
    <w:sdt>
      <w:sdtPr>
        <w:rPr>
          <w:rFonts w:ascii="Arial" w:hAnsi="Arial" w:cs="Arial"/>
          <w:b/>
          <w:caps/>
          <w:color w:val="000000"/>
          <w:sz w:val="22"/>
        </w:rPr>
        <w:tag w:val="MENDELEY_BIBLIOGRAPHY"/>
        <w:id w:val="-729307393"/>
        <w:placeholder>
          <w:docPart w:val="DefaultPlaceholder_-1854013440"/>
        </w:placeholder>
      </w:sdtPr>
      <w:sdtEndPr>
        <w:rPr>
          <w:bCs/>
        </w:rPr>
      </w:sdtEndPr>
      <w:sdtContent>
        <w:p w14:paraId="2317E391" w14:textId="77777777" w:rsidR="000C4C0B" w:rsidRPr="000C4C0B" w:rsidRDefault="000C4C0B">
          <w:pPr>
            <w:autoSpaceDE w:val="0"/>
            <w:autoSpaceDN w:val="0"/>
            <w:ind w:hanging="480"/>
            <w:divId w:val="1352605803"/>
            <w:rPr>
              <w:rFonts w:ascii="Arial" w:hAnsi="Arial" w:cs="Arial"/>
              <w:color w:val="000000"/>
            </w:rPr>
          </w:pPr>
          <w:r w:rsidRPr="000C4C0B">
            <w:rPr>
              <w:rFonts w:ascii="Arial" w:hAnsi="Arial" w:cs="Arial"/>
              <w:color w:val="000000"/>
            </w:rPr>
            <w:t xml:space="preserve">Aflaki, A., Mirnezhad, M., Ghaffarianhoseini, A., Ghaffarianhoseini, A., Omrany, H., Wang, Z.-H., &amp; Akbari, H. (2017). Urban heat island mitigation strategies: A state-of-the-art review on Kuala Lumpur, Singapore and Hong Kong. </w:t>
          </w:r>
          <w:r w:rsidRPr="000C4C0B">
            <w:rPr>
              <w:rFonts w:ascii="Arial" w:hAnsi="Arial" w:cs="Arial"/>
              <w:i/>
              <w:iCs/>
              <w:color w:val="000000"/>
            </w:rPr>
            <w:t>Cities</w:t>
          </w:r>
          <w:r w:rsidRPr="000C4C0B">
            <w:rPr>
              <w:rFonts w:ascii="Arial" w:hAnsi="Arial" w:cs="Arial"/>
              <w:color w:val="000000"/>
            </w:rPr>
            <w:t xml:space="preserve">, </w:t>
          </w:r>
          <w:r w:rsidRPr="000C4C0B">
            <w:rPr>
              <w:rFonts w:ascii="Arial" w:hAnsi="Arial" w:cs="Arial"/>
              <w:i/>
              <w:iCs/>
              <w:color w:val="000000"/>
            </w:rPr>
            <w:t>62</w:t>
          </w:r>
          <w:r w:rsidRPr="000C4C0B">
            <w:rPr>
              <w:rFonts w:ascii="Arial" w:hAnsi="Arial" w:cs="Arial"/>
              <w:color w:val="000000"/>
            </w:rPr>
            <w:t>, 131–145. https://doi.org/https://doi.org/10.1016/j.cities.2016.09.003</w:t>
          </w:r>
        </w:p>
        <w:p w14:paraId="668205D1" w14:textId="77777777" w:rsidR="000C4C0B" w:rsidRPr="000C4C0B" w:rsidRDefault="000C4C0B">
          <w:pPr>
            <w:autoSpaceDE w:val="0"/>
            <w:autoSpaceDN w:val="0"/>
            <w:ind w:hanging="480"/>
            <w:divId w:val="1609462307"/>
            <w:rPr>
              <w:rFonts w:ascii="Arial" w:hAnsi="Arial" w:cs="Arial"/>
              <w:color w:val="000000"/>
            </w:rPr>
          </w:pPr>
          <w:r w:rsidRPr="000C4C0B">
            <w:rPr>
              <w:rFonts w:ascii="Arial" w:hAnsi="Arial" w:cs="Arial"/>
              <w:color w:val="000000"/>
            </w:rPr>
            <w:t xml:space="preserve">Antil, R., Singh, D., &amp; Kumari, N. (2025). Impact Assessment of Covid-19 Lockdown on Vegetation Health Using Geospatial Technology.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53</w:t>
          </w:r>
          <w:r w:rsidRPr="000C4C0B">
            <w:rPr>
              <w:rFonts w:ascii="Arial" w:hAnsi="Arial" w:cs="Arial"/>
              <w:color w:val="000000"/>
            </w:rPr>
            <w:t>(11), 3591–3617. https://doi.org/10.1007/s12524-025-02215-x</w:t>
          </w:r>
        </w:p>
        <w:p w14:paraId="25262275" w14:textId="77777777" w:rsidR="000C4C0B" w:rsidRPr="000C4C0B" w:rsidRDefault="000C4C0B">
          <w:pPr>
            <w:autoSpaceDE w:val="0"/>
            <w:autoSpaceDN w:val="0"/>
            <w:ind w:hanging="480"/>
            <w:divId w:val="872962490"/>
            <w:rPr>
              <w:rFonts w:ascii="Arial" w:hAnsi="Arial" w:cs="Arial"/>
              <w:color w:val="000000"/>
            </w:rPr>
          </w:pPr>
          <w:r w:rsidRPr="000C4C0B">
            <w:rPr>
              <w:rFonts w:ascii="Arial" w:hAnsi="Arial" w:cs="Arial"/>
              <w:color w:val="000000"/>
              <w:lang w:val="pl-PL"/>
            </w:rPr>
            <w:t xml:space="preserve">Baeza-González, S., &amp; Kamakura, N. (2025). </w:t>
          </w:r>
          <w:r w:rsidRPr="000C4C0B">
            <w:rPr>
              <w:rFonts w:ascii="Arial" w:hAnsi="Arial" w:cs="Arial"/>
              <w:color w:val="000000"/>
            </w:rPr>
            <w:t xml:space="preserve">A methodological framework for tracing cluster life cycles: emerging hot spot analysis in evolutionary economic geography. </w:t>
          </w:r>
          <w:r w:rsidRPr="000C4C0B">
            <w:rPr>
              <w:rFonts w:ascii="Arial" w:hAnsi="Arial" w:cs="Arial"/>
              <w:i/>
              <w:iCs/>
              <w:color w:val="000000"/>
            </w:rPr>
            <w:t>Evolutionary and Institutional Economics Review</w:t>
          </w:r>
          <w:r w:rsidRPr="000C4C0B">
            <w:rPr>
              <w:rFonts w:ascii="Arial" w:hAnsi="Arial" w:cs="Arial"/>
              <w:color w:val="000000"/>
            </w:rPr>
            <w:t>. https://doi.org/10.1007/s40844-025-00314-5</w:t>
          </w:r>
        </w:p>
        <w:p w14:paraId="43049BD3" w14:textId="77777777" w:rsidR="000C4C0B" w:rsidRPr="000C4C0B" w:rsidRDefault="000C4C0B">
          <w:pPr>
            <w:autoSpaceDE w:val="0"/>
            <w:autoSpaceDN w:val="0"/>
            <w:ind w:hanging="480"/>
            <w:divId w:val="1036076877"/>
            <w:rPr>
              <w:rFonts w:ascii="Arial" w:hAnsi="Arial" w:cs="Arial"/>
              <w:color w:val="000000"/>
            </w:rPr>
          </w:pPr>
          <w:r w:rsidRPr="000C4C0B">
            <w:rPr>
              <w:rFonts w:ascii="Arial" w:hAnsi="Arial" w:cs="Arial"/>
              <w:color w:val="000000"/>
            </w:rPr>
            <w:t xml:space="preserve">Bala, R., Yadav, V. P., Kumar, D. N., &amp; Prasad, R. (2024). Quantification of Surface Urban Heat Island Intensity Using MODIS Satellite Imagery in Different Indian Cities.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52</w:t>
          </w:r>
          <w:r w:rsidRPr="000C4C0B">
            <w:rPr>
              <w:rFonts w:ascii="Arial" w:hAnsi="Arial" w:cs="Arial"/>
              <w:color w:val="000000"/>
            </w:rPr>
            <w:t>(2), 327–341. https://doi.org/10.1007/s12524-024-01810-8</w:t>
          </w:r>
        </w:p>
        <w:p w14:paraId="22DAC5C5" w14:textId="77777777" w:rsidR="000C4C0B" w:rsidRPr="000C4C0B" w:rsidRDefault="000C4C0B">
          <w:pPr>
            <w:autoSpaceDE w:val="0"/>
            <w:autoSpaceDN w:val="0"/>
            <w:ind w:hanging="480"/>
            <w:divId w:val="494617012"/>
            <w:rPr>
              <w:rFonts w:ascii="Arial" w:hAnsi="Arial" w:cs="Arial"/>
              <w:color w:val="000000"/>
            </w:rPr>
          </w:pPr>
          <w:r w:rsidRPr="00FA5C50">
            <w:rPr>
              <w:rFonts w:ascii="Arial" w:hAnsi="Arial" w:cs="Arial"/>
              <w:color w:val="000000"/>
              <w:lang w:val="pt-BR"/>
            </w:rPr>
            <w:t xml:space="preserve">Cafaro, R., Cardone, B., D’Ambrosio, V., Di Martino, F., &amp; Miraglia, V. (2024). </w:t>
          </w:r>
          <w:r w:rsidRPr="000C4C0B">
            <w:rPr>
              <w:rFonts w:ascii="Arial" w:hAnsi="Arial" w:cs="Arial"/>
              <w:color w:val="000000"/>
            </w:rPr>
            <w:t xml:space="preserve">A New GIS-Based Framework to Detect Urban Heat Islands and Its Application on the City of Naples (Italy). </w:t>
          </w:r>
          <w:r w:rsidRPr="000C4C0B">
            <w:rPr>
              <w:rFonts w:ascii="Arial" w:hAnsi="Arial" w:cs="Arial"/>
              <w:i/>
              <w:iCs/>
              <w:color w:val="000000"/>
            </w:rPr>
            <w:t>Land</w:t>
          </w:r>
          <w:r w:rsidRPr="000C4C0B">
            <w:rPr>
              <w:rFonts w:ascii="Arial" w:hAnsi="Arial" w:cs="Arial"/>
              <w:color w:val="000000"/>
            </w:rPr>
            <w:t xml:space="preserve">, </w:t>
          </w:r>
          <w:r w:rsidRPr="000C4C0B">
            <w:rPr>
              <w:rFonts w:ascii="Arial" w:hAnsi="Arial" w:cs="Arial"/>
              <w:i/>
              <w:iCs/>
              <w:color w:val="000000"/>
            </w:rPr>
            <w:t>13</w:t>
          </w:r>
          <w:r w:rsidRPr="000C4C0B">
            <w:rPr>
              <w:rFonts w:ascii="Arial" w:hAnsi="Arial" w:cs="Arial"/>
              <w:color w:val="000000"/>
            </w:rPr>
            <w:t>(8). https://doi.org/10.3390/land13081253</w:t>
          </w:r>
        </w:p>
        <w:p w14:paraId="3DE1E16C" w14:textId="77777777" w:rsidR="000C4C0B" w:rsidRPr="000C4C0B" w:rsidRDefault="000C4C0B">
          <w:pPr>
            <w:autoSpaceDE w:val="0"/>
            <w:autoSpaceDN w:val="0"/>
            <w:ind w:hanging="480"/>
            <w:divId w:val="68581882"/>
            <w:rPr>
              <w:rFonts w:ascii="Arial" w:hAnsi="Arial" w:cs="Arial"/>
              <w:color w:val="000000"/>
            </w:rPr>
          </w:pPr>
          <w:r w:rsidRPr="000C4C0B">
            <w:rPr>
              <w:rFonts w:ascii="Arial" w:hAnsi="Arial" w:cs="Arial"/>
              <w:color w:val="000000"/>
            </w:rPr>
            <w:t xml:space="preserve">Cui, J., Liu, Y., Sun, J., Hu, D., &amp; He, H. (2021). G-STC-M Spatio-Temporal Analysis Method for Archaeological Sites. </w:t>
          </w:r>
          <w:r w:rsidRPr="000C4C0B">
            <w:rPr>
              <w:rFonts w:ascii="Arial" w:hAnsi="Arial" w:cs="Arial"/>
              <w:i/>
              <w:iCs/>
              <w:color w:val="000000"/>
            </w:rPr>
            <w:t>ISPRS International Journal of Geo-Information</w:t>
          </w:r>
          <w:r w:rsidRPr="000C4C0B">
            <w:rPr>
              <w:rFonts w:ascii="Arial" w:hAnsi="Arial" w:cs="Arial"/>
              <w:color w:val="000000"/>
            </w:rPr>
            <w:t xml:space="preserve">, </w:t>
          </w:r>
          <w:r w:rsidRPr="000C4C0B">
            <w:rPr>
              <w:rFonts w:ascii="Arial" w:hAnsi="Arial" w:cs="Arial"/>
              <w:i/>
              <w:iCs/>
              <w:color w:val="000000"/>
            </w:rPr>
            <w:t>10</w:t>
          </w:r>
          <w:r w:rsidRPr="000C4C0B">
            <w:rPr>
              <w:rFonts w:ascii="Arial" w:hAnsi="Arial" w:cs="Arial"/>
              <w:color w:val="000000"/>
            </w:rPr>
            <w:t>(5). https://doi.org/10.3390/ijgi10050312</w:t>
          </w:r>
        </w:p>
        <w:p w14:paraId="1D91B152" w14:textId="77777777" w:rsidR="000C4C0B" w:rsidRPr="000C4C0B" w:rsidRDefault="000C4C0B">
          <w:pPr>
            <w:autoSpaceDE w:val="0"/>
            <w:autoSpaceDN w:val="0"/>
            <w:ind w:hanging="480"/>
            <w:divId w:val="1278564170"/>
            <w:rPr>
              <w:rFonts w:ascii="Arial" w:hAnsi="Arial" w:cs="Arial"/>
              <w:color w:val="000000"/>
            </w:rPr>
          </w:pPr>
          <w:r w:rsidRPr="000C4C0B">
            <w:rPr>
              <w:rFonts w:ascii="Arial" w:hAnsi="Arial" w:cs="Arial"/>
              <w:color w:val="000000"/>
            </w:rPr>
            <w:t xml:space="preserve">Galodha, A., &amp; Gupta, S. K. (2021). LAND SURFACE TEMPERATURE AS AN INDICATOR OF URBAN HEAT ISLAND EFFECT: A GOOGLE EARTH ENGINE BASED WEB-APP. </w:t>
          </w:r>
          <w:r w:rsidRPr="000C4C0B">
            <w:rPr>
              <w:rFonts w:ascii="Arial" w:hAnsi="Arial" w:cs="Arial"/>
              <w:i/>
              <w:iCs/>
              <w:color w:val="000000"/>
            </w:rPr>
            <w:t>The International Archives of the Photogrammetry, Remote Sensing and Spatial Information Sciences</w:t>
          </w:r>
          <w:r w:rsidRPr="000C4C0B">
            <w:rPr>
              <w:rFonts w:ascii="Arial" w:hAnsi="Arial" w:cs="Arial"/>
              <w:color w:val="000000"/>
            </w:rPr>
            <w:t xml:space="preserve">, </w:t>
          </w:r>
          <w:r w:rsidRPr="000C4C0B">
            <w:rPr>
              <w:rFonts w:ascii="Arial" w:hAnsi="Arial" w:cs="Arial"/>
              <w:i/>
              <w:iCs/>
              <w:color w:val="000000"/>
            </w:rPr>
            <w:t>XLIV-M-3–2021</w:t>
          </w:r>
          <w:r w:rsidRPr="000C4C0B">
            <w:rPr>
              <w:rFonts w:ascii="Arial" w:hAnsi="Arial" w:cs="Arial"/>
              <w:color w:val="000000"/>
            </w:rPr>
            <w:t>, 57–62. https://doi.org/10.5194/isprs-archives-XLIV-M-3-2021-57-2021</w:t>
          </w:r>
        </w:p>
        <w:p w14:paraId="794C5C65" w14:textId="77777777" w:rsidR="000C4C0B" w:rsidRPr="000C4C0B" w:rsidRDefault="000C4C0B">
          <w:pPr>
            <w:autoSpaceDE w:val="0"/>
            <w:autoSpaceDN w:val="0"/>
            <w:ind w:hanging="480"/>
            <w:divId w:val="1112895742"/>
            <w:rPr>
              <w:rFonts w:ascii="Arial" w:hAnsi="Arial" w:cs="Arial"/>
              <w:color w:val="000000"/>
            </w:rPr>
          </w:pPr>
          <w:r w:rsidRPr="000C4C0B">
            <w:rPr>
              <w:rFonts w:ascii="Arial" w:hAnsi="Arial" w:cs="Arial"/>
              <w:color w:val="000000"/>
            </w:rPr>
            <w:t xml:space="preserve">Islam, S., Karipot, A., Bhawar, R., Sinha, P., Kedia, S., &amp; Khare, M. (2024). Urban heat island effect in India: a review of current status, impact and mitigation strategies. </w:t>
          </w:r>
          <w:r w:rsidRPr="000C4C0B">
            <w:rPr>
              <w:rFonts w:ascii="Arial" w:hAnsi="Arial" w:cs="Arial"/>
              <w:i/>
              <w:iCs/>
              <w:color w:val="000000"/>
            </w:rPr>
            <w:t>Discover Cities</w:t>
          </w:r>
          <w:r w:rsidRPr="000C4C0B">
            <w:rPr>
              <w:rFonts w:ascii="Arial" w:hAnsi="Arial" w:cs="Arial"/>
              <w:color w:val="000000"/>
            </w:rPr>
            <w:t xml:space="preserve">, </w:t>
          </w:r>
          <w:r w:rsidRPr="000C4C0B">
            <w:rPr>
              <w:rFonts w:ascii="Arial" w:hAnsi="Arial" w:cs="Arial"/>
              <w:i/>
              <w:iCs/>
              <w:color w:val="000000"/>
            </w:rPr>
            <w:t>1</w:t>
          </w:r>
          <w:r w:rsidRPr="000C4C0B">
            <w:rPr>
              <w:rFonts w:ascii="Arial" w:hAnsi="Arial" w:cs="Arial"/>
              <w:color w:val="000000"/>
            </w:rPr>
            <w:t>(1), 34. https://doi.org/10.1007/s44327-024-00033-3</w:t>
          </w:r>
        </w:p>
        <w:p w14:paraId="01818515" w14:textId="77777777" w:rsidR="000C4C0B" w:rsidRPr="000C4C0B" w:rsidRDefault="000C4C0B">
          <w:pPr>
            <w:autoSpaceDE w:val="0"/>
            <w:autoSpaceDN w:val="0"/>
            <w:ind w:hanging="480"/>
            <w:divId w:val="1038748176"/>
            <w:rPr>
              <w:rFonts w:ascii="Arial" w:hAnsi="Arial" w:cs="Arial"/>
              <w:color w:val="000000"/>
            </w:rPr>
          </w:pPr>
          <w:r w:rsidRPr="000C4C0B">
            <w:rPr>
              <w:rFonts w:ascii="Arial" w:hAnsi="Arial" w:cs="Arial"/>
              <w:color w:val="000000"/>
            </w:rPr>
            <w:t xml:space="preserve">Karimi, M., Nazari, R., &amp; Sabrin, S. (2021). </w:t>
          </w:r>
          <w:r w:rsidRPr="000C4C0B">
            <w:rPr>
              <w:rFonts w:ascii="Arial" w:hAnsi="Arial" w:cs="Arial"/>
              <w:i/>
              <w:iCs/>
              <w:color w:val="000000"/>
            </w:rPr>
            <w:t>Extreme Heat Events and Public Health</w:t>
          </w:r>
          <w:r w:rsidRPr="000C4C0B">
            <w:rPr>
              <w:rFonts w:ascii="Arial" w:hAnsi="Arial" w:cs="Arial"/>
              <w:color w:val="000000"/>
            </w:rPr>
            <w:t>. https://doi.org/10.1891/9780826149039.0010</w:t>
          </w:r>
        </w:p>
        <w:p w14:paraId="60DB29CE" w14:textId="77777777" w:rsidR="000C4C0B" w:rsidRPr="000C4C0B" w:rsidRDefault="000C4C0B">
          <w:pPr>
            <w:autoSpaceDE w:val="0"/>
            <w:autoSpaceDN w:val="0"/>
            <w:ind w:hanging="480"/>
            <w:divId w:val="751271609"/>
            <w:rPr>
              <w:rFonts w:ascii="Arial" w:hAnsi="Arial" w:cs="Arial"/>
              <w:color w:val="000000"/>
            </w:rPr>
          </w:pPr>
          <w:r w:rsidRPr="000C4C0B">
            <w:rPr>
              <w:rFonts w:ascii="Arial" w:hAnsi="Arial" w:cs="Arial"/>
              <w:color w:val="000000"/>
            </w:rPr>
            <w:t xml:space="preserve">Lele, N., Nigam, R., &amp; Bhattacharya, B. K. (2021). New findings on impact of COVID lockdown over terrestrial ecosystems from LEO-GEO satellites. </w:t>
          </w:r>
          <w:r w:rsidRPr="000C4C0B">
            <w:rPr>
              <w:rFonts w:ascii="Arial" w:hAnsi="Arial" w:cs="Arial"/>
              <w:i/>
              <w:iCs/>
              <w:color w:val="000000"/>
            </w:rPr>
            <w:t>Remote Sensing Applications: Society and Environment</w:t>
          </w:r>
          <w:r w:rsidRPr="000C4C0B">
            <w:rPr>
              <w:rFonts w:ascii="Arial" w:hAnsi="Arial" w:cs="Arial"/>
              <w:color w:val="000000"/>
            </w:rPr>
            <w:t xml:space="preserve">, </w:t>
          </w:r>
          <w:r w:rsidRPr="000C4C0B">
            <w:rPr>
              <w:rFonts w:ascii="Arial" w:hAnsi="Arial" w:cs="Arial"/>
              <w:i/>
              <w:iCs/>
              <w:color w:val="000000"/>
            </w:rPr>
            <w:t>22</w:t>
          </w:r>
          <w:r w:rsidRPr="000C4C0B">
            <w:rPr>
              <w:rFonts w:ascii="Arial" w:hAnsi="Arial" w:cs="Arial"/>
              <w:color w:val="000000"/>
            </w:rPr>
            <w:t>, 100476. https://doi.org/https://doi.org/10.1016/j.rsase.2021.100476</w:t>
          </w:r>
        </w:p>
        <w:p w14:paraId="52DFA000" w14:textId="77777777" w:rsidR="000C4C0B" w:rsidRPr="000C4C0B" w:rsidRDefault="000C4C0B">
          <w:pPr>
            <w:autoSpaceDE w:val="0"/>
            <w:autoSpaceDN w:val="0"/>
            <w:ind w:hanging="480"/>
            <w:divId w:val="1042708060"/>
            <w:rPr>
              <w:rFonts w:ascii="Arial" w:hAnsi="Arial" w:cs="Arial"/>
              <w:color w:val="000000"/>
            </w:rPr>
          </w:pPr>
          <w:r w:rsidRPr="000C4C0B">
            <w:rPr>
              <w:rFonts w:ascii="Arial" w:hAnsi="Arial" w:cs="Arial"/>
              <w:color w:val="000000"/>
            </w:rPr>
            <w:t xml:space="preserve">Maithani, S., Nautiyal, G., &amp; Sharma, A. (2020). Investigating the Effect of Lockdown During COVID-19 on Land Surface Temperature: Study of Dehradun City, India.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48</w:t>
          </w:r>
          <w:r w:rsidRPr="000C4C0B">
            <w:rPr>
              <w:rFonts w:ascii="Arial" w:hAnsi="Arial" w:cs="Arial"/>
              <w:color w:val="000000"/>
            </w:rPr>
            <w:t>(9), 1297–1311. https://doi.org/10.1007/s12524-020-01157-w</w:t>
          </w:r>
        </w:p>
        <w:p w14:paraId="6809EEF9" w14:textId="77777777" w:rsidR="000C4C0B" w:rsidRPr="000C4C0B" w:rsidRDefault="000C4C0B">
          <w:pPr>
            <w:autoSpaceDE w:val="0"/>
            <w:autoSpaceDN w:val="0"/>
            <w:ind w:hanging="480"/>
            <w:divId w:val="1609461784"/>
            <w:rPr>
              <w:rFonts w:ascii="Arial" w:hAnsi="Arial" w:cs="Arial"/>
              <w:color w:val="000000"/>
            </w:rPr>
          </w:pPr>
          <w:r w:rsidRPr="000C4C0B">
            <w:rPr>
              <w:rFonts w:ascii="Arial" w:hAnsi="Arial" w:cs="Arial"/>
              <w:color w:val="000000"/>
            </w:rPr>
            <w:lastRenderedPageBreak/>
            <w:t xml:space="preserve">Mohammad, P., &amp; Goswami, A. (2023). Exploring different indicators for quantifying surface urban heat and cool island together: A case study over two metropolitan cities of India. </w:t>
          </w:r>
          <w:r w:rsidRPr="000C4C0B">
            <w:rPr>
              <w:rFonts w:ascii="Arial" w:hAnsi="Arial" w:cs="Arial"/>
              <w:i/>
              <w:iCs/>
              <w:color w:val="000000"/>
            </w:rPr>
            <w:t>Environment, Development and Sustainability</w:t>
          </w:r>
          <w:r w:rsidRPr="000C4C0B">
            <w:rPr>
              <w:rFonts w:ascii="Arial" w:hAnsi="Arial" w:cs="Arial"/>
              <w:color w:val="000000"/>
            </w:rPr>
            <w:t xml:space="preserve">, </w:t>
          </w:r>
          <w:r w:rsidRPr="000C4C0B">
            <w:rPr>
              <w:rFonts w:ascii="Arial" w:hAnsi="Arial" w:cs="Arial"/>
              <w:i/>
              <w:iCs/>
              <w:color w:val="000000"/>
            </w:rPr>
            <w:t>25</w:t>
          </w:r>
          <w:r w:rsidRPr="000C4C0B">
            <w:rPr>
              <w:rFonts w:ascii="Arial" w:hAnsi="Arial" w:cs="Arial"/>
              <w:color w:val="000000"/>
            </w:rPr>
            <w:t>(10), 10857–10878. https://doi.org/10.1007/s10668-022-02509-x</w:t>
          </w:r>
        </w:p>
        <w:p w14:paraId="6021B187" w14:textId="77777777" w:rsidR="000C4C0B" w:rsidRPr="000C4C0B" w:rsidRDefault="000C4C0B">
          <w:pPr>
            <w:autoSpaceDE w:val="0"/>
            <w:autoSpaceDN w:val="0"/>
            <w:ind w:hanging="480"/>
            <w:divId w:val="1222205259"/>
            <w:rPr>
              <w:rFonts w:ascii="Arial" w:hAnsi="Arial" w:cs="Arial"/>
              <w:color w:val="000000"/>
            </w:rPr>
          </w:pPr>
          <w:r w:rsidRPr="000C4C0B">
            <w:rPr>
              <w:rFonts w:ascii="Arial" w:hAnsi="Arial" w:cs="Arial"/>
              <w:color w:val="000000"/>
            </w:rPr>
            <w:t xml:space="preserve">Nayak, S., Vinod, A., &amp; Prasad, A. K. (2023). Spatial Characteristics and Temporal Trend of Urban Heat Island Effect over Major Cities in India Using Long-Term Space-Based MODIS Land Surface Temperature Observations (2000–2023). </w:t>
          </w:r>
          <w:r w:rsidRPr="000C4C0B">
            <w:rPr>
              <w:rFonts w:ascii="Arial" w:hAnsi="Arial" w:cs="Arial"/>
              <w:i/>
              <w:iCs/>
              <w:color w:val="000000"/>
            </w:rPr>
            <w:t>Applied Sciences</w:t>
          </w:r>
          <w:r w:rsidRPr="000C4C0B">
            <w:rPr>
              <w:rFonts w:ascii="Arial" w:hAnsi="Arial" w:cs="Arial"/>
              <w:color w:val="000000"/>
            </w:rPr>
            <w:t xml:space="preserve">, </w:t>
          </w:r>
          <w:r w:rsidRPr="000C4C0B">
            <w:rPr>
              <w:rFonts w:ascii="Arial" w:hAnsi="Arial" w:cs="Arial"/>
              <w:i/>
              <w:iCs/>
              <w:color w:val="000000"/>
            </w:rPr>
            <w:t>13</w:t>
          </w:r>
          <w:r w:rsidRPr="000C4C0B">
            <w:rPr>
              <w:rFonts w:ascii="Arial" w:hAnsi="Arial" w:cs="Arial"/>
              <w:color w:val="000000"/>
            </w:rPr>
            <w:t>(24). https://doi.org/10.3390/app132413323</w:t>
          </w:r>
        </w:p>
        <w:p w14:paraId="07A4778A" w14:textId="77777777" w:rsidR="000C4C0B" w:rsidRPr="000C4C0B" w:rsidRDefault="000C4C0B">
          <w:pPr>
            <w:autoSpaceDE w:val="0"/>
            <w:autoSpaceDN w:val="0"/>
            <w:ind w:hanging="480"/>
            <w:divId w:val="1202744204"/>
            <w:rPr>
              <w:rFonts w:ascii="Arial" w:hAnsi="Arial" w:cs="Arial"/>
              <w:color w:val="000000"/>
            </w:rPr>
          </w:pPr>
          <w:r w:rsidRPr="000C4C0B">
            <w:rPr>
              <w:rFonts w:ascii="Arial" w:hAnsi="Arial" w:cs="Arial"/>
              <w:color w:val="000000"/>
            </w:rPr>
            <w:t xml:space="preserve">Nikkala, S., Peddada, J. R., &amp; Neredimelli, R. (2022). Correlation analysis of land surface temperature on landsat-8 data of Visakhapatnam Urban Area, Andhra Pradesh, India. </w:t>
          </w:r>
          <w:r w:rsidRPr="000C4C0B">
            <w:rPr>
              <w:rFonts w:ascii="Arial" w:hAnsi="Arial" w:cs="Arial"/>
              <w:i/>
              <w:iCs/>
              <w:color w:val="000000"/>
            </w:rPr>
            <w:t>Earth Science Informatics</w:t>
          </w:r>
          <w:r w:rsidRPr="000C4C0B">
            <w:rPr>
              <w:rFonts w:ascii="Arial" w:hAnsi="Arial" w:cs="Arial"/>
              <w:color w:val="000000"/>
            </w:rPr>
            <w:t xml:space="preserve">, </w:t>
          </w:r>
          <w:r w:rsidRPr="000C4C0B">
            <w:rPr>
              <w:rFonts w:ascii="Arial" w:hAnsi="Arial" w:cs="Arial"/>
              <w:i/>
              <w:iCs/>
              <w:color w:val="000000"/>
            </w:rPr>
            <w:t>15</w:t>
          </w:r>
          <w:r w:rsidRPr="000C4C0B">
            <w:rPr>
              <w:rFonts w:ascii="Arial" w:hAnsi="Arial" w:cs="Arial"/>
              <w:color w:val="000000"/>
            </w:rPr>
            <w:t>(3), 1963–1975. https://doi.org/10.1007/s12145-022-00850-3</w:t>
          </w:r>
        </w:p>
        <w:p w14:paraId="4B8AA766" w14:textId="77777777" w:rsidR="000C4C0B" w:rsidRPr="000C4C0B" w:rsidRDefault="000C4C0B">
          <w:pPr>
            <w:autoSpaceDE w:val="0"/>
            <w:autoSpaceDN w:val="0"/>
            <w:ind w:hanging="480"/>
            <w:divId w:val="1190489249"/>
            <w:rPr>
              <w:rFonts w:ascii="Arial" w:hAnsi="Arial" w:cs="Arial"/>
              <w:color w:val="000000"/>
            </w:rPr>
          </w:pPr>
          <w:r w:rsidRPr="000C4C0B">
            <w:rPr>
              <w:rFonts w:ascii="Arial" w:hAnsi="Arial" w:cs="Arial"/>
              <w:color w:val="000000"/>
            </w:rPr>
            <w:t xml:space="preserve">Peeters, A., Zude-Sasse, M., Käthner, J., Ünlü, M., Kanber, R., Hetzroni, A., Gebbers, R., &amp; Ben-Gal, A. (2015). Getis–Ord’s hot- and cold-spot statistics as a basis for multivariate spatial clustering of orchard tree data. </w:t>
          </w:r>
          <w:r w:rsidRPr="000C4C0B">
            <w:rPr>
              <w:rFonts w:ascii="Arial" w:hAnsi="Arial" w:cs="Arial"/>
              <w:i/>
              <w:iCs/>
              <w:color w:val="000000"/>
            </w:rPr>
            <w:t>Computers and Electronics in Agriculture</w:t>
          </w:r>
          <w:r w:rsidRPr="000C4C0B">
            <w:rPr>
              <w:rFonts w:ascii="Arial" w:hAnsi="Arial" w:cs="Arial"/>
              <w:color w:val="000000"/>
            </w:rPr>
            <w:t xml:space="preserve">, </w:t>
          </w:r>
          <w:r w:rsidRPr="000C4C0B">
            <w:rPr>
              <w:rFonts w:ascii="Arial" w:hAnsi="Arial" w:cs="Arial"/>
              <w:i/>
              <w:iCs/>
              <w:color w:val="000000"/>
            </w:rPr>
            <w:t>111</w:t>
          </w:r>
          <w:r w:rsidRPr="000C4C0B">
            <w:rPr>
              <w:rFonts w:ascii="Arial" w:hAnsi="Arial" w:cs="Arial"/>
              <w:color w:val="000000"/>
            </w:rPr>
            <w:t>, 140–150. https://doi.org/10.1016/j.compag.2014.12.011</w:t>
          </w:r>
        </w:p>
        <w:p w14:paraId="2144CBB9" w14:textId="77777777" w:rsidR="000C4C0B" w:rsidRPr="000C4C0B" w:rsidRDefault="000C4C0B">
          <w:pPr>
            <w:autoSpaceDE w:val="0"/>
            <w:autoSpaceDN w:val="0"/>
            <w:ind w:hanging="480"/>
            <w:divId w:val="1823499648"/>
            <w:rPr>
              <w:rFonts w:ascii="Arial" w:hAnsi="Arial" w:cs="Arial"/>
              <w:color w:val="000000"/>
            </w:rPr>
          </w:pPr>
          <w:r w:rsidRPr="00FA5C50">
            <w:rPr>
              <w:rFonts w:ascii="Arial" w:hAnsi="Arial" w:cs="Arial"/>
              <w:color w:val="000000"/>
              <w:lang w:val="pt-BR"/>
            </w:rPr>
            <w:t xml:space="preserve">Pradeep Kumar, B., Anusha, B. N., Raghu Babu, K., &amp; Padma Sree, P. (2023). </w:t>
          </w:r>
          <w:r w:rsidRPr="000C4C0B">
            <w:rPr>
              <w:rFonts w:ascii="Arial" w:hAnsi="Arial" w:cs="Arial"/>
              <w:color w:val="000000"/>
            </w:rPr>
            <w:t xml:space="preserve">Identification of climate change impact and thermal comfort zones in semi-arid regions of AP, India using LST and NDBI techniques. </w:t>
          </w:r>
          <w:r w:rsidRPr="000C4C0B">
            <w:rPr>
              <w:rFonts w:ascii="Arial" w:hAnsi="Arial" w:cs="Arial"/>
              <w:i/>
              <w:iCs/>
              <w:color w:val="000000"/>
            </w:rPr>
            <w:t>Journal of Cleaner Production</w:t>
          </w:r>
          <w:r w:rsidRPr="000C4C0B">
            <w:rPr>
              <w:rFonts w:ascii="Arial" w:hAnsi="Arial" w:cs="Arial"/>
              <w:color w:val="000000"/>
            </w:rPr>
            <w:t xml:space="preserve">, </w:t>
          </w:r>
          <w:r w:rsidRPr="000C4C0B">
            <w:rPr>
              <w:rFonts w:ascii="Arial" w:hAnsi="Arial" w:cs="Arial"/>
              <w:i/>
              <w:iCs/>
              <w:color w:val="000000"/>
            </w:rPr>
            <w:t>407</w:t>
          </w:r>
          <w:r w:rsidRPr="000C4C0B">
            <w:rPr>
              <w:rFonts w:ascii="Arial" w:hAnsi="Arial" w:cs="Arial"/>
              <w:color w:val="000000"/>
            </w:rPr>
            <w:t>, 137175. https://doi.org/https://doi.org/10.1016/j.jclepro.2023.137175</w:t>
          </w:r>
        </w:p>
        <w:p w14:paraId="67483F9D" w14:textId="77777777" w:rsidR="000C4C0B" w:rsidRPr="000C4C0B" w:rsidRDefault="000C4C0B">
          <w:pPr>
            <w:autoSpaceDE w:val="0"/>
            <w:autoSpaceDN w:val="0"/>
            <w:ind w:hanging="480"/>
            <w:divId w:val="1651405963"/>
            <w:rPr>
              <w:rFonts w:ascii="Arial" w:hAnsi="Arial" w:cs="Arial"/>
              <w:color w:val="000000"/>
            </w:rPr>
          </w:pPr>
          <w:r w:rsidRPr="000C4C0B">
            <w:rPr>
              <w:rFonts w:ascii="Arial" w:hAnsi="Arial" w:cs="Arial"/>
              <w:color w:val="000000"/>
            </w:rPr>
            <w:t xml:space="preserve">Sai, K., Joseph, A., Shaharudeen, S., Kaivalyam, R., &amp; Varughese, A. (2025). Spatio-Temporal Analysis and Long-term Trends of Groundwater Levels in the Chittur Block, Kerala, India. </w:t>
          </w:r>
          <w:r w:rsidRPr="000C4C0B">
            <w:rPr>
              <w:rFonts w:ascii="Arial" w:hAnsi="Arial" w:cs="Arial"/>
              <w:i/>
              <w:iCs/>
              <w:color w:val="000000"/>
            </w:rPr>
            <w:t>Journal of Geography, Environment and Earth Science International</w:t>
          </w:r>
          <w:r w:rsidRPr="000C4C0B">
            <w:rPr>
              <w:rFonts w:ascii="Arial" w:hAnsi="Arial" w:cs="Arial"/>
              <w:color w:val="000000"/>
            </w:rPr>
            <w:t xml:space="preserve">, </w:t>
          </w:r>
          <w:r w:rsidRPr="000C4C0B">
            <w:rPr>
              <w:rFonts w:ascii="Arial" w:hAnsi="Arial" w:cs="Arial"/>
              <w:i/>
              <w:iCs/>
              <w:color w:val="000000"/>
            </w:rPr>
            <w:t>29</w:t>
          </w:r>
          <w:r w:rsidRPr="000C4C0B">
            <w:rPr>
              <w:rFonts w:ascii="Arial" w:hAnsi="Arial" w:cs="Arial"/>
              <w:color w:val="000000"/>
            </w:rPr>
            <w:t>, 1–19. https://doi.org/10.9734/jgeesi/2025/v29i12979</w:t>
          </w:r>
        </w:p>
        <w:p w14:paraId="59BD47D8" w14:textId="77777777" w:rsidR="000C4C0B" w:rsidRPr="000C4C0B" w:rsidRDefault="000C4C0B">
          <w:pPr>
            <w:autoSpaceDE w:val="0"/>
            <w:autoSpaceDN w:val="0"/>
            <w:ind w:hanging="480"/>
            <w:divId w:val="446240965"/>
            <w:rPr>
              <w:rFonts w:ascii="Arial" w:hAnsi="Arial" w:cs="Arial"/>
              <w:color w:val="000000"/>
            </w:rPr>
          </w:pPr>
          <w:r w:rsidRPr="000C4C0B">
            <w:rPr>
              <w:rFonts w:ascii="Arial" w:hAnsi="Arial" w:cs="Arial"/>
              <w:color w:val="000000"/>
            </w:rPr>
            <w:t xml:space="preserve">Santamouris, M., &amp; Vasilakopoulou, K. (2023). Recent progress on urban heat mitigation technologies. </w:t>
          </w:r>
          <w:r w:rsidRPr="000C4C0B">
            <w:rPr>
              <w:rFonts w:ascii="Arial" w:hAnsi="Arial" w:cs="Arial"/>
              <w:i/>
              <w:iCs/>
              <w:color w:val="000000"/>
            </w:rPr>
            <w:t>Science Talks</w:t>
          </w:r>
          <w:r w:rsidRPr="000C4C0B">
            <w:rPr>
              <w:rFonts w:ascii="Arial" w:hAnsi="Arial" w:cs="Arial"/>
              <w:color w:val="000000"/>
            </w:rPr>
            <w:t xml:space="preserve">, </w:t>
          </w:r>
          <w:r w:rsidRPr="000C4C0B">
            <w:rPr>
              <w:rFonts w:ascii="Arial" w:hAnsi="Arial" w:cs="Arial"/>
              <w:i/>
              <w:iCs/>
              <w:color w:val="000000"/>
            </w:rPr>
            <w:t>5</w:t>
          </w:r>
          <w:r w:rsidRPr="000C4C0B">
            <w:rPr>
              <w:rFonts w:ascii="Arial" w:hAnsi="Arial" w:cs="Arial"/>
              <w:color w:val="000000"/>
            </w:rPr>
            <w:t>, 100105. https://doi.org/https://doi.org/10.1016/j.sctalk.2022.100105</w:t>
          </w:r>
        </w:p>
        <w:p w14:paraId="6000E55C" w14:textId="4D7A1331" w:rsidR="000C4C0B" w:rsidRPr="000C4C0B" w:rsidRDefault="000C4C0B" w:rsidP="000C4C0B">
          <w:pPr>
            <w:pStyle w:val="AbstHead"/>
            <w:spacing w:after="0"/>
            <w:jc w:val="both"/>
            <w:rPr>
              <w:rFonts w:ascii="Arial" w:hAnsi="Arial" w:cs="Arial"/>
              <w:b w:val="0"/>
              <w:bCs/>
              <w:sz w:val="20"/>
            </w:rPr>
          </w:pPr>
          <w:r w:rsidRPr="000C4C0B">
            <w:rPr>
              <w:rFonts w:ascii="Arial" w:hAnsi="Arial" w:cs="Arial"/>
              <w:b w:val="0"/>
              <w:color w:val="000000"/>
              <w:sz w:val="20"/>
            </w:rPr>
            <w:t> </w:t>
          </w:r>
        </w:p>
      </w:sdtContent>
    </w:sdt>
    <w:sectPr w:rsidR="000C4C0B" w:rsidRPr="000C4C0B" w:rsidSect="00462B4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4E2C6" w14:textId="77777777" w:rsidR="00F635A7" w:rsidRDefault="00F635A7" w:rsidP="00C37E61">
      <w:r>
        <w:separator/>
      </w:r>
    </w:p>
  </w:endnote>
  <w:endnote w:type="continuationSeparator" w:id="0">
    <w:p w14:paraId="3FE49690" w14:textId="77777777" w:rsidR="00F635A7" w:rsidRDefault="00F635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D007" w14:textId="77777777" w:rsidR="00462B4B" w:rsidRDefault="00462B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D978" w14:textId="77777777" w:rsidR="00462B4B" w:rsidRDefault="00462B4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341E" w14:textId="4F9998FB" w:rsidR="00754C9A" w:rsidRPr="00085E4C" w:rsidRDefault="00754C9A" w:rsidP="00085E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E223E" w14:textId="77777777" w:rsidR="00F635A7" w:rsidRDefault="00F635A7" w:rsidP="00C37E61">
      <w:r>
        <w:separator/>
      </w:r>
    </w:p>
  </w:footnote>
  <w:footnote w:type="continuationSeparator" w:id="0">
    <w:p w14:paraId="45D14427" w14:textId="77777777" w:rsidR="00F635A7" w:rsidRDefault="00F635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1D8E" w14:textId="570FDAF3" w:rsidR="00462B4B" w:rsidRDefault="00000000">
    <w:pPr>
      <w:pStyle w:val="Cabealho"/>
    </w:pPr>
    <w:r>
      <w:rPr>
        <w:noProof/>
      </w:rPr>
      <w:pict w14:anchorId="53B80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7"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7AE30" w14:textId="5F575A9F" w:rsidR="00462B4B" w:rsidRDefault="00000000">
    <w:pPr>
      <w:pStyle w:val="Cabealho"/>
    </w:pPr>
    <w:r>
      <w:rPr>
        <w:noProof/>
      </w:rPr>
      <w:pict w14:anchorId="4D054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8"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8FF42" w14:textId="3F926A68" w:rsidR="00296529" w:rsidRPr="00296529" w:rsidRDefault="00000000" w:rsidP="00296529">
    <w:pPr>
      <w:ind w:left="2160"/>
      <w:jc w:val="center"/>
      <w:rPr>
        <w:rFonts w:ascii="Times New Roman" w:eastAsia="Calibri" w:hAnsi="Times New Roman"/>
        <w:i/>
        <w:sz w:val="18"/>
        <w:szCs w:val="22"/>
      </w:rPr>
    </w:pPr>
    <w:r>
      <w:rPr>
        <w:noProof/>
      </w:rPr>
      <w:pict w14:anchorId="6386A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6"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75693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51F5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3531B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C17E6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1AA9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EB5803" w14:textId="77777777" w:rsidR="00296529" w:rsidRDefault="00754C9A">
    <w:pPr>
      <w:pStyle w:val="Cabealh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84449"/>
    <w:multiLevelType w:val="multilevel"/>
    <w:tmpl w:val="D68A1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74243F"/>
    <w:multiLevelType w:val="multilevel"/>
    <w:tmpl w:val="601C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EFE26A6"/>
    <w:multiLevelType w:val="multilevel"/>
    <w:tmpl w:val="BF5A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041794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22781403">
    <w:abstractNumId w:val="17"/>
  </w:num>
  <w:num w:numId="3" w16cid:durableId="2112627025">
    <w:abstractNumId w:val="26"/>
  </w:num>
  <w:num w:numId="4" w16cid:durableId="175185542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33845554">
    <w:abstractNumId w:val="7"/>
  </w:num>
  <w:num w:numId="6" w16cid:durableId="1261255709">
    <w:abstractNumId w:val="6"/>
  </w:num>
  <w:num w:numId="7" w16cid:durableId="1528634919">
    <w:abstractNumId w:val="1"/>
  </w:num>
  <w:num w:numId="8" w16cid:durableId="280190411">
    <w:abstractNumId w:val="13"/>
  </w:num>
  <w:num w:numId="9" w16cid:durableId="161049296">
    <w:abstractNumId w:val="28"/>
  </w:num>
  <w:num w:numId="10" w16cid:durableId="682440555">
    <w:abstractNumId w:val="2"/>
  </w:num>
  <w:num w:numId="11" w16cid:durableId="953252598">
    <w:abstractNumId w:val="21"/>
  </w:num>
  <w:num w:numId="12" w16cid:durableId="2047219997">
    <w:abstractNumId w:val="3"/>
  </w:num>
  <w:num w:numId="13" w16cid:durableId="86273814">
    <w:abstractNumId w:val="20"/>
  </w:num>
  <w:num w:numId="14" w16cid:durableId="206988155">
    <w:abstractNumId w:val="8"/>
  </w:num>
  <w:num w:numId="15" w16cid:durableId="1136145631">
    <w:abstractNumId w:val="24"/>
  </w:num>
  <w:num w:numId="16" w16cid:durableId="70471963">
    <w:abstractNumId w:val="5"/>
  </w:num>
  <w:num w:numId="17" w16cid:durableId="1210413642">
    <w:abstractNumId w:val="25"/>
  </w:num>
  <w:num w:numId="18" w16cid:durableId="1806239052">
    <w:abstractNumId w:val="15"/>
  </w:num>
  <w:num w:numId="19" w16cid:durableId="1009914273">
    <w:abstractNumId w:val="31"/>
  </w:num>
  <w:num w:numId="20" w16cid:durableId="1944024986">
    <w:abstractNumId w:val="12"/>
  </w:num>
  <w:num w:numId="21" w16cid:durableId="2062973561">
    <w:abstractNumId w:val="9"/>
  </w:num>
  <w:num w:numId="22" w16cid:durableId="1015612064">
    <w:abstractNumId w:val="14"/>
  </w:num>
  <w:num w:numId="23" w16cid:durableId="1781681517">
    <w:abstractNumId w:val="22"/>
  </w:num>
  <w:num w:numId="24" w16cid:durableId="1874880131">
    <w:abstractNumId w:val="29"/>
  </w:num>
  <w:num w:numId="25" w16cid:durableId="598638274">
    <w:abstractNumId w:val="4"/>
  </w:num>
  <w:num w:numId="26" w16cid:durableId="1710105927">
    <w:abstractNumId w:val="19"/>
  </w:num>
  <w:num w:numId="27" w16cid:durableId="762841394">
    <w:abstractNumId w:val="23"/>
  </w:num>
  <w:num w:numId="28" w16cid:durableId="640354684">
    <w:abstractNumId w:val="30"/>
  </w:num>
  <w:num w:numId="29" w16cid:durableId="1487474055">
    <w:abstractNumId w:val="27"/>
  </w:num>
  <w:num w:numId="30" w16cid:durableId="980035956">
    <w:abstractNumId w:val="10"/>
  </w:num>
  <w:num w:numId="31" w16cid:durableId="1217551431">
    <w:abstractNumId w:val="16"/>
  </w:num>
  <w:num w:numId="32" w16cid:durableId="171260759">
    <w:abstractNumId w:val="18"/>
  </w:num>
  <w:num w:numId="33" w16cid:durableId="6170295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5E4C"/>
    <w:rsid w:val="00091136"/>
    <w:rsid w:val="000A47FA"/>
    <w:rsid w:val="000A65D3"/>
    <w:rsid w:val="000B1E33"/>
    <w:rsid w:val="000C3590"/>
    <w:rsid w:val="000C4C0B"/>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2D78"/>
    <w:rsid w:val="00231920"/>
    <w:rsid w:val="0023195C"/>
    <w:rsid w:val="0024282C"/>
    <w:rsid w:val="002460DC"/>
    <w:rsid w:val="00250985"/>
    <w:rsid w:val="002556F6"/>
    <w:rsid w:val="00273CA4"/>
    <w:rsid w:val="00283105"/>
    <w:rsid w:val="00284C4C"/>
    <w:rsid w:val="00287E68"/>
    <w:rsid w:val="00296529"/>
    <w:rsid w:val="002B27FB"/>
    <w:rsid w:val="002B685A"/>
    <w:rsid w:val="002C57D2"/>
    <w:rsid w:val="002E0D56"/>
    <w:rsid w:val="00315186"/>
    <w:rsid w:val="0033343E"/>
    <w:rsid w:val="003512C2"/>
    <w:rsid w:val="0036253B"/>
    <w:rsid w:val="00370170"/>
    <w:rsid w:val="00371FB6"/>
    <w:rsid w:val="003763C1"/>
    <w:rsid w:val="00376BBE"/>
    <w:rsid w:val="0039224F"/>
    <w:rsid w:val="003A43A4"/>
    <w:rsid w:val="003A7E18"/>
    <w:rsid w:val="003C4C86"/>
    <w:rsid w:val="003C6258"/>
    <w:rsid w:val="003E2904"/>
    <w:rsid w:val="00401927"/>
    <w:rsid w:val="0041027F"/>
    <w:rsid w:val="00412475"/>
    <w:rsid w:val="00423789"/>
    <w:rsid w:val="00436BDD"/>
    <w:rsid w:val="00440F43"/>
    <w:rsid w:val="00441B6F"/>
    <w:rsid w:val="00446221"/>
    <w:rsid w:val="00450E62"/>
    <w:rsid w:val="004539DB"/>
    <w:rsid w:val="00462B4B"/>
    <w:rsid w:val="00471A80"/>
    <w:rsid w:val="004851ED"/>
    <w:rsid w:val="004D305E"/>
    <w:rsid w:val="004D4277"/>
    <w:rsid w:val="00502516"/>
    <w:rsid w:val="00505F06"/>
    <w:rsid w:val="00506828"/>
    <w:rsid w:val="00513FDE"/>
    <w:rsid w:val="0053056E"/>
    <w:rsid w:val="00554FDA"/>
    <w:rsid w:val="005C784C"/>
    <w:rsid w:val="005D17F6"/>
    <w:rsid w:val="005E5539"/>
    <w:rsid w:val="00602BF5"/>
    <w:rsid w:val="00606E2A"/>
    <w:rsid w:val="00617FDD"/>
    <w:rsid w:val="00623D25"/>
    <w:rsid w:val="00633614"/>
    <w:rsid w:val="00633F68"/>
    <w:rsid w:val="00636EB2"/>
    <w:rsid w:val="006375B8"/>
    <w:rsid w:val="0066510A"/>
    <w:rsid w:val="00673F9F"/>
    <w:rsid w:val="00686953"/>
    <w:rsid w:val="00687DEA"/>
    <w:rsid w:val="00687E67"/>
    <w:rsid w:val="006967F7"/>
    <w:rsid w:val="006A250C"/>
    <w:rsid w:val="006B21D3"/>
    <w:rsid w:val="006B57D0"/>
    <w:rsid w:val="006B77EE"/>
    <w:rsid w:val="006D30FF"/>
    <w:rsid w:val="006D6940"/>
    <w:rsid w:val="006F11EC"/>
    <w:rsid w:val="006F7A37"/>
    <w:rsid w:val="0070082C"/>
    <w:rsid w:val="00712DFF"/>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7994"/>
    <w:rsid w:val="008E13AE"/>
    <w:rsid w:val="008E1506"/>
    <w:rsid w:val="008E710C"/>
    <w:rsid w:val="008F69D6"/>
    <w:rsid w:val="00902823"/>
    <w:rsid w:val="00915CA6"/>
    <w:rsid w:val="00927834"/>
    <w:rsid w:val="0094502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D82"/>
    <w:rsid w:val="00A1438D"/>
    <w:rsid w:val="00A24E7E"/>
    <w:rsid w:val="00A258C3"/>
    <w:rsid w:val="00A347C0"/>
    <w:rsid w:val="00A51431"/>
    <w:rsid w:val="00A539AD"/>
    <w:rsid w:val="00A94063"/>
    <w:rsid w:val="00AA6219"/>
    <w:rsid w:val="00AA74E0"/>
    <w:rsid w:val="00AB703F"/>
    <w:rsid w:val="00AC6BB8"/>
    <w:rsid w:val="00AE008F"/>
    <w:rsid w:val="00B01FCD"/>
    <w:rsid w:val="00B1220F"/>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216E"/>
    <w:rsid w:val="00C532A6"/>
    <w:rsid w:val="00C70F1B"/>
    <w:rsid w:val="00C71A47"/>
    <w:rsid w:val="00C7464C"/>
    <w:rsid w:val="00C85588"/>
    <w:rsid w:val="00CB38E1"/>
    <w:rsid w:val="00CD6755"/>
    <w:rsid w:val="00CD6856"/>
    <w:rsid w:val="00CE0089"/>
    <w:rsid w:val="00CE793C"/>
    <w:rsid w:val="00CF193C"/>
    <w:rsid w:val="00D12DEF"/>
    <w:rsid w:val="00D173F1"/>
    <w:rsid w:val="00D74CB0"/>
    <w:rsid w:val="00D8295D"/>
    <w:rsid w:val="00DC1B86"/>
    <w:rsid w:val="00DC2A65"/>
    <w:rsid w:val="00DD112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5A7"/>
    <w:rsid w:val="00F755E4"/>
    <w:rsid w:val="00F77D02"/>
    <w:rsid w:val="00FA5C5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17BC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A13D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semiHidden/>
    <w:unhideWhenUsed/>
    <w:qFormat/>
    <w:rsid w:val="00C532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character" w:customStyle="1" w:styleId="Ttulo3Char">
    <w:name w:val="Título 3 Char"/>
    <w:basedOn w:val="Fontepargpadro"/>
    <w:link w:val="Ttulo3"/>
    <w:uiPriority w:val="9"/>
    <w:semiHidden/>
    <w:rsid w:val="00A13D82"/>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C532A6"/>
    <w:rPr>
      <w:rFonts w:asciiTheme="majorHAnsi" w:eastAsiaTheme="majorEastAsia" w:hAnsiTheme="majorHAnsi" w:cstheme="majorBidi"/>
      <w:i/>
      <w:iCs/>
      <w:color w:val="365F91" w:themeColor="accent1" w:themeShade="BF"/>
    </w:rPr>
  </w:style>
  <w:style w:type="paragraph" w:styleId="PargrafodaLista">
    <w:name w:val="List Paragraph"/>
    <w:basedOn w:val="Normal"/>
    <w:uiPriority w:val="34"/>
    <w:qFormat/>
    <w:rsid w:val="00091136"/>
    <w:pPr>
      <w:ind w:left="720"/>
      <w:contextualSpacing/>
    </w:pPr>
  </w:style>
  <w:style w:type="character" w:styleId="TextodoEspaoReservado">
    <w:name w:val="Placeholder Text"/>
    <w:basedOn w:val="Fontepargpadro"/>
    <w:uiPriority w:val="99"/>
    <w:semiHidden/>
    <w:rsid w:val="000C4C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58908">
      <w:marLeft w:val="640"/>
      <w:marRight w:val="0"/>
      <w:marTop w:val="0"/>
      <w:marBottom w:val="0"/>
      <w:divBdr>
        <w:top w:val="none" w:sz="0" w:space="0" w:color="auto"/>
        <w:left w:val="none" w:sz="0" w:space="0" w:color="auto"/>
        <w:bottom w:val="none" w:sz="0" w:space="0" w:color="auto"/>
        <w:right w:val="none" w:sz="0" w:space="0" w:color="auto"/>
      </w:divBdr>
    </w:div>
    <w:div w:id="68581882">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3343780">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8022563">
      <w:marLeft w:val="640"/>
      <w:marRight w:val="0"/>
      <w:marTop w:val="0"/>
      <w:marBottom w:val="0"/>
      <w:divBdr>
        <w:top w:val="none" w:sz="0" w:space="0" w:color="auto"/>
        <w:left w:val="none" w:sz="0" w:space="0" w:color="auto"/>
        <w:bottom w:val="none" w:sz="0" w:space="0" w:color="auto"/>
        <w:right w:val="none" w:sz="0" w:space="0" w:color="auto"/>
      </w:divBdr>
    </w:div>
    <w:div w:id="361395697">
      <w:marLeft w:val="640"/>
      <w:marRight w:val="0"/>
      <w:marTop w:val="0"/>
      <w:marBottom w:val="0"/>
      <w:divBdr>
        <w:top w:val="none" w:sz="0" w:space="0" w:color="auto"/>
        <w:left w:val="none" w:sz="0" w:space="0" w:color="auto"/>
        <w:bottom w:val="none" w:sz="0" w:space="0" w:color="auto"/>
        <w:right w:val="none" w:sz="0" w:space="0" w:color="auto"/>
      </w:divBdr>
    </w:div>
    <w:div w:id="446240965">
      <w:marLeft w:val="480"/>
      <w:marRight w:val="0"/>
      <w:marTop w:val="0"/>
      <w:marBottom w:val="0"/>
      <w:divBdr>
        <w:top w:val="none" w:sz="0" w:space="0" w:color="auto"/>
        <w:left w:val="none" w:sz="0" w:space="0" w:color="auto"/>
        <w:bottom w:val="none" w:sz="0" w:space="0" w:color="auto"/>
        <w:right w:val="none" w:sz="0" w:space="0" w:color="auto"/>
      </w:divBdr>
    </w:div>
    <w:div w:id="494617012">
      <w:marLeft w:val="480"/>
      <w:marRight w:val="0"/>
      <w:marTop w:val="0"/>
      <w:marBottom w:val="0"/>
      <w:divBdr>
        <w:top w:val="none" w:sz="0" w:space="0" w:color="auto"/>
        <w:left w:val="none" w:sz="0" w:space="0" w:color="auto"/>
        <w:bottom w:val="none" w:sz="0" w:space="0" w:color="auto"/>
        <w:right w:val="none" w:sz="0" w:space="0" w:color="auto"/>
      </w:divBdr>
    </w:div>
    <w:div w:id="558712376">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9699228">
      <w:marLeft w:val="640"/>
      <w:marRight w:val="0"/>
      <w:marTop w:val="0"/>
      <w:marBottom w:val="0"/>
      <w:divBdr>
        <w:top w:val="none" w:sz="0" w:space="0" w:color="auto"/>
        <w:left w:val="none" w:sz="0" w:space="0" w:color="auto"/>
        <w:bottom w:val="none" w:sz="0" w:space="0" w:color="auto"/>
        <w:right w:val="none" w:sz="0" w:space="0" w:color="auto"/>
      </w:divBdr>
    </w:div>
    <w:div w:id="751271609">
      <w:marLeft w:val="480"/>
      <w:marRight w:val="0"/>
      <w:marTop w:val="0"/>
      <w:marBottom w:val="0"/>
      <w:divBdr>
        <w:top w:val="none" w:sz="0" w:space="0" w:color="auto"/>
        <w:left w:val="none" w:sz="0" w:space="0" w:color="auto"/>
        <w:bottom w:val="none" w:sz="0" w:space="0" w:color="auto"/>
        <w:right w:val="none" w:sz="0" w:space="0" w:color="auto"/>
      </w:divBdr>
    </w:div>
    <w:div w:id="827743113">
      <w:marLeft w:val="640"/>
      <w:marRight w:val="0"/>
      <w:marTop w:val="0"/>
      <w:marBottom w:val="0"/>
      <w:divBdr>
        <w:top w:val="none" w:sz="0" w:space="0" w:color="auto"/>
        <w:left w:val="none" w:sz="0" w:space="0" w:color="auto"/>
        <w:bottom w:val="none" w:sz="0" w:space="0" w:color="auto"/>
        <w:right w:val="none" w:sz="0" w:space="0" w:color="auto"/>
      </w:divBdr>
    </w:div>
    <w:div w:id="872962490">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76877">
      <w:marLeft w:val="480"/>
      <w:marRight w:val="0"/>
      <w:marTop w:val="0"/>
      <w:marBottom w:val="0"/>
      <w:divBdr>
        <w:top w:val="none" w:sz="0" w:space="0" w:color="auto"/>
        <w:left w:val="none" w:sz="0" w:space="0" w:color="auto"/>
        <w:bottom w:val="none" w:sz="0" w:space="0" w:color="auto"/>
        <w:right w:val="none" w:sz="0" w:space="0" w:color="auto"/>
      </w:divBdr>
    </w:div>
    <w:div w:id="1038748176">
      <w:marLeft w:val="480"/>
      <w:marRight w:val="0"/>
      <w:marTop w:val="0"/>
      <w:marBottom w:val="0"/>
      <w:divBdr>
        <w:top w:val="none" w:sz="0" w:space="0" w:color="auto"/>
        <w:left w:val="none" w:sz="0" w:space="0" w:color="auto"/>
        <w:bottom w:val="none" w:sz="0" w:space="0" w:color="auto"/>
        <w:right w:val="none" w:sz="0" w:space="0" w:color="auto"/>
      </w:divBdr>
    </w:div>
    <w:div w:id="1040978682">
      <w:marLeft w:val="640"/>
      <w:marRight w:val="0"/>
      <w:marTop w:val="0"/>
      <w:marBottom w:val="0"/>
      <w:divBdr>
        <w:top w:val="none" w:sz="0" w:space="0" w:color="auto"/>
        <w:left w:val="none" w:sz="0" w:space="0" w:color="auto"/>
        <w:bottom w:val="none" w:sz="0" w:space="0" w:color="auto"/>
        <w:right w:val="none" w:sz="0" w:space="0" w:color="auto"/>
      </w:divBdr>
    </w:div>
    <w:div w:id="1042708060">
      <w:marLeft w:val="480"/>
      <w:marRight w:val="0"/>
      <w:marTop w:val="0"/>
      <w:marBottom w:val="0"/>
      <w:divBdr>
        <w:top w:val="none" w:sz="0" w:space="0" w:color="auto"/>
        <w:left w:val="none" w:sz="0" w:space="0" w:color="auto"/>
        <w:bottom w:val="none" w:sz="0" w:space="0" w:color="auto"/>
        <w:right w:val="none" w:sz="0" w:space="0" w:color="auto"/>
      </w:divBdr>
    </w:div>
    <w:div w:id="1055854513">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895742">
      <w:marLeft w:val="480"/>
      <w:marRight w:val="0"/>
      <w:marTop w:val="0"/>
      <w:marBottom w:val="0"/>
      <w:divBdr>
        <w:top w:val="none" w:sz="0" w:space="0" w:color="auto"/>
        <w:left w:val="none" w:sz="0" w:space="0" w:color="auto"/>
        <w:bottom w:val="none" w:sz="0" w:space="0" w:color="auto"/>
        <w:right w:val="none" w:sz="0" w:space="0" w:color="auto"/>
      </w:divBdr>
    </w:div>
    <w:div w:id="1166869475">
      <w:marLeft w:val="640"/>
      <w:marRight w:val="0"/>
      <w:marTop w:val="0"/>
      <w:marBottom w:val="0"/>
      <w:divBdr>
        <w:top w:val="none" w:sz="0" w:space="0" w:color="auto"/>
        <w:left w:val="none" w:sz="0" w:space="0" w:color="auto"/>
        <w:bottom w:val="none" w:sz="0" w:space="0" w:color="auto"/>
        <w:right w:val="none" w:sz="0" w:space="0" w:color="auto"/>
      </w:divBdr>
    </w:div>
    <w:div w:id="1190489249">
      <w:marLeft w:val="480"/>
      <w:marRight w:val="0"/>
      <w:marTop w:val="0"/>
      <w:marBottom w:val="0"/>
      <w:divBdr>
        <w:top w:val="none" w:sz="0" w:space="0" w:color="auto"/>
        <w:left w:val="none" w:sz="0" w:space="0" w:color="auto"/>
        <w:bottom w:val="none" w:sz="0" w:space="0" w:color="auto"/>
        <w:right w:val="none" w:sz="0" w:space="0" w:color="auto"/>
      </w:divBdr>
    </w:div>
    <w:div w:id="1202744204">
      <w:marLeft w:val="480"/>
      <w:marRight w:val="0"/>
      <w:marTop w:val="0"/>
      <w:marBottom w:val="0"/>
      <w:divBdr>
        <w:top w:val="none" w:sz="0" w:space="0" w:color="auto"/>
        <w:left w:val="none" w:sz="0" w:space="0" w:color="auto"/>
        <w:bottom w:val="none" w:sz="0" w:space="0" w:color="auto"/>
        <w:right w:val="none" w:sz="0" w:space="0" w:color="auto"/>
      </w:divBdr>
    </w:div>
    <w:div w:id="1222205259">
      <w:marLeft w:val="480"/>
      <w:marRight w:val="0"/>
      <w:marTop w:val="0"/>
      <w:marBottom w:val="0"/>
      <w:divBdr>
        <w:top w:val="none" w:sz="0" w:space="0" w:color="auto"/>
        <w:left w:val="none" w:sz="0" w:space="0" w:color="auto"/>
        <w:bottom w:val="none" w:sz="0" w:space="0" w:color="auto"/>
        <w:right w:val="none" w:sz="0" w:space="0" w:color="auto"/>
      </w:divBdr>
    </w:div>
    <w:div w:id="1278564170">
      <w:marLeft w:val="480"/>
      <w:marRight w:val="0"/>
      <w:marTop w:val="0"/>
      <w:marBottom w:val="0"/>
      <w:divBdr>
        <w:top w:val="none" w:sz="0" w:space="0" w:color="auto"/>
        <w:left w:val="none" w:sz="0" w:space="0" w:color="auto"/>
        <w:bottom w:val="none" w:sz="0" w:space="0" w:color="auto"/>
        <w:right w:val="none" w:sz="0" w:space="0" w:color="auto"/>
      </w:divBdr>
    </w:div>
    <w:div w:id="1334457992">
      <w:marLeft w:val="640"/>
      <w:marRight w:val="0"/>
      <w:marTop w:val="0"/>
      <w:marBottom w:val="0"/>
      <w:divBdr>
        <w:top w:val="none" w:sz="0" w:space="0" w:color="auto"/>
        <w:left w:val="none" w:sz="0" w:space="0" w:color="auto"/>
        <w:bottom w:val="none" w:sz="0" w:space="0" w:color="auto"/>
        <w:right w:val="none" w:sz="0" w:space="0" w:color="auto"/>
      </w:divBdr>
    </w:div>
    <w:div w:id="1352605803">
      <w:marLeft w:val="480"/>
      <w:marRight w:val="0"/>
      <w:marTop w:val="0"/>
      <w:marBottom w:val="0"/>
      <w:divBdr>
        <w:top w:val="none" w:sz="0" w:space="0" w:color="auto"/>
        <w:left w:val="none" w:sz="0" w:space="0" w:color="auto"/>
        <w:bottom w:val="none" w:sz="0" w:space="0" w:color="auto"/>
        <w:right w:val="none" w:sz="0" w:space="0" w:color="auto"/>
      </w:divBdr>
    </w:div>
    <w:div w:id="1609461784">
      <w:marLeft w:val="480"/>
      <w:marRight w:val="0"/>
      <w:marTop w:val="0"/>
      <w:marBottom w:val="0"/>
      <w:divBdr>
        <w:top w:val="none" w:sz="0" w:space="0" w:color="auto"/>
        <w:left w:val="none" w:sz="0" w:space="0" w:color="auto"/>
        <w:bottom w:val="none" w:sz="0" w:space="0" w:color="auto"/>
        <w:right w:val="none" w:sz="0" w:space="0" w:color="auto"/>
      </w:divBdr>
    </w:div>
    <w:div w:id="1609462307">
      <w:marLeft w:val="480"/>
      <w:marRight w:val="0"/>
      <w:marTop w:val="0"/>
      <w:marBottom w:val="0"/>
      <w:divBdr>
        <w:top w:val="none" w:sz="0" w:space="0" w:color="auto"/>
        <w:left w:val="none" w:sz="0" w:space="0" w:color="auto"/>
        <w:bottom w:val="none" w:sz="0" w:space="0" w:color="auto"/>
        <w:right w:val="none" w:sz="0" w:space="0" w:color="auto"/>
      </w:divBdr>
    </w:div>
    <w:div w:id="1651405963">
      <w:marLeft w:val="480"/>
      <w:marRight w:val="0"/>
      <w:marTop w:val="0"/>
      <w:marBottom w:val="0"/>
      <w:divBdr>
        <w:top w:val="none" w:sz="0" w:space="0" w:color="auto"/>
        <w:left w:val="none" w:sz="0" w:space="0" w:color="auto"/>
        <w:bottom w:val="none" w:sz="0" w:space="0" w:color="auto"/>
        <w:right w:val="none" w:sz="0" w:space="0" w:color="auto"/>
      </w:divBdr>
    </w:div>
    <w:div w:id="1714816384">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499648">
      <w:marLeft w:val="480"/>
      <w:marRight w:val="0"/>
      <w:marTop w:val="0"/>
      <w:marBottom w:val="0"/>
      <w:divBdr>
        <w:top w:val="none" w:sz="0" w:space="0" w:color="auto"/>
        <w:left w:val="none" w:sz="0" w:space="0" w:color="auto"/>
        <w:bottom w:val="none" w:sz="0" w:space="0" w:color="auto"/>
        <w:right w:val="none" w:sz="0" w:space="0" w:color="auto"/>
      </w:divBdr>
    </w:div>
    <w:div w:id="1919094003">
      <w:marLeft w:val="640"/>
      <w:marRight w:val="0"/>
      <w:marTop w:val="0"/>
      <w:marBottom w:val="0"/>
      <w:divBdr>
        <w:top w:val="none" w:sz="0" w:space="0" w:color="auto"/>
        <w:left w:val="none" w:sz="0" w:space="0" w:color="auto"/>
        <w:bottom w:val="none" w:sz="0" w:space="0" w:color="auto"/>
        <w:right w:val="none" w:sz="0" w:space="0" w:color="auto"/>
      </w:divBdr>
    </w:div>
    <w:div w:id="1928272627">
      <w:marLeft w:val="640"/>
      <w:marRight w:val="0"/>
      <w:marTop w:val="0"/>
      <w:marBottom w:val="0"/>
      <w:divBdr>
        <w:top w:val="none" w:sz="0" w:space="0" w:color="auto"/>
        <w:left w:val="none" w:sz="0" w:space="0" w:color="auto"/>
        <w:bottom w:val="none" w:sz="0" w:space="0" w:color="auto"/>
        <w:right w:val="none" w:sz="0" w:space="0" w:color="auto"/>
      </w:divBdr>
    </w:div>
    <w:div w:id="1931039726">
      <w:marLeft w:val="640"/>
      <w:marRight w:val="0"/>
      <w:marTop w:val="0"/>
      <w:marBottom w:val="0"/>
      <w:divBdr>
        <w:top w:val="none" w:sz="0" w:space="0" w:color="auto"/>
        <w:left w:val="none" w:sz="0" w:space="0" w:color="auto"/>
        <w:bottom w:val="none" w:sz="0" w:space="0" w:color="auto"/>
        <w:right w:val="none" w:sz="0" w:space="0" w:color="auto"/>
      </w:divBdr>
    </w:div>
    <w:div w:id="1931620311">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5591701">
      <w:marLeft w:val="640"/>
      <w:marRight w:val="0"/>
      <w:marTop w:val="0"/>
      <w:marBottom w:val="0"/>
      <w:divBdr>
        <w:top w:val="none" w:sz="0" w:space="0" w:color="auto"/>
        <w:left w:val="none" w:sz="0" w:space="0" w:color="auto"/>
        <w:bottom w:val="none" w:sz="0" w:space="0" w:color="auto"/>
        <w:right w:val="none" w:sz="0" w:space="0" w:color="auto"/>
      </w:divBdr>
    </w:div>
    <w:div w:id="212645887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ooks.google.com.br/books?hl=pt-BR&amp;lr=&amp;id=O5ilEQAAQBAJ&amp;oi=fnd&amp;pg=PA468&amp;dq=State-of-the-Art+Studies+on+LST+and+UHI+in+India&amp;ots=yPTTh5swI3&amp;sig=oZNQ5k0I7jj2rVxPYmlBUdKEGLA"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9734/jgeesi/2025/v29i12982" TargetMode="External"/><Relationship Id="rId25" Type="http://schemas.openxmlformats.org/officeDocument/2006/relationships/image" Target="media/image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org/10.9734/jgeesi/2025/v29i12980" TargetMode="External"/><Relationship Id="rId20" Type="http://schemas.openxmlformats.org/officeDocument/2006/relationships/hyperlink" Target="https://books.google.com.br/books?hl=pt-BR&amp;lr=&amp;id=O5ilEQAAQBAJ&amp;oi=fnd&amp;pg=PA468&amp;dq=State-of-the-Art+Studies+on+LST+and+UHI+in+India&amp;ots=yPTTgdAyE0&amp;sig=kKSJtB2QnyrDQr2UB8Eidf_pJ5o"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9734/jgeesi/2025/v29i12979"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idp.springer.com/authorize/casa?redirect_uri=https://link.springer.com/article/10.1007/s10661-025-13810-3&amp;casa_token=H952vgtDH2YAAAAA:Y--OrItfE6ByMY-OS1utVrJWe6pthom5Zpq4OYLgfKLBAXXOgkweH6Xi-qGrqSavTI2jvo9tbHBWBf3SQQ" TargetMode="External"/><Relationship Id="rId31" Type="http://schemas.openxmlformats.org/officeDocument/2006/relationships/hyperlink" Target="https://github.com/suneelcs1615/GoogleEarthEngine/blob/main/LST.j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journaljgeesi.com/index.php/JGEESI/inde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0FFBC8C3344CBD95989585B526D3C2"/>
        <w:category>
          <w:name w:val="General"/>
          <w:gallery w:val="placeholder"/>
        </w:category>
        <w:types>
          <w:type w:val="bbPlcHdr"/>
        </w:types>
        <w:behaviors>
          <w:behavior w:val="content"/>
        </w:behaviors>
        <w:guid w:val="{A41E7B7A-4A8F-4524-8F50-5FCD90609254}"/>
      </w:docPartPr>
      <w:docPartBody>
        <w:p w:rsidR="00C20E3E" w:rsidRDefault="00732FB1" w:rsidP="00732FB1">
          <w:pPr>
            <w:pStyle w:val="250FFBC8C3344CBD95989585B526D3C2"/>
          </w:pPr>
          <w:r w:rsidRPr="0065661A">
            <w:rPr>
              <w:rStyle w:val="TextodoEspaoReservado"/>
            </w:rPr>
            <w:t>Click or tap here to enter text.</w:t>
          </w:r>
        </w:p>
      </w:docPartBody>
    </w:docPart>
    <w:docPart>
      <w:docPartPr>
        <w:name w:val="CF44A8D845674E45BD44A8935D591413"/>
        <w:category>
          <w:name w:val="General"/>
          <w:gallery w:val="placeholder"/>
        </w:category>
        <w:types>
          <w:type w:val="bbPlcHdr"/>
        </w:types>
        <w:behaviors>
          <w:behavior w:val="content"/>
        </w:behaviors>
        <w:guid w:val="{B336A78E-F2CC-4948-A17A-77E147AB053A}"/>
      </w:docPartPr>
      <w:docPartBody>
        <w:p w:rsidR="00C20E3E" w:rsidRDefault="00732FB1" w:rsidP="00732FB1">
          <w:pPr>
            <w:pStyle w:val="CF44A8D845674E45BD44A8935D591413"/>
          </w:pPr>
          <w:r w:rsidRPr="0065661A">
            <w:rPr>
              <w:rStyle w:val="TextodoEspaoReservado"/>
            </w:rPr>
            <w:t>Click or tap here to enter text.</w:t>
          </w:r>
        </w:p>
      </w:docPartBody>
    </w:docPart>
    <w:docPart>
      <w:docPartPr>
        <w:name w:val="8E2A05C47F3849719B81DB3A89F56319"/>
        <w:category>
          <w:name w:val="General"/>
          <w:gallery w:val="placeholder"/>
        </w:category>
        <w:types>
          <w:type w:val="bbPlcHdr"/>
        </w:types>
        <w:behaviors>
          <w:behavior w:val="content"/>
        </w:behaviors>
        <w:guid w:val="{98C378DB-78A1-49D6-B748-EE8A9C0766BD}"/>
      </w:docPartPr>
      <w:docPartBody>
        <w:p w:rsidR="00C20E3E" w:rsidRDefault="00732FB1" w:rsidP="00732FB1">
          <w:pPr>
            <w:pStyle w:val="8E2A05C47F3849719B81DB3A89F56319"/>
          </w:pPr>
          <w:r w:rsidRPr="0065661A">
            <w:rPr>
              <w:rStyle w:val="TextodoEspaoReservado"/>
            </w:rPr>
            <w:t>Click or tap here to enter text.</w:t>
          </w:r>
        </w:p>
      </w:docPartBody>
    </w:docPart>
    <w:docPart>
      <w:docPartPr>
        <w:name w:val="D0338F7932CA40B096D6D1FA67D8F852"/>
        <w:category>
          <w:name w:val="General"/>
          <w:gallery w:val="placeholder"/>
        </w:category>
        <w:types>
          <w:type w:val="bbPlcHdr"/>
        </w:types>
        <w:behaviors>
          <w:behavior w:val="content"/>
        </w:behaviors>
        <w:guid w:val="{95112607-C615-4C1D-9AE9-82051817DD3B}"/>
      </w:docPartPr>
      <w:docPartBody>
        <w:p w:rsidR="00C20E3E" w:rsidRDefault="00732FB1" w:rsidP="00732FB1">
          <w:pPr>
            <w:pStyle w:val="D0338F7932CA40B096D6D1FA67D8F852"/>
          </w:pPr>
          <w:r w:rsidRPr="0065661A">
            <w:rPr>
              <w:rStyle w:val="TextodoEspaoReservado"/>
            </w:rPr>
            <w:t>Click or tap here to enter text.</w:t>
          </w:r>
        </w:p>
      </w:docPartBody>
    </w:docPart>
    <w:docPart>
      <w:docPartPr>
        <w:name w:val="24C674E1045A4F279C8AC1AFBFA5AF9F"/>
        <w:category>
          <w:name w:val="General"/>
          <w:gallery w:val="placeholder"/>
        </w:category>
        <w:types>
          <w:type w:val="bbPlcHdr"/>
        </w:types>
        <w:behaviors>
          <w:behavior w:val="content"/>
        </w:behaviors>
        <w:guid w:val="{EC250A56-E1AC-4673-BD97-42FF7011BFCA}"/>
      </w:docPartPr>
      <w:docPartBody>
        <w:p w:rsidR="00C20E3E" w:rsidRDefault="00732FB1" w:rsidP="00732FB1">
          <w:pPr>
            <w:pStyle w:val="24C674E1045A4F279C8AC1AFBFA5AF9F"/>
          </w:pPr>
          <w:r w:rsidRPr="0065661A">
            <w:rPr>
              <w:rStyle w:val="TextodoEspaoReservado"/>
            </w:rPr>
            <w:t>Click or tap here to enter text.</w:t>
          </w:r>
        </w:p>
      </w:docPartBody>
    </w:docPart>
    <w:docPart>
      <w:docPartPr>
        <w:name w:val="299819BBE9D74374A586022658687AE5"/>
        <w:category>
          <w:name w:val="General"/>
          <w:gallery w:val="placeholder"/>
        </w:category>
        <w:types>
          <w:type w:val="bbPlcHdr"/>
        </w:types>
        <w:behaviors>
          <w:behavior w:val="content"/>
        </w:behaviors>
        <w:guid w:val="{B5416D06-40C1-4988-A907-C172DBB8B053}"/>
      </w:docPartPr>
      <w:docPartBody>
        <w:p w:rsidR="00C20E3E" w:rsidRDefault="00732FB1" w:rsidP="00732FB1">
          <w:pPr>
            <w:pStyle w:val="299819BBE9D74374A586022658687AE5"/>
          </w:pPr>
          <w:r w:rsidRPr="0065661A">
            <w:rPr>
              <w:rStyle w:val="TextodoEspaoReservado"/>
            </w:rPr>
            <w:t>Click or tap here to enter text.</w:t>
          </w:r>
        </w:p>
      </w:docPartBody>
    </w:docPart>
    <w:docPart>
      <w:docPartPr>
        <w:name w:val="084B25F7B077489BA6117D8CB869CAC1"/>
        <w:category>
          <w:name w:val="General"/>
          <w:gallery w:val="placeholder"/>
        </w:category>
        <w:types>
          <w:type w:val="bbPlcHdr"/>
        </w:types>
        <w:behaviors>
          <w:behavior w:val="content"/>
        </w:behaviors>
        <w:guid w:val="{90CAFF69-131C-4BF9-86F6-92289EC233D4}"/>
      </w:docPartPr>
      <w:docPartBody>
        <w:p w:rsidR="00C20E3E" w:rsidRDefault="00732FB1" w:rsidP="00732FB1">
          <w:pPr>
            <w:pStyle w:val="084B25F7B077489BA6117D8CB869CAC1"/>
          </w:pPr>
          <w:r w:rsidRPr="0065661A">
            <w:rPr>
              <w:rStyle w:val="TextodoEspaoReservado"/>
            </w:rPr>
            <w:t>Click or tap here to enter text.</w:t>
          </w:r>
        </w:p>
      </w:docPartBody>
    </w:docPart>
    <w:docPart>
      <w:docPartPr>
        <w:name w:val="EBB91196A3DC450FB055D5ED2AADA667"/>
        <w:category>
          <w:name w:val="General"/>
          <w:gallery w:val="placeholder"/>
        </w:category>
        <w:types>
          <w:type w:val="bbPlcHdr"/>
        </w:types>
        <w:behaviors>
          <w:behavior w:val="content"/>
        </w:behaviors>
        <w:guid w:val="{A54EF4B8-85AB-4B4C-98EE-099D7A1DA600}"/>
      </w:docPartPr>
      <w:docPartBody>
        <w:p w:rsidR="00C20E3E" w:rsidRDefault="00732FB1" w:rsidP="00732FB1">
          <w:pPr>
            <w:pStyle w:val="EBB91196A3DC450FB055D5ED2AADA667"/>
          </w:pPr>
          <w:r w:rsidRPr="0065661A">
            <w:rPr>
              <w:rStyle w:val="TextodoEspaoReservado"/>
            </w:rPr>
            <w:t>Click or tap here to enter text.</w:t>
          </w:r>
        </w:p>
      </w:docPartBody>
    </w:docPart>
    <w:docPart>
      <w:docPartPr>
        <w:name w:val="AED9F45544E94C72B4CCC844306687CB"/>
        <w:category>
          <w:name w:val="General"/>
          <w:gallery w:val="placeholder"/>
        </w:category>
        <w:types>
          <w:type w:val="bbPlcHdr"/>
        </w:types>
        <w:behaviors>
          <w:behavior w:val="content"/>
        </w:behaviors>
        <w:guid w:val="{740BA635-84FA-4398-8320-F162106806B8}"/>
      </w:docPartPr>
      <w:docPartBody>
        <w:p w:rsidR="00C20E3E" w:rsidRDefault="00732FB1" w:rsidP="00732FB1">
          <w:pPr>
            <w:pStyle w:val="AED9F45544E94C72B4CCC844306687CB"/>
          </w:pPr>
          <w:r w:rsidRPr="0065661A">
            <w:rPr>
              <w:rStyle w:val="TextodoEspaoReservado"/>
            </w:rPr>
            <w:t>Click or tap here to enter text.</w:t>
          </w:r>
        </w:p>
      </w:docPartBody>
    </w:docPart>
    <w:docPart>
      <w:docPartPr>
        <w:name w:val="C7417F7C0964485598DCB574AD8095E8"/>
        <w:category>
          <w:name w:val="General"/>
          <w:gallery w:val="placeholder"/>
        </w:category>
        <w:types>
          <w:type w:val="bbPlcHdr"/>
        </w:types>
        <w:behaviors>
          <w:behavior w:val="content"/>
        </w:behaviors>
        <w:guid w:val="{9DDB8EBE-9D7C-4E4E-B455-5803A9FEDDAD}"/>
      </w:docPartPr>
      <w:docPartBody>
        <w:p w:rsidR="00C20E3E" w:rsidRDefault="00732FB1" w:rsidP="00732FB1">
          <w:pPr>
            <w:pStyle w:val="C7417F7C0964485598DCB574AD8095E8"/>
          </w:pPr>
          <w:r w:rsidRPr="0065661A">
            <w:rPr>
              <w:rStyle w:val="TextodoEspaoReservado"/>
            </w:rPr>
            <w:t>Click or tap here to enter text.</w:t>
          </w:r>
        </w:p>
      </w:docPartBody>
    </w:docPart>
    <w:docPart>
      <w:docPartPr>
        <w:name w:val="DE2DE42FA0BE4739A3B1677E0C48C21D"/>
        <w:category>
          <w:name w:val="General"/>
          <w:gallery w:val="placeholder"/>
        </w:category>
        <w:types>
          <w:type w:val="bbPlcHdr"/>
        </w:types>
        <w:behaviors>
          <w:behavior w:val="content"/>
        </w:behaviors>
        <w:guid w:val="{59E2D8D7-BCCF-455F-B1B6-39F655B9C112}"/>
      </w:docPartPr>
      <w:docPartBody>
        <w:p w:rsidR="00C20E3E" w:rsidRDefault="00732FB1" w:rsidP="00732FB1">
          <w:pPr>
            <w:pStyle w:val="DE2DE42FA0BE4739A3B1677E0C48C21D"/>
          </w:pPr>
          <w:r w:rsidRPr="0065661A">
            <w:rPr>
              <w:rStyle w:val="TextodoEspaoReservado"/>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9B5ED1F-3057-427F-95A8-24DE3939EAEE}"/>
      </w:docPartPr>
      <w:docPartBody>
        <w:p w:rsidR="00C20E3E" w:rsidRDefault="00732FB1">
          <w:r w:rsidRPr="00EA07EF">
            <w:rPr>
              <w:rStyle w:val="TextodoEspaoReservad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B1"/>
    <w:rsid w:val="00193056"/>
    <w:rsid w:val="00222D78"/>
    <w:rsid w:val="00370170"/>
    <w:rsid w:val="00513FDE"/>
    <w:rsid w:val="006F7A37"/>
    <w:rsid w:val="00732FB1"/>
    <w:rsid w:val="00795C92"/>
    <w:rsid w:val="00800BF4"/>
    <w:rsid w:val="00C20E3E"/>
    <w:rsid w:val="00CB2876"/>
    <w:rsid w:val="00E4721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32FB1"/>
    <w:rPr>
      <w:color w:val="666666"/>
    </w:rPr>
  </w:style>
  <w:style w:type="paragraph" w:customStyle="1" w:styleId="250FFBC8C3344CBD95989585B526D3C2">
    <w:name w:val="250FFBC8C3344CBD95989585B526D3C2"/>
    <w:rsid w:val="00732FB1"/>
  </w:style>
  <w:style w:type="paragraph" w:customStyle="1" w:styleId="CF44A8D845674E45BD44A8935D591413">
    <w:name w:val="CF44A8D845674E45BD44A8935D591413"/>
    <w:rsid w:val="00732FB1"/>
  </w:style>
  <w:style w:type="paragraph" w:customStyle="1" w:styleId="8E2A05C47F3849719B81DB3A89F56319">
    <w:name w:val="8E2A05C47F3849719B81DB3A89F56319"/>
    <w:rsid w:val="00732FB1"/>
  </w:style>
  <w:style w:type="paragraph" w:customStyle="1" w:styleId="D0338F7932CA40B096D6D1FA67D8F852">
    <w:name w:val="D0338F7932CA40B096D6D1FA67D8F852"/>
    <w:rsid w:val="00732FB1"/>
  </w:style>
  <w:style w:type="paragraph" w:customStyle="1" w:styleId="24C674E1045A4F279C8AC1AFBFA5AF9F">
    <w:name w:val="24C674E1045A4F279C8AC1AFBFA5AF9F"/>
    <w:rsid w:val="00732FB1"/>
  </w:style>
  <w:style w:type="paragraph" w:customStyle="1" w:styleId="299819BBE9D74374A586022658687AE5">
    <w:name w:val="299819BBE9D74374A586022658687AE5"/>
    <w:rsid w:val="00732FB1"/>
  </w:style>
  <w:style w:type="paragraph" w:customStyle="1" w:styleId="084B25F7B077489BA6117D8CB869CAC1">
    <w:name w:val="084B25F7B077489BA6117D8CB869CAC1"/>
    <w:rsid w:val="00732FB1"/>
  </w:style>
  <w:style w:type="paragraph" w:customStyle="1" w:styleId="EBB91196A3DC450FB055D5ED2AADA667">
    <w:name w:val="EBB91196A3DC450FB055D5ED2AADA667"/>
    <w:rsid w:val="00732FB1"/>
  </w:style>
  <w:style w:type="paragraph" w:customStyle="1" w:styleId="AED9F45544E94C72B4CCC844306687CB">
    <w:name w:val="AED9F45544E94C72B4CCC844306687CB"/>
    <w:rsid w:val="00732FB1"/>
  </w:style>
  <w:style w:type="paragraph" w:customStyle="1" w:styleId="C7417F7C0964485598DCB574AD8095E8">
    <w:name w:val="C7417F7C0964485598DCB574AD8095E8"/>
    <w:rsid w:val="00732FB1"/>
  </w:style>
  <w:style w:type="paragraph" w:customStyle="1" w:styleId="DE2DE42FA0BE4739A3B1677E0C48C21D">
    <w:name w:val="DE2DE42FA0BE4739A3B1677E0C48C21D"/>
    <w:rsid w:val="00732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A2D76F-D547-4F03-88FD-1D4A981744D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7408363666"/>
    <we:property name="MENDELEY_CITATIONS" value="[{&quot;citationID&quot;:&quot;MENDELEY_CITATION_2c5540e7-d9d2-4e9b-8378-facb6053a620&quot;,&quot;properties&quot;:{&quot;noteIndex&quot;:0},&quot;isEdited&quot;:false,&quot;manualOverride&quot;:{&quot;isManuallyOverridden&quot;:false,&quot;citeprocText&quot;:&quot;(Aflaki et al., 2017)&quot;,&quot;manualOverrideText&quot;:&quot;&quot;},&quot;citationTag&quot;:&quot;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quot;,&quot;citationItems&quot;:[{&quot;id&quot;:&quot;ea7ba86b-8c41-30c2-af6f-3110e4323dde&quot;,&quot;itemData&quot;:{&quot;type&quot;:&quot;article-journal&quot;,&quot;id&quot;:&quot;ea7ba86b-8c41-30c2-af6f-3110e4323dde&quot;,&quot;title&quot;:&quot;Urban heat island mitigation strategies: A state-of-the-art review on Kuala Lumpur, Singapore and Hong Kong&quot;,&quot;author&quot;:[{&quot;family&quot;:&quot;Aflaki&quot;,&quot;given&quot;:&quot;Ardalan&quot;,&quot;parse-names&quot;:false,&quot;dropping-particle&quot;:&quot;&quot;,&quot;non-dropping-particle&quot;:&quot;&quot;},{&quot;family&quot;:&quot;Mirnezhad&quot;,&quot;given&quot;:&quot;Mahsan&quot;,&quot;parse-names&quot;:false,&quot;dropping-particle&quot;:&quot;&quot;,&quot;non-dropping-particle&quot;:&quot;&quot;},{&quot;family&quot;:&quot;Ghaffarianhoseini&quot;,&quot;given&quot;:&quot;Amirhosein&quot;,&quot;parse-names&quot;:false,&quot;dropping-particle&quot;:&quot;&quot;,&quot;non-dropping-particle&quot;:&quot;&quot;},{&quot;family&quot;:&quot;Ghaffarianhoseini&quot;,&quot;given&quot;:&quot;Ali&quot;,&quot;parse-names&quot;:false,&quot;dropping-particle&quot;:&quot;&quot;,&quot;non-dropping-particle&quot;:&quot;&quot;},{&quot;family&quot;:&quot;Omrany&quot;,&quot;given&quot;:&quot;Hossein&quot;,&quot;parse-names&quot;:false,&quot;dropping-particle&quot;:&quot;&quot;,&quot;non-dropping-particle&quot;:&quot;&quot;},{&quot;family&quot;:&quot;Wang&quot;,&quot;given&quot;:&quot;Zhi-Hua&quot;,&quot;parse-names&quot;:false,&quot;dropping-particle&quot;:&quot;&quot;,&quot;non-dropping-particle&quot;:&quot;&quot;},{&quot;family&quot;:&quot;Akbari&quot;,&quot;given&quot;:&quot;Hashem&quot;,&quot;parse-names&quot;:false,&quot;dropping-particle&quot;:&quot;&quot;,&quot;non-dropping-particle&quot;:&quot;&quot;}],&quot;container-title&quot;:&quot;Cities&quot;,&quot;DOI&quot;:&quot;https://doi.org/10.1016/j.cities.2016.09.003&quot;,&quot;ISSN&quot;:&quot;0264-2751&quot;,&quot;URL&quot;:&quot;https://www.sciencedirect.com/science/article/pii/S0264275116305303&quot;,&quot;issued&quot;:{&quot;date-parts&quot;:[[2017]]},&quot;page&quot;:&quot;131-145&quot;,&quot;abstract&quot;:&quot;Observing the rapid urban expansions and numerous infrastructure developments in the East-Asian context, many cities are suffering the urban heat island (UHI) effect and its associated environmental and social challenges. Moreover, the lack of sufficient attention to the application of effective heat mitigation strategies in current urban development in these cities can drastically intensify the eventual impacts of UHI. Therefore, many governmental sectors and policy makers have been implementing operative solutions for cooling cities. Nevertheless, this study argues that in Kuala Lumpur, despite the growing attention to this matter, there is still a need for more rigorous consideration by the architecture, engineering and construction (AEC) professionals as well as more scholarly studies to reflect sustainable solutions to the UHI effect. As a result, today, some of the dense urban areas in Kuala Lumpur are characterized with the use of thermally massive building materials, urban surfaces with low albedo, complex urban morphology, waste heat, and low density of vegetation. On the other hand, recent studies demonstrate that there has been a rapidly increasing interest in studies related to UHI in other East Asian regions such as Singapore and Hong Kong. Hence, this study develops a comparative analysis to provide a state-of-the-art review of the recent attempts towards mitigating the UHI effect in Kuala Lumpur, Singapore, and Hong Kong. Among several available UHI mitigation strategies, this study is limited to the analysis of the environmental impacts of urban vegetation (green roofs, green facades, vertical greeneries and green pavements). Findings reveal that in general, urban greening can significantly mitigate the UHI intensity, both directly and indirectly, resulting in the decrease of global air temperature and mean radiant temperature up to 4°C and 4.5°C respectively. Overall, the study develops new practical guidelines, discusses the public benefits and elaborates on the future directions of UHI studies.&quot;,&quot;volume&quot;:&quot;62&quot;,&quot;container-title-short&quot;:&quot;&quot;},&quot;isTemporary&quot;:false,&quot;suppress-author&quot;:false,&quot;composite&quot;:false,&quot;author-only&quot;:false}]},{&quot;citationID&quot;:&quot;MENDELEY_CITATION_8a35c7a8-28c7-4635-8e7d-3708d80a8769&quot;,&quot;properties&quot;:{&quot;noteIndex&quot;:0},&quot;isEdited&quot;:false,&quot;manualOverride&quot;:{&quot;isManuallyOverridden&quot;:false,&quot;citeprocText&quot;:&quot;(Santamouris &amp;#38; Vasilakopoulou, 2023)&quot;,&quot;manualOverrideText&quot;:&quot;&quot;},&quot;citationTag&quot;:&quot;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quot;,&quot;citationItems&quot;:[{&quot;id&quot;:&quot;90943965-77c6-3c9f-8100-ad52f112a102&quot;,&quot;itemData&quot;:{&quot;type&quot;:&quot;article-journal&quot;,&quot;id&quot;:&quot;90943965-77c6-3c9f-8100-ad52f112a102&quot;,&quot;title&quot;:&quot;Recent progress on urban heat mitigation technologies&quot;,&quot;author&quot;:[{&quot;family&quot;:&quot;Santamouris&quot;,&quot;given&quot;:&quot;M&quot;,&quot;parse-names&quot;:false,&quot;dropping-particle&quot;:&quot;&quot;,&quot;non-dropping-particle&quot;:&quot;&quot;},{&quot;family&quot;:&quot;Vasilakopoulou&quot;,&quot;given&quot;:&quot;K&quot;,&quot;parse-names&quot;:false,&quot;dropping-particle&quot;:&quot;&quot;,&quot;non-dropping-particle&quot;:&quot;&quot;}],&quot;container-title&quot;:&quot;Science Talks&quot;,&quot;DOI&quot;:&quot;https://doi.org/10.1016/j.sctalk.2022.100105&quot;,&quot;ISSN&quot;:&quot;2772-5693&quot;,&quot;URL&quot;:&quot;https://www.sciencedirect.com/science/article/pii/S2772569322001050&quot;,&quot;issued&quot;:{&quot;date-parts&quot;:[[2023]]},&quot;page&quot;:&quot;100105&quot;,&quot;abstract&quot;:&quot;Regional climate change in cities is the most documented phenomenon of climate change. Higher urban temperatures are documented experimentally for more than 450 major cities in the world. Numerous investigations demonstrate that the mean magnitude of the temperature increase may exceed 4–6 C, while at the peak it may exceed 10 C. The serious increase of the frequency and the strength of heat waves creates strong synergies between the global and regional climate change and intensify the magnitude of the overheating. Urban overheating causes a serious impact both on the energy demand and generation sectors. It increases the cooling energy consumption of buildings, rises the peak electricity demand, and obliges utilities to build additional power plants, it affects seriously health issues and in particular heat related mortality and morbidity, impacts the concentration of pollutants, and damages the urban environmental quality, and finally deteriorates the levels of local vulnerability and thermal comfort. To counterbalance the problem of urban overheating, numerous heat mitigation systems and technologies are proposed, and implemented in more than 250 large scale urban projects. Mitigation policies and technologies aim to strengthen the cooling potential of heat sinks and weaken the intensity of the heat sources. Among the developed mitigation technologies, the use of advanced, materials like the recently developed photonic components and the reflective, cool materials, the implementation of additional greenery in buildings and open spaces, the use of passive evaporative systems involving additional irrigation of urban zones and finally the dissipation of the excess heat into the ground seems to provide higher mitigation potential. The present lecture reviews and reports the recent progress and knowledge on the specific impact of current and projected urban overheating in energy, peak electricity demand, air quality, mortality and morbidity and urban vulnerability. In parallel, it discusses new findings related to the characteristics and the magnitude of urban overheating, and reports and analyses recent knowledge on the synergies between urban heat island and heat waves. Finally, it presents recent developments in the field of mitigation and adaptation technologies for buildings and cities and provides inside information on current and future potential.&quot;,&quot;volume&quot;:&quot;5&quot;,&quot;container-title-short&quot;:&quot;&quot;},&quot;isTemporary&quot;:false,&quot;suppress-author&quot;:false,&quot;composite&quot;:false,&quot;author-only&quot;:false}]},{&quot;citationID&quot;:&quot;MENDELEY_CITATION_ee042c25-2927-4327-a6ed-89cd4b674279&quot;,&quot;properties&quot;:{&quot;noteIndex&quot;:0},&quot;isEdited&quot;:false,&quot;manualOverride&quot;:{&quot;isManuallyOverridden&quot;:false,&quot;citeprocText&quot;:&quot;(Karimi et al., 2021)&quot;,&quot;manualOverrideText&quot;:&quot;&quot;},&quot;citationTag&quot;:&quot;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quot;,&quot;citationItems&quot;:[{&quot;id&quot;:&quot;c56e7b9a-00ae-3375-b79c-07cf6547cf4d&quot;,&quot;itemData&quot;:{&quot;type&quot;:&quot;chapter&quot;,&quot;id&quot;:&quot;c56e7b9a-00ae-3375-b79c-07cf6547cf4d&quot;,&quot;title&quot;:&quot;Extreme Heat Events and Public Health&quot;,&quot;author&quot;:[{&quot;family&quot;:&quot;Karimi&quot;,&quot;given&quot;:&quot;Maryam&quot;,&quot;parse-names&quot;:false,&quot;dropping-particle&quot;:&quot;&quot;,&quot;non-dropping-particle&quot;:&quot;&quot;},{&quot;family&quot;:&quot;Nazari&quot;,&quot;given&quot;:&quot;Rouzbeh&quot;,&quot;parse-names&quot;:false,&quot;dropping-particle&quot;:&quot;&quot;,&quot;non-dropping-particle&quot;:&quot;&quot;},{&quot;family&quot;:&quot;Sabrin&quot;,&quot;given&quot;:&quot;Samain&quot;,&quot;parse-names&quot;:false,&quot;dropping-particle&quot;:&quot;&quot;,&quot;non-dropping-particle&quot;:&quot;&quot;}],&quot;DOI&quot;:&quot;10.1891/9780826149039.0010&quot;,&quot;ISBN&quot;:&quot;978-0-8261-4902-2&quot;,&quot;issued&quot;:{&quot;date-parts&quot;:[[2021,12]]},&quot;container-title-short&quot;:&quot;&quot;},&quot;isTemporary&quot;:false,&quot;suppress-author&quot;:false,&quot;composite&quot;:false,&quot;author-only&quot;:false}]},{&quot;citationID&quot;:&quot;MENDELEY_CITATION_db5f1efa-038f-42fe-9694-3a0a815fddba&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2a316850-219a-43df-914e-49625bce1713&quot;,&quot;properties&quot;:{&quot;noteIndex&quot;:0},&quot;isEdited&quot;:false,&quot;manualOverride&quot;:{&quot;isManuallyOverridden&quot;:false,&quot;citeprocText&quot;:&quot;(Antil et al., 2025)&quot;,&quot;manualOverrideText&quot;:&quot;&quot;},&quot;citationTag&quot;:&quot;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quot;,&quot;citationItems&quot;:[{&quot;id&quot;:&quot;de1844c5-e842-3c25-91d3-f45f12367782&quot;,&quot;itemData&quot;:{&quot;type&quot;:&quot;article-journal&quot;,&quot;id&quot;:&quot;de1844c5-e842-3c25-91d3-f45f12367782&quot;,&quot;title&quot;:&quot;Impact Assessment of Covid-19 Lockdown on Vegetation Health Using Geospatial Technology&quot;,&quot;author&quot;:[{&quot;family&quot;:&quot;Antil&quot;,&quot;given&quot;:&quot;Rimpi&quot;,&quot;parse-names&quot;:false,&quot;dropping-particle&quot;:&quot;&quot;,&quot;non-dropping-particle&quot;:&quot;&quot;},{&quot;family&quot;:&quot;Singh&quot;,&quot;given&quot;:&quot;Dharmendra&quot;,&quot;parse-names&quot;:false,&quot;dropping-particle&quot;:&quot;&quot;,&quot;non-dropping-particle&quot;:&quot;&quot;},{&quot;family&quot;:&quot;Kumari&quot;,&quot;given&quot;:&quot;Nisha&quot;,&quot;parse-names&quot;:false,&quot;dropping-particle&quot;:&quot;&quot;,&quot;non-dropping-particle&quot;:&quot;&quot;}],&quot;container-title&quot;:&quot;Journal of the Indian Society of Remote Sensing&quot;,&quot;DOI&quot;:&quot;10.1007/s12524-025-02215-x&quot;,&quot;ISSN&quot;:&quot;0974-3006&quot;,&quot;URL&quot;:&quot;https://doi.org/10.1007/s12524-025-02215-x&quot;,&quot;issued&quot;:{&quot;date-parts&quot;:[[2025]]},&quot;page&quot;:&quot;3591-3617&quot;,&quot;abstract&quot;:&quot;In this study, Spatio-temporal variations in Vegetation Health (VH) as a function of Normalized Difference Vegetation Index (NDVI), Normalized Difference Red Edge Index (NDRE) and Canopy Chlorophyll Content Index (CCCI) were examined using measurements from Sentinel-2 images during the period 2018–2022 over the rural, urban, industrial, and highway setups in Sonipat district of Haryana, along with the study of air pollutants and meteorological parameters. This has been further extended to break analysis for the assessment of COVID-19 dependent changes on VH using long-term Sentinel-2 (April 2018–2022) and MODIS (2001–2022) NDVI time-series. Chow-test and Break for Additive Seasonal and Trend was used for this. Result revealed a significant (p = 0.00) difference (through ‘student t-test’) in the NDVI, NDRE and CCCI between the year 2020 and other years taken. The average NDVI values for rural (n = 57), urban (n = 108), industrial (n = 82), and highway (n = 77) setups were 0.22 ± 0.06, 0.23 ± 0.02, 0.23 ± 0.05, 0.21 ± 0.04 in non-COVID-19 year (i.e. 2018, 2019, 2021, and 2022) and 0.40 ± 0.12, 0.52 ± 0.07, 0.50 ± 0.09, 0.51 ± 0.06 for COVID-19 year (i.e. 2020) which shows a total of 28%, 47%, 49%, and 86% increase respectively due to lockdown. Results from break analysis of the NDVI time-series have also shown the break during the COVID-19 period (i.e. March–April, 2020) with variable magnitude in various environmental setups again indicating the effect of lockdown on VH. Furthermore, the concentration of PM2.5, PM10, SO2 and O3 were decreased. The study provides a cost-effective solution for the retrieval of information on VH and its governing factors over a large spatial scale.&quot;,&quot;issue&quot;:&quot;11&quot;,&quot;volume&quot;:&quot;53&quot;,&quot;container-title-short&quot;:&quot;&quot;},&quot;isTemporary&quot;:false,&quot;suppress-author&quot;:false,&quot;composite&quot;:false,&quot;author-only&quot;:false}]},{&quot;citationID&quot;:&quot;MENDELEY_CITATION_99e13ed6-26e3-4023-b6a0-53bbfec03c24&quot;,&quot;properties&quot;:{&quot;noteIndex&quot;:0},&quot;isEdited&quot;:false,&quot;manualOverride&quot;:{&quot;isManuallyOverridden&quot;:false,&quot;citeprocText&quot;:&quot;(Bala et al., 2024)&quot;,&quot;manualOverrideText&quot;:&quot;&quot;},&quot;citationTag&quot;:&quot;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quot;,&quot;citationItems&quot;:[{&quot;id&quot;:&quot;b8181a7a-8ac2-3211-96da-397c3f1bed78&quot;,&quot;itemData&quot;:{&quot;type&quot;:&quot;article-journal&quot;,&quot;id&quot;:&quot;b8181a7a-8ac2-3211-96da-397c3f1bed78&quot;,&quot;title&quot;:&quot;Quantification of Surface Urban Heat Island Intensity Using MODIS Satellite Imagery in Different Indian Cities&quot;,&quot;author&quot;:[{&quot;family&quot;:&quot;Bala&quot;,&quot;given&quot;:&quot;Ruchi&quot;,&quot;parse-names&quot;:false,&quot;dropping-particle&quot;:&quot;&quot;,&quot;non-dropping-particle&quot;:&quot;&quot;},{&quot;family&quot;:&quot;Yadav&quot;,&quot;given&quot;:&quot;Vijay Pratap&quot;,&quot;parse-names&quot;:false,&quot;dropping-particle&quot;:&quot;&quot;,&quot;non-dropping-particle&quot;:&quot;&quot;},{&quot;family&quot;:&quot;Kumar&quot;,&quot;given&quot;:&quot;D Nagesh&quot;,&quot;parse-names&quot;:false,&quot;dropping-particle&quot;:&quot;&quot;,&quot;non-dropping-particle&quot;:&quot;&quot;},{&quot;family&quot;:&quot;Prasad&quot;,&quot;given&quot;:&quot;Rajendra&quot;,&quot;parse-names&quot;:false,&quot;dropping-particle&quot;:&quot;&quot;,&quot;non-dropping-particle&quot;:&quot;&quot;}],&quot;container-title&quot;:&quot;Journal of the Indian Society of Remote Sensing&quot;,&quot;DOI&quot;:&quot;10.1007/s12524-024-01810-8&quot;,&quot;ISSN&quot;:&quot;0974-3006&quot;,&quot;URL&quot;:&quot;https://doi.org/10.1007/s12524-024-01810-8&quot;,&quot;issued&quot;:{&quot;date-parts&quot;:[[2024]]},&quot;page&quot;:&quot;327-341&quot;,&quot;abstract&quot;:&quot;Quantification of Surface Urban Heat Island Intensity (SUHII) with urbanization needs to be explored for varying land covers. The two parameters (area showing SUHI effect and urban–rural temperature difference) are equally important for the quantification of SUHII. In this study, SUHII(a) was calculated using only area contribution, SUHII(b) was calculated using only urban–rural temperature difference and SUHII(c) represents a modified algorithm using both factors contributing to the SUHI effect in combined form. Therefore, three different methods were used for the quantification of SUHII for winter, summer and post-monsoon seasons of years 2001, 2007, 2013 and 2019 in three cities i.e. Varanasi, Bangalore and Bikaner using MODIS Land Surface Temperature images. SUHII(a) increased from the year 2001 to 2019 for cities with small variation in seasons. The rate of change of SUHII(b) showed clear variation for different seasons in three cities. SUHII(c) showed a greater slope for winter and lower for the post-monsoon season in Varanasi which was similar to the variation of SUHII(a) and SUHII(b) in the city. In Bangalore, the slope for SUHII(c) was higher in the post-monsoon season and lower in summer because the slope of SUHII(b) was found quite lower for summer. The slope of SUHII(c) was lower in post-monsoon and higher in summer for Bikaner city. The slope of SUHII(b) showed a negative value with greater magnitude in post-monsoon. This results in a lower rate of increasing SUHII(c) in post-monsoon as compared to other seasons in Bikaner. Therefore, the calculation of SUHII(c) can provide future insight to understand the effect of urbanization on the thermal environment and develop mitigation strategies.&quot;,&quot;issue&quot;:&quot;2&quot;,&quot;volume&quot;:&quot;52&quot;,&quot;container-title-short&quot;:&quot;&quot;},&quot;isTemporary&quot;:false,&quot;suppress-author&quot;:false,&quot;composite&quot;:false,&quot;author-only&quot;:false}]},{&quot;citationID&quot;:&quot;MENDELEY_CITATION_6a856e35-2b40-4067-aa15-e7e0d4860a32&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e51ed44b-6c28-4813-a459-74acea7f74f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8d22c7af-4a47-489f-be9d-681dbef276f1&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9b7b600-18d6-4c1a-975d-94d950377257&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28c83e38-d3fb-4926-acbd-d73a2bba0b9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8f3b48e4-8e73-4404-9c2a-91d2a1840719&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aef03969-3b05-480a-89a3-1f1a03f3a9a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50f1b0b8-ff6a-4ad5-b8d3-13c61809447c&quot;,&quot;properties&quot;:{&quot;noteIndex&quot;:0},&quot;isEdited&quot;:false,&quot;manualOverride&quot;:{&quot;isManuallyOverridden&quot;:false,&quot;citeprocText&quot;:&quot;(Sai et al., 2025)&quot;,&quot;manualOverrideText&quot;:&quot;&quot;},&quot;citationTag&quot;:&quot;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quot;,&quot;citationItems&quot;:[{&quot;id&quot;:&quot;e9b75a83-6217-3841-8046-3c809b653fd1&quot;,&quot;itemData&quot;:{&quot;type&quot;:&quot;article-journal&quot;,&quot;id&quot;:&quot;e9b75a83-6217-3841-8046-3c809b653fd1&quot;,&quot;title&quot;:&quot;Spatio-Temporal Analysis and Long-term Trends of Groundwater Levels in the Chittur Block, Kerala, India&quot;,&quot;author&quot;:[{&quot;family&quot;:&quot;Sai&quot;,&quot;given&quot;:&quot;Kari&quot;,&quot;parse-names&quot;:false,&quot;dropping-particle&quot;:&quot;&quot;,&quot;non-dropping-particle&quot;:&quot;&quot;},{&quot;family&quot;:&quot;Joseph&quot;,&quot;given&quot;:&quot;Asha&quot;,&quot;parse-names&quot;:false,&quot;dropping-particle&quot;:&quot;&quot;,&quot;non-dropping-particle&quot;:&quot;&quot;},{&quot;family&quot;:&quot;Shaharudeen&quot;,&quot;given&quot;:&quot;Sajeena&quot;,&quot;parse-names&quot;:false,&quot;dropping-particle&quot;:&quot;&quot;,&quot;non-dropping-particle&quot;:&quot;&quot;},{&quot;family&quot;:&quot;Kaivalyam&quot;,&quot;given&quot;:&quot;Rema&quot;,&quot;parse-names&quot;:false,&quot;dropping-particle&quot;:&quot;&quot;,&quot;non-dropping-particle&quot;:&quot;&quot;},{&quot;family&quot;:&quot;Varughese&quot;,&quot;given&quot;:&quot;Anu&quot;,&quot;parse-names&quot;:false,&quot;dropping-particle&quot;:&quot;&quot;,&quot;non-dropping-particle&quot;:&quot;&quot;}],&quot;container-title&quot;:&quot;Journal of Geography, Environment and Earth Science International&quot;,&quot;DOI&quot;:&quot;10.9734/jgeesi/2025/v29i12979&quot;,&quot;issued&quot;:{&quot;date-parts&quot;:[[2025,12]]},&quot;page&quot;:&quot;1-19&quot;,&quot;volume&quot;:&quot;29&quot;,&quot;container-title-short&quot;:&quot;&quot;},&quot;isTemporary&quot;:false,&quot;suppress-author&quot;:false,&quot;composite&quot;:false,&quot;author-only&quot;:false}]},{&quot;citationID&quot;:&quot;MENDELEY_CITATION_4635072f-6e36-481f-aa73-5c79e9a3c475&quot;,&quot;properties&quot;:{&quot;noteIndex&quot;:0},&quot;isEdited&quot;:false,&quot;manualOverride&quot;:{&quot;isManuallyOverridden&quot;:false,&quot;citeprocText&quot;:&quot;(Cafaro et al., 2024)&quot;,&quot;manualOverrideText&quot;:&quot;&quot;},&quot;citationTag&quot;:&quot;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quot;,&quot;citationItems&quot;:[{&quot;id&quot;:&quot;c1dc99de-d99b-3850-a0df-9f006d899644&quot;,&quot;itemData&quot;:{&quot;type&quot;:&quot;article-journal&quot;,&quot;id&quot;:&quot;c1dc99de-d99b-3850-a0df-9f006d899644&quot;,&quot;title&quot;:&quot;A New GIS-Based Framework to Detect Urban Heat Islands and Its Application on the City of Naples (Italy)&quot;,&quot;author&quot;:[{&quot;family&quot;:&quot;Cafaro&quot;,&quot;given&quot;:&quot;Rosa&quot;,&quot;parse-names&quot;:false,&quot;dropping-particle&quot;:&quot;&quot;,&quot;non-dropping-particle&quot;:&quot;&quot;},{&quot;family&quot;:&quot;Cardone&quot;,&quot;given&quot;:&quot;Barbara&quot;,&quot;parse-names&quot;:false,&quot;dropping-particle&quot;:&quot;&quot;,&quot;non-dropping-particle&quot;:&quot;&quot;},{&quot;family&quot;:&quot;D’Ambrosio&quot;,&quot;given&quot;:&quot;Valeria&quot;,&quot;parse-names&quot;:false,&quot;dropping-particle&quot;:&quot;&quot;,&quot;non-dropping-particle&quot;:&quot;&quot;},{&quot;family&quot;:&quot;Martino&quot;,&quot;given&quot;:&quot;Ferdinando&quot;,&quot;parse-names&quot;:false,&quot;dropping-particle&quot;:&quot;&quot;,&quot;non-dropping-particle&quot;:&quot;Di&quot;},{&quot;family&quot;:&quot;Miraglia&quot;,&quot;given&quot;:&quot;Vittorio&quot;,&quot;parse-names&quot;:false,&quot;dropping-particle&quot;:&quot;&quot;,&quot;non-dropping-particle&quot;:&quot;&quot;}],&quot;container-title&quot;:&quot;Land&quot;,&quot;container-title-short&quot;:&quot;Land (Basel)&quot;,&quot;DOI&quot;:&quot;10.3390/land13081253&quot;,&quot;ISSN&quot;:&quot;2073-445X&quot;,&quot;URL&quot;:&quot;https://www.mdpi.com/2073-445X/13/8/1253&quot;,&quot;issued&quot;:{&quot;date-parts&quot;:[[2024]]},&quot;abstract&quot;:&quot;This research presents a GIS-based framework used to detect urban heat islands and determine which urban settlement elements are most critical when heatwave risks exist. The proposed method uses the Iterative Self-Organizing Data Analysis (ISODATA) clustering algorithm applied to the satellite land surface temperature distribution recorded during heatwaves for the detection of urban heat islands. A pixel classification confidence level maximization approach, obtained by running a maximum likelihood classification algorithm, is performed to determine the optimal number of clusters. The areas labeled as hotspots constitute the detected urban heat islands (UHIs). This method was tested on an urban settlement set up by the municipality of Naples (Italy). Comparison tests were performed with other urban heat island detection methods such as standard deviation thresholding and Getis-Ord Gi* hotspot detection; indices measuring the density of buildings, the percentage of permeable open spaces, and vegetation cover are taken into consideration to evaluate the accuracy of the urban heat islands detected. These tests highlight that the proposed method provides the most accurate results. It could be an effective tool to support the decision maker in evaluating which urban areas are the most critical during heatwave scenarios.&quot;,&quot;issue&quot;:&quot;8&quot;,&quot;volume&quot;:&quot;13&quot;},&quot;isTemporary&quot;:false,&quot;suppress-author&quot;:false,&quot;composite&quot;:false,&quot;author-only&quot;:false}]},{&quot;citationID&quot;:&quot;MENDELEY_CITATION_6ccb6219-33c7-4b47-9754-a08790117f17&quot;,&quot;properties&quot;:{&quot;noteIndex&quot;:0},&quot;isEdited&quot;:false,&quot;manualOverride&quot;:{&quot;isManuallyOverridden&quot;:false,&quot;citeprocText&quot;:&quot;(Islam et al., 2024)&quot;,&quot;manualOverrideText&quot;:&quot;&quot;},&quot;citationTag&quot;:&quot;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quot;,&quot;citationItems&quot;:[{&quot;id&quot;:&quot;c4877c78-bd53-3640-b67f-ff64d861c530&quot;,&quot;itemData&quot;:{&quot;type&quot;:&quot;article-journal&quot;,&quot;id&quot;:&quot;c4877c78-bd53-3640-b67f-ff64d861c530&quot;,&quot;title&quot;:&quot;Urban heat island effect in India: a review of current status, impact and mitigation strategies&quot;,&quot;author&quot;:[{&quot;family&quot;:&quot;Islam&quot;,&quot;given&quot;:&quot;Sahidul&quot;,&quot;parse-names&quot;:false,&quot;dropping-particle&quot;:&quot;&quot;,&quot;non-dropping-particle&quot;:&quot;&quot;},{&quot;family&quot;:&quot;Karipot&quot;,&quot;given&quot;:&quot;Anandakumar&quot;,&quot;parse-names&quot;:false,&quot;dropping-particle&quot;:&quot;&quot;,&quot;non-dropping-particle&quot;:&quot;&quot;},{&quot;family&quot;:&quot;Bhawar&quot;,&quot;given&quot;:&quot;Rohini&quot;,&quot;parse-names&quot;:false,&quot;dropping-particle&quot;:&quot;&quot;,&quot;non-dropping-particle&quot;:&quot;&quot;},{&quot;family&quot;:&quot;Sinha&quot;,&quot;given&quot;:&quot;Palash&quot;,&quot;parse-names&quot;:false,&quot;dropping-particle&quot;:&quot;&quot;,&quot;non-dropping-particle&quot;:&quot;&quot;},{&quot;family&quot;:&quot;Kedia&quot;,&quot;given&quot;:&quot;Sumita&quot;,&quot;parse-names&quot;:false,&quot;dropping-particle&quot;:&quot;&quot;,&quot;non-dropping-particle&quot;:&quot;&quot;},{&quot;family&quot;:&quot;Khare&quot;,&quot;given&quot;:&quot;Manoj&quot;,&quot;parse-names&quot;:false,&quot;dropping-particle&quot;:&quot;&quot;,&quot;non-dropping-particle&quot;:&quot;&quot;}],&quot;container-title&quot;:&quot;Discover Cities&quot;,&quot;DOI&quot;:&quot;10.1007/s44327-024-00033-3&quot;,&quot;ISSN&quot;:&quot;3004-8311&quot;,&quot;URL&quot;:&quot;https://doi.org/10.1007/s44327-024-00033-3&quot;,&quot;issued&quot;:{&quot;date-parts&quot;:[[2024]]},&quot;page&quot;:&quot;34&quot;,&quot;abstract&quot;:&quot;The Urban Heat Island (UHI) phenomenon significantly affects us by exacerbating heat discomfort, increased energy consumption, and urban air pollution. The severity of UHI associated with heat waves and heat stress-related mortality is now one of the major concerns, particularly in densely populated cities. Therefore, the significance of the UHI has emerged as a crucial issue due to cities’ fast growth and urban development, necessitating a comprehensive review of the present status of UHI research, particularly concerning regional comparisons. This paper delineates the characteristics of UHI, focusing on its intensity, impact, determining factors, and potential mitigation strategy. It synthesizes an insight into important aspects of UHI from a comprehensive analysis of over 400 national/international research articles. The findings indicate a lack of UHI research studies in the central and eastern regions of the country, bringing out the need for further investigation in these areas. The observed UHI intensity varies across the country between 2 and 10 °C, with the northwest seeing a more pronounced temperature gradient. Following a detailed review, a few suggestions for future research to minimize the impact of UHI on public health, energy consumption, and the economy are proposed, as are strategies for mitigation. While studies on UHIs in India have primarily relied on observational data, there is still a substantial need for more research on employing numerical model-based and machine-learning approaches. Furthermore, the availability of mitigation research on Indian cities is limited. Additional research is needed to ascertain the intricate mechanisms behind the UHI effect on cities vulnerable to various climatic risks and hazards.&quot;,&quot;issue&quot;:&quot;1&quot;,&quot;volume&quot;:&quot;1&quot;,&quot;container-title-short&quot;:&quot;&quot;},&quot;isTemporary&quot;:false,&quot;suppress-author&quot;:false,&quot;composite&quot;:false,&quot;author-only&quot;:false}]},{&quot;citationID&quot;:&quot;MENDELEY_CITATION_5267f6d8-3f5b-44ce-9945-42444dbcdfe3&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d5e24618-1edb-4dc9-860f-45bf5078bf44&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64256f09-c5a9-47da-ba23-6223bd009b5d&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cfde5762-dc60-4a33-9222-aae4fc84cb99&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de803917-ccb5-4795-a896-9d54ffef6b3c&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1246975c-dec6-4528-bf6c-41064608add6&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0413992e-c647-4400-a1dd-9edc347ce95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ad9fdce5-83ec-448a-99ad-1e7d8e677385&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aec94504-0ab9-4bdd-90b7-894d97040d92&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7dc02bcf-36a9-4447-8f2d-a3503a63b052&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2e295afc-7606-45d1-9cd4-31b8c5cdeced&quot;,&quot;properties&quot;:{&quot;noteIndex&quot;:0},&quot;isEdited&quot;:false,&quot;manualOverride&quot;:{&quot;isManuallyOverridden&quot;:false,&quot;citeprocText&quot;:&quot;(Baeza-González &amp;#38; Kamakura, 2025)&quot;,&quot;manualOverrideText&quot;:&quot;&quot;},&quot;citationTag&quot;:&quot;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quot;,&quot;citationItems&quot;:[{&quot;id&quot;:&quot;96a420ba-a910-3902-b285-a59f1ecfbf56&quot;,&quot;itemData&quot;:{&quot;type&quot;:&quot;article-journal&quot;,&quot;id&quot;:&quot;96a420ba-a910-3902-b285-a59f1ecfbf56&quot;,&quot;title&quot;:&quot;A methodological framework for tracing cluster life cycles: emerging hot spot analysis in evolutionary economic geography&quot;,&quot;author&quot;:[{&quot;family&quot;:&quot;Baeza-González&quot;,&quot;given&quot;:&quot;Sebastián&quot;,&quot;parse-names&quot;:false,&quot;dropping-particle&quot;:&quot;&quot;,&quot;non-dropping-particle&quot;:&quot;&quot;},{&quot;family&quot;:&quot;Kamakura&quot;,&quot;given&quot;:&quot;Natsuki&quot;,&quot;parse-names&quot;:false,&quot;dropping-particle&quot;:&quot;&quot;,&quot;non-dropping-particle&quot;:&quot;&quot;}],&quot;container-title&quot;:&quot;Evolutionary and Institutional Economics Review&quot;,&quot;DOI&quot;:&quot;10.1007/s40844-025-00314-5&quot;,&quot;ISSN&quot;:&quot;2188-2096&quot;,&quot;URL&quot;:&quot;https://doi.org/10.1007/s40844-025-00314-5&quot;,&quot;issued&quot;:{&quot;date-parts&quot;:[[2025]]},&quot;abstract&quot;:&quot;This article presents a methodological approach employing Emerging Hot Spot Analysis (EHSA) to track the life cycles of clusters of inventive activity. Evolutionary Economic Geography seeks to elucidate the spatial development of economic activity by analyzing past formations and their impact on current and future trends. We enhance this literature by offering an explanation of cluster life cycles through EHSA. EHSA is a spatial statistical methodology that integrates Getis-Ord Gi* and Mann–Kendall trend assessments to examine spatiotemporal variability. We analyze inventive activity utilizing Japanese patent data from 1980 to 2020 across the chemical, mechanical, computers and communications, and electrical and electronics broad technological categories. EHSA provides a statistical test to analyze the stages of a cluster's life (emergence, growth, maturity, and decline) by finding patterns like new, intensifying, persistent, or diminishing hot/cold spots. Results indicate varying trajectories among technology categories: chemicals demonstrate post-growth decline; mechanicals are stable and expand; computers and communications remain confined to metropolitan areas; and electrical and electronics sectors bifurcate. The research underscores EHSA's efficacy in delivering a reproducible and flexible approach to visualize and comprehend clustering dynamics from spatiotemporal data, hence facilitating informed policymaking. Nonetheless, it recognizes constraints, as cluster evolution encompasses more than mere agglomeration, indicating the need for future integration with network analysis and qualitative data for a thorough comprehension.&quot;,&quot;container-title-short&quot;:&quot;&quot;},&quot;isTemporary&quot;:false,&quot;suppress-author&quot;:false,&quot;composite&quot;:false,&quot;author-only&quot;:false}]},{&quot;citationID&quot;:&quot;MENDELEY_CITATION_5962261a-61d2-4289-b6bb-83c4a1edc54f&quot;,&quot;properties&quot;:{&quot;noteIndex&quot;:0},&quot;isEdited&quot;:false,&quot;manualOverride&quot;:{&quot;isManuallyOverridden&quot;:false,&quot;citeprocText&quot;:&quot;(Peeters et al., 2015)&quot;,&quot;manualOverrideText&quot;:&quot;&quot;},&quot;citationTag&quot;:&quot;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quot;,&quot;citationItems&quot;:[{&quot;id&quot;:&quot;b286db4b-f313-354f-872f-4d2cb0fe4752&quot;,&quot;itemData&quot;:{&quot;type&quot;:&quot;article-journal&quot;,&quot;id&quot;:&quot;b286db4b-f313-354f-872f-4d2cb0fe4752&quot;,&quot;title&quot;:&quot;Getis–Ord’s hot- and cold-spot statistics as a basis for multivariate spatial clustering of orchard tree data&quot;,&quot;author&quot;:[{&quot;family&quot;:&quot;Peeters&quot;,&quot;given&quot;:&quot;Aviva&quot;,&quot;parse-names&quot;:false,&quot;dropping-particle&quot;:&quot;&quot;,&quot;non-dropping-particle&quot;:&quot;&quot;},{&quot;family&quot;:&quot;Zude-Sasse&quot;,&quot;given&quot;:&quot;M&quot;,&quot;parse-names&quot;:false,&quot;dropping-particle&quot;:&quot;&quot;,&quot;non-dropping-particle&quot;:&quot;&quot;},{&quot;family&quot;:&quot;Käthner&quot;,&quot;given&quot;:&quot;Jana&quot;,&quot;parse-names&quot;:false,&quot;dropping-particle&quot;:&quot;&quot;,&quot;non-dropping-particle&quot;:&quot;&quot;},{&quot;family&quot;:&quot;Ünlü&quot;,&quot;given&quot;:&quot;Mustafa&quot;,&quot;parse-names&quot;:false,&quot;dropping-particle&quot;:&quot;&quot;,&quot;non-dropping-particle&quot;:&quot;&quot;},{&quot;family&quot;:&quot;Kanber&quot;,&quot;given&quot;:&quot;Riza&quot;,&quot;parse-names&quot;:false,&quot;dropping-particle&quot;:&quot;&quot;,&quot;non-dropping-particle&quot;:&quot;&quot;},{&quot;family&quot;:&quot;Hetzroni&quot;,&quot;given&quot;:&quot;Amots&quot;,&quot;parse-names&quot;:false,&quot;dropping-particle&quot;:&quot;&quot;,&quot;non-dropping-particle&quot;:&quot;&quot;},{&quot;family&quot;:&quot;Gebbers&quot;,&quot;given&quot;:&quot;Robin&quot;,&quot;parse-names&quot;:false,&quot;dropping-particle&quot;:&quot;&quot;,&quot;non-dropping-particle&quot;:&quot;&quot;},{&quot;family&quot;:&quot;Ben-Gal&quot;,&quot;given&quot;:&quot;Alon&quot;,&quot;parse-names&quot;:false,&quot;dropping-particle&quot;:&quot;&quot;,&quot;non-dropping-particle&quot;:&quot;&quot;}],&quot;container-title&quot;:&quot;Computers and Electronics in Agriculture&quot;,&quot;container-title-short&quot;:&quot;Comput Electron Agric&quot;,&quot;DOI&quot;:&quot;10.1016/j.compag.2014.12.011&quot;,&quot;issued&quot;:{&quot;date-parts&quot;:[[2015,12]]},&quot;page&quot;:&quot;140-150&quot;,&quot;volume&quot;:&quot;111&quot;},&quot;isTemporary&quot;:false,&quot;suppress-author&quot;:false,&quot;composite&quot;:false,&quot;author-only&quot;:false}]},{&quot;citationID&quot;:&quot;MENDELEY_CITATION_9ebc9071-1bf5-4b9d-8d19-b909d13dcc4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2ab59fc0-7369-434d-b161-df7107a69115&quot;,&quot;properties&quot;:{&quot;noteIndex&quot;:0},&quot;isEdited&quot;:false,&quot;manualOverride&quot;:{&quot;isManuallyOverridden&quot;:false,&quot;citeprocText&quot;:&quot;(Cui et al., 2021)&quot;,&quot;manualOverrideText&quot;:&quot;&quot;},&quot;citationTag&quot;:&quot;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quot;,&quot;citationItems&quot;:[{&quot;id&quot;:&quot;9a06840c-18bc-34e3-814e-b3279d52aca0&quot;,&quot;itemData&quot;:{&quot;type&quot;:&quot;article-journal&quot;,&quot;id&quot;:&quot;9a06840c-18bc-34e3-814e-b3279d52aca0&quot;,&quot;title&quot;:&quot;G-STC-M Spatio-Temporal Analysis Method for Archaeological Sites&quot;,&quot;author&quot;:[{&quot;family&quot;:&quot;Cui&quot;,&quot;given&quot;:&quot;Jing&quot;,&quot;parse-names&quot;:false,&quot;dropping-particle&quot;:&quot;&quot;,&quot;non-dropping-particle&quot;:&quot;&quot;},{&quot;family&quot;:&quot;Liu&quot;,&quot;given&quot;:&quot;Yanrong&quot;,&quot;parse-names&quot;:false,&quot;dropping-particle&quot;:&quot;&quot;,&quot;non-dropping-particle&quot;:&quot;&quot;},{&quot;family&quot;:&quot;Sun&quot;,&quot;given&quot;:&quot;Junling&quot;,&quot;parse-names&quot;:false,&quot;dropping-particle&quot;:&quot;&quot;,&quot;non-dropping-particle&quot;:&quot;&quot;},{&quot;family&quot;:&quot;Hu&quot;,&quot;given&quot;:&quot;Di&quot;,&quot;parse-names&quot;:false,&quot;dropping-particle&quot;:&quot;&quot;,&quot;non-dropping-particle&quot;:&quot;&quot;},{&quot;family&quot;:&quot;He&quot;,&quot;given&quot;:&quot;Handong&quot;,&quot;parse-names&quot;:false,&quot;dropping-particle&quot;:&quot;&quot;,&quot;non-dropping-particle&quot;:&quot;&quot;}],&quot;container-title&quot;:&quot;ISPRS International Journal of Geo-Information&quot;,&quot;container-title-short&quot;:&quot;ISPRS Int J Geoinf&quot;,&quot;DOI&quot;:&quot;10.3390/ijgi10050312&quot;,&quot;ISSN&quot;:&quot;2220-9964&quot;,&quot;URL&quot;:&quot;https://www.mdpi.com/2220-9964/10/5/312&quot;,&quot;issued&quot;:{&quot;date-parts&quot;:[[2021]]},&quot;abstract&quot;:&quot;Based on the significant hotspots analysis method (Getis-Ord Gi* significance statistics), space-time cube model (STC) and the Mann–Kendall trend test method, this paper proposes a G-STC-M spatio-temporal analysis method based on Archaeological Sites. This method can integrate spatio-temporal data variable analysis and the space-time cube model to explore the spatio-temporal distribution of Archaeological Sites. The G-STC-M method was used to conduct time slice analysis on the data of Archaeological Sites in the study area, and the spatio-temporal variation characteristics of Archaeological Sites in East China from the Tang Dynasty to the Qing Dynasty were discussed. The distribution of Archaeological Sites has temporal hotspots and spatial hotspots. Temporally, the distribution of Archaeological Sites showed a gradual increasing trend, and the number of Archaeological Sites reached the maximum in the Qing Dynasty. Spatially, the hotspots of Archaeological Sites are mainly distributed in Jiangsu (30°~33° N, 118°~121° E) and Anhui (29°~31° N, 117°~119° E) and the central region of Zhejiang (28°~31° N, 118°~121° E). Temporally and spatially, the distribution of Archaeological Sites is mainly centered in Shanghai (30°~32° N, 121°~122° E), spreading to the southern region.&quot;,&quot;issue&quot;:&quot;5&quot;,&quot;volume&quot;:&quot;10&quot;},&quot;isTemporary&quot;:false,&quot;suppress-author&quot;:false,&quot;composite&quot;:false,&quot;author-only&quot;:false}]},{&quot;citationID&quot;:&quot;MENDELEY_CITATION_f8f78c47-952f-43d4-b34e-b12f53af4c73&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f2570dbf-85b7-4b68-bdbc-21a8f0a04c1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0c431119-94c1-4b96-b6bb-4ebb5d4ba07f&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61b135ac-1d9d-48f0-af46-6cd52210b314&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b50760f7-8fe5-438f-80dc-2b209dc7cc00&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818ea563-5551-4ec8-ac1b-f9564ccc1b63&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d430c6c7-4075-4984-854d-a3d32c46d1c7&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30bc3b5-742d-4f90-a014-15701a0de70d&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6fa0ace9-10f0-42fe-b90f-de79cc2213f8&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f3ea012c-56a1-433d-bb32-1def3b6b7e07&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549ecb4b-4d9b-47b6-a4f3-06056ded103b&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ef3c13c5-dcbd-4948-88ec-88084dece27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fc3d7d6d-eaec-4d8a-be54-928c38b5a78f&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4dc891d4-baa5-42b1-b2c7-5939f5cb84f1&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5bb9266a-01a4-42f2-ba90-f133b4d86e78&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6DED-D10E-474B-A065-660A4AC8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222</TotalTime>
  <Pages>19</Pages>
  <Words>7029</Words>
  <Characters>37960</Characters>
  <Application>Microsoft Office Word</Application>
  <DocSecurity>0</DocSecurity>
  <Lines>316</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44900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MARCELO ANTONIO NERO</cp:lastModifiedBy>
  <cp:revision>14</cp:revision>
  <cp:lastPrinted>1999-07-06T11:00:00Z</cp:lastPrinted>
  <dcterms:created xsi:type="dcterms:W3CDTF">2026-01-03T02:48:00Z</dcterms:created>
  <dcterms:modified xsi:type="dcterms:W3CDTF">2026-01-06T18:46:00Z</dcterms:modified>
</cp:coreProperties>
</file>