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0B9" w:rsidRPr="00403790" w:rsidRDefault="00D160B9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D160B9" w:rsidRPr="00403790">
        <w:trPr>
          <w:trHeight w:val="290"/>
        </w:trPr>
        <w:tc>
          <w:tcPr>
            <w:tcW w:w="5194" w:type="dxa"/>
          </w:tcPr>
          <w:p w:rsidR="00D160B9" w:rsidRPr="00403790" w:rsidRDefault="001366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Journal</w:t>
            </w:r>
            <w:r w:rsidRPr="00403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D160B9" w:rsidRPr="00403790" w:rsidRDefault="001F6F5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36627" w:rsidRPr="004037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36627" w:rsidRPr="004037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6627" w:rsidRPr="004037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36627" w:rsidRPr="004037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6627" w:rsidRPr="0040379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36627" w:rsidRPr="0040379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D160B9" w:rsidRPr="00403790">
        <w:trPr>
          <w:trHeight w:val="290"/>
        </w:trPr>
        <w:tc>
          <w:tcPr>
            <w:tcW w:w="5194" w:type="dxa"/>
          </w:tcPr>
          <w:p w:rsidR="00D160B9" w:rsidRPr="00403790" w:rsidRDefault="001366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379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D160B9" w:rsidRPr="00403790" w:rsidRDefault="00136627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Ms_JERR_150797</w:t>
            </w:r>
          </w:p>
        </w:tc>
      </w:tr>
      <w:tr w:rsidR="00D160B9" w:rsidRPr="00403790">
        <w:trPr>
          <w:trHeight w:val="650"/>
        </w:trPr>
        <w:tc>
          <w:tcPr>
            <w:tcW w:w="5194" w:type="dxa"/>
          </w:tcPr>
          <w:p w:rsidR="00D160B9" w:rsidRPr="00403790" w:rsidRDefault="001366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Title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D160B9" w:rsidRPr="00403790" w:rsidRDefault="00136627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3790">
              <w:rPr>
                <w:rFonts w:ascii="Arial" w:hAnsi="Arial" w:cs="Arial"/>
                <w:b/>
                <w:sz w:val="20"/>
                <w:szCs w:val="20"/>
              </w:rPr>
              <w:t>Drawbead</w:t>
            </w:r>
            <w:proofErr w:type="spellEnd"/>
            <w:r w:rsidRPr="004037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Formability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Fuel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Cell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Bipolar</w:t>
            </w:r>
            <w:r w:rsidRPr="00403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Plates</w:t>
            </w:r>
          </w:p>
        </w:tc>
      </w:tr>
      <w:tr w:rsidR="00D160B9" w:rsidRPr="00403790">
        <w:trPr>
          <w:trHeight w:val="333"/>
        </w:trPr>
        <w:tc>
          <w:tcPr>
            <w:tcW w:w="5194" w:type="dxa"/>
          </w:tcPr>
          <w:p w:rsidR="00D160B9" w:rsidRPr="00403790" w:rsidRDefault="0013662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Type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D160B9" w:rsidRPr="00403790" w:rsidRDefault="00136627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0379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D160B9" w:rsidRPr="00403790" w:rsidRDefault="00D160B9">
      <w:pPr>
        <w:rPr>
          <w:rFonts w:ascii="Arial" w:hAnsi="Arial" w:cs="Arial"/>
          <w:sz w:val="20"/>
          <w:szCs w:val="20"/>
        </w:rPr>
      </w:pPr>
    </w:p>
    <w:p w:rsidR="00D160B9" w:rsidRPr="00403790" w:rsidRDefault="00D160B9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160B9" w:rsidRPr="00403790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160B9" w:rsidRPr="00403790" w:rsidRDefault="0013662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03790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037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D160B9" w:rsidRPr="00403790">
        <w:trPr>
          <w:trHeight w:val="964"/>
        </w:trPr>
        <w:tc>
          <w:tcPr>
            <w:tcW w:w="5352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379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160B9" w:rsidRPr="00403790" w:rsidRDefault="00136627">
            <w:pPr>
              <w:pStyle w:val="TableParagraph"/>
              <w:ind w:left="108" w:right="146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037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0379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0379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037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0379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0379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0379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160B9" w:rsidRPr="00403790" w:rsidRDefault="00136627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(It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mandatory</w:t>
            </w:r>
            <w:r w:rsidRPr="0040379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that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authors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should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write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160B9" w:rsidRPr="00403790">
        <w:trPr>
          <w:trHeight w:val="1264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ind w:left="108" w:right="146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This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important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for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scientific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community</w:t>
            </w:r>
            <w:r w:rsidRPr="0040379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because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focuses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improving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 xml:space="preserve">the manufacturing quality of metallic bipolar plates, which are key components of fuel cell systems. The study clearly explains how </w:t>
            </w:r>
            <w:proofErr w:type="spellStart"/>
            <w:r w:rsidRPr="00403790">
              <w:rPr>
                <w:rFonts w:ascii="Arial" w:hAnsi="Arial" w:cs="Arial"/>
                <w:sz w:val="20"/>
                <w:szCs w:val="20"/>
              </w:rPr>
              <w:t>drawbead</w:t>
            </w:r>
            <w:proofErr w:type="spellEnd"/>
            <w:r w:rsidRPr="00403790">
              <w:rPr>
                <w:rFonts w:ascii="Arial" w:hAnsi="Arial" w:cs="Arial"/>
                <w:sz w:val="20"/>
                <w:szCs w:val="20"/>
              </w:rPr>
              <w:t xml:space="preserve"> distance and depth affect wrinkling and fracture during the stamping process.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0B9" w:rsidRPr="00403790">
        <w:trPr>
          <w:trHeight w:val="1262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3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160B9" w:rsidRPr="00403790" w:rsidRDefault="0013662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0B9" w:rsidRPr="00403790">
        <w:trPr>
          <w:trHeight w:val="1262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037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0B9" w:rsidRPr="00403790">
        <w:trPr>
          <w:trHeight w:val="705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03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0B9" w:rsidRPr="00403790">
        <w:trPr>
          <w:trHeight w:val="1672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0379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before="79" w:line="362" w:lineRule="auto"/>
              <w:ind w:left="108" w:right="146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 xml:space="preserve">Add the following: Baskar, S., </w:t>
            </w:r>
            <w:proofErr w:type="spellStart"/>
            <w:r w:rsidRPr="00403790">
              <w:rPr>
                <w:rFonts w:ascii="Arial" w:hAnsi="Arial" w:cs="Arial"/>
                <w:sz w:val="20"/>
                <w:szCs w:val="20"/>
              </w:rPr>
              <w:t>Jayaprabakar</w:t>
            </w:r>
            <w:proofErr w:type="spellEnd"/>
            <w:r w:rsidRPr="00403790">
              <w:rPr>
                <w:rFonts w:ascii="Arial" w:hAnsi="Arial" w:cs="Arial"/>
                <w:sz w:val="20"/>
                <w:szCs w:val="20"/>
              </w:rPr>
              <w:t>, J., Rajan, T. S., Kumar, J. A., Sambandam, P., PK, J., &amp; Ruban, M. (2025). Possible bio cathode materials for usage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microbial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fuel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cells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towards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energy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generation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and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wastewater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treatment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D160B9" w:rsidRPr="00403790" w:rsidRDefault="00136627">
            <w:pPr>
              <w:pStyle w:val="TableParagraph"/>
              <w:spacing w:before="5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sustain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environment: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review. Results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Engineering,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104161.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0B9" w:rsidRPr="00403790" w:rsidRDefault="00D160B9">
      <w:pPr>
        <w:pStyle w:val="TableParagraph"/>
        <w:rPr>
          <w:rFonts w:ascii="Arial" w:hAnsi="Arial" w:cs="Arial"/>
          <w:sz w:val="20"/>
          <w:szCs w:val="20"/>
        </w:rPr>
        <w:sectPr w:rsidR="00D160B9" w:rsidRPr="00403790">
          <w:headerReference w:type="default" r:id="rId7"/>
          <w:footerReference w:type="default" r:id="rId8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160B9" w:rsidRPr="00403790">
        <w:trPr>
          <w:trHeight w:val="690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0379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0379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0379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60B9" w:rsidRPr="00403790">
        <w:trPr>
          <w:trHeight w:val="6211"/>
        </w:trPr>
        <w:tc>
          <w:tcPr>
            <w:tcW w:w="5352" w:type="dxa"/>
          </w:tcPr>
          <w:p w:rsidR="00D160B9" w:rsidRPr="00403790" w:rsidRDefault="00136627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03790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D160B9" w:rsidRPr="00403790" w:rsidRDefault="00136627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paper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fully</w:t>
            </w:r>
            <w:r w:rsidRPr="0040379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depends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on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finite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element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simulation,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lacking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validation.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How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do the substantiate the reliability of the simulation results in the absence of physical testing?</w:t>
            </w:r>
          </w:p>
          <w:p w:rsidR="00D160B9" w:rsidRPr="00403790" w:rsidRDefault="00136627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effect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of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blank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holder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force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indirectly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changed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403790">
              <w:rPr>
                <w:rFonts w:ascii="Arial" w:hAnsi="Arial" w:cs="Arial"/>
                <w:sz w:val="20"/>
                <w:szCs w:val="20"/>
              </w:rPr>
              <w:t>drawbead</w:t>
            </w:r>
            <w:proofErr w:type="spellEnd"/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distance.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Why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wasn't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an independent parametric study of blank holder force done?</w:t>
            </w:r>
          </w:p>
          <w:p w:rsidR="00D160B9" w:rsidRPr="00403790" w:rsidRDefault="00136627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friction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coefficient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set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0.125.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How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much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do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results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for</w:t>
            </w:r>
            <w:r w:rsidRPr="0040379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wrinkling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and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breaking change when the friction conditions change?</w:t>
            </w:r>
          </w:p>
          <w:p w:rsidR="00D160B9" w:rsidRPr="00403790" w:rsidRDefault="00136627">
            <w:pPr>
              <w:pStyle w:val="TableParagraph"/>
              <w:spacing w:line="362" w:lineRule="auto"/>
              <w:ind w:left="108" w:right="261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How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forming</w:t>
            </w:r>
            <w:r w:rsidRPr="0040379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limit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diagram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(FLD)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parameters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were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found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and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if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have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been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tested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on ultra-thin sheets (0.1 mm).</w:t>
            </w:r>
          </w:p>
          <w:p w:rsidR="00D160B9" w:rsidRPr="00403790" w:rsidRDefault="00136627">
            <w:pPr>
              <w:pStyle w:val="TableParagraph"/>
              <w:spacing w:line="360" w:lineRule="auto"/>
              <w:ind w:left="108" w:right="261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Has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mesh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convergence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study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been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done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to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make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sure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results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are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numerically</w:t>
            </w:r>
            <w:r w:rsidRPr="0040379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stable? How well do the results apply to other common flow field designs, like serpentine or interdigitated channels?</w:t>
            </w:r>
          </w:p>
          <w:p w:rsidR="00D160B9" w:rsidRPr="00403790" w:rsidRDefault="00136627">
            <w:pPr>
              <w:pStyle w:val="TableParagraph"/>
              <w:spacing w:line="360" w:lineRule="auto"/>
              <w:ind w:left="108" w:right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Add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the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following: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Baskar,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S.,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3790">
              <w:rPr>
                <w:rFonts w:ascii="Arial" w:hAnsi="Arial" w:cs="Arial"/>
                <w:sz w:val="20"/>
                <w:szCs w:val="20"/>
              </w:rPr>
              <w:t>Jayaprabakar</w:t>
            </w:r>
            <w:proofErr w:type="spellEnd"/>
            <w:r w:rsidRPr="00403790">
              <w:rPr>
                <w:rFonts w:ascii="Arial" w:hAnsi="Arial" w:cs="Arial"/>
                <w:sz w:val="20"/>
                <w:szCs w:val="20"/>
              </w:rPr>
              <w:t>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J.,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Rajan,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T.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S.,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Kumar,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J.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A.,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Sambandam,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P., PK,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J.,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&amp;</w:t>
            </w:r>
            <w:r w:rsidRPr="0040379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Ruban,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M.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(2025).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Possible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bio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cathode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materials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for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usage</w:t>
            </w:r>
            <w:r w:rsidRPr="0040379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in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microbial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fuel cells towards energy generation and wastewater treatment to sustain environment: A</w:t>
            </w:r>
          </w:p>
          <w:p w:rsidR="00D160B9" w:rsidRPr="00403790" w:rsidRDefault="00136627">
            <w:pPr>
              <w:pStyle w:val="TableParagraph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3790">
              <w:rPr>
                <w:rFonts w:ascii="Arial" w:hAnsi="Arial" w:cs="Arial"/>
                <w:sz w:val="20"/>
                <w:szCs w:val="20"/>
              </w:rPr>
              <w:t>review.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Results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in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z w:val="20"/>
                <w:szCs w:val="20"/>
              </w:rPr>
              <w:t>Engineering,</w:t>
            </w:r>
            <w:r w:rsidRPr="0040379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3790">
              <w:rPr>
                <w:rFonts w:ascii="Arial" w:hAnsi="Arial" w:cs="Arial"/>
                <w:spacing w:val="-2"/>
                <w:sz w:val="20"/>
                <w:szCs w:val="20"/>
              </w:rPr>
              <w:t>104161.</w:t>
            </w:r>
          </w:p>
        </w:tc>
        <w:tc>
          <w:tcPr>
            <w:tcW w:w="6445" w:type="dxa"/>
          </w:tcPr>
          <w:p w:rsidR="00D160B9" w:rsidRPr="00403790" w:rsidRDefault="00D160B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60B9" w:rsidRPr="00403790" w:rsidRDefault="00D160B9">
      <w:pPr>
        <w:rPr>
          <w:rFonts w:ascii="Arial" w:hAnsi="Arial" w:cs="Arial"/>
          <w:sz w:val="20"/>
          <w:szCs w:val="20"/>
        </w:rPr>
      </w:pPr>
    </w:p>
    <w:p w:rsidR="00D160B9" w:rsidRPr="00403790" w:rsidRDefault="00D160B9">
      <w:pPr>
        <w:rPr>
          <w:rFonts w:ascii="Arial" w:hAnsi="Arial" w:cs="Arial"/>
          <w:sz w:val="20"/>
          <w:szCs w:val="20"/>
        </w:rPr>
      </w:pPr>
    </w:p>
    <w:tbl>
      <w:tblPr>
        <w:tblW w:w="49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3"/>
        <w:gridCol w:w="7277"/>
        <w:gridCol w:w="7269"/>
      </w:tblGrid>
      <w:tr w:rsidR="006A58B5" w:rsidRPr="00403790" w:rsidTr="004037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5" w:rsidRPr="00403790" w:rsidRDefault="006A58B5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40379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379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A58B5" w:rsidRPr="00403790" w:rsidTr="00403790"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58B5" w:rsidRPr="00403790" w:rsidRDefault="006A58B5" w:rsidP="0097030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37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0" w:type="pct"/>
          </w:tcPr>
          <w:p w:rsidR="006A58B5" w:rsidRPr="00403790" w:rsidRDefault="006A58B5" w:rsidP="0097030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37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37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A58B5" w:rsidRPr="00403790" w:rsidRDefault="006A58B5" w:rsidP="0097030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A58B5" w:rsidRPr="00403790" w:rsidTr="00403790">
        <w:trPr>
          <w:trHeight w:val="890"/>
        </w:trPr>
        <w:tc>
          <w:tcPr>
            <w:tcW w:w="1598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5" w:rsidRPr="00403790" w:rsidRDefault="006A58B5" w:rsidP="0097030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379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58B5" w:rsidRPr="00403790" w:rsidRDefault="006A58B5" w:rsidP="0097030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37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37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379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0" w:type="pct"/>
            <w:vAlign w:val="center"/>
          </w:tcPr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A58B5" w:rsidRPr="00403790" w:rsidRDefault="006A58B5" w:rsidP="0097030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6A58B5" w:rsidRPr="00403790" w:rsidRDefault="006A58B5" w:rsidP="006A58B5">
      <w:pPr>
        <w:rPr>
          <w:rFonts w:ascii="Arial" w:hAnsi="Arial" w:cs="Arial"/>
          <w:sz w:val="20"/>
          <w:szCs w:val="20"/>
        </w:rPr>
      </w:pPr>
    </w:p>
    <w:p w:rsidR="006A58B5" w:rsidRPr="00403790" w:rsidRDefault="006A58B5" w:rsidP="006A58B5">
      <w:pPr>
        <w:rPr>
          <w:rFonts w:ascii="Arial" w:hAnsi="Arial" w:cs="Arial"/>
          <w:sz w:val="20"/>
          <w:szCs w:val="20"/>
        </w:rPr>
      </w:pPr>
    </w:p>
    <w:p w:rsidR="00403790" w:rsidRPr="00403790" w:rsidRDefault="00403790" w:rsidP="00403790">
      <w:pPr>
        <w:rPr>
          <w:rFonts w:ascii="Arial" w:hAnsi="Arial" w:cs="Arial"/>
          <w:b/>
          <w:sz w:val="20"/>
          <w:szCs w:val="20"/>
          <w:u w:val="single"/>
        </w:rPr>
      </w:pPr>
      <w:r w:rsidRPr="00403790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2" w:name="_GoBack"/>
      <w:bookmarkEnd w:id="2"/>
    </w:p>
    <w:p w:rsidR="00403790" w:rsidRPr="00403790" w:rsidRDefault="00403790" w:rsidP="006A58B5">
      <w:pPr>
        <w:rPr>
          <w:rFonts w:ascii="Arial" w:hAnsi="Arial" w:cs="Arial"/>
          <w:sz w:val="20"/>
          <w:szCs w:val="20"/>
        </w:rPr>
      </w:pPr>
    </w:p>
    <w:p w:rsidR="006A58B5" w:rsidRPr="00403790" w:rsidRDefault="00403790" w:rsidP="00403790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18263807"/>
      <w:r w:rsidRPr="00403790">
        <w:rPr>
          <w:rFonts w:ascii="Arial" w:hAnsi="Arial" w:cs="Arial"/>
          <w:b/>
          <w:bCs/>
          <w:sz w:val="20"/>
          <w:szCs w:val="20"/>
          <w:lang w:val="en-GB"/>
        </w:rPr>
        <w:t>S.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>Baskar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>VISTAS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03790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0"/>
    <w:bookmarkEnd w:id="3"/>
    <w:p w:rsidR="006A58B5" w:rsidRPr="00403790" w:rsidRDefault="006A58B5" w:rsidP="006A58B5">
      <w:pPr>
        <w:rPr>
          <w:rFonts w:ascii="Arial" w:hAnsi="Arial" w:cs="Arial"/>
          <w:sz w:val="20"/>
          <w:szCs w:val="20"/>
        </w:rPr>
      </w:pPr>
    </w:p>
    <w:p w:rsidR="00D160B9" w:rsidRPr="00403790" w:rsidRDefault="00D160B9">
      <w:pPr>
        <w:rPr>
          <w:rFonts w:ascii="Arial" w:hAnsi="Arial" w:cs="Arial"/>
          <w:sz w:val="20"/>
          <w:szCs w:val="20"/>
        </w:rPr>
      </w:pPr>
    </w:p>
    <w:sectPr w:rsidR="00D160B9" w:rsidRPr="00403790" w:rsidSect="006A58B5">
      <w:pgSz w:w="23820" w:h="16840" w:orient="landscape"/>
      <w:pgMar w:top="1820" w:right="1275" w:bottom="1694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F58" w:rsidRDefault="001F6F58">
      <w:r>
        <w:separator/>
      </w:r>
    </w:p>
  </w:endnote>
  <w:endnote w:type="continuationSeparator" w:id="0">
    <w:p w:rsidR="001F6F58" w:rsidRDefault="001F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0B9" w:rsidRDefault="001366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0B9" w:rsidRDefault="001366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D160B9" w:rsidRDefault="001366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0B9" w:rsidRDefault="001366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D160B9" w:rsidRDefault="001366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0B9" w:rsidRDefault="001366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D160B9" w:rsidRDefault="001366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0B9" w:rsidRDefault="0013662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D160B9" w:rsidRDefault="0013662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F58" w:rsidRDefault="001F6F58">
      <w:r>
        <w:separator/>
      </w:r>
    </w:p>
  </w:footnote>
  <w:footnote w:type="continuationSeparator" w:id="0">
    <w:p w:rsidR="001F6F58" w:rsidRDefault="001F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0B9" w:rsidRDefault="0013662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0B9" w:rsidRDefault="0013662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D160B9" w:rsidRDefault="0013662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0B9"/>
    <w:rsid w:val="00136627"/>
    <w:rsid w:val="001F6F58"/>
    <w:rsid w:val="0026013F"/>
    <w:rsid w:val="00403790"/>
    <w:rsid w:val="005C7339"/>
    <w:rsid w:val="006A2F34"/>
    <w:rsid w:val="006A58B5"/>
    <w:rsid w:val="006E15FB"/>
    <w:rsid w:val="008E7136"/>
    <w:rsid w:val="00D160B9"/>
    <w:rsid w:val="00EB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8EF4"/>
  <w15:docId w15:val="{632DAF9C-E079-4492-B522-41527E2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E71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2025-12-30T06:31:00Z</dcterms:created>
  <dcterms:modified xsi:type="dcterms:W3CDTF">2026-01-02T10:59:00Z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2013</vt:lpwstr>
  </property>
</Properties>
</file>