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8B7" w:rsidRDefault="00D228B7">
      <w:pPr>
        <w:pStyle w:val="BodyText"/>
        <w:spacing w:before="105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D228B7">
        <w:trPr>
          <w:trHeight w:val="290"/>
        </w:trPr>
        <w:tc>
          <w:tcPr>
            <w:tcW w:w="5166" w:type="dxa"/>
          </w:tcPr>
          <w:p w:rsidR="00D228B7" w:rsidRDefault="005B7E73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D228B7" w:rsidRDefault="002404F6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  <w:hyperlink r:id="rId6">
              <w:r w:rsidR="005B7E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5B7E73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5B7E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5B7E7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B7E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5B7E73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5B7E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5B7E73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5B7E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5B7E7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B7E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5B7E7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B7E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="005B7E73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5B7E7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D228B7">
        <w:trPr>
          <w:trHeight w:val="290"/>
        </w:trPr>
        <w:tc>
          <w:tcPr>
            <w:tcW w:w="5166" w:type="dxa"/>
          </w:tcPr>
          <w:p w:rsidR="00D228B7" w:rsidRDefault="005B7E73">
            <w:pPr>
              <w:pStyle w:val="TableParagraph"/>
              <w:spacing w:before="3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D228B7" w:rsidRDefault="005B7E73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Ms_JAMCS_151966</w:t>
            </w:r>
          </w:p>
        </w:tc>
      </w:tr>
      <w:tr w:rsidR="00D228B7">
        <w:trPr>
          <w:trHeight w:val="650"/>
        </w:trPr>
        <w:tc>
          <w:tcPr>
            <w:tcW w:w="5166" w:type="dxa"/>
          </w:tcPr>
          <w:p w:rsidR="00D228B7" w:rsidRDefault="005B7E73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D228B7" w:rsidRDefault="005B7E73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Fixed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Point</w:t>
            </w:r>
            <w:proofErr w:type="gram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G-(E.A.)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Integral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Mappings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G-Metric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Spaces</w:t>
            </w:r>
          </w:p>
        </w:tc>
      </w:tr>
      <w:tr w:rsidR="00D228B7">
        <w:trPr>
          <w:trHeight w:val="330"/>
        </w:trPr>
        <w:tc>
          <w:tcPr>
            <w:tcW w:w="5166" w:type="dxa"/>
          </w:tcPr>
          <w:p w:rsidR="00D228B7" w:rsidRDefault="005B7E73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D228B7" w:rsidRDefault="005B7E73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D228B7" w:rsidRDefault="00D228B7">
      <w:pPr>
        <w:pStyle w:val="BodyText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D228B7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D228B7" w:rsidRDefault="005B7E73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D228B7">
        <w:trPr>
          <w:trHeight w:val="970"/>
        </w:trPr>
        <w:tc>
          <w:tcPr>
            <w:tcW w:w="5356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228B7" w:rsidRDefault="005B7E73">
            <w:pPr>
              <w:pStyle w:val="TableParagraph"/>
              <w:ind w:left="105" w:right="26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D228B7" w:rsidRDefault="005B7E73">
            <w:pPr>
              <w:pStyle w:val="TableParagraph"/>
              <w:spacing w:line="256" w:lineRule="auto"/>
              <w:ind w:right="72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228B7">
        <w:trPr>
          <w:trHeight w:val="2531"/>
        </w:trPr>
        <w:tc>
          <w:tcPr>
            <w:tcW w:w="5356" w:type="dxa"/>
          </w:tcPr>
          <w:p w:rsidR="00D228B7" w:rsidRDefault="005B7E73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ind w:left="105" w:right="267"/>
            </w:pPr>
            <w:r>
              <w:t>The manuscript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the existence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uniqueness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common</w:t>
            </w:r>
            <w:r>
              <w:rPr>
                <w:spacing w:val="-2"/>
              </w:rPr>
              <w:t xml:space="preserve"> </w:t>
            </w:r>
            <w:r>
              <w:t>fixed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 xml:space="preserve">Lebesgue integrable self-mappings satisfying generalized G-(E.A.) properties in G-metric spaces. By employing integral type contractive conditions, the authors extend several known </w:t>
            </w:r>
            <w:proofErr w:type="gramStart"/>
            <w:r>
              <w:t>fixed point</w:t>
            </w:r>
            <w:proofErr w:type="gramEnd"/>
            <w:r>
              <w:t xml:space="preserve"> results. The paper also establishes well-posed1ness of the </w:t>
            </w:r>
            <w:proofErr w:type="gramStart"/>
            <w:r>
              <w:t>fixed point</w:t>
            </w:r>
            <w:proofErr w:type="gramEnd"/>
            <w:r>
              <w:t xml:space="preserve"> problem and provides illustrative examples to support the theoretical findings. The study enhances current understanding of the subject through a well- structured methodology and</w:t>
            </w:r>
            <w:r>
              <w:rPr>
                <w:spacing w:val="-4"/>
              </w:rPr>
              <w:t xml:space="preserve"> </w:t>
            </w:r>
            <w:r>
              <w:t>clear interpretation of</w:t>
            </w:r>
            <w:r>
              <w:rPr>
                <w:spacing w:val="-2"/>
              </w:rPr>
              <w:t xml:space="preserve"> </w:t>
            </w:r>
            <w:r>
              <w:t>results. Its findings have potential implications for both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practical</w:t>
            </w:r>
            <w:r>
              <w:rPr>
                <w:spacing w:val="-9"/>
              </w:rPr>
              <w:t xml:space="preserve"> </w:t>
            </w:r>
            <w:r>
              <w:t>applications,</w:t>
            </w:r>
            <w:r>
              <w:rPr>
                <w:spacing w:val="-3"/>
              </w:rPr>
              <w:t xml:space="preserve"> </w:t>
            </w:r>
            <w:r>
              <w:t>making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valuable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researchers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professionals in the field.</w:t>
            </w:r>
          </w:p>
        </w:tc>
        <w:tc>
          <w:tcPr>
            <w:tcW w:w="6441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28B7">
        <w:trPr>
          <w:trHeight w:val="1260"/>
        </w:trPr>
        <w:tc>
          <w:tcPr>
            <w:tcW w:w="5356" w:type="dxa"/>
          </w:tcPr>
          <w:p w:rsidR="00D228B7" w:rsidRDefault="005B7E73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D228B7" w:rsidRDefault="005B7E73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spacing w:line="242" w:lineRule="auto"/>
              <w:ind w:left="105" w:right="143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title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article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accurately</w:t>
            </w:r>
            <w:r>
              <w:rPr>
                <w:spacing w:val="-3"/>
              </w:rPr>
              <w:t xml:space="preserve"> </w:t>
            </w:r>
            <w:r>
              <w:t>reflects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scope,</w:t>
            </w:r>
            <w:r>
              <w:rPr>
                <w:spacing w:val="-3"/>
              </w:rPr>
              <w:t xml:space="preserve"> </w:t>
            </w:r>
            <w:r>
              <w:t>objectives,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focus</w:t>
            </w:r>
            <w:r>
              <w:rPr>
                <w:spacing w:val="-3"/>
              </w:rPr>
              <w:t xml:space="preserve"> </w:t>
            </w:r>
            <w:r>
              <w:t>of the study. It is clear, concise, and informative, making it suitable for the intended readership.</w:t>
            </w:r>
          </w:p>
        </w:tc>
        <w:tc>
          <w:tcPr>
            <w:tcW w:w="6441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28B7">
        <w:trPr>
          <w:trHeight w:val="1265"/>
        </w:trPr>
        <w:tc>
          <w:tcPr>
            <w:tcW w:w="5356" w:type="dxa"/>
          </w:tcPr>
          <w:p w:rsidR="00D228B7" w:rsidRDefault="005B7E73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ind w:left="105" w:right="143"/>
            </w:pPr>
            <w:r>
              <w:t>The abstract is comprehensive and effectively summarizes the objectives, methodology, key results, and</w:t>
            </w:r>
            <w:r>
              <w:rPr>
                <w:spacing w:val="-2"/>
              </w:rPr>
              <w:t xml:space="preserve"> </w:t>
            </w:r>
            <w:r>
              <w:t>conclusions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study.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sufficient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readers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the essence of the</w:t>
            </w:r>
            <w:r>
              <w:rPr>
                <w:spacing w:val="-1"/>
              </w:rPr>
              <w:t xml:space="preserve"> </w:t>
            </w:r>
            <w:r>
              <w:t>research.</w:t>
            </w:r>
            <w:r>
              <w:rPr>
                <w:spacing w:val="-3"/>
              </w:rPr>
              <w:t xml:space="preserve"> </w:t>
            </w:r>
            <w:r>
              <w:t>However,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brief</w:t>
            </w:r>
            <w:r>
              <w:rPr>
                <w:spacing w:val="-2"/>
              </w:rPr>
              <w:t xml:space="preserve"> </w:t>
            </w:r>
            <w:r>
              <w:t>mention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broader</w:t>
            </w:r>
            <w:r>
              <w:rPr>
                <w:spacing w:val="-2"/>
              </w:rPr>
              <w:t xml:space="preserve"> </w:t>
            </w:r>
            <w:r>
              <w:t>implications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could further strengthen this section.</w:t>
            </w:r>
          </w:p>
        </w:tc>
        <w:tc>
          <w:tcPr>
            <w:tcW w:w="6441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28B7">
        <w:trPr>
          <w:trHeight w:val="1010"/>
        </w:trPr>
        <w:tc>
          <w:tcPr>
            <w:tcW w:w="5356" w:type="dxa"/>
          </w:tcPr>
          <w:p w:rsidR="00D228B7" w:rsidRDefault="005B7E73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spacing w:line="242" w:lineRule="auto"/>
              <w:ind w:left="105" w:right="267"/>
            </w:pPr>
            <w:r>
              <w:t>The manuscript appears to be scientifically sound. The research methodology is appropriate, the analysis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logically</w:t>
            </w:r>
            <w:r>
              <w:rPr>
                <w:spacing w:val="-2"/>
              </w:rPr>
              <w:t xml:space="preserve"> </w:t>
            </w:r>
            <w:r>
              <w:t>presented,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conclusions</w:t>
            </w:r>
            <w:r>
              <w:rPr>
                <w:spacing w:val="-3"/>
              </w:rPr>
              <w:t xml:space="preserve"> </w:t>
            </w:r>
            <w:r>
              <w:t>are supported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 results.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scientific inconsistencies were identified.</w:t>
            </w:r>
          </w:p>
        </w:tc>
        <w:tc>
          <w:tcPr>
            <w:tcW w:w="6441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28B7">
        <w:trPr>
          <w:trHeight w:val="2305"/>
        </w:trPr>
        <w:tc>
          <w:tcPr>
            <w:tcW w:w="5356" w:type="dxa"/>
          </w:tcPr>
          <w:p w:rsidR="00D228B7" w:rsidRDefault="005B7E73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ind w:left="105"/>
            </w:pPr>
            <w:r>
              <w:t>The references cited are relevant and generally up to date. They adequately support the theoretical background</w:t>
            </w:r>
            <w:r>
              <w:rPr>
                <w:spacing w:val="-6"/>
              </w:rPr>
              <w:t xml:space="preserve"> </w:t>
            </w:r>
            <w:r>
              <w:t>and discussion of results. Inclusion of a few</w:t>
            </w:r>
            <w:r>
              <w:rPr>
                <w:spacing w:val="-5"/>
              </w:rPr>
              <w:t xml:space="preserve"> </w:t>
            </w:r>
            <w:r>
              <w:t>more recent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1"/>
              </w:rPr>
              <w:t xml:space="preserve"> </w:t>
            </w:r>
            <w:r>
              <w:t>could further</w:t>
            </w:r>
            <w:r>
              <w:rPr>
                <w:spacing w:val="-4"/>
              </w:rPr>
              <w:t xml:space="preserve"> </w:t>
            </w:r>
            <w:r>
              <w:t xml:space="preserve">enhance the depth and contemporary relevance of the literature review. The references are relevant and include classical as well as recent works in fixed point theory. </w:t>
            </w:r>
            <w:proofErr w:type="gramStart"/>
            <w:r>
              <w:t>However</w:t>
            </w:r>
            <w:proofErr w:type="gramEnd"/>
            <w:r>
              <w:t xml:space="preserve"> Citation formatting should be made consistent.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references</w:t>
            </w:r>
            <w:r>
              <w:rPr>
                <w:spacing w:val="-8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9"/>
              </w:rPr>
              <w:t xml:space="preserve"> </w:t>
            </w:r>
            <w:r>
              <w:t>contributions.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authors</w:t>
            </w:r>
            <w:r>
              <w:rPr>
                <w:spacing w:val="-4"/>
              </w:rPr>
              <w:t xml:space="preserve"> </w:t>
            </w:r>
            <w:r>
              <w:t>should explicitly state how their results relate to specific cited works.</w:t>
            </w:r>
          </w:p>
        </w:tc>
        <w:tc>
          <w:tcPr>
            <w:tcW w:w="6441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228B7" w:rsidRDefault="00D228B7">
      <w:pPr>
        <w:pStyle w:val="TableParagraph"/>
        <w:rPr>
          <w:sz w:val="20"/>
        </w:rPr>
        <w:sectPr w:rsidR="00D228B7">
          <w:headerReference w:type="default" r:id="rId7"/>
          <w:footerReference w:type="default" r:id="rId8"/>
          <w:pgSz w:w="23820" w:h="16840" w:orient="landscape"/>
          <w:pgMar w:top="1820" w:right="1275" w:bottom="880" w:left="1275" w:header="1283" w:footer="693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D228B7">
        <w:trPr>
          <w:trHeight w:val="2561"/>
        </w:trPr>
        <w:tc>
          <w:tcPr>
            <w:tcW w:w="5356" w:type="dxa"/>
          </w:tcPr>
          <w:p w:rsidR="00D228B7" w:rsidRDefault="005B7E73">
            <w:pPr>
              <w:pStyle w:val="TableParagraph"/>
              <w:ind w:left="47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ind w:left="105" w:right="267"/>
            </w:pPr>
            <w:r>
              <w:t>The language and overall presentation are suitable for scholarly communication. The manuscript is clearly</w:t>
            </w:r>
            <w:r>
              <w:rPr>
                <w:spacing w:val="-3"/>
              </w:rPr>
              <w:t xml:space="preserve"> </w:t>
            </w:r>
            <w:r>
              <w:t>written,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proper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tone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structure.</w:t>
            </w:r>
            <w:r>
              <w:rPr>
                <w:spacing w:val="-9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t>grammatical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stylistic</w:t>
            </w:r>
            <w:r>
              <w:rPr>
                <w:spacing w:val="-2"/>
              </w:rPr>
              <w:t xml:space="preserve"> </w:t>
            </w:r>
            <w:r>
              <w:t>refinements may be considered to further improve readability. A thorough language revision is strongly recommended. Several mathematical expressions are poorly formatted or incomplete, which</w:t>
            </w:r>
            <w:r>
              <w:rPr>
                <w:spacing w:val="-4"/>
              </w:rPr>
              <w:t xml:space="preserve"> </w:t>
            </w:r>
            <w:r>
              <w:t xml:space="preserve">affects readability. Some definitions lack clarity, and symbols are occasionally introduced without </w:t>
            </w:r>
            <w:proofErr w:type="spellStart"/>
            <w:proofErr w:type="gramStart"/>
            <w:r>
              <w:t>explanation.The</w:t>
            </w:r>
            <w:proofErr w:type="spellEnd"/>
            <w:proofErr w:type="gramEnd"/>
            <w:r>
              <w:t xml:space="preserve"> example provided is relevant but too brief. More detailed verification of the contractive condition and the G-(E.A.) property would improve clarity.</w:t>
            </w:r>
          </w:p>
        </w:tc>
        <w:tc>
          <w:tcPr>
            <w:tcW w:w="6441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28B7">
        <w:trPr>
          <w:trHeight w:val="2685"/>
        </w:trPr>
        <w:tc>
          <w:tcPr>
            <w:tcW w:w="5356" w:type="dxa"/>
          </w:tcPr>
          <w:p w:rsidR="00D228B7" w:rsidRDefault="005B7E7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D228B7" w:rsidRDefault="005B7E73">
            <w:pPr>
              <w:pStyle w:val="TableParagraph"/>
              <w:spacing w:line="242" w:lineRule="auto"/>
              <w:ind w:left="105" w:right="267"/>
            </w:pPr>
            <w:r>
              <w:t>The language and overall presentation are suitable for scholarly communication. The manuscript is clearly</w:t>
            </w:r>
            <w:r>
              <w:rPr>
                <w:spacing w:val="-3"/>
              </w:rPr>
              <w:t xml:space="preserve"> </w:t>
            </w:r>
            <w:r>
              <w:t>written,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proper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tone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structure.</w:t>
            </w:r>
            <w:r>
              <w:rPr>
                <w:spacing w:val="-9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t>grammatical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stylistic</w:t>
            </w:r>
            <w:r>
              <w:rPr>
                <w:spacing w:val="-2"/>
              </w:rPr>
              <w:t xml:space="preserve"> </w:t>
            </w:r>
            <w:r>
              <w:t>refinements may be considered to further improve readability.</w:t>
            </w:r>
          </w:p>
        </w:tc>
        <w:tc>
          <w:tcPr>
            <w:tcW w:w="6441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228B7" w:rsidRDefault="00D228B7">
      <w:pPr>
        <w:pStyle w:val="BodyText"/>
      </w:pPr>
    </w:p>
    <w:p w:rsidR="00D228B7" w:rsidRDefault="00D228B7">
      <w:pPr>
        <w:pStyle w:val="BodyText"/>
      </w:pPr>
    </w:p>
    <w:p w:rsidR="00D228B7" w:rsidRDefault="00D228B7">
      <w:pPr>
        <w:pStyle w:val="BodyText"/>
        <w:spacing w:before="13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D228B7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D228B7" w:rsidRDefault="005B7E73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D228B7">
        <w:trPr>
          <w:trHeight w:val="935"/>
        </w:trPr>
        <w:tc>
          <w:tcPr>
            <w:tcW w:w="6836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2" w:type="dxa"/>
          </w:tcPr>
          <w:p w:rsidR="00D228B7" w:rsidRDefault="005B7E7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6" w:type="dxa"/>
          </w:tcPr>
          <w:p w:rsidR="00D228B7" w:rsidRDefault="005B7E73">
            <w:pPr>
              <w:pStyle w:val="TableParagraph"/>
              <w:spacing w:line="256" w:lineRule="auto"/>
              <w:ind w:left="4" w:right="6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228B7">
        <w:trPr>
          <w:trHeight w:val="919"/>
        </w:trPr>
        <w:tc>
          <w:tcPr>
            <w:tcW w:w="6836" w:type="dxa"/>
          </w:tcPr>
          <w:p w:rsidR="00D228B7" w:rsidRDefault="005B7E73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D228B7" w:rsidRDefault="005B7E73">
            <w:pPr>
              <w:pStyle w:val="TableParagraph"/>
              <w:spacing w:before="113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 ethical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 here 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  <w:p w:rsidR="00D228B7" w:rsidRDefault="005B7E7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6" w:type="dxa"/>
          </w:tcPr>
          <w:p w:rsidR="00D228B7" w:rsidRDefault="00D228B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B7E73" w:rsidRDefault="005B7E73"/>
    <w:p w:rsidR="004E6B90" w:rsidRPr="008A1446" w:rsidRDefault="004E6B90" w:rsidP="004E6B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1446">
        <w:rPr>
          <w:rFonts w:ascii="Arial" w:hAnsi="Arial" w:cs="Arial"/>
          <w:b/>
          <w:u w:val="single"/>
        </w:rPr>
        <w:t>Reviewer details:</w:t>
      </w:r>
    </w:p>
    <w:p w:rsidR="004E6B90" w:rsidRPr="008A1446" w:rsidRDefault="004E6B90" w:rsidP="004E6B9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E6B90" w:rsidRDefault="004E6B90" w:rsidP="004E6B90">
      <w:r w:rsidRPr="008A1446">
        <w:rPr>
          <w:rFonts w:ascii="Arial" w:hAnsi="Arial" w:cs="Arial"/>
          <w:sz w:val="20"/>
          <w:szCs w:val="20"/>
        </w:rPr>
        <w:t>Rita Pal, Atharva University, School of Engineering and Technology, India</w:t>
      </w:r>
      <w:r w:rsidRPr="008A1446">
        <w:rPr>
          <w:rFonts w:ascii="Arial" w:hAnsi="Arial" w:cs="Arial"/>
          <w:sz w:val="20"/>
          <w:szCs w:val="20"/>
        </w:rPr>
        <w:br/>
      </w:r>
    </w:p>
    <w:p w:rsidR="004E6B90" w:rsidRDefault="004E6B90">
      <w:bookmarkStart w:id="0" w:name="_GoBack"/>
      <w:bookmarkEnd w:id="0"/>
    </w:p>
    <w:sectPr w:rsidR="004E6B90">
      <w:pgSz w:w="23820" w:h="16840" w:orient="landscape"/>
      <w:pgMar w:top="1820" w:right="1275" w:bottom="880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F6" w:rsidRDefault="002404F6">
      <w:r>
        <w:separator/>
      </w:r>
    </w:p>
  </w:endnote>
  <w:endnote w:type="continuationSeparator" w:id="0">
    <w:p w:rsidR="002404F6" w:rsidRDefault="0024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B7" w:rsidRDefault="005B7E7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28B7" w:rsidRDefault="005B7E7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D228B7" w:rsidRDefault="005B7E7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28B7" w:rsidRDefault="005B7E7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D228B7" w:rsidRDefault="005B7E7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28B7" w:rsidRDefault="005B7E7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D228B7" w:rsidRDefault="005B7E7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28B7" w:rsidRDefault="005B7E7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D228B7" w:rsidRDefault="005B7E7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F6" w:rsidRDefault="002404F6">
      <w:r>
        <w:separator/>
      </w:r>
    </w:p>
  </w:footnote>
  <w:footnote w:type="continuationSeparator" w:id="0">
    <w:p w:rsidR="002404F6" w:rsidRDefault="0024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B7" w:rsidRDefault="005B7E7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28B7" w:rsidRDefault="005B7E7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D228B7" w:rsidRDefault="005B7E7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8B7"/>
    <w:rsid w:val="002404F6"/>
    <w:rsid w:val="003325C1"/>
    <w:rsid w:val="004E6B90"/>
    <w:rsid w:val="00501E00"/>
    <w:rsid w:val="005B7E73"/>
    <w:rsid w:val="00876C92"/>
    <w:rsid w:val="00D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B47D"/>
  <w15:docId w15:val="{E2F9FD31-441B-496B-8849-6EE2293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4E6B9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2026-01-22T06:58:00Z</dcterms:created>
  <dcterms:modified xsi:type="dcterms:W3CDTF">2026-01-24T06:44:00Z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2026-01-22T00:00:00Z</vt:filetime>
  </property>
</Properties>
</file>