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28BBA" w14:textId="77777777" w:rsidR="00F865F4" w:rsidRPr="00F865F4" w:rsidRDefault="00F865F4" w:rsidP="00F865F4">
      <w:pPr>
        <w:jc w:val="right"/>
        <w:rPr>
          <w:rFonts w:ascii="Arial" w:hAnsi="Arial" w:cs="Arial"/>
          <w:b/>
          <w:bCs/>
          <w:i/>
          <w:iCs/>
          <w:sz w:val="36"/>
          <w:szCs w:val="36"/>
          <w:u w:val="single"/>
        </w:rPr>
      </w:pPr>
      <w:r w:rsidRPr="00F865F4">
        <w:rPr>
          <w:rFonts w:ascii="Arial" w:hAnsi="Arial" w:cs="Arial"/>
          <w:b/>
          <w:bCs/>
          <w:i/>
          <w:iCs/>
          <w:sz w:val="36"/>
          <w:szCs w:val="36"/>
          <w:u w:val="single"/>
        </w:rPr>
        <w:t>Original Research Article</w:t>
      </w:r>
    </w:p>
    <w:p w14:paraId="44472F0B" w14:textId="77777777" w:rsidR="00F955B2" w:rsidRPr="006066F2" w:rsidRDefault="00F955B2" w:rsidP="00F955B2">
      <w:pPr>
        <w:jc w:val="right"/>
        <w:rPr>
          <w:rFonts w:ascii="Arial" w:hAnsi="Arial" w:cs="Arial"/>
          <w:sz w:val="36"/>
          <w:szCs w:val="36"/>
        </w:rPr>
      </w:pPr>
      <w:bookmarkStart w:id="0" w:name="_Hlk217030279"/>
      <w:r w:rsidRPr="006066F2">
        <w:rPr>
          <w:rFonts w:ascii="Arial" w:hAnsi="Arial" w:cs="Arial"/>
          <w:b/>
          <w:bCs/>
          <w:sz w:val="36"/>
          <w:szCs w:val="36"/>
        </w:rPr>
        <w:t>Isolation and evaluation of the growth-promoting properties of rhizosphere bacteria in tomato plants in Burkina Faso</w:t>
      </w:r>
    </w:p>
    <w:bookmarkEnd w:id="0"/>
    <w:p w14:paraId="79E495FB" w14:textId="77777777" w:rsidR="00A258C3" w:rsidRPr="00790ADA" w:rsidRDefault="00A258C3" w:rsidP="00F955B2">
      <w:pPr>
        <w:pStyle w:val="Author"/>
        <w:spacing w:line="240" w:lineRule="auto"/>
        <w:rPr>
          <w:rFonts w:ascii="Arial" w:hAnsi="Arial" w:cs="Arial"/>
          <w:sz w:val="36"/>
        </w:rPr>
      </w:pPr>
    </w:p>
    <w:p w14:paraId="515AA7FB" w14:textId="77777777" w:rsidR="00E95770" w:rsidRPr="00F865F4" w:rsidRDefault="00E95770" w:rsidP="00F865F4">
      <w:pPr>
        <w:pStyle w:val="Affiliation"/>
        <w:spacing w:line="240" w:lineRule="auto"/>
        <w:rPr>
          <w:rFonts w:ascii="Arial" w:hAnsi="Arial" w:cs="Arial"/>
        </w:rPr>
      </w:pPr>
    </w:p>
    <w:p w14:paraId="1DEB344F" w14:textId="77777777" w:rsidR="002C57D2" w:rsidRPr="00FB3A86" w:rsidRDefault="002C57D2" w:rsidP="00441B6F">
      <w:pPr>
        <w:pStyle w:val="Affiliation"/>
        <w:spacing w:after="0" w:line="240" w:lineRule="auto"/>
        <w:jc w:val="both"/>
        <w:rPr>
          <w:rFonts w:ascii="Arial" w:hAnsi="Arial" w:cs="Arial"/>
        </w:rPr>
      </w:pPr>
    </w:p>
    <w:p w14:paraId="6342724B" w14:textId="77777777" w:rsidR="00B01FCD" w:rsidRPr="00FB3A86" w:rsidRDefault="00A17805" w:rsidP="00441B6F">
      <w:pPr>
        <w:pStyle w:val="Copyright"/>
        <w:spacing w:after="0" w:line="240" w:lineRule="auto"/>
        <w:jc w:val="both"/>
        <w:rPr>
          <w:rFonts w:ascii="Arial" w:hAnsi="Arial" w:cs="Arial"/>
        </w:rPr>
        <w:sectPr w:rsidR="00B01FCD" w:rsidRPr="00FB3A86" w:rsidSect="00F02B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32B672" wp14:editId="018E03E4">
                <wp:extent cx="5303520" cy="635"/>
                <wp:effectExtent l="0" t="12700" r="5080" b="12065"/>
                <wp:docPr id="83765135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F3459D"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wrap anchorx="page"/>
                <w10:anchorlock/>
              </v:shape>
            </w:pict>
          </mc:Fallback>
        </mc:AlternateContent>
      </w:r>
      <w:r w:rsidR="00FB3A86">
        <w:rPr>
          <w:rFonts w:ascii="Arial" w:hAnsi="Arial" w:cs="Arial"/>
        </w:rPr>
        <w:t>.</w:t>
      </w:r>
    </w:p>
    <w:p w14:paraId="07279EE9" w14:textId="77777777" w:rsidR="00B01FCD" w:rsidRDefault="00B01FCD" w:rsidP="00A03636">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160807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92A1BB" w14:textId="77777777" w:rsidTr="001E44FE">
        <w:tc>
          <w:tcPr>
            <w:tcW w:w="9576" w:type="dxa"/>
            <w:shd w:val="clear" w:color="auto" w:fill="F2F2F2"/>
          </w:tcPr>
          <w:p w14:paraId="4D08C5A1" w14:textId="77777777" w:rsidR="00505F06" w:rsidRPr="00533AE1" w:rsidRDefault="00533AE1" w:rsidP="00533AE1">
            <w:pPr>
              <w:jc w:val="both"/>
              <w:rPr>
                <w:rFonts w:ascii="Arial" w:hAnsi="Arial" w:cs="Arial"/>
              </w:rPr>
            </w:pPr>
            <w:r w:rsidRPr="00133BAD">
              <w:rPr>
                <w:rFonts w:ascii="Arial" w:hAnsi="Arial" w:cs="Arial"/>
              </w:rPr>
              <w:t>Soil degradation is a major constraint on agricultural productivity. However, the use of rhizobacteria as biofertilizers. Enabling the sustainable recovery of infertile soils. The objective of this study is to evaluate the plant growth-promoting properties of rhizobacteria from tomato plants, for using as biofertilizers. To this end, bacteria were isolated from the tomato rhizosphere using standard laboratory methods. Tests for nitrogen fixation, phosphate solubilization, ammonia, indoleacetic acid, cellulase, and hydrogen cyanide production were performed to evaluate the growth-promoting properties of the bacteria.  A germination test was also performed on two tomato varieties (</w:t>
            </w:r>
            <w:proofErr w:type="spellStart"/>
            <w:r w:rsidRPr="00133BAD">
              <w:rPr>
                <w:rFonts w:ascii="Arial" w:hAnsi="Arial" w:cs="Arial"/>
              </w:rPr>
              <w:t>Mongal</w:t>
            </w:r>
            <w:proofErr w:type="spellEnd"/>
            <w:r w:rsidRPr="00133BAD">
              <w:rPr>
                <w:rFonts w:ascii="Arial" w:hAnsi="Arial" w:cs="Arial"/>
              </w:rPr>
              <w:t xml:space="preserve"> and Cobra) using the bacteria as inoculum. The morphological, biochemical, and physiological parameters of the isolates were assessed, and their probable identity was determined using ABIS online software. A total of 225 rhizobacteria were isolated. Preliminary screening allowed the selection of 21 isolates, notably isolates A3, A30, A56, B1, B15, B30, T9, T6, T3, KOM3, KOM1, KOM9, Le13, Le18, Le6, KO15, KO1, KO2, Ki1, and Ki3. These bacteria were capable of both nitrogen fixation, indoleacetic acid production, and ammonia production. Among the selected isolates, 47.61%, 42.85%, and 81.75% were capable of solubilizing phosphate, producing hydrogen cyanide, and synthesizing cellulase, respectively. The vigor index of inoculated grains increased from 755 to 838 compared to the non-inoculated control (750) for the Cobra variety. For the </w:t>
            </w:r>
            <w:proofErr w:type="spellStart"/>
            <w:r w:rsidRPr="00133BAD">
              <w:rPr>
                <w:rFonts w:ascii="Arial" w:hAnsi="Arial" w:cs="Arial"/>
              </w:rPr>
              <w:t>Mongal</w:t>
            </w:r>
            <w:proofErr w:type="spellEnd"/>
            <w:r w:rsidRPr="00133BAD">
              <w:rPr>
                <w:rFonts w:ascii="Arial" w:hAnsi="Arial" w:cs="Arial"/>
              </w:rPr>
              <w:t xml:space="preserve"> variety, the vigor indices of the inoculated grains ranged from 605 to 863, compared to the non-inoculated control (548), with 95% of the inoculated isolates showing the best vigor indices. Strains B30 and B1 yielded the highest vigor indices for the Cobra and </w:t>
            </w:r>
            <w:proofErr w:type="spellStart"/>
            <w:r w:rsidRPr="00133BAD">
              <w:rPr>
                <w:rFonts w:ascii="Arial" w:hAnsi="Arial" w:cs="Arial"/>
              </w:rPr>
              <w:t>Mongal</w:t>
            </w:r>
            <w:proofErr w:type="spellEnd"/>
            <w:r w:rsidRPr="00133BAD">
              <w:rPr>
                <w:rFonts w:ascii="Arial" w:hAnsi="Arial" w:cs="Arial"/>
              </w:rPr>
              <w:t xml:space="preserve"> varieties, respectively. The ABIS software allowed the isolates to be classified into the genera </w:t>
            </w:r>
            <w:r w:rsidRPr="00133BAD">
              <w:rPr>
                <w:rFonts w:ascii="Arial" w:hAnsi="Arial" w:cs="Arial"/>
                <w:i/>
                <w:iCs/>
              </w:rPr>
              <w:t>Pseudomonas</w:t>
            </w:r>
            <w:r w:rsidRPr="00133BAD">
              <w:rPr>
                <w:rFonts w:ascii="Arial" w:hAnsi="Arial" w:cs="Arial"/>
              </w:rPr>
              <w:t xml:space="preserve"> (52.38%), </w:t>
            </w:r>
            <w:r w:rsidRPr="00133BAD">
              <w:rPr>
                <w:rFonts w:ascii="Arial" w:hAnsi="Arial" w:cs="Arial"/>
                <w:i/>
                <w:iCs/>
              </w:rPr>
              <w:t>Bacillus</w:t>
            </w:r>
            <w:r w:rsidRPr="00133BAD">
              <w:rPr>
                <w:rFonts w:ascii="Arial" w:hAnsi="Arial" w:cs="Arial"/>
              </w:rPr>
              <w:t xml:space="preserve"> (28.57%), and </w:t>
            </w:r>
            <w:r w:rsidRPr="00133BAD">
              <w:rPr>
                <w:rFonts w:ascii="Arial" w:hAnsi="Arial" w:cs="Arial"/>
                <w:i/>
                <w:iCs/>
              </w:rPr>
              <w:t>Enterobacter</w:t>
            </w:r>
            <w:r w:rsidRPr="00133BAD">
              <w:rPr>
                <w:rFonts w:ascii="Arial" w:hAnsi="Arial" w:cs="Arial"/>
              </w:rPr>
              <w:t xml:space="preserve"> (19.05%). These results highlight the potential of these rhizobacterial isolates to be used as biofertilizers to increase tomato production.</w:t>
            </w:r>
          </w:p>
        </w:tc>
      </w:tr>
    </w:tbl>
    <w:p w14:paraId="68536084" w14:textId="77777777" w:rsidR="00505F06" w:rsidRPr="00197049" w:rsidRDefault="00A24E7E" w:rsidP="00441B6F">
      <w:pPr>
        <w:pStyle w:val="Body"/>
        <w:spacing w:after="0"/>
        <w:rPr>
          <w:rFonts w:ascii="Arial" w:hAnsi="Arial" w:cs="Arial"/>
          <w:i/>
        </w:rPr>
      </w:pPr>
      <w:r>
        <w:rPr>
          <w:rFonts w:ascii="Arial" w:hAnsi="Arial" w:cs="Arial"/>
          <w:i/>
        </w:rPr>
        <w:t xml:space="preserve">Keywords: </w:t>
      </w:r>
      <w:r w:rsidR="00533AE1" w:rsidRPr="006066F2">
        <w:rPr>
          <w:rFonts w:ascii="Arial" w:hAnsi="Arial" w:cs="Arial"/>
          <w:i/>
        </w:rPr>
        <w:t>tomato, rhizobacteria, biofertilizer, Burkina Faso</w:t>
      </w:r>
    </w:p>
    <w:p w14:paraId="61AAA322" w14:textId="77777777" w:rsidR="007F7B32" w:rsidRDefault="00902823" w:rsidP="00A03636">
      <w:pPr>
        <w:pStyle w:val="AbstHead"/>
        <w:spacing w:after="0"/>
        <w:rPr>
          <w:rFonts w:ascii="Arial" w:hAnsi="Arial" w:cs="Arial"/>
        </w:rPr>
      </w:pPr>
      <w:r>
        <w:rPr>
          <w:rFonts w:ascii="Arial" w:hAnsi="Arial" w:cs="Arial"/>
        </w:rPr>
        <w:t xml:space="preserve">1. </w:t>
      </w:r>
      <w:commentRangeStart w:id="1"/>
      <w:r w:rsidR="00B01FCD" w:rsidRPr="00FB3A86">
        <w:rPr>
          <w:rFonts w:ascii="Arial" w:hAnsi="Arial" w:cs="Arial"/>
        </w:rPr>
        <w:t>INTRODUCTION</w:t>
      </w:r>
      <w:r w:rsidR="007F7B32">
        <w:rPr>
          <w:rFonts w:ascii="Arial" w:hAnsi="Arial" w:cs="Arial"/>
        </w:rPr>
        <w:t xml:space="preserve"> </w:t>
      </w:r>
    </w:p>
    <w:p w14:paraId="6A4140DE" w14:textId="77777777" w:rsidR="00790ADA" w:rsidRPr="00FB3A86" w:rsidRDefault="00790ADA" w:rsidP="00197049">
      <w:pPr>
        <w:pStyle w:val="AbstHead"/>
        <w:spacing w:after="0"/>
        <w:jc w:val="both"/>
        <w:rPr>
          <w:rFonts w:ascii="Arial" w:hAnsi="Arial" w:cs="Arial"/>
        </w:rPr>
      </w:pPr>
    </w:p>
    <w:p w14:paraId="6462659B" w14:textId="77777777" w:rsidR="00533AE1" w:rsidRPr="00B47993" w:rsidRDefault="00533AE1" w:rsidP="00197049">
      <w:pPr>
        <w:pStyle w:val="Body"/>
        <w:spacing w:after="0"/>
        <w:rPr>
          <w:rFonts w:ascii="Arial" w:hAnsi="Arial" w:cs="Arial"/>
        </w:rPr>
      </w:pPr>
      <w:r w:rsidRPr="00B47993">
        <w:rPr>
          <w:rFonts w:ascii="Arial" w:hAnsi="Arial" w:cs="Arial"/>
        </w:rPr>
        <w:t>Soil degradation is a global issue in the 21st century, particularly in tropical and subtropical regions</w:t>
      </w:r>
      <w:r w:rsidRPr="00B47993">
        <w:rPr>
          <w:rFonts w:ascii="Arial" w:hAnsi="Arial" w:cs="Arial"/>
          <w:b/>
          <w:bCs/>
        </w:rPr>
        <w:t xml:space="preserve"> </w:t>
      </w:r>
      <w:r w:rsidRPr="00B47993">
        <w:rPr>
          <w:rFonts w:ascii="Arial" w:hAnsi="Arial" w:cs="Arial"/>
        </w:rPr>
        <w:fldChar w:fldCharType="begin"/>
      </w:r>
      <w:r w:rsidRPr="00B47993">
        <w:rPr>
          <w:rFonts w:ascii="Arial" w:hAnsi="Arial" w:cs="Arial"/>
        </w:rPr>
        <w:instrText xml:space="preserve"> ADDIN ZOTERO_ITEM CSL_CITATION {"citationID":"CnDPFDI8","properties":{"formattedCitation":"(Lal, 2015)","plainCitation":"(Lal, 2015)","noteIndex":0},"citationItems":[{"id":346,"uris":["http://zotero.org/users/5678157/items/V9UHDC7D"],"itemData":{"id":346,"type":"article-journal","abstract":"Feeding the world population, 7.3 billion in 2015 and projected to increase to 9.5 billion by 2050, necessitates an increase in agricultural production of ~70% between 2005 and 2050. Soil degradation, characterized by decline in quality and decrease in ecosystem goods and services, is a major constraint to achieving the required increase in agricultural production. Soil is a non-renewable resource on human time scales with its vulnerability to degradation depending on complex interactions between processes, factors and causes occurring at a range of spatial and temporal scales. Among the major soil degradation processes are accelerated erosion, depletion of the soil organic carbon (SOC) pool and loss in biodiversity, loss of soil fertility and elemental imbalance, acidification and salinization. Soil degradation trends can be reversed by conversion to a restorative land use and adoption of recommended management practices. The strategy is to minimize soil erosion, create positive SOC and N budgets, enhance activity and species diversity of soil biota (micro, meso, and macro), and improve structural stability and pore geometry. Improving soil quality (i.e., increasing SOC pool, improving soil structure, enhancing soil fertility) can reduce risks of soil degradation (physical, chemical, biological and ecological) while improving the environment. Increasing the SOC pool to above the critical level (10 to 15 g/kg) is essential to set-in-motion the restorative trends. Site-specific techniques of restoring soil quality include conservation agriculture, integrated nutrient management, continuous vegetative cover such as residue mulch and cover cropping, and controlled grazing at appropriate stocking rates. The strategy is to produce “more from less” by reducing losses and increasing soil, water, and nutrient use efficiency.","container-title":"Sustainability","DOI":"10.3390/su7055875","ISSN":"2071-1050","issue":"5","journalAbbreviation":"Sustainability","language":"en","page":"5875-5895","source":"DOI.org (Crossref)","title":"Restoring Soil Quality to Mitigate Soil Degradation","volume":"7","author":[{"family":"Lal","given":"Rattan"}],"issued":{"date-parts":[["2015",5,13]]}}}],"schema":"https://github.com/citation-style-language/schema/raw/master/csl-citation.json"} </w:instrText>
      </w:r>
      <w:r w:rsidRPr="00B47993">
        <w:rPr>
          <w:rFonts w:ascii="Arial" w:hAnsi="Arial" w:cs="Arial"/>
        </w:rPr>
        <w:fldChar w:fldCharType="separate"/>
      </w:r>
      <w:r w:rsidRPr="00B47993">
        <w:rPr>
          <w:rFonts w:ascii="Arial" w:hAnsi="Arial" w:cs="Arial"/>
        </w:rPr>
        <w:t>(Lal, 2015)</w:t>
      </w:r>
      <w:r w:rsidRPr="00B47993">
        <w:rPr>
          <w:rFonts w:ascii="Arial" w:hAnsi="Arial" w:cs="Arial"/>
        </w:rPr>
        <w:fldChar w:fldCharType="end"/>
      </w:r>
      <w:r w:rsidRPr="00B47993">
        <w:rPr>
          <w:rFonts w:ascii="Arial" w:hAnsi="Arial" w:cs="Arial"/>
        </w:rPr>
        <w:t xml:space="preserve">. Indeed, accelerated soil degradation is estimated to have affected 33% of the world's land surface </w:t>
      </w:r>
      <w:r w:rsidRPr="00B47993">
        <w:rPr>
          <w:rFonts w:ascii="Arial" w:hAnsi="Arial" w:cs="Arial"/>
          <w:b/>
          <w:bCs/>
        </w:rPr>
        <w:fldChar w:fldCharType="begin"/>
      </w:r>
      <w:r w:rsidRPr="00B47993">
        <w:rPr>
          <w:rFonts w:ascii="Arial" w:hAnsi="Arial" w:cs="Arial"/>
          <w:b/>
          <w:bCs/>
        </w:rPr>
        <w:instrText xml:space="preserve"> ADDIN ZOTERO_ITEM CSL_CITATION {"citationID":"S6IvywE9","properties":{"formattedCitation":"(Bini, 2009)","plainCitation":"(Bini, 2009)","noteIndex":0},"citationItems":[{"id":382,"uris":["http://zotero.org/users/5678157/items/JPA3D9NJ"],"itemData":{"id":382,"type":"chapter","container-title":"Conservation of natural resources","page":"1–48","publisher":"Nova Science","source":"Google Scholar","title":"Soil: A precious natural resource","title-short":"Soil","URL":"https://iris.unive.it/bitstream/10278/21778/1/Soil%20Conservation%202008.doc","author":[{"family":"Bini","given":"Claudio"}],"accessed":{"date-parts":[["2025",10,29]]},"issued":{"date-parts":[["2009"]]}}}],"schema":"https://github.com/citation-style-language/schema/raw/master/csl-citation.json"} </w:instrText>
      </w:r>
      <w:r w:rsidRPr="00B47993">
        <w:rPr>
          <w:rFonts w:ascii="Arial" w:hAnsi="Arial" w:cs="Arial"/>
          <w:b/>
          <w:bCs/>
        </w:rPr>
        <w:fldChar w:fldCharType="separate"/>
      </w:r>
      <w:r w:rsidRPr="00B47993">
        <w:rPr>
          <w:rFonts w:ascii="Arial" w:hAnsi="Arial" w:cs="Arial"/>
        </w:rPr>
        <w:t>(Bini, 2009</w:t>
      </w:r>
      <w:r w:rsidRPr="00B47993">
        <w:rPr>
          <w:rFonts w:ascii="Arial" w:hAnsi="Arial" w:cs="Arial"/>
          <w:b/>
          <w:bCs/>
        </w:rPr>
        <w:t>)</w:t>
      </w:r>
      <w:r w:rsidRPr="00B47993">
        <w:rPr>
          <w:rFonts w:ascii="Arial" w:hAnsi="Arial" w:cs="Arial"/>
          <w:b/>
          <w:bCs/>
        </w:rPr>
        <w:fldChar w:fldCharType="end"/>
      </w:r>
      <w:r w:rsidRPr="00B47993">
        <w:rPr>
          <w:rFonts w:ascii="Arial" w:hAnsi="Arial" w:cs="Arial"/>
        </w:rPr>
        <w:t xml:space="preserve">. In the tropics, soil degradation affects 500 million hectares </w:t>
      </w:r>
      <w:r w:rsidRPr="00B47993">
        <w:rPr>
          <w:rFonts w:ascii="Arial" w:hAnsi="Arial" w:cs="Arial"/>
        </w:rPr>
        <w:fldChar w:fldCharType="begin"/>
      </w:r>
      <w:r w:rsidRPr="00B47993">
        <w:rPr>
          <w:rFonts w:ascii="Arial" w:hAnsi="Arial" w:cs="Arial"/>
        </w:rPr>
        <w:instrText xml:space="preserve"> ADDIN ZOTERO_ITEM CSL_CITATION {"citationID":"aXtA9mWF","properties":{"formattedCitation":"(Lamb et al., 2005)","plainCitation":"(Lamb et al., 2005)","noteIndex":0},"citationItems":[{"id":311,"uris":["http://zotero.org/users/5678157/items/NN8C78ML"],"itemData":{"id":311,"type":"article-journal","abstract":"The current scale of deforestation in tropical regions and the large areas of degraded lands now present underscore the urgent need for interventions to restore biodiversity, ecological functioning, and the supply of goods and ecological services previously used by poor rural communities. Traditional timber plantations have supplied some goods but have made only minor contributions to fulfilling most of these other objectives. New approaches to reforestation are now emerging, with potential for both overcoming forest degradation and addressing rural poverty.","container-title":"Science","DOI":"10.1126/science.1111773","ISSN":"0036-8075, 1095-9203","issue":"5754","journalAbbreviation":"Science","language":"en","page":"1628-1632","source":"DOI.org (Crossref)","title":"Restoration of Degraded Tropical Forest Landscapes","volume":"310","author":[{"family":"Lamb","given":"David"},{"family":"Erskine","given":"Peter D."},{"family":"Parrotta","given":"John A."}],"issued":{"date-parts":[["2005",12,9]]}}}],"schema":"https://github.com/citation-style-language/schema/raw/master/csl-citation.json"} </w:instrText>
      </w:r>
      <w:r w:rsidRPr="00B47993">
        <w:rPr>
          <w:rFonts w:ascii="Arial" w:hAnsi="Arial" w:cs="Arial"/>
        </w:rPr>
        <w:fldChar w:fldCharType="separate"/>
      </w:r>
      <w:r w:rsidRPr="00B47993">
        <w:rPr>
          <w:rFonts w:ascii="Arial" w:hAnsi="Arial" w:cs="Arial"/>
        </w:rPr>
        <w:t>(Lamb et al., 2005)</w:t>
      </w:r>
      <w:r w:rsidRPr="00B47993">
        <w:rPr>
          <w:rFonts w:ascii="Arial" w:hAnsi="Arial" w:cs="Arial"/>
        </w:rPr>
        <w:fldChar w:fldCharType="end"/>
      </w:r>
      <w:r w:rsidRPr="00B47993">
        <w:rPr>
          <w:rFonts w:ascii="Arial" w:hAnsi="Arial" w:cs="Arial"/>
        </w:rPr>
        <w:t xml:space="preserve">, threatening ecosystem services and food security for populations in developing countries </w:t>
      </w:r>
      <w:r w:rsidRPr="00B47993">
        <w:rPr>
          <w:rFonts w:ascii="Arial" w:hAnsi="Arial" w:cs="Arial"/>
        </w:rPr>
        <w:fldChar w:fldCharType="begin"/>
      </w:r>
      <w:r w:rsidRPr="00B47993">
        <w:rPr>
          <w:rFonts w:ascii="Arial" w:hAnsi="Arial" w:cs="Arial"/>
        </w:rPr>
        <w:instrText xml:space="preserve"> ADDIN ZOTERO_ITEM CSL_CITATION {"citationID":"bM8Z3YYU","properties":{"formattedCitation":"(Herrero et al., 2010)","plainCitation":"(Herrero et al., 2010)","noteIndex":0},"citationItems":[{"id":312,"uris":["http://zotero.org/users/5678157/items/6ZN5S4W6"],"itemData":{"id":312,"type":"article-journal","abstract":"Farmers in mixed crop-livestock systems produce about half of the world’s food. In small holdings around the world, livestock are reared mostly on grass, browse, and nonfood biomass from maize, millet, rice, and sorghum crops and in their turn supply manure and traction for future crops. Animals act as insurance against hard times and supply farmers with a source of regular income from sales of milk, eggs, and other products. Thus, faced with population growth and climate change, small-holder farmers should be the first target for policies to intensify production by carefully managed inputs of fertilizer, water, and feed to minimize waste and environmental impact, supported by improved access to markets, new varieties, and technologies.","container-title":"Science","DOI":"10.1126/science.1183725","issue":"5967","note":"publisher: American Association for the Advancement of Science","page":"822-825","source":"science.org (Atypon)","title":"Smart Investments in Sustainable Food Production: Revisiting Mixed Crop-Livestock Systems","title-short":"Smart Investments in Sustainable Food Production","volume":"327","author":[{"family":"Herrero","given":"M."},{"family":"Thornton","given":"P. K."},{"family":"Notenbaert","given":"A. M."},{"family":"Wood","given":"S."},{"family":"Msangi","given":"S."},{"family":"Freeman","given":"H. A."},{"family":"Bossio","given":"D."},{"family":"Dixon","given":"J."},{"family":"Peters","given":"M."},{"family":"Steeg","given":"J.","non-dropping-particle":"van de"},{"family":"Lynam","given":"J."},{"family":"Rao","given":"P. Parthasarathy"},{"family":"Macmillan","given":"S."},{"family":"Gerard","given":"B."},{"family":"McDermott","given":"J."},{"family":"Seré","given":"C."},{"family":"Rosegrant","given":"M."}],"issued":{"date-parts":[["2010",2,12]]}}}],"schema":"https://github.com/citation-style-language/schema/raw/master/csl-citation.json"} </w:instrText>
      </w:r>
      <w:r w:rsidRPr="00B47993">
        <w:rPr>
          <w:rFonts w:ascii="Arial" w:hAnsi="Arial" w:cs="Arial"/>
        </w:rPr>
        <w:fldChar w:fldCharType="separate"/>
      </w:r>
      <w:r w:rsidRPr="00B47993">
        <w:rPr>
          <w:rFonts w:ascii="Arial" w:hAnsi="Arial" w:cs="Arial"/>
        </w:rPr>
        <w:t>(Herrero et al., 2010)</w:t>
      </w:r>
      <w:r w:rsidRPr="00B47993">
        <w:rPr>
          <w:rFonts w:ascii="Arial" w:hAnsi="Arial" w:cs="Arial"/>
        </w:rPr>
        <w:fldChar w:fldCharType="end"/>
      </w:r>
      <w:r w:rsidRPr="00B47993">
        <w:rPr>
          <w:rFonts w:ascii="Arial" w:hAnsi="Arial" w:cs="Arial"/>
        </w:rPr>
        <w:t xml:space="preserve">. Land degradation is caused by water and wind erosion </w:t>
      </w:r>
      <w:r w:rsidRPr="00B47993">
        <w:rPr>
          <w:rFonts w:ascii="Arial" w:hAnsi="Arial" w:cs="Arial"/>
        </w:rPr>
        <w:fldChar w:fldCharType="begin"/>
      </w:r>
      <w:r w:rsidRPr="00B47993">
        <w:rPr>
          <w:rFonts w:ascii="Arial" w:hAnsi="Arial" w:cs="Arial"/>
        </w:rPr>
        <w:instrText xml:space="preserve"> ADDIN ZOTERO_ITEM CSL_CITATION {"citationID":"b9OyGMcV","properties":{"formattedCitation":"(Smith et al., 2024)","plainCitation":"(Smith et al., 2024)","noteIndex":0},"citationItems":[{"id":348,"uris":["http://zotero.org/users/5678157/items/XUXAF2TI"],"itemData":{"id":348,"type":"article-journal","abstract":"Healthy soils contribute to a wide range of ecosystem services and virtually all of the UN Sustainable Development Goals, but most of the world&amp;apos;s soil resources are in only fair, poor, or very poor condition, and conditions are getting worse in more cases than they are improving. A total of 33% of all soils are moderately to highly degraded as a result of erosion, loss of organic matter, poor nutrient balance, salinization and alkalinization, contamination, acidification, loss of biodiversity, sealing, compaction, and poor water status. Best management practices are available to limit or mitigate threats to soil health, and many of them mitigate multiple soil threats. In many regions of the world, policies or initiatives to protect or enhance the status of soils are in place, and they need to be strengthened and enforced. The Food and Agriculture Organisation will publish its second comprehensive assessment of the status of the world&amp;apos;s soils in 2025, and this review provides an interim update on world soil status and offers an accessible overview of the topic.","container-title":"Annual Review of Environment and Resources","DOI":"10.1146/annurev-environ-030323-075629","ISSN":"1543-5938, 1545-2050","issue":"Volume 49, 2024","language":"fr","note":"publisher: Annual Reviews","page":"73-104","source":"www.annualreviews.org","title":"Status of the World's Soils","volume":"49","author":[{"family":"Smith","given":"Pete"},{"family":"Poch","given":"Rosa M."},{"family":"Lobb","given":"David A."},{"family":"Bhattacharyya","given":"Ranjan"},{"family":"Alloush","given":"Ghiath"},{"family":"Eudoxie","given":"Gaius D."},{"family":"Anjos","given":"Lúcia H. C."},{"family":"Castellano","given":"Michael"},{"family":"Ndzana","given":"Georges M."},{"family":"Chenu","given":"Claire"},{"family":"Naidu","given":"Ravi"},{"family":"Vijayanathan","given":"Jeyanny"},{"family":"Muscolo","given":"Adele M."},{"family":"Studdert","given":"Guillermo A."},{"family":"Eugenio","given":"Natalia Rodriguez"},{"family":"Calzolari","given":"M. Costanza"},{"family":"Amuri","given":"Nyambilila"},{"family":"Hallett","given":"Paul"}],"issued":{"date-parts":[["2024",10,18]]}}}],"schema":"https://github.com/citation-style-language/schema/raw/master/csl-citation.json"} </w:instrText>
      </w:r>
      <w:r w:rsidRPr="00B47993">
        <w:rPr>
          <w:rFonts w:ascii="Arial" w:hAnsi="Arial" w:cs="Arial"/>
        </w:rPr>
        <w:fldChar w:fldCharType="separate"/>
      </w:r>
      <w:r w:rsidRPr="00B47993">
        <w:rPr>
          <w:rFonts w:ascii="Arial" w:hAnsi="Arial" w:cs="Arial"/>
        </w:rPr>
        <w:t>(Smith et al., 2024)</w:t>
      </w:r>
      <w:r w:rsidRPr="00B47993">
        <w:rPr>
          <w:rFonts w:ascii="Arial" w:hAnsi="Arial" w:cs="Arial"/>
        </w:rPr>
        <w:fldChar w:fldCharType="end"/>
      </w:r>
      <w:r w:rsidRPr="00B47993">
        <w:rPr>
          <w:rFonts w:ascii="Arial" w:hAnsi="Arial" w:cs="Arial"/>
        </w:rPr>
        <w:t xml:space="preserve"> physical degradation, biological and chemical  degradations </w:t>
      </w:r>
      <w:r w:rsidRPr="00B47993">
        <w:rPr>
          <w:rFonts w:ascii="Arial" w:hAnsi="Arial" w:cs="Arial"/>
        </w:rPr>
        <w:fldChar w:fldCharType="begin"/>
      </w:r>
      <w:r w:rsidRPr="00B47993">
        <w:rPr>
          <w:rFonts w:ascii="Arial" w:hAnsi="Arial" w:cs="Arial"/>
        </w:rPr>
        <w:instrText xml:space="preserve"> ADDIN ZOTERO_ITEM CSL_CITATION {"citationID":"Il1qHxEW","properties":{"formattedCitation":"(Abebaw, 2019)","plainCitation":"(Abebaw, 2019)","noteIndex":0},"citationItems":[{"id":359,"uris":["http://zotero.org/users/5678157/items/IT9DJQC3"],"itemData":{"id":359,"type":"article-journal","container-title":"Journal of Resources Development and Management","DOI":"10.7176/JRDM/57-03","journalAbbreviation":"JRDM","source":"DOI.org (Crossref)","title":"Review on Impacts of Land Degradation on Agricultural Production in Ethiopia","URL":"https://www.iiste.org/Journals/index.php/JRDM/article/view/48736","volume":"57","author":[{"family":"Abebaw","given":"Wudu Abiye"}],"accessed":{"date-parts":[["2025",10,24]]},"issued":{"date-parts":[["2019",7]]}}}],"schema":"https://github.com/citation-style-language/schema/raw/master/csl-citation.json"} </w:instrText>
      </w:r>
      <w:r w:rsidRPr="00B47993">
        <w:rPr>
          <w:rFonts w:ascii="Arial" w:hAnsi="Arial" w:cs="Arial"/>
        </w:rPr>
        <w:fldChar w:fldCharType="separate"/>
      </w:r>
      <w:r w:rsidRPr="00B47993">
        <w:rPr>
          <w:rFonts w:ascii="Arial" w:hAnsi="Arial" w:cs="Arial"/>
        </w:rPr>
        <w:t>(Abebaw, 2019)</w:t>
      </w:r>
      <w:r w:rsidRPr="00B47993">
        <w:rPr>
          <w:rFonts w:ascii="Arial" w:hAnsi="Arial" w:cs="Arial"/>
        </w:rPr>
        <w:fldChar w:fldCharType="end"/>
      </w:r>
      <w:r w:rsidRPr="00B47993">
        <w:rPr>
          <w:rFonts w:ascii="Arial" w:hAnsi="Arial" w:cs="Arial"/>
        </w:rPr>
        <w:t xml:space="preserve">. The intensification of agriculture in recent decades, through increased crop intensity, increased pesticide use, and a nearly 700% increase in mineral fertilizers, has also been identified as the main cause of soil degradation </w:t>
      </w:r>
      <w:r w:rsidRPr="00B47993">
        <w:rPr>
          <w:rFonts w:ascii="Arial" w:hAnsi="Arial" w:cs="Arial"/>
        </w:rPr>
        <w:fldChar w:fldCharType="begin"/>
      </w:r>
      <w:r w:rsidRPr="00B47993">
        <w:rPr>
          <w:rFonts w:ascii="Arial" w:hAnsi="Arial" w:cs="Arial"/>
        </w:rPr>
        <w:instrText xml:space="preserve"> ADDIN ZOTERO_ITEM CSL_CITATION {"citationID":"t4jNBcWC","properties":{"formattedCitation":"(Fausak et al., 2024; Foley et al., 2005)","plainCitation":"(Fausak et al., 2024; Foley et al., 2005)","noteIndex":0},"citationItems":[{"id":361,"uris":["http://zotero.org/users/5678157/items/RJ7IJRNF"],"itemData":{"id":361,"type":"article-journal","abstract":"Governments and organizations are expressing growing concerns about soil health, driven largely by uncertainties of food security with an increasing human population and unpredictable effects of climate change. Although considerable literature and debate exist, there is discord around the question, what is a healthy soil? This is not surprising, given the complex roles the soil provides, from the range of food, fiber and medical products, hosting a biodiverse community, and supporting the water and nutrient cycles. While a consensus seems to suggest that a soil in good health should be able to provide goods and services in perpetuity, this does not define soil health, rather its provisioning functions. To explore the question, 'what is healthy?', we propose an analogy comparing indicators of human and soil health. For example, to identify the cause of a symptom, we compare the diagnostic pH in both humans and soil. Demonstrating the similarities between the way human and soil health concerns are addressed. Additionally, we consider the context that necessitates health and use a set of holistic predictors to link human and soil health further. In humans, genetics express many traits and can predispose one to certain illnesses or diseases, in the same way, parent material, soil texture, and length of time exposed to weathering can inform a soil's capability and predisposition for certain habitats or uses. In both cases, science informs the state of health and appropriate management solutions. We posit the null hypothesis \"the concept of human health cannot be applied to soil\".","container-title":"Frontiers in Soil Science","DOI":"10.3389/fsoil.2024.1462428","ISSN":"2673-8619","journalAbbreviation":"Front. Soil Sci.","language":"English","note":"publisher: Frontiers","source":"Frontiers","title":"Soil health – a perspective","URL":"https://www.frontiersin.org/journals/soil-science/articles/10.3389/fsoil.2024.1462428/full","volume":"4","author":[{"family":"Fausak","given":"Lewis K."},{"family":"Bridson","given":"Noa"},{"family":"Diaz-Osorio","given":"Fernanda"},{"family":"Jassal","given":"Rachhpal S."},{"family":"Lavkulich","given":"Les M."}],"accessed":{"date-parts":[["2025",10,24]]},"issued":{"date-parts":[["2024",10,9]]}},"label":"page"},{"id":364,"uris":["http://zotero.org/users/5678157/items/GAEC82NW"],"itemData":{"id":364,"type":"article-journal","abstract":"Land use has generally been considered a local environmental issue, but it is becoming a force of global importance. Worldwide changes to forests, farmlands, waterways, and air are being driven by the need to provide food, fiber, water, and shelter to more than six billion people. Global croplands, pastures, plantations, and urban areas have expanded in recent decades, accompanied by large increases in energy, water, and fertilizer consumption, along with considerable losses of biodiversity. Such changes in land use have enabled humans to appropriate an increasing share of the planet's resources, but they also potentially undermine the capacity of ecosystems to sustain food production, maintain freshwater and forest resources, regulate climate and air quality, and ameliorate infectious diseases. We face the challenge of managing trade-offs between immediate human needs and maintaining the capacity of the biosphere to provide goods and services in the long term.","container-title":"Science","DOI":"10.1126/science.1111772","ISSN":"0036-8075, 1095-9203","issue":"5734","journalAbbreviation":"Science","language":"en","page":"570-574","source":"DOI.org (Crossref)","title":"Global Consequences of Land Use","volume":"309","author":[{"family":"Foley","given":"Jonathan A."},{"family":"DeFries","given":"Ruth"},{"family":"Asner","given":"Gregory P."},{"family":"Barford","given":"Carol"},{"family":"Bonan","given":"Gordon"},{"family":"Carpenter","given":"Stephen R."},{"family":"Chapin","given":"F. Stuart"},{"family":"Coe","given":"Michael T."},{"family":"Daily","given":"Gretchen C."},{"family":"Gibbs","given":"Holly K."},{"family":"Helkowski","given":"Joseph H."},{"family":"Holloway","given":"Tracey"},{"family":"Howard","given":"Erica A."},{"family":"Kucharik","given":"Christopher J."},{"family":"Monfreda","given":"Chad"},{"family":"Patz","given":"Jonathan A."},{"family":"Prentice","given":"I. Colin"},{"family":"Ramankutty","given":"Navin"},{"family":"Snyder","given":"Peter K."}],"issued":{"date-parts":[["2005",7,22]]}},"label":"page"}],"schema":"https://github.com/citation-style-language/schema/raw/master/csl-citation.json"} </w:instrText>
      </w:r>
      <w:r w:rsidRPr="00B47993">
        <w:rPr>
          <w:rFonts w:ascii="Arial" w:hAnsi="Arial" w:cs="Arial"/>
        </w:rPr>
        <w:fldChar w:fldCharType="separate"/>
      </w:r>
      <w:r w:rsidRPr="00B47993">
        <w:rPr>
          <w:rFonts w:ascii="Arial" w:hAnsi="Arial" w:cs="Arial"/>
        </w:rPr>
        <w:t>(Fausak et al., 2024; Foley et al., 2005)</w:t>
      </w:r>
      <w:r w:rsidRPr="00B47993">
        <w:rPr>
          <w:rFonts w:ascii="Arial" w:hAnsi="Arial" w:cs="Arial"/>
        </w:rPr>
        <w:fldChar w:fldCharType="end"/>
      </w:r>
      <w:r w:rsidRPr="00B47993">
        <w:rPr>
          <w:rFonts w:ascii="Arial" w:hAnsi="Arial" w:cs="Arial"/>
        </w:rPr>
        <w:t xml:space="preserve">. However, mineral fertilizers do not guarantee long-term soil fertility </w:t>
      </w:r>
      <w:r w:rsidRPr="00B47993">
        <w:rPr>
          <w:rFonts w:ascii="Arial" w:hAnsi="Arial" w:cs="Arial"/>
        </w:rPr>
        <w:fldChar w:fldCharType="begin"/>
      </w:r>
      <w:r w:rsidRPr="00B47993">
        <w:rPr>
          <w:rFonts w:ascii="Arial" w:hAnsi="Arial" w:cs="Arial"/>
        </w:rPr>
        <w:instrText xml:space="preserve"> ADDIN ZOTERO_ITEM CSL_CITATION {"citationID":"lvzX5Zem","properties":{"unsorted":true,"formattedCitation":"(Ojetayo et al., 2011; Jones et al., 2013)","plainCitation":"(Ojetayo et al., 2011; Jones et al., 2013)","noteIndex":0},"citationItems":[{"id":136,"uris":["http://zotero.org/users/5678157/items/WBK8MPNP"],"itemData":{"id":136,"type":"article-journal","container-title":"Journal of Applied Biosciences","issue":"5","page":"3322–3330","source":"Google Scholar","title":"Effect of fertilizer types on nutritional quality of two cabbage varieties before and after storage","volume":"48","author":[{"family":"Ojetayo","given":"A. E."},{"family":"Olaniyi","given":"J. O."},{"family":"Akanbi","given":"W. B."},{"family":"Olabiyi","given":"T. I."}],"issued":{"date-parts":[["2011"]]}},"label":"page"},{"id":134,"uris":["http://zotero.org/users/5678157/items/LHYI5S3K"],"itemData":{"id":134,"type":"article-journal","abstract":"Summary\n            \n              \n                \n                  The ability of plants to compete effectively for nitrogen (N) resources is critical to plant survival. However, controversy surrounds the importance of organic and inorganic sources of N in plant nutrition because of our poor ability to visualize and understand processes happening at the root–microbial–soil interface.\n                \n                \n                  \n                    Using high</w:instrText>
      </w:r>
      <w:r w:rsidRPr="00B47993">
        <w:rPr>
          <w:rFonts w:ascii="Cambria Math" w:hAnsi="Cambria Math" w:cs="Cambria Math"/>
        </w:rPr>
        <w:instrText>‐</w:instrText>
      </w:r>
      <w:r w:rsidRPr="00B47993">
        <w:rPr>
          <w:rFonts w:ascii="Arial" w:hAnsi="Arial" w:cs="Arial"/>
        </w:rPr>
        <w:instrText>resolution nano</w:instrText>
      </w:r>
      <w:r w:rsidRPr="00B47993">
        <w:rPr>
          <w:rFonts w:ascii="Cambria Math" w:hAnsi="Cambria Math" w:cs="Cambria Math"/>
        </w:rPr>
        <w:instrText>‐</w:instrText>
      </w:r>
      <w:r w:rsidRPr="00B47993">
        <w:rPr>
          <w:rFonts w:ascii="Arial" w:hAnsi="Arial" w:cs="Arial"/>
        </w:rPr>
        <w:instrText xml:space="preserve">scale secondary ion mass spectrometry stable isotope imaging (Nano\n                    SIMS\n                    </w:instrText>
      </w:r>
      <w:r w:rsidRPr="00B47993">
        <w:rPr>
          <w:rFonts w:ascii="Cambria Math" w:hAnsi="Cambria Math" w:cs="Cambria Math"/>
        </w:rPr>
        <w:instrText>‐</w:instrText>
      </w:r>
      <w:r w:rsidRPr="00B47993">
        <w:rPr>
          <w:rFonts w:ascii="Arial" w:hAnsi="Arial" w:cs="Arial"/>
        </w:rPr>
        <w:instrText>\n                    SII\n                    ), we quantified the fate of\n                    15\n                    N over both space and time within the rhizosphere. We pulse</w:instrText>
      </w:r>
      <w:r w:rsidRPr="00B47993">
        <w:rPr>
          <w:rFonts w:ascii="Cambria Math" w:hAnsi="Cambria Math" w:cs="Cambria Math"/>
        </w:rPr>
        <w:instrText>‐</w:instrText>
      </w:r>
      <w:r w:rsidRPr="00B47993">
        <w:rPr>
          <w:rFonts w:ascii="Arial" w:hAnsi="Arial" w:cs="Arial"/>
        </w:rPr>
        <w:instrText>labelled the soil surrounding wheat (\n                    Triticum aestivum\n                    ) roots with either\n                    \n                    or\n                    15\n                    N</w:instrText>
      </w:r>
      <w:r w:rsidRPr="00B47993">
        <w:rPr>
          <w:rFonts w:ascii="Cambria Math" w:hAnsi="Cambria Math" w:cs="Cambria Math"/>
        </w:rPr>
        <w:instrText>‐</w:instrText>
      </w:r>
      <w:r w:rsidRPr="00B47993">
        <w:rPr>
          <w:rFonts w:ascii="Arial" w:hAnsi="Arial" w:cs="Arial"/>
        </w:rPr>
        <w:instrText>glutamate and traced the movement of\n                    15\n                    N over 24 h.\n                  \n                \n                \n                  \n                    Imaging revealed that glutamate was rapidly depleted from the rhizosphere and that most\n                    15\n                    N was captured by rhizobacteria, leading to very high\n                    15\n                    N microbial enrichment. After microbial capture, approximately half of the\n                    15\n                    N</w:instrText>
      </w:r>
      <w:r w:rsidRPr="00B47993">
        <w:rPr>
          <w:rFonts w:ascii="Cambria Math" w:hAnsi="Cambria Math" w:cs="Cambria Math"/>
        </w:rPr>
        <w:instrText>‐</w:instrText>
      </w:r>
      <w:r w:rsidRPr="00B47993">
        <w:rPr>
          <w:rFonts w:ascii="Arial" w:hAnsi="Arial" w:cs="Arial"/>
        </w:rPr>
        <w:instrText>glutamate was rapidly mineralized, leading to the excretion of\n                    \n                    , which became available for plant capture. Roots proved to be poor competitors for\n                    15\n                    N</w:instrText>
      </w:r>
      <w:r w:rsidRPr="00B47993">
        <w:rPr>
          <w:rFonts w:ascii="Cambria Math" w:hAnsi="Cambria Math" w:cs="Cambria Math"/>
        </w:rPr>
        <w:instrText>‐</w:instrText>
      </w:r>
      <w:r w:rsidRPr="00B47993">
        <w:rPr>
          <w:rFonts w:ascii="Arial" w:hAnsi="Arial" w:cs="Arial"/>
        </w:rPr>
        <w:instrText xml:space="preserve">glutamate and took up N mainly as\n                    \n                    . Spatial mapping of\n                    15\n                    N revealed differential patterns of\n                    15\n                    N uptake within bacteria and the rapid uptake and redistribution of\n                    15\n                    N within roots.\n                  \n                \n                \n                  In conclusion, we demonstrate the rapid cycling and transformation of N at the soil–root interface and that wheat capture of organic N is low in comparison to inorganic N under the conditions tested.","container-title":"New Phytologist","DOI":"10.1111/nph.12405","ISSN":"0028-646X, 1469-8137","issue":"3","journalAbbreviation":"New Phytologist","language":"en","license":"http://creativecommons.org/licenses/by/3.0/","page":"796-807","source":"DOI.org (Crossref)","title":"Competition between plant and bacterial cells at the microscale regulates the dynamics of nitrogen acquisition in wheat ( &lt;i&gt;Triticum aestivum&lt;/i&gt; )","volume":"200","author":[{"family":"Jones","given":"David L."},{"family":"Clode","given":"Peta L."},{"family":"Kilburn","given":"Matt R."},{"family":"Stockdale","given":"Elizabeth A."},{"family":"Murphy","given":"Daniel V."}],"issued":{"date-parts":[["2013",11]]}},"label":"page"}],"schema":"https://github.com/citation-style-language/schema/raw/master/csl-citation.json"} </w:instrText>
      </w:r>
      <w:r w:rsidRPr="00B47993">
        <w:rPr>
          <w:rFonts w:ascii="Arial" w:hAnsi="Arial" w:cs="Arial"/>
        </w:rPr>
        <w:fldChar w:fldCharType="separate"/>
      </w:r>
      <w:r w:rsidRPr="00B47993">
        <w:rPr>
          <w:rFonts w:ascii="Arial" w:hAnsi="Arial" w:cs="Arial"/>
        </w:rPr>
        <w:t xml:space="preserve">(Ojetayo et al., 2011; Jones </w:t>
      </w:r>
      <w:r w:rsidRPr="00B47993">
        <w:rPr>
          <w:rFonts w:ascii="Arial" w:hAnsi="Arial" w:cs="Arial"/>
        </w:rPr>
        <w:lastRenderedPageBreak/>
        <w:t>et al., 2013)</w:t>
      </w:r>
      <w:r w:rsidRPr="00B47993">
        <w:rPr>
          <w:rFonts w:ascii="Arial" w:hAnsi="Arial" w:cs="Arial"/>
        </w:rPr>
        <w:fldChar w:fldCharType="end"/>
      </w:r>
      <w:r w:rsidRPr="00B47993">
        <w:rPr>
          <w:rFonts w:ascii="Arial" w:hAnsi="Arial" w:cs="Arial"/>
        </w:rPr>
        <w:t xml:space="preserve">. </w:t>
      </w:r>
      <w:r w:rsidRPr="00B47993">
        <w:rPr>
          <w:rFonts w:ascii="Arial" w:hAnsi="Arial" w:cs="Arial"/>
          <w:lang w:val="en"/>
        </w:rPr>
        <w:t xml:space="preserve">Thus, </w:t>
      </w:r>
      <w:proofErr w:type="spellStart"/>
      <w:r w:rsidRPr="00B47993">
        <w:rPr>
          <w:rFonts w:ascii="Arial" w:hAnsi="Arial" w:cs="Arial"/>
          <w:lang w:val="en"/>
        </w:rPr>
        <w:t>M’sadak</w:t>
      </w:r>
      <w:proofErr w:type="spellEnd"/>
      <w:r w:rsidRPr="00B47993">
        <w:rPr>
          <w:rFonts w:ascii="Arial" w:hAnsi="Arial" w:cs="Arial"/>
          <w:lang w:val="en"/>
        </w:rPr>
        <w:t xml:space="preserve"> and </w:t>
      </w:r>
      <w:proofErr w:type="spellStart"/>
      <w:r w:rsidRPr="00B47993">
        <w:rPr>
          <w:rFonts w:ascii="Arial" w:hAnsi="Arial" w:cs="Arial"/>
          <w:lang w:val="en"/>
        </w:rPr>
        <w:t>M’barek</w:t>
      </w:r>
      <w:proofErr w:type="spellEnd"/>
      <w:r w:rsidRPr="00B47993">
        <w:rPr>
          <w:rFonts w:ascii="Arial" w:hAnsi="Arial" w:cs="Arial"/>
          <w:lang w:val="en"/>
        </w:rPr>
        <w:t xml:space="preserve"> (2015) reported that after three to six years of continuous cultivation, with mineral fertilizers, the soil pH decreases and its organic matter content drops, directly affecting plant development.</w:t>
      </w:r>
      <w:r w:rsidRPr="00B47993">
        <w:rPr>
          <w:rFonts w:ascii="Arial" w:hAnsi="Arial" w:cs="Arial"/>
        </w:rPr>
        <w:t xml:space="preserve"> To mitigate this situation, organic fertilizers can be an opportunity to reduce the use of chemical fertilizers in market gardening, where land areas are sometimes limited. Indeed, several research findings have shown that organic fertilizers help improve yields of several crops, including tomatoes and onions  </w:t>
      </w:r>
      <w:r w:rsidRPr="00B47993">
        <w:rPr>
          <w:rFonts w:ascii="Arial" w:hAnsi="Arial" w:cs="Arial"/>
        </w:rPr>
        <w:fldChar w:fldCharType="begin"/>
      </w:r>
      <w:r w:rsidRPr="00B47993">
        <w:rPr>
          <w:rFonts w:ascii="Arial" w:hAnsi="Arial" w:cs="Arial"/>
        </w:rPr>
        <w:instrText xml:space="preserve"> ADDIN ZOTERO_ITEM CSL_CITATION {"citationID":"hBb5REQ4","properties":{"unsorted":true,"formattedCitation":"(Konfe et al., 2019; Coulibaly et al., 2021; Sawadogo et al., 2021)","plainCitation":"(Konfe et al., 2019; Coulibaly et al., 2021; Sawadogo et al., 2021)","noteIndex":0},"citationItems":[{"id":384,"uris":["http://zotero.org/users/5678157/items/4LZH96MG"],"itemData":{"id":384,"type":"article-journal","abstract":"La limitation des ressources en eau et la faible productivité des sols figurent parmi les contraintes majeures à la culture maraichère au Burkina Faso. Dans ce contexte, la gestion efficace des ressources en eau et la fertilisation des sols s’avèrent nécessaires pour maintenir, voire améliorer les rendements des cultures. L’objectif de cette étude était de tester l’efficacité du Turbo Bio et du Polyter sur les propriétés du sol et la production de tomate et d’aubergine. La méthodologie a consisté à tester, sous serre, en vases de végétation, 12 traitements avec quatre répétitions, prenant en compte la fertilisation, la gestion de l’eau par le polyter et le stress hydrique. Le taux d’humidité, le pH et la respiration du sol ainsi que les composantes du rendement de la tomate et de l’aubergine ont été mesurés. Les résultats ont montré que l’application du turbo-bio et du polyter permettait de réduire l’acidité et d’améliorer l’activité biologique du sol. De plus, l’application du Polyter et du Turbo-Bio, a permis d’induire une production de biomasses plus importante et a également favorisé la floraison et la fructification. En condition de stress hydrique, le Polyter a permis un effet tampon, en optimisant la croissance et le développement des deux plantes testées, ouvrant ainsi des perspectives pour une meilleure gestion de l’eau notamment en cultures maraichères.© 2019 International Formulae Group. All rights reserved.Mots clés: Turbo Bio, Polyter, cultures maraîchères, stress hydrique, propriétés du sol, composantes de rendementEnglish Title: Influence of innovative inputs on soil properties and tomato production (Solanum lycopersicum L.) and eggplant (Solanum melongena L.) on a tropical ferruginous soil in Soudano-Sahelian Zone in Burkina FasoEnglish AbstractThe limitation of water resources and low soil productivity are among the major constraints to market gardening in Burkina Faso. In this context, the efficient management of water resources and the fertilization of soils are necessary to boost crop yields. The objective of this study was to test the effectiveness of Turbo Bio and Polyter on soil properties and the production of tomato and eggplant. The methodology consisted in  testing, under greenhouse, in vases of vegetation, 12 treatments with four repetitions, taking into account the fertilization, the water management by the Polyter and the water stress. Moisture content, soil pH and respiration as well as yield components of tomato and eggplant were measured. The results showed that the application of Turbo-Bio and Polyter allowed to reduce the acidity and improve the biological activity of the soil. In addition, the application of Polyter and Turbo-Bio, led to a greater biomass production and also favored flowering and fruiting. Under conditions of water stress, the Polyter allowed a buffering effect, optimizing the growth and development of the two plants tested, thus opening up prospects for better water management, particularly in vegetable crops. The Turbo-Bio and the Polyter appear as innovative ecological inputs which, in addition to the organic and mineral manures make it possible to improve the properties of the soil and the production of the cultures.© 2019 International Formulae Group. All rights reserved.Keywords: Turbo Bio, Polyter, vegetable crops, water stress, soil properties, yield components","container-title":"International Journal of Biological and Chemical Sciences","DOI":"10.4314/ijbcs.v13i4.20","ISSN":"1997-342X","issue":"4","language":"en","license":"Copyright (c)","page":"2129-2146","source":"www.ajol.info","title":"Influence d’intrants innovants sur les propriétés du sol et la production de tomate (Solanum lycopersicum L.) et d’aubergine (Solanum melongena L.) sur un sol ferrugineux tropical en zone soudano-sahélienne au Burkina Faso","volume":"13","author":[{"family":"Konfe","given":"Zakaria"},{"family":"Zonou","given":"Bienvenu"},{"family":"Hien","given":"Edmond"}],"issued":{"date-parts":[["2019",11,8]]}},"label":"page"},{"id":130,"uris":["http://zotero.org/users/5678157/items/SWKPFTIK"],"itemData":{"id":130,"type":"article-journal","container-title":"Current Agriculture Research Journal","issue":"1","source":"Google Scholar","title":"Effect of Bio-Fertilizers on Tomato (Solanum Lycopersicum) Production and on Soil Physico-Chemical Properties In Sudan Area of Burkina Faso.","URL":"https://www.academia.edu/download/79290650/10413.pdf","volume":"9","author":[{"family":"Coulibaly","given":"Pane JA"},{"family":"Sawadogo","given":"Jacques"},{"family":"Bambara","given":"Yémanlou AI"},{"family":"OUÉDRAOGO","given":"WENDWAOGA"},{"family":"Legma","given":"Jean B."},{"family":"Compaoré","given":"Emmanuel"}],"accessed":{"date-parts":[["2025",3,3]]},"issued":{"date-parts":[["2021"]]}},"label":"page"},{"id":140,"uris":["http://zotero.org/users/5678157/items/WC4ELGES"],"itemData":{"id":140,"type":"article-journal","container-title":"Journal of Applied Biosciences","issue":"1","page":"17375–17390","source":"Google Scholar","title":"Effets des fertilisants biologiques sur la productivité de la tomate en zone semi-aride du Burkina Faso","volume":"168","author":[{"family":"Sawadogo","given":"Jacques"},{"family":"Coulibaly","given":"Pane Jeanne D’arc"},{"family":"Traore","given":"Boubacar"},{"family":"Bassole","given":"Marthe Sandrine Doignet"},{"family":"Savadogo","given":"Claude Arsène"},{"family":"Legma","given":"Jean Boukari"}],"issued":{"date-parts":[["2021"]]}},"label":"page"}],"schema":"https://github.com/citation-style-language/schema/raw/master/csl-citation.json"} </w:instrText>
      </w:r>
      <w:r w:rsidRPr="00B47993">
        <w:rPr>
          <w:rFonts w:ascii="Arial" w:hAnsi="Arial" w:cs="Arial"/>
        </w:rPr>
        <w:fldChar w:fldCharType="separate"/>
      </w:r>
      <w:r w:rsidRPr="00B47993">
        <w:rPr>
          <w:rFonts w:ascii="Arial" w:hAnsi="Arial" w:cs="Arial"/>
        </w:rPr>
        <w:t>(Konfe et al., 2019; Coulibaly et al., 2021; Sawadogo et al., 2021)</w:t>
      </w:r>
      <w:r w:rsidRPr="00B47993">
        <w:rPr>
          <w:rFonts w:ascii="Arial" w:hAnsi="Arial" w:cs="Arial"/>
        </w:rPr>
        <w:fldChar w:fldCharType="end"/>
      </w:r>
      <w:r w:rsidRPr="00B47993">
        <w:rPr>
          <w:rFonts w:ascii="Arial" w:hAnsi="Arial" w:cs="Arial"/>
        </w:rPr>
        <w:t xml:space="preserve">. </w:t>
      </w:r>
      <w:bookmarkStart w:id="2" w:name="_Hlk213687426"/>
      <w:r w:rsidRPr="00B47993">
        <w:rPr>
          <w:rFonts w:ascii="Arial" w:hAnsi="Arial" w:cs="Arial"/>
        </w:rPr>
        <w:t xml:space="preserve"> </w:t>
      </w:r>
      <w:bookmarkEnd w:id="2"/>
      <w:r w:rsidRPr="00B47993">
        <w:rPr>
          <w:rFonts w:ascii="Arial" w:hAnsi="Arial" w:cs="Arial"/>
        </w:rPr>
        <w:t xml:space="preserve">The use of Plant growth-promoting rhizobacteria (PGPR)  as biofertilizers has been shown to enhance plant growth and productivity of tomato plants </w:t>
      </w:r>
      <w:r w:rsidRPr="00B47993">
        <w:rPr>
          <w:rFonts w:ascii="Arial" w:hAnsi="Arial" w:cs="Arial"/>
        </w:rPr>
        <w:fldChar w:fldCharType="begin"/>
      </w:r>
      <w:r w:rsidRPr="00B47993">
        <w:rPr>
          <w:rFonts w:ascii="Arial" w:hAnsi="Arial" w:cs="Arial"/>
        </w:rPr>
        <w:instrText xml:space="preserve"> ADDIN ZOTERO_ITEM CSL_CITATION {"citationID":"Y6DCzhSY","properties":{"formattedCitation":"(Moustaine et al., 2017)","plainCitation":"(Moustaine et al., 2017)","noteIndex":0},"citationItems":[{"id":73,"uris":["http://zotero.org/users/5678157/items/Z7AYIRV2"],"itemData":{"id":73,"type":"article-journal","container-title":"International Journal of Environment, Agriculture and Biotechnology","DOI":"10.22161/ijeab/2.2.5","ISSN":"24561878","issue":"2","journalAbbreviation":"IJEAB","page":"590-596","source":"DOI.org (Crossref)","title":"Effect of plant growth promoting rhizobacterial (PGPR) inoculation on growth in tomato (Solanum Lycopersicum L.) and characterization for direct PGP abilities in Morocco","volume":"2","author":[{"family":"Moustaine","given":"M."},{"family":"Elkahkahi","given":"R."},{"family":"Benbouazza","given":"A."},{"family":"Benkirane","given":"R."},{"family":"Achbani","given":"E. H."}],"issued":{"date-parts":[["2017"]]}}}],"schema":"https://github.com/citation-style-language/schema/raw/master/csl-citation.json"} </w:instrText>
      </w:r>
      <w:r w:rsidRPr="00B47993">
        <w:rPr>
          <w:rFonts w:ascii="Arial" w:hAnsi="Arial" w:cs="Arial"/>
        </w:rPr>
        <w:fldChar w:fldCharType="separate"/>
      </w:r>
      <w:r w:rsidRPr="00B47993">
        <w:rPr>
          <w:rFonts w:ascii="Arial" w:hAnsi="Arial" w:cs="Arial"/>
        </w:rPr>
        <w:t>(Moustaine et al., 2017)</w:t>
      </w:r>
      <w:r w:rsidRPr="00B47993">
        <w:rPr>
          <w:rFonts w:ascii="Arial" w:hAnsi="Arial" w:cs="Arial"/>
        </w:rPr>
        <w:fldChar w:fldCharType="end"/>
      </w:r>
      <w:r w:rsidRPr="00B47993">
        <w:rPr>
          <w:rFonts w:ascii="Arial" w:hAnsi="Arial" w:cs="Arial"/>
        </w:rPr>
        <w:t>. I</w:t>
      </w:r>
      <w:r w:rsidRPr="00B47993">
        <w:rPr>
          <w:rFonts w:ascii="Arial" w:hAnsi="Arial" w:cs="Arial"/>
          <w:lang w:val="en"/>
        </w:rPr>
        <w:t xml:space="preserve">n tomato cultivation, PGPR are also used to reduce the risks associated with excessive use of chemical inputs, which can pose health hazards </w:t>
      </w:r>
      <w:r w:rsidRPr="00B47993">
        <w:rPr>
          <w:rFonts w:ascii="Arial" w:hAnsi="Arial" w:cs="Arial"/>
        </w:rPr>
        <w:fldChar w:fldCharType="begin"/>
      </w:r>
      <w:r w:rsidRPr="00B47993">
        <w:rPr>
          <w:rFonts w:ascii="Arial" w:hAnsi="Arial" w:cs="Arial"/>
        </w:rPr>
        <w:instrText xml:space="preserve"> ADDIN ZOTERO_ITEM CSL_CITATION {"citationID":"W2nOOZzb","properties":{"formattedCitation":"(Hariprasad et al., 2014)","plainCitation":"(Hariprasad et al., 2014)","noteIndex":0},"citationItems":[{"id":126,"uris":["http://zotero.org/users/5678157/items/9ZR62Z8B"],"itemData":{"id":126,"type":"webpage","title":"Diversité des rhizobactéries cultivables dans les régions de culture de tomates du Karnataka","author":[{"family":"Hariprasad","given":"P."},{"family":"Venkateswaran","given":"G."},{"family":"Niranjana","given":"SR"}],"accessed":{"date-parts":[["2025",3,3]]},"issued":{"date-parts":[["2014"]]}}}],"schema":"https://github.com/citation-style-language/schema/raw/master/csl-citation.json"} </w:instrText>
      </w:r>
      <w:r w:rsidRPr="00B47993">
        <w:rPr>
          <w:rFonts w:ascii="Arial" w:hAnsi="Arial" w:cs="Arial"/>
        </w:rPr>
        <w:fldChar w:fldCharType="separate"/>
      </w:r>
      <w:r w:rsidRPr="00B47993">
        <w:rPr>
          <w:rFonts w:ascii="Arial" w:hAnsi="Arial" w:cs="Arial"/>
        </w:rPr>
        <w:t>(Hariprasad et al., 2014)</w:t>
      </w:r>
      <w:r w:rsidRPr="00B47993">
        <w:rPr>
          <w:rFonts w:ascii="Arial" w:hAnsi="Arial" w:cs="Arial"/>
        </w:rPr>
        <w:fldChar w:fldCharType="end"/>
      </w:r>
      <w:r w:rsidRPr="00B47993">
        <w:rPr>
          <w:rFonts w:ascii="Arial" w:hAnsi="Arial" w:cs="Arial"/>
        </w:rPr>
        <w:t xml:space="preserve">. PGPR involve diverse group of bacteria found in the rhizosphere and associated with the roots </w:t>
      </w:r>
      <w:r w:rsidRPr="00B47993">
        <w:rPr>
          <w:rFonts w:ascii="Arial" w:hAnsi="Arial" w:cs="Arial"/>
        </w:rPr>
        <w:fldChar w:fldCharType="begin"/>
      </w:r>
      <w:r w:rsidRPr="00B47993">
        <w:rPr>
          <w:rFonts w:ascii="Arial" w:hAnsi="Arial" w:cs="Arial"/>
        </w:rPr>
        <w:instrText xml:space="preserve"> ADDIN ZOTERO_ITEM CSL_CITATION {"citationID":"SicN33mw","properties":{"formattedCitation":"(Joseph et al., 2007)","plainCitation":"(Joseph et al., 2007)","noteIndex":0},"citationItems":[{"id":208,"uris":["http://zotero.org/users/5678157/items/A3C5SFMW"],"itemData":{"id":208,"type":"article-journal","abstract":"Plant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Ranjan"},{"family":"Lawrence","given":"R"}],"issued":{"date-parts":[["2007"]]}}}],"schema":"https://github.com/citation-style-language/schema/raw/master/csl-citation.json"} </w:instrText>
      </w:r>
      <w:r w:rsidRPr="00B47993">
        <w:rPr>
          <w:rFonts w:ascii="Arial" w:hAnsi="Arial" w:cs="Arial"/>
        </w:rPr>
        <w:fldChar w:fldCharType="separate"/>
      </w:r>
      <w:r w:rsidRPr="00B47993">
        <w:rPr>
          <w:rFonts w:ascii="Arial" w:hAnsi="Arial" w:cs="Arial"/>
        </w:rPr>
        <w:t>(Joseph et al., 2007)</w:t>
      </w:r>
      <w:r w:rsidRPr="00B47993">
        <w:rPr>
          <w:rFonts w:ascii="Arial" w:hAnsi="Arial" w:cs="Arial"/>
        </w:rPr>
        <w:fldChar w:fldCharType="end"/>
      </w:r>
      <w:r w:rsidRPr="00B47993">
        <w:rPr>
          <w:rFonts w:ascii="Arial" w:hAnsi="Arial" w:cs="Arial"/>
        </w:rPr>
        <w:t xml:space="preserve">. These bacteria can promote plant growth </w:t>
      </w:r>
      <w:r w:rsidRPr="00B47993">
        <w:rPr>
          <w:rFonts w:ascii="Arial" w:hAnsi="Arial" w:cs="Arial"/>
        </w:rPr>
        <w:fldChar w:fldCharType="begin"/>
      </w:r>
      <w:r w:rsidRPr="00B47993">
        <w:rPr>
          <w:rFonts w:ascii="Arial" w:hAnsi="Arial" w:cs="Arial"/>
        </w:rPr>
        <w:instrText xml:space="preserve"> ADDIN ZOTERO_ITEM CSL_CITATION {"citationID":"mXFCIZ8E","properties":{"formattedCitation":"(El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B47993">
        <w:rPr>
          <w:rFonts w:ascii="Arial" w:hAnsi="Arial" w:cs="Arial"/>
        </w:rPr>
        <w:fldChar w:fldCharType="separate"/>
      </w:r>
      <w:r w:rsidRPr="00B47993">
        <w:rPr>
          <w:rFonts w:ascii="Arial" w:hAnsi="Arial" w:cs="Arial"/>
        </w:rPr>
        <w:t>(El hjouji et al., 2025)</w:t>
      </w:r>
      <w:r w:rsidRPr="00B47993">
        <w:rPr>
          <w:rFonts w:ascii="Arial" w:hAnsi="Arial" w:cs="Arial"/>
        </w:rPr>
        <w:fldChar w:fldCharType="end"/>
      </w:r>
      <w:r w:rsidRPr="00B47993">
        <w:rPr>
          <w:rFonts w:ascii="Arial" w:hAnsi="Arial" w:cs="Arial"/>
        </w:rPr>
        <w:t xml:space="preserve"> and soil health through direct and indirect mechanisms </w:t>
      </w:r>
      <w:r w:rsidRPr="00B47993">
        <w:rPr>
          <w:rFonts w:ascii="Arial" w:hAnsi="Arial" w:cs="Arial"/>
        </w:rPr>
        <w:fldChar w:fldCharType="begin"/>
      </w:r>
      <w:r w:rsidRPr="00B47993">
        <w:rPr>
          <w:rFonts w:ascii="Arial" w:hAnsi="Arial" w:cs="Arial"/>
        </w:rPr>
        <w:instrText xml:space="preserve"> ADDIN ZOTERO_ITEM CSL_CITATION {"citationID":"sZSMw5s2","properties":{"formattedCitation":"(Joseph et al., 2007; Kalam et al., 2020)","plainCitation":"(Joseph et al., 2007; Kalam et al., 2020)","noteIndex":0},"citationItems":[{"id":208,"uris":["http://zotero.org/users/5678157/items/A3C5SFMW"],"itemData":{"id":208,"type":"article-journal","abstract":"Plant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label":"page"},{"id":231,"uris":["http://zotero.org/users/5678157/items/LUTMYQKM"],"itemData":{"id":231,"type":"article-journal","container-title":"Heliyon","DOI":"10.1016/j.heliyon.2020.e04734","ISSN":"24058440","issue":"8","journalAbbreviation":"Heliyon","language":"en","page":"e04734","source":"DOI.org (Crossref)","title":"Functional and molecular characterization of plant growth promoting Bacillus isolates from tomato rhizosphere","volume":"6","author":[{"family":"Kalam","given":"Sadaf"},{"family":"Basu","given":"Anirban"},{"family":"Podile","given":"Appa Rao"}],"issued":{"date-parts":[["2020",8]]}},"label":"page"}],"schema":"https://github.com/citation-style-language/schema/raw/master/csl-citation.json"} </w:instrText>
      </w:r>
      <w:r w:rsidRPr="00B47993">
        <w:rPr>
          <w:rFonts w:ascii="Arial" w:hAnsi="Arial" w:cs="Arial"/>
        </w:rPr>
        <w:fldChar w:fldCharType="separate"/>
      </w:r>
      <w:r w:rsidRPr="00B47993">
        <w:rPr>
          <w:rFonts w:ascii="Arial" w:hAnsi="Arial" w:cs="Arial"/>
        </w:rPr>
        <w:t>(Joseph et al., 2007; Kalam et al., 2020)</w:t>
      </w:r>
      <w:r w:rsidRPr="00B47993">
        <w:rPr>
          <w:rFonts w:ascii="Arial" w:hAnsi="Arial" w:cs="Arial"/>
        </w:rPr>
        <w:fldChar w:fldCharType="end"/>
      </w:r>
      <w:r w:rsidRPr="00B47993">
        <w:rPr>
          <w:rFonts w:ascii="Arial" w:hAnsi="Arial" w:cs="Arial"/>
        </w:rPr>
        <w:t xml:space="preserve">. Direct mechanisms consist of providing the plant with substances that promote growth and/or facilitating the absorption of certain nutrients through the processes of nitrogen fixation, ammonia production, phosphate solubilization and phytohormone synthesis </w:t>
      </w:r>
      <w:r w:rsidRPr="00B47993">
        <w:rPr>
          <w:rFonts w:ascii="Arial" w:hAnsi="Arial" w:cs="Arial"/>
        </w:rPr>
        <w:fldChar w:fldCharType="begin"/>
      </w:r>
      <w:r w:rsidRPr="00B47993">
        <w:rPr>
          <w:rFonts w:ascii="Arial" w:hAnsi="Arial" w:cs="Arial"/>
        </w:rPr>
        <w:instrText xml:space="preserve"> ADDIN ZOTERO_ITEM CSL_CITATION {"citationID":"8wsIGR86","properties":{"formattedCitation":"(El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B47993">
        <w:rPr>
          <w:rFonts w:ascii="Arial" w:hAnsi="Arial" w:cs="Arial"/>
        </w:rPr>
        <w:fldChar w:fldCharType="separate"/>
      </w:r>
      <w:r w:rsidRPr="00B47993">
        <w:rPr>
          <w:rFonts w:ascii="Arial" w:hAnsi="Arial" w:cs="Arial"/>
        </w:rPr>
        <w:t>(El hjouji et al., 2025)</w:t>
      </w:r>
      <w:r w:rsidRPr="00B47993">
        <w:rPr>
          <w:rFonts w:ascii="Arial" w:hAnsi="Arial" w:cs="Arial"/>
        </w:rPr>
        <w:fldChar w:fldCharType="end"/>
      </w:r>
      <w:r w:rsidRPr="00B47993">
        <w:rPr>
          <w:rFonts w:ascii="Arial" w:hAnsi="Arial" w:cs="Arial"/>
        </w:rPr>
        <w:t xml:space="preserve">. The indirect mechanisms of occur when PGPR prevent the deleterious effects of one or more phytopathogenic microorganisms through the production of hydrogen cyanide and the induction of systemic plant resistance </w:t>
      </w:r>
      <w:r w:rsidRPr="00B47993">
        <w:rPr>
          <w:rFonts w:ascii="Arial" w:hAnsi="Arial" w:cs="Arial"/>
        </w:rPr>
        <w:fldChar w:fldCharType="begin"/>
      </w:r>
      <w:r w:rsidRPr="00B47993">
        <w:rPr>
          <w:rFonts w:ascii="Arial" w:hAnsi="Arial" w:cs="Arial"/>
        </w:rPr>
        <w:instrText xml:space="preserve"> ADDIN ZOTERO_ITEM CSL_CITATION {"citationID":"qk6vcmVQ","properties":{"formattedCitation":"(El hjouji et al., 2025)","plainCitation":"(El hjouji et al., 2025)","noteIndex":0},"citationItems":[{"id":236,"uris":["http://zotero.org/users/5678157/items/A78GL2GP"],"itemData":{"id":236,"type":"article-journal","abstract":"The purpose of this study was to investigate the growth-promoting effects of four rhizobacterial isolates (RS60, RS65, RS46, and RP6) isolated from the tomato rhizosphere. These isolates were screened for key plant growth-promoting rhizobacteria (PGPR) mechanisms, including ammonia production, nitrogen fixation, phosphate solubilization, indole-3-acetic acid (IAA) production, and siderophore synthesis. Their potential to enhance seed germination and tomato plant growth was investigated in controlled and greenhouse conditions. Four isolates exhibited multiple PGPR attributes, notably IAA and ammonia production as well as phosphate solubilization. The results revealed that these strains significantly enhanced tomato seed germination and shoot growth in vitro, with RS65 showing the highest germination rate (70%). However, no significant differences in early seedling responses were observed under greenhouse conditions when compared to the control. Thirty days after inoculation, greenhouse results revealed that the four studied strains significantly increased growth metrics including shoot length, number of leaves, collar diameter, and dry weight. The isolate RP6 showed a significant effect on the growth of the plant, with an average shoot length of 34.40 cm and nine leaves per plant. In vitro antagonism assays demonstrated that isolates RS60, RS65, and RP6 effectively inhibited the growth of Botrytis cinerea, Alternaria alternata, and Oidium lycopersici, with inhibition rates exceeding 65%. These antagonistic activities were linked to the production of hydrolytic enzymes (chitinase, cellulase, pectinase, protease), siderophores, and hydrogen cyanide (HCN). Molecular identification through 16S rRNA gene sequencing confirmed the isolates as Bacillus cereus (RS60), Bacillus pumilus (RS46), Bacillus amyloliquefaciens (RP6), and Bacillus velezensis (RS65), each showing over 97% sequence similarity with reference strains. These findings underscore the potential of the selected Bacillus spp. as promising biofertilizers and biocontrol agents for sustainable tomato cultivation and support their inclusion in integrated disease and nutrient management strategies.","container-title":"Life","DOI":"10.3390/life15070997","ISSN":"2075-1729","issue":"7","language":"en","license":"http://creativecommons.org/licenses/by/3.0/","note":"number: 7\npublisher: Multidisciplinary Digital Publishing Institute","page":"997","source":"www.mdpi.com","title":"Enhancement of Tomato Growth Through Rhizobacteria and Biocontrol of Associated Diseases","volume":"15","author":[{"family":"El hjouji","given":"Hasna"},{"family":"Qessaoui","given":"Redouan"},{"family":"Chafiki","given":"Salahddine"},{"family":"Mayad","given":"El Hassan"},{"family":"Houmairi","given":"Hafsa"},{"family":"Dari","given":"Khadija"},{"family":"Bencharki","given":"Bouchaib"},{"family":"Aassila","given":"Hinde"}],"issued":{"date-parts":[["2025",7]]}}}],"schema":"https://github.com/citation-style-language/schema/raw/master/csl-citation.json"} </w:instrText>
      </w:r>
      <w:r w:rsidRPr="00B47993">
        <w:rPr>
          <w:rFonts w:ascii="Arial" w:hAnsi="Arial" w:cs="Arial"/>
        </w:rPr>
        <w:fldChar w:fldCharType="separate"/>
      </w:r>
      <w:r w:rsidRPr="00B47993">
        <w:rPr>
          <w:rFonts w:ascii="Arial" w:hAnsi="Arial" w:cs="Arial"/>
        </w:rPr>
        <w:t>(El hjouji et al., 2025)</w:t>
      </w:r>
      <w:r w:rsidRPr="00B47993">
        <w:rPr>
          <w:rFonts w:ascii="Arial" w:hAnsi="Arial" w:cs="Arial"/>
        </w:rPr>
        <w:fldChar w:fldCharType="end"/>
      </w:r>
      <w:r w:rsidRPr="00B47993">
        <w:rPr>
          <w:rFonts w:ascii="Arial" w:hAnsi="Arial" w:cs="Arial"/>
        </w:rPr>
        <w:t xml:space="preserve">. These capabilities make PGPR very important as biofertilizers in sustainable agriculture. Several studies highlighted that the use of PGPR as biofertilizers and biopesticides, is the one of the most effective biological solution </w:t>
      </w:r>
      <w:r w:rsidRPr="00B47993">
        <w:rPr>
          <w:rFonts w:ascii="Arial" w:hAnsi="Arial" w:cs="Arial"/>
        </w:rPr>
        <w:fldChar w:fldCharType="begin"/>
      </w:r>
      <w:r w:rsidRPr="00B47993">
        <w:rPr>
          <w:rFonts w:ascii="Arial" w:hAnsi="Arial" w:cs="Arial"/>
        </w:rPr>
        <w:instrText xml:space="preserve"> ADDIN ZOTERO_ITEM CSL_CITATION {"citationID":"lwgRQbgX","properties":{"formattedCitation":"(Bakki et al., 2024; Goswami et al., 2024)","plainCitation":"(Bakki et al., 2024; Goswami et al., 2024)","noteIndex":0},"citationItems":[{"id":342,"uris":["http://zotero.org/users/5678157/items/FG43MNXF"],"itemData":{"id":342,"type":"article-journal","abstract":"Nowadays, sustainable agriculture approaches are based on the use of biofertilizers and biopesticides. Tomato (\n              Solanum lycopersicum\n              L.) rhizosphere could provide rhizobacteria with biofertilizing and biopesticide properties. In this study, bacteria from the rhizosphere of tomato were evaluated\n              in vitro\n              for plant growth promotion (PGP) properties. Five\n              Pseudomonas\n              isolates (PsT-04c, PsT-94s, PsT-116, PsT-124, and PsT-130) and one\n              Bacillus\n              isolate (BaT-68s), with the highest ability to solubilize tricalcium phosphate (TCP) were selected for further molecular identification and characterization. Isolates showed phosphate solubilization up to 195.42 μg mL\n              −1\n              . All isolates showed phosphate solubilization by organic acid production. The six isolates improved seed germination and showed effective root colonization when tomato seeds were coated with isolates at 10\n              6\n              cfu g\n              −1\n              in axenic soil conditions. Furthermore, the selected isolates were tested for beneficial effects on tomato growth and nutrient status in greenhouse experiments with natural rock phosphate (RP). The results showed that inoculated tomato plants in the presence of RP have a higher shoot and root lengths and weights compared with the control. After 60 days, significant increases in plant Ca, Na, P, protein, and sugar contents were also observed in inoculated seedlings. In addition, inoculated tomato seedlings showed an increase in foliar chlorophyll a and b and total chlorophyll, while no significant changes were observed in chlorophyll fluorescence. In greenhouse, two\n              Pseudomonas\n              isolates, PsT-04c and PsT-130, showed ability to trigger induced systemic resistance in inoculated tomato seedlings when subsequently challenged by\n              Clavibacter michiganensis\n              subsp.\n              michiganensis\n              , the causal agent of tomato bacterial canker. High protection rate (75%) was concomitant to an increase in the resistance indicators: total soluble phenolic compounds, phenylalanine-ammonia lyase, and H\n              2\n              O\n              2\n              . The results strongly demonstrated the effectiveness of phosphate-solubilizing bacteria adapted to rhizosphere as biofertilizers for tomato crops and biopesticides by inducing systemic resistance to the causal agent of tomato bacterial canker disease.","container-title":"Frontiers in Microbiology","DOI":"10.3389/fmicb.2024.1289466","ISSN":"1664-302X","journalAbbreviation":"Front. Microbiol.","page":"1289466","source":"DOI.org (Crossref)","title":"Phosphate solubilizing Pseudomonas and Bacillus combined with rock phosphates promoting tomato growth and reducing bacterial canker disease","volume":"15","author":[{"family":"Bakki","given":"Mohamed"},{"family":"Banane","given":"Badra"},{"family":"Marhane","given":"Omaima"},{"family":"Esmaeel","given":"Qassim"},{"family":"Hatimi","given":"Abdelhakim"},{"family":"Barka","given":"Essaid Ait"},{"family":"Azim","given":"Khalid"},{"family":"Bouizgarne","given":"Brahim"}],"issued":{"date-parts":[["2024",5,3]]}},"label":"page"},{"id":258,"uris":["http://zotero.org/users/5678157/items/RUGI4CF6"],"itemData":{"id":258,"type":"article-journal","abstract":"Soil salinization is a global issue that negatively impacts crop yield and has become a prime concern for researchers worldwide. Many important crop plants are susceptible to salinity-induced stresses, including ionic and osmotic stress. Approximately, 20% of the world's cultivated and 33% of irrigated land is affected by salt. While various agricultural practices have been successful in alleviating salinity stress, they can be costly and not environment-friendly. Therefore, there is a need for cost-effective and eco-friendly practices to improve soil health. One promising approach involves utilizing microbes found in the vicinity of plant roots to mitigate the effects of salinity stress and enhance plant growth as well as crop yield. By exploiting the salinity tolerance of plants and their associated rhizospheric microorganisms, which have plant growth-promoting properties, it is possible to reduce the adverse effects of salt stress on crop plants. The soil salinization is a common problem in the world, due to which we are unable to use the saline land. To make proper use of this land for different crops, microorganisms can play an important role. Looking at the increasing population of the world, this will be an appreciated effort to make the best use of the wasted land for food security. The updated information on this issue is needed. In this context, this article provides a concise review of the latest research on the use of salt-tolerant rhizospheric microorganisms to mitigate salinity stress in crop plants.","container-title":"Current Microbiology","DOI":"10.1007/s00284-023-03538-z","ISSN":"0343-8651, 1432-0991","issue":"1","journalAbbreviation":"Curr Microbiol","language":"en","page":"14","source":"DOI.org (Crossref)","title":"Harnessing Rhizospheric Microbes for Eco-friendly and Sustainable Crop Production in Saline Environments","volume":"81","author":[{"family":"Goswami","given":"Sanjay K."},{"family":"Kashyap","given":"Abhijeet S."},{"family":"Kumar","given":"Rajeev"},{"family":"Gujjar","given":"Ranjit Singh"},{"family":"Singh","given":"Arjun"},{"family":"Manzar","given":"Nazia"}],"issued":{"date-parts":[["2024",1]]}},"label":"page"}],"schema":"https://github.com/citation-style-language/schema/raw/master/csl-citation.json"} </w:instrText>
      </w:r>
      <w:r w:rsidRPr="00B47993">
        <w:rPr>
          <w:rFonts w:ascii="Arial" w:hAnsi="Arial" w:cs="Arial"/>
        </w:rPr>
        <w:fldChar w:fldCharType="separate"/>
      </w:r>
      <w:r w:rsidRPr="00B47993">
        <w:rPr>
          <w:rFonts w:ascii="Arial" w:hAnsi="Arial" w:cs="Arial"/>
        </w:rPr>
        <w:t>(Bakki et al., 2024; Goswami et al., 2024)</w:t>
      </w:r>
      <w:r w:rsidRPr="00B47993">
        <w:rPr>
          <w:rFonts w:ascii="Arial" w:hAnsi="Arial" w:cs="Arial"/>
        </w:rPr>
        <w:fldChar w:fldCharType="end"/>
      </w:r>
      <w:r w:rsidRPr="00B47993">
        <w:rPr>
          <w:rFonts w:ascii="Arial" w:hAnsi="Arial" w:cs="Arial"/>
        </w:rPr>
        <w:t xml:space="preserve"> and a viable alternative for reducing the use of agrochemicals.  Indeed, the use of biofertilizers can reduce the costs associated with purchasing chemical fertilizers, which are often expensive for producers. In addition, they contribute to the sustainable preservation of the environment and soil fertility </w:t>
      </w:r>
      <w:r w:rsidRPr="00B47993">
        <w:rPr>
          <w:rFonts w:ascii="Arial" w:hAnsi="Arial" w:cs="Arial"/>
        </w:rPr>
        <w:fldChar w:fldCharType="begin"/>
      </w:r>
      <w:r w:rsidRPr="00B47993">
        <w:rPr>
          <w:rFonts w:ascii="Arial" w:hAnsi="Arial" w:cs="Arial"/>
        </w:rPr>
        <w:instrText xml:space="preserve"> ADDIN ZOTERO_ITEM CSL_CITATION {"citationID":"1oAirvqa","properties":{"unsorted":true,"formattedCitation":"(Esitken et al., 2005; Savci, 2012)","plainCitation":"(Esitken et al., 2005; Savci, 2012)","noteIndex":0},"citationItems":[{"id":245,"uris":["http://zotero.org/users/5678157/items/TUE7JHVG"],"itemData":{"id":245,"type":"article-journal","source":"Google Scholar","title":"Potential use of plant growth promoting rhizobacteria (PGPR) in organic apricot production.","URL":"https://www.cabidigitallibrary.org/doi/full/10.5555/20053196964","author":[{"family":"Esitken","given":"A."},{"family":"Ercisli","given":"S."},{"family":"Karlidag","given":"H."},{"family":"Sahin","given":"F."}],"accessed":{"date-parts":[["2025",8,15]]},"issued":{"date-parts":[["2005"]]}},"label":"page"},{"id":115,"uris":["http://zotero.org/users/5678157/items/9URYV6A4"],"itemData":{"id":115,"type":"article-journal","container-title":"International Journal of Environmental Science and Development","issue":"1","note":"publisher: IACSIT Press","page":"73","source":"Google Scholar","title":"An agricultural pollutant: chemical fertilizer","title-short":"An agricultural pollutant","volume":"3","author":[{"family":"Savci","given":"Serpil"}],"issued":{"date-parts":[["2012"]]}},"label":"page"}],"schema":"https://github.com/citation-style-language/schema/raw/master/csl-citation.json"} </w:instrText>
      </w:r>
      <w:r w:rsidRPr="00B47993">
        <w:rPr>
          <w:rFonts w:ascii="Arial" w:hAnsi="Arial" w:cs="Arial"/>
        </w:rPr>
        <w:fldChar w:fldCharType="separate"/>
      </w:r>
      <w:r w:rsidRPr="00B47993">
        <w:rPr>
          <w:rFonts w:ascii="Arial" w:hAnsi="Arial" w:cs="Arial"/>
        </w:rPr>
        <w:t>(Esitken et al., 2005; Savci, 2012)</w:t>
      </w:r>
      <w:r w:rsidRPr="00B47993">
        <w:rPr>
          <w:rFonts w:ascii="Arial" w:hAnsi="Arial" w:cs="Arial"/>
        </w:rPr>
        <w:fldChar w:fldCharType="end"/>
      </w:r>
      <w:r w:rsidRPr="00B47993">
        <w:rPr>
          <w:rFonts w:ascii="Arial" w:hAnsi="Arial" w:cs="Arial"/>
        </w:rPr>
        <w:t xml:space="preserve">. Several studies  also showed that PGPRs  can contribute to increased seed germination, growth, and vigor in several crops </w:t>
      </w:r>
      <w:r w:rsidRPr="00B47993">
        <w:rPr>
          <w:rFonts w:ascii="Arial" w:hAnsi="Arial" w:cs="Arial"/>
        </w:rPr>
        <w:fldChar w:fldCharType="begin"/>
      </w:r>
      <w:r w:rsidRPr="00B47993">
        <w:rPr>
          <w:rFonts w:ascii="Arial" w:hAnsi="Arial" w:cs="Arial"/>
        </w:rPr>
        <w:instrText xml:space="preserve"> ADDIN ZOTERO_ITEM CSL_CITATION {"citationID":"yUexLYbJ","properties":{"formattedCitation":"(Chabbi et al., 2024; Qessaoui et al., 2019; Rahmoune et al., 2017)","plainCitation":"(Chabbi et al., 2024; Qessaoui et al., 2019; Rahmoune et al., 2017)","noteIndex":0},"citationItems":[{"id":241,"uris":["http://zotero.org/users/5678157/items/6GVLSSS4"],"itemData":{"id":241,"type":"article-journal","container-title":"Plants","issue":"15","note":"publisher: MDPI","page":"2025","source":"Google Scholar","title":"Plant-growth-promoting rhizobacteria improve seeds germination and growth of Argania spinosa","volume":"13","author":[{"family":"Chabbi","given":"Naima"},{"family":"Chafiki","given":"Salahddine"},{"family":"Telmoudi","given":"Maryem"},{"family":"Labbassi","given":"Said"},{"family":"Bouharroud","given":"Rachid"},{"family":"Tahiri","given":"Abdelghani"},{"family":"Mentag","given":"Rachid"},{"family":"El Amri","given":"Majda"},{"family":"Bendiab","given":"Khadija"},{"family":"Hsissou","given":"Driss"}],"issued":{"date-parts":[["2024"]]}},"label":"page"},{"id":238,"uris":["http://zotero.org/users/5678157/items/W45DQZP4"],"itemData":{"id":238,"type":"article-journal","container-title":"Scientific reports","issue":"1","note":"publisher: Nature Publishing Group UK London","page":"12832","source":"Google Scholar","title":"Applications of new rhizobacteria Pseudomonas isolates in agroecology via fundamental processes complementing plant growth","volume":"9","author":[{"family":"Qessaoui","given":"R."},{"family":"Bouharroud","given":"R."},{"family":"Furze","given":"J. N."},{"family":"El Aalaoui","given":"M."},{"family":"Akroud","given":"H."},{"family":"Amarraque","given":"A."},{"family":"Vaerenbergh","given":"J. Van"},{"family":"Tahzima","given":"Rachid"},{"family":"Mayad","given":"E. H."},{"family":"Chebli","given":"B."}],"issued":{"date-parts":[["2019"]]}},"label":"page"},{"id":239,"uris":["http://zotero.org/users/5678157/items/NWT5YERH"],"itemData":{"id":239,"type":"article-journal","container-title":"Journal of Plant Interactions","DOI":"10.1080/17429145.2016.1269215","ISSN":"1742-9145, 1742-9153","issue":"1","journalAbbreviation":"Journal of Plant Interactions","language":"en","page":"1-6","source":"DOI.org (Crossref)","title":"Isolation and characterization of three new PGPR and their effects on the growth of &lt;i&gt;Arabidopsis&lt;/i&gt; and &lt;i&gt;Datura&lt;/i&gt; plants","volume":"12","author":[{"family":"Rahmoune","given":"Bilal"},{"family":"Morsli","given":"Abdelkader"},{"family":"Khelifi-Slaoui","given":"Madjda"},{"family":"Khelifi","given":"Lakhdar"},{"family":"Strueh","given":"Andrew"},{"family":"Erban","given":"Alexander"},{"family":"Kopka","given":"Joachim"},{"family":"Prell","given":"Jürgen"},{"family":"Van Dongen","given":"Joost T."}],"issued":{"date-parts":[["2017",1,1]]}},"label":"page"}],"schema":"https://github.com/citation-style-language/schema/raw/master/csl-citation.json"} </w:instrText>
      </w:r>
      <w:r w:rsidRPr="00B47993">
        <w:rPr>
          <w:rFonts w:ascii="Arial" w:hAnsi="Arial" w:cs="Arial"/>
        </w:rPr>
        <w:fldChar w:fldCharType="separate"/>
      </w:r>
      <w:r w:rsidRPr="00B47993">
        <w:rPr>
          <w:rFonts w:ascii="Arial" w:hAnsi="Arial" w:cs="Arial"/>
        </w:rPr>
        <w:t>(Chabbi et al., 2024; Qessaoui et al., 2019; Rahmoune et al., 2017)</w:t>
      </w:r>
      <w:r w:rsidRPr="00B47993">
        <w:rPr>
          <w:rFonts w:ascii="Arial" w:hAnsi="Arial" w:cs="Arial"/>
        </w:rPr>
        <w:fldChar w:fldCharType="end"/>
      </w:r>
      <w:r w:rsidRPr="00B47993">
        <w:rPr>
          <w:rFonts w:ascii="Arial" w:hAnsi="Arial" w:cs="Arial"/>
        </w:rPr>
        <w:t xml:space="preserve">.  In addition to increasing plant growth, some PGPR species can reduce susceptibility to fungal, bacterial, and viral diseases in tomatoes by producing hydrolytic enzymes such as chitinases and </w:t>
      </w:r>
      <w:proofErr w:type="spellStart"/>
      <w:r w:rsidRPr="00B47993">
        <w:rPr>
          <w:rFonts w:ascii="Arial" w:hAnsi="Arial" w:cs="Arial"/>
        </w:rPr>
        <w:t>glucanases</w:t>
      </w:r>
      <w:proofErr w:type="spellEnd"/>
      <w:r w:rsidRPr="00B47993">
        <w:rPr>
          <w:rFonts w:ascii="Arial" w:hAnsi="Arial" w:cs="Arial"/>
        </w:rPr>
        <w:t xml:space="preserve"> to degrade fungal cells’ wall </w:t>
      </w:r>
      <w:r w:rsidRPr="00B47993">
        <w:rPr>
          <w:rFonts w:ascii="Arial" w:hAnsi="Arial" w:cs="Arial"/>
        </w:rPr>
        <w:fldChar w:fldCharType="begin"/>
      </w:r>
      <w:r w:rsidRPr="00B47993">
        <w:rPr>
          <w:rFonts w:ascii="Arial" w:hAnsi="Arial" w:cs="Arial"/>
        </w:rPr>
        <w:instrText xml:space="preserve"> ADDIN ZOTERO_ITEM CSL_CITATION {"citationID":"MUet5jWA","properties":{"unsorted":true,"formattedCitation":"(Waqas et al., 2015; Loganathan et al., 2014)","plainCitation":"(Waqas et al., 2015; Loganathan et al., 2014)","noteIndex":0},"citationItems":[{"id":254,"uris":["http://zotero.org/users/5678157/items/G85MNW6L"],"itemData":{"id":254,"type":"article-journal","container-title":"Journal of Plant Interactions","DOI":"10.1080/17429145.2015.1079743","ISSN":"1742-9145, 1742-9153","issue":"1","journalAbbreviation":"Journal of Plant Interactions","language":"en","page":"280-287","source":"DOI.org (Crossref)","title":"Endophytic fungi promote plant growth and mitigate the adverse effects of stem rot: an example of &lt;i&gt;Penicillium citrinum&lt;/i&gt; and &lt;i&gt;Aspergillus terreus&lt;/i&gt;","title-short":"Endophytic fungi promote plant growth and mitigate the adverse effects of stem rot","volume":"10","author":[{"family":"Waqas","given":"Muhammad"},{"family":"Khan","given":"Abdul Latif"},{"family":"Hamayun","given":"Muhammad"},{"family":"Shahzad","given":"Raheem"},{"family":"Kang","given":"Sang-Mo"},{"family":"Kim","given":"Jong-Guk"},{"family":"Lee","given":"In-Jung"}],"issued":{"date-parts":[["2015",1]]}},"label":"page"},{"id":370,"uris":["http://zotero.org/users/5678157/items/65YDQ4UI"],"itemData":{"id":370,"type":"article-journal","container-title":"African Journal of Microbiology Research","DOI":"10.5897/AJMR2013.5653","ISSN":"1996-0808","issue":"11","journalAbbreviation":"Afr. J. Microbiol. Res.","page":"1105-1111","source":"DOI.org (Crossref)","title":"Plant growth promoting rhizobacteria (PGPR) induces resistance against Fusarium wilt and improves lycopene content and texture in tomato","volume":"8","author":[{"family":"Loganathan","given":"Miruthula"},{"family":"Garg","given":""},{"family":"V.","given":"Venkataravanappa"},{"family":"S.","given":"Samrat"},{"family":"A.","given":"B. Rai"}],"issued":{"date-parts":[["2014",3,12]]}},"label":"page"}],"schema":"https://github.com/citation-style-language/schema/raw/master/csl-citation.json"} </w:instrText>
      </w:r>
      <w:r w:rsidRPr="00B47993">
        <w:rPr>
          <w:rFonts w:ascii="Arial" w:hAnsi="Arial" w:cs="Arial"/>
        </w:rPr>
        <w:fldChar w:fldCharType="separate"/>
      </w:r>
      <w:r w:rsidRPr="00B47993">
        <w:rPr>
          <w:rFonts w:ascii="Arial" w:hAnsi="Arial" w:cs="Arial"/>
        </w:rPr>
        <w:t>(Waqas et al., 2015; Loganathan et al., 2014)</w:t>
      </w:r>
      <w:r w:rsidRPr="00B47993">
        <w:rPr>
          <w:rFonts w:ascii="Arial" w:hAnsi="Arial" w:cs="Arial"/>
        </w:rPr>
        <w:fldChar w:fldCharType="end"/>
      </w:r>
      <w:r w:rsidRPr="00B47993">
        <w:rPr>
          <w:rFonts w:ascii="Arial" w:hAnsi="Arial" w:cs="Arial"/>
        </w:rPr>
        <w:t xml:space="preserve">. Thus, in this growing awareness of soil degradation context, the need for sustainable food production, and the application of organic fertilization is essential </w:t>
      </w:r>
      <w:r w:rsidRPr="00B47993">
        <w:rPr>
          <w:rFonts w:ascii="Arial" w:hAnsi="Arial" w:cs="Arial"/>
          <w:lang w:val="nl-NL"/>
        </w:rPr>
        <w:fldChar w:fldCharType="begin"/>
      </w:r>
      <w:r w:rsidRPr="00B47993">
        <w:rPr>
          <w:rFonts w:ascii="Arial" w:hAnsi="Arial" w:cs="Arial"/>
        </w:rPr>
        <w:instrText xml:space="preserve"> ADDIN ZOTERO_ITEM CSL_CITATION {"citationID":"MFPm1JTH","properties":{"formattedCitation":"(Cotrufo and Lavallee, 2022)","plainCitation":"(Cotrufo and Lavallee, 2022)","noteIndex":0},"citationItems":[{"id":380,"uris":["http://zotero.org/users/5678157/items/KLP4WBYE"],"itemData":{"id":380,"type":"article-journal","container-title":"Advances in agronomy","note":"publisher: Elsevier","page":"1–66","source":"Google Scholar","title":"Soil organic matter formation, persistence, and functioning: A synthesis of current understanding to inform its conservation and regeneration","title-short":"Soil organic matter formation, persistence, and functioning","volume":"172","author":[{"family":"Cotrufo","given":"M. Francesca"},{"family":"Lavallee","given":"Jocelyn M."}],"issued":{"date-parts":[["2022"]]}}}],"schema":"https://github.com/citation-style-language/schema/raw/master/csl-citation.json"} </w:instrText>
      </w:r>
      <w:r w:rsidRPr="00B47993">
        <w:rPr>
          <w:rFonts w:ascii="Arial" w:hAnsi="Arial" w:cs="Arial"/>
          <w:lang w:val="nl-NL"/>
        </w:rPr>
        <w:fldChar w:fldCharType="separate"/>
      </w:r>
      <w:r w:rsidRPr="00B47993">
        <w:rPr>
          <w:rFonts w:ascii="Arial" w:hAnsi="Arial" w:cs="Arial"/>
        </w:rPr>
        <w:t>(Cotrufo and Lavallee, 2022)</w:t>
      </w:r>
      <w:r w:rsidRPr="00B47993">
        <w:rPr>
          <w:rFonts w:ascii="Arial" w:hAnsi="Arial" w:cs="Arial"/>
          <w:lang w:val="nl-NL"/>
        </w:rPr>
        <w:fldChar w:fldCharType="end"/>
      </w:r>
      <w:r w:rsidRPr="00B47993">
        <w:rPr>
          <w:rFonts w:ascii="Arial" w:hAnsi="Arial" w:cs="Arial"/>
        </w:rPr>
        <w:t xml:space="preserve">.  Therefore, this study was performed to evaluate the plant growth-promoting properties of bacteria isolated from tomato rhizosphere from seven areas across two different climatic zones in Burkina Faso. The isolated bacteria were evaluated for their ability to promote tomato plant growth.  </w:t>
      </w:r>
      <w:commentRangeEnd w:id="1"/>
      <w:r w:rsidR="00484708">
        <w:rPr>
          <w:rStyle w:val="CommentReference"/>
          <w:rFonts w:ascii="Times New Roman" w:hAnsi="Times New Roman"/>
          <w:lang w:val="nb-NO" w:eastAsia="nb-NO"/>
        </w:rPr>
        <w:commentReference w:id="1"/>
      </w:r>
    </w:p>
    <w:p w14:paraId="2DE0C6CC" w14:textId="77777777" w:rsidR="00505F06" w:rsidRPr="00B47993" w:rsidRDefault="00505F06" w:rsidP="00441B6F">
      <w:pPr>
        <w:pStyle w:val="Body"/>
        <w:spacing w:after="0"/>
        <w:rPr>
          <w:rFonts w:ascii="Arial" w:hAnsi="Arial" w:cs="Arial"/>
        </w:rPr>
      </w:pPr>
    </w:p>
    <w:p w14:paraId="233751A2" w14:textId="77777777" w:rsidR="00790ADA" w:rsidRPr="00B47993" w:rsidRDefault="00790ADA" w:rsidP="00441B6F">
      <w:pPr>
        <w:pStyle w:val="Body"/>
        <w:spacing w:after="0"/>
        <w:rPr>
          <w:rFonts w:ascii="Arial" w:hAnsi="Arial" w:cs="Arial"/>
        </w:rPr>
      </w:pPr>
    </w:p>
    <w:p w14:paraId="1C437F4F" w14:textId="77777777" w:rsidR="007F7B32" w:rsidRDefault="00902823" w:rsidP="00B47993">
      <w:pPr>
        <w:pStyle w:val="AbstHead"/>
        <w:spacing w:after="0"/>
        <w:rPr>
          <w:rFonts w:ascii="Arial" w:hAnsi="Arial" w:cs="Arial"/>
        </w:rPr>
      </w:pPr>
      <w:r>
        <w:rPr>
          <w:rFonts w:ascii="Arial" w:hAnsi="Arial" w:cs="Arial"/>
        </w:rPr>
        <w:t>2</w:t>
      </w:r>
      <w:commentRangeStart w:id="3"/>
      <w:r>
        <w:rPr>
          <w:rFonts w:ascii="Arial" w:hAnsi="Arial" w:cs="Arial"/>
        </w:rPr>
        <w:t>. material and method</w:t>
      </w:r>
      <w:r w:rsidR="00000F8F">
        <w:rPr>
          <w:rFonts w:ascii="Arial" w:hAnsi="Arial" w:cs="Arial"/>
        </w:rPr>
        <w:t xml:space="preserve">s </w:t>
      </w:r>
    </w:p>
    <w:p w14:paraId="6477A9CD" w14:textId="77777777" w:rsidR="00790ADA" w:rsidRPr="00FB3A86" w:rsidRDefault="00790ADA" w:rsidP="00441B6F">
      <w:pPr>
        <w:pStyle w:val="AbstHead"/>
        <w:spacing w:after="0"/>
        <w:jc w:val="both"/>
        <w:rPr>
          <w:rFonts w:ascii="Arial" w:hAnsi="Arial" w:cs="Arial"/>
        </w:rPr>
      </w:pPr>
    </w:p>
    <w:p w14:paraId="5DBA0ED6" w14:textId="77777777" w:rsidR="00FE41CF" w:rsidRPr="00197049" w:rsidRDefault="00FE41CF" w:rsidP="00FE41CF">
      <w:pPr>
        <w:rPr>
          <w:rFonts w:ascii="Arial" w:hAnsi="Arial" w:cs="Arial"/>
          <w:b/>
          <w:bCs/>
          <w:sz w:val="22"/>
          <w:szCs w:val="22"/>
        </w:rPr>
      </w:pPr>
      <w:r w:rsidRPr="00197049">
        <w:rPr>
          <w:rFonts w:ascii="Arial" w:hAnsi="Arial" w:cs="Arial"/>
          <w:b/>
          <w:bCs/>
          <w:sz w:val="22"/>
          <w:szCs w:val="22"/>
        </w:rPr>
        <w:t>2.1 Study Sites</w:t>
      </w:r>
    </w:p>
    <w:p w14:paraId="45D82120" w14:textId="77777777" w:rsidR="00FE41CF" w:rsidRPr="00FE41CF" w:rsidRDefault="00FE41CF" w:rsidP="00FE41CF">
      <w:pPr>
        <w:jc w:val="both"/>
        <w:rPr>
          <w:rFonts w:ascii="Arial" w:hAnsi="Arial" w:cs="Arial"/>
        </w:rPr>
      </w:pPr>
      <w:r w:rsidRPr="00FE41CF">
        <w:rPr>
          <w:rFonts w:ascii="Arial" w:hAnsi="Arial" w:cs="Arial"/>
        </w:rPr>
        <w:t>The study was conducted in two climatic zones (</w:t>
      </w:r>
      <w:proofErr w:type="spellStart"/>
      <w:r w:rsidRPr="00FE41CF">
        <w:rPr>
          <w:rFonts w:ascii="Arial" w:hAnsi="Arial" w:cs="Arial"/>
        </w:rPr>
        <w:t>Sudano</w:t>
      </w:r>
      <w:proofErr w:type="spellEnd"/>
      <w:r w:rsidRPr="00FE41CF">
        <w:rPr>
          <w:rFonts w:ascii="Arial" w:hAnsi="Arial" w:cs="Arial"/>
        </w:rPr>
        <w:t xml:space="preserve">-Sahelian and </w:t>
      </w:r>
      <w:proofErr w:type="spellStart"/>
      <w:r w:rsidRPr="00FE41CF">
        <w:rPr>
          <w:rFonts w:ascii="Arial" w:hAnsi="Arial" w:cs="Arial"/>
        </w:rPr>
        <w:t>Sudanian</w:t>
      </w:r>
      <w:proofErr w:type="spellEnd"/>
      <w:r w:rsidRPr="00FE41CF">
        <w:rPr>
          <w:rFonts w:ascii="Arial" w:hAnsi="Arial" w:cs="Arial"/>
        </w:rPr>
        <w:t>) in Burkina Faso (Fig</w:t>
      </w:r>
      <w:r w:rsidR="00B47993">
        <w:rPr>
          <w:rFonts w:ascii="Arial" w:hAnsi="Arial" w:cs="Arial"/>
        </w:rPr>
        <w:t>.</w:t>
      </w:r>
      <w:r w:rsidRPr="00FE41CF">
        <w:rPr>
          <w:rFonts w:ascii="Arial" w:hAnsi="Arial" w:cs="Arial"/>
        </w:rPr>
        <w:t xml:space="preserve">1). In the </w:t>
      </w:r>
      <w:proofErr w:type="spellStart"/>
      <w:r w:rsidRPr="00FE41CF">
        <w:rPr>
          <w:rFonts w:ascii="Arial" w:hAnsi="Arial" w:cs="Arial"/>
        </w:rPr>
        <w:t>Sudano</w:t>
      </w:r>
      <w:proofErr w:type="spellEnd"/>
      <w:r w:rsidRPr="00FE41CF">
        <w:rPr>
          <w:rFonts w:ascii="Arial" w:hAnsi="Arial" w:cs="Arial"/>
        </w:rPr>
        <w:t xml:space="preserve">-Sahelian zone, located between the 600 mm and 900 mm isohyets, </w:t>
      </w:r>
      <w:r w:rsidRPr="00FE41CF">
        <w:rPr>
          <w:rFonts w:ascii="Arial" w:hAnsi="Arial" w:cs="Arial"/>
        </w:rPr>
        <w:fldChar w:fldCharType="begin"/>
      </w:r>
      <w:r w:rsidRPr="00FE41CF">
        <w:rPr>
          <w:rFonts w:ascii="Arial" w:hAnsi="Arial" w:cs="Arial"/>
        </w:rPr>
        <w:instrText xml:space="preserve"> ADDIN ZOTERO_ITEM CSL_CITATION {"citationID":"su2znGHF","properties":{"formattedCitation":"(Karambiri and Gansaonre, 2023)","plainCitation":"(Karambiri and Gansaonre, 2023)","noteIndex":0},"citationItems":[{"id":319,"uris":["http://zotero.org/users/5678157/items/2DMPTCZS"],"itemData":{"id":319,"type":"article-journal","abstract":"L’évolution de la pluviométrie dans la zone sahélienne a connu d’importante variation depuis les années de sécheresse. Cette zone a été considérée par de nombreux auteurs comme la plus affectée par les variations climatiques de ce siècle. Cependant, à l’intérieur de cette même zone, les paramètres climatiques ont des comportements très variables. Ainsi, cette étude a pour objectif d’analyser la variabilité spatio-temporelle de la pluviométrie au Burkina Faso en tenant compte de leur distribution selon les zones climatiques. Pour atteindre cet objectif, les quantités de pluie annuelle de 1921 à 2018 des trois zones climatiques que compte le Burkina Faso ont été mobilisées. Il s’agit des données pluviométriques de Bobo-Dioulasso, Ouagadougou et Dori. Ainsi, pour déterminer les différences de variations temporelles et spatiales de la pluviométrie, les indices de précipitation de chaque zone climatique ont été calculés, puis présenté sous forme de graphiques. Cela a permis d’identifier les années et périodes humides ou sèches. De plus, les ruptures pluviométriques ont été calculées à l’aide du test de Pettitt, permettant de déterminer les différents cycles de l’évolution de la pluviométrie dans les différentes zones climatiques du pays. Les résultats montrent que la pluviométrie a connu une régression depuis 1921 dans les trois localités, mais avec une forte tendance à la baisse à Bobo-Dioulasso où le coefficient directeur de la droite de tendance linéaire est de 0,01. Cependant à Dori la sécheresse est fréquente et  rude, puisqu’on y enregistre deux années extrêmement sèches (1926 et 1987). Outre ces résultats, le test de Pettitt a permis d’identifier des ruptures pluviométriques en 1969 à Dori, en 1970 à Bobo-Dioulasso, puis en 1976 à Ouagadougou. L’ensemble de ces résultats montre une différence d’évolution de ce paramètre dans les différentes zones climatiques. Bien qu’étant importante dans les trois zones d’étude, cette variation a un impact important dans zones sahélienne au regard des faibles quantités de pluie qui y tombent et de la fragilité des écosystèmes.","container-title":"European Scientific Journal ESJ","DOI":"10.19044/esipreprint.3.2023.p1","ISSN":"18577881, 18577431","journalAbbreviation":"ESJ","language":"fr","source":"DOI.org (Crossref)","title":"Variabilité Spatio-Temporelle de la Pluviométrie dans les Zones Soudaniennes, Soudano-Sahélienne et Sahélenne du Burkina Faso","URL":"https://eujournal.org/index.php/esj/article/view/16506","volume":"3","author":[{"family":"Karambiri","given":"Bienvenue Lawankiléa Chantal Noumpoa"},{"family":"Gansaonre","given":"Raogo Noël"}],"accessed":{"date-parts":[["2025",10,9]]},"issued":{"date-parts":[["2023",3,7]]}}}],"schema":"https://github.com/citation-style-language/schema/raw/master/csl-citation.json"} </w:instrText>
      </w:r>
      <w:r w:rsidRPr="00FE41CF">
        <w:rPr>
          <w:rFonts w:ascii="Arial" w:hAnsi="Arial" w:cs="Arial"/>
        </w:rPr>
        <w:fldChar w:fldCharType="separate"/>
      </w:r>
      <w:r w:rsidRPr="00FE41CF">
        <w:rPr>
          <w:rFonts w:ascii="Arial" w:hAnsi="Arial" w:cs="Arial"/>
        </w:rPr>
        <w:t>(Karambiri and Gansaonre, 2023)</w:t>
      </w:r>
      <w:r w:rsidRPr="00FE41CF">
        <w:rPr>
          <w:rFonts w:ascii="Arial" w:hAnsi="Arial" w:cs="Arial"/>
        </w:rPr>
        <w:fldChar w:fldCharType="end"/>
      </w:r>
      <w:r w:rsidRPr="00FE41CF">
        <w:rPr>
          <w:rFonts w:ascii="Arial" w:hAnsi="Arial" w:cs="Arial"/>
        </w:rPr>
        <w:t xml:space="preserve">, the market gardening sites of </w:t>
      </w:r>
      <w:proofErr w:type="spellStart"/>
      <w:r w:rsidRPr="00FE41CF">
        <w:rPr>
          <w:rFonts w:ascii="Arial" w:hAnsi="Arial" w:cs="Arial"/>
        </w:rPr>
        <w:t>Loumbila</w:t>
      </w:r>
      <w:proofErr w:type="spellEnd"/>
      <w:r w:rsidRPr="00FE41CF">
        <w:rPr>
          <w:rFonts w:ascii="Arial" w:hAnsi="Arial" w:cs="Arial"/>
        </w:rPr>
        <w:t xml:space="preserve">, </w:t>
      </w:r>
      <w:proofErr w:type="spellStart"/>
      <w:r w:rsidRPr="00FE41CF">
        <w:rPr>
          <w:rFonts w:ascii="Arial" w:hAnsi="Arial" w:cs="Arial"/>
        </w:rPr>
        <w:t>Koubri</w:t>
      </w:r>
      <w:proofErr w:type="spellEnd"/>
      <w:r w:rsidRPr="00FE41CF">
        <w:rPr>
          <w:rFonts w:ascii="Arial" w:hAnsi="Arial" w:cs="Arial"/>
        </w:rPr>
        <w:t xml:space="preserve">, and </w:t>
      </w:r>
      <w:proofErr w:type="spellStart"/>
      <w:r w:rsidRPr="00FE41CF">
        <w:rPr>
          <w:rFonts w:ascii="Arial" w:hAnsi="Arial" w:cs="Arial"/>
        </w:rPr>
        <w:t>Kombissiri</w:t>
      </w:r>
      <w:proofErr w:type="spellEnd"/>
      <w:r w:rsidRPr="00FE41CF">
        <w:rPr>
          <w:rFonts w:ascii="Arial" w:hAnsi="Arial" w:cs="Arial"/>
        </w:rPr>
        <w:t xml:space="preserve"> were selected. On the other hand,  in the Sudanese zone, located in the western  and southern  part of the country </w:t>
      </w:r>
      <w:r w:rsidRPr="00FE41CF">
        <w:rPr>
          <w:rFonts w:ascii="Arial" w:hAnsi="Arial" w:cs="Arial"/>
        </w:rPr>
        <w:fldChar w:fldCharType="begin"/>
      </w:r>
      <w:r w:rsidRPr="00FE41CF">
        <w:rPr>
          <w:rFonts w:ascii="Arial" w:hAnsi="Arial" w:cs="Arial"/>
        </w:rPr>
        <w:instrText xml:space="preserve"> ADDIN ZOTERO_ITEM CSL_CITATION {"citationID":"VsS4In3T","properties":{"formattedCitation":"(Karambiri and Gansaonre, 2023)","plainCitation":"(Karambiri and Gansaonre, 2023)","noteIndex":0},"citationItems":[{"id":319,"uris":["http://zotero.org/users/5678157/items/2DMPTCZS"],"itemData":{"id":319,"type":"article-journal","abstract":"L’évolution de la pluviométrie dans la zone sahélienne a connu d’importante variation depuis les années de sécheresse. Cette zone a été considérée par de nombreux auteurs comme la plus affectée par les variations climatiques de ce siècle. Cependant, à l’intérieur de cette même zone, les paramètres climatiques ont des comportements très variables. Ainsi, cette étude a pour objectif d’analyser la variabilité spatio-temporelle de la pluviométrie au Burkina Faso en tenant compte de leur distribution selon les zones climatiques. Pour atteindre cet objectif, les quantités de pluie annuelle de 1921 à 2018 des trois zones climatiques que compte le Burkina Faso ont été mobilisées. Il s’agit des données pluviométriques de Bobo-Dioulasso, Ouagadougou et Dori. Ainsi, pour déterminer les différences de variations temporelles et spatiales de la pluviométrie, les indices de précipitation de chaque zone climatique ont été calculés, puis présenté sous forme de graphiques. Cela a permis d’identifier les années et périodes humides ou sèches. De plus, les ruptures pluviométriques ont été calculées à l’aide du test de Pettitt, permettant de déterminer les différents cycles de l’évolution de la pluviométrie dans les différentes zones climatiques du pays. Les résultats montrent que la pluviométrie a connu une régression depuis 1921 dans les trois localités, mais avec une forte tendance à la baisse à Bobo-Dioulasso où le coefficient directeur de la droite de tendance linéaire est de 0,01. Cependant à Dori la sécheresse est fréquente et  rude, puisqu’on y enregistre deux années extrêmement sèches (1926 et 1987). Outre ces résultats, le test de Pettitt a permis d’identifier des ruptures pluviométriques en 1969 à Dori, en 1970 à Bobo-Dioulasso, puis en 1976 à Ouagadougou. L’ensemble de ces résultats montre une différence d’évolution de ce paramètre dans les différentes zones climatiques. Bien qu’étant importante dans les trois zones d’étude, cette variation a un impact important dans zones sahélienne au regard des faibles quantités de pluie qui y tombent et de la fragilité des écosystèmes.","container-title":"European Scientific Journal ESJ","DOI":"10.19044/esipreprint.3.2023.p1","ISSN":"18577881, 18577431","journalAbbreviation":"ESJ","language":"fr","source":"DOI.org (Crossref)","title":"Variabilité Spatio-Temporelle de la Pluviométrie dans les Zones Soudaniennes, Soudano-Sahélienne et Sahélenne du Burkina Faso","URL":"https://eujournal.org/index.php/esj/article/view/16506","volume":"3","author":[{"family":"Karambiri","given":"Bienvenue Lawankiléa Chantal Noumpoa"},{"family":"Gansaonre","given":"Raogo Noël"}],"accessed":{"date-parts":[["2025",10,9]]},"issued":{"date-parts":[["2023",3,7]]}}}],"schema":"https://github.com/citation-style-language/schema/raw/master/csl-citation.json"} </w:instrText>
      </w:r>
      <w:r w:rsidRPr="00FE41CF">
        <w:rPr>
          <w:rFonts w:ascii="Arial" w:hAnsi="Arial" w:cs="Arial"/>
        </w:rPr>
        <w:fldChar w:fldCharType="separate"/>
      </w:r>
      <w:r w:rsidRPr="00FE41CF">
        <w:rPr>
          <w:rFonts w:ascii="Arial" w:hAnsi="Arial" w:cs="Arial"/>
        </w:rPr>
        <w:t>(Karambiri and Gansaonre, 2023)</w:t>
      </w:r>
      <w:r w:rsidRPr="00FE41CF">
        <w:rPr>
          <w:rFonts w:ascii="Arial" w:hAnsi="Arial" w:cs="Arial"/>
        </w:rPr>
        <w:fldChar w:fldCharType="end"/>
      </w:r>
      <w:r w:rsidRPr="00FE41CF">
        <w:rPr>
          <w:rFonts w:ascii="Arial" w:hAnsi="Arial" w:cs="Arial"/>
        </w:rPr>
        <w:t xml:space="preserve">, the market gardening sites of </w:t>
      </w:r>
      <w:proofErr w:type="spellStart"/>
      <w:r w:rsidRPr="00FE41CF">
        <w:rPr>
          <w:rFonts w:ascii="Arial" w:hAnsi="Arial" w:cs="Arial"/>
        </w:rPr>
        <w:t>Toussiana</w:t>
      </w:r>
      <w:proofErr w:type="spellEnd"/>
      <w:r w:rsidRPr="00FE41CF">
        <w:rPr>
          <w:rFonts w:ascii="Arial" w:hAnsi="Arial" w:cs="Arial"/>
        </w:rPr>
        <w:t xml:space="preserve">, </w:t>
      </w:r>
      <w:proofErr w:type="spellStart"/>
      <w:r w:rsidRPr="00FE41CF">
        <w:rPr>
          <w:rFonts w:ascii="Arial" w:hAnsi="Arial" w:cs="Arial"/>
        </w:rPr>
        <w:t>Kodeni</w:t>
      </w:r>
      <w:proofErr w:type="spellEnd"/>
      <w:r w:rsidRPr="00FE41CF">
        <w:rPr>
          <w:rFonts w:ascii="Arial" w:hAnsi="Arial" w:cs="Arial"/>
        </w:rPr>
        <w:t xml:space="preserve">, </w:t>
      </w:r>
      <w:proofErr w:type="spellStart"/>
      <w:r w:rsidRPr="00FE41CF">
        <w:rPr>
          <w:rFonts w:ascii="Arial" w:hAnsi="Arial" w:cs="Arial"/>
        </w:rPr>
        <w:t>Leguema</w:t>
      </w:r>
      <w:proofErr w:type="spellEnd"/>
      <w:r w:rsidRPr="00FE41CF">
        <w:rPr>
          <w:rFonts w:ascii="Arial" w:hAnsi="Arial" w:cs="Arial"/>
        </w:rPr>
        <w:t xml:space="preserve">, and </w:t>
      </w:r>
      <w:proofErr w:type="spellStart"/>
      <w:r w:rsidRPr="00FE41CF">
        <w:rPr>
          <w:rFonts w:ascii="Arial" w:hAnsi="Arial" w:cs="Arial"/>
        </w:rPr>
        <w:t>Kimidougou</w:t>
      </w:r>
      <w:proofErr w:type="spellEnd"/>
      <w:r w:rsidRPr="00FE41CF">
        <w:rPr>
          <w:rFonts w:ascii="Arial" w:hAnsi="Arial" w:cs="Arial"/>
        </w:rPr>
        <w:t xml:space="preserve"> were selected. In this region, the average annual rainfall is of about 1,000 mm.</w:t>
      </w:r>
    </w:p>
    <w:p w14:paraId="0F7BAC5C" w14:textId="77777777" w:rsidR="00790ADA" w:rsidRDefault="00FE41CF" w:rsidP="00441B6F">
      <w:pPr>
        <w:pStyle w:val="Body"/>
        <w:spacing w:after="0"/>
        <w:rPr>
          <w:rFonts w:ascii="Arial" w:hAnsi="Arial" w:cs="Arial"/>
        </w:rPr>
      </w:pPr>
      <w:r>
        <w:rPr>
          <w:noProof/>
        </w:rPr>
        <w:lastRenderedPageBreak/>
        <w:drawing>
          <wp:inline distT="0" distB="0" distL="0" distR="0" wp14:anchorId="4037F873" wp14:editId="5850A15E">
            <wp:extent cx="5212080" cy="3685112"/>
            <wp:effectExtent l="0" t="0" r="0" b="0"/>
            <wp:docPr id="1675737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37601" name="Image 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3685112"/>
                    </a:xfrm>
                    <a:prstGeom prst="rect">
                      <a:avLst/>
                    </a:prstGeom>
                    <a:noFill/>
                    <a:ln>
                      <a:noFill/>
                    </a:ln>
                  </pic:spPr>
                </pic:pic>
              </a:graphicData>
            </a:graphic>
          </wp:inline>
        </w:drawing>
      </w:r>
    </w:p>
    <w:p w14:paraId="168FEFD6" w14:textId="77777777" w:rsidR="00FE41CF" w:rsidRDefault="00FE41CF" w:rsidP="00FE41CF">
      <w:pPr>
        <w:pStyle w:val="ListParagraph"/>
        <w:spacing w:line="480" w:lineRule="auto"/>
        <w:jc w:val="both"/>
        <w:rPr>
          <w:rFonts w:ascii="Arial" w:hAnsi="Arial" w:cs="Arial"/>
          <w:b/>
          <w:bCs/>
        </w:rPr>
      </w:pPr>
    </w:p>
    <w:p w14:paraId="2AF090E0" w14:textId="77777777" w:rsidR="00FE41CF" w:rsidRDefault="00FE41CF" w:rsidP="00FE41CF">
      <w:pPr>
        <w:pStyle w:val="ListParagraph"/>
        <w:jc w:val="both"/>
        <w:rPr>
          <w:rFonts w:ascii="Arial" w:hAnsi="Arial" w:cs="Arial"/>
          <w:b/>
          <w:bCs/>
        </w:rPr>
      </w:pPr>
      <w:r w:rsidRPr="00F35E13">
        <w:rPr>
          <w:rFonts w:ascii="Arial" w:hAnsi="Arial" w:cs="Arial"/>
          <w:b/>
          <w:bCs/>
        </w:rPr>
        <w:t>Fig</w:t>
      </w:r>
      <w:r w:rsidR="00B47993">
        <w:rPr>
          <w:rFonts w:ascii="Arial" w:hAnsi="Arial" w:cs="Arial"/>
          <w:b/>
          <w:bCs/>
        </w:rPr>
        <w:t xml:space="preserve">. </w:t>
      </w:r>
      <w:r w:rsidRPr="00F35E13">
        <w:rPr>
          <w:rFonts w:ascii="Arial" w:hAnsi="Arial" w:cs="Arial"/>
          <w:b/>
          <w:bCs/>
        </w:rPr>
        <w:t>1</w:t>
      </w:r>
      <w:r w:rsidR="00B47993">
        <w:rPr>
          <w:rFonts w:ascii="Arial" w:hAnsi="Arial" w:cs="Arial"/>
          <w:b/>
          <w:bCs/>
        </w:rPr>
        <w:t>.</w:t>
      </w:r>
      <w:r w:rsidRPr="00F35E13">
        <w:rPr>
          <w:rFonts w:ascii="Arial" w:hAnsi="Arial" w:cs="Arial"/>
          <w:b/>
          <w:bCs/>
        </w:rPr>
        <w:t xml:space="preserve"> Sampling sites</w:t>
      </w:r>
    </w:p>
    <w:p w14:paraId="69F2BAB0" w14:textId="77777777" w:rsidR="00FE41CF" w:rsidRPr="00FB27C2" w:rsidRDefault="006F4732" w:rsidP="00FE41CF">
      <w:pPr>
        <w:rPr>
          <w:rFonts w:ascii="Arial" w:hAnsi="Arial" w:cs="Arial"/>
          <w:b/>
          <w:bCs/>
          <w:sz w:val="22"/>
          <w:szCs w:val="22"/>
        </w:rPr>
      </w:pPr>
      <w:r w:rsidRPr="00FB27C2">
        <w:rPr>
          <w:rFonts w:ascii="Arial" w:hAnsi="Arial" w:cs="Arial"/>
          <w:b/>
          <w:bCs/>
          <w:sz w:val="22"/>
          <w:szCs w:val="22"/>
        </w:rPr>
        <w:t>2.2. Rhizobacterial isolation</w:t>
      </w:r>
    </w:p>
    <w:p w14:paraId="1FF0DF8F" w14:textId="77777777" w:rsidR="00FE41CF" w:rsidRPr="00197049" w:rsidRDefault="00FE41CF" w:rsidP="00FE41CF">
      <w:pPr>
        <w:jc w:val="both"/>
        <w:rPr>
          <w:rFonts w:ascii="Arial" w:hAnsi="Arial" w:cs="Arial"/>
        </w:rPr>
      </w:pPr>
      <w:r w:rsidRPr="00197049">
        <w:rPr>
          <w:rFonts w:ascii="Arial" w:hAnsi="Arial" w:cs="Arial"/>
        </w:rPr>
        <w:t xml:space="preserve">Rhizosphere soil samples were collected from three fields per site across seven market gardening sites. In each field, five tomato plants spaced approximately 10 meters apart were dug up diagonally </w:t>
      </w:r>
      <w:r w:rsidRPr="00197049">
        <w:rPr>
          <w:rFonts w:ascii="Arial" w:hAnsi="Arial" w:cs="Arial"/>
        </w:rPr>
        <w:fldChar w:fldCharType="begin"/>
      </w:r>
      <w:r w:rsidRPr="00197049">
        <w:rPr>
          <w:rFonts w:ascii="Arial" w:hAnsi="Arial" w:cs="Arial"/>
        </w:rPr>
        <w:instrText xml:space="preserve"> ADDIN ZOTERO_ITEM CSL_CITATION {"citationID":"c8HeRXyS","properties":{"formattedCitation":"(Koussihou\\uc0\\u232{}d\\uc0\\u233{} et al., 2015)","plainCitation":"(Koussihouèdé et al., 2015)","noteIndex":0},"citationItems":[{"id":417,"uris":["http://zotero.org/users/5678157/items/GMVVB6QQ"],"itemData":{"id":417,"type":"article-journal","container-title":"American Journal of Life Sciences","DOI":"10.11648/j.ajls.20150302.11","ISSN":"2328-5702","issue":"2","journalAbbreviation":"AJLS","language":"en","page":"56","source":"DOI.org (Crossref)","title":"Wearing High Heel Shoes During Gait: Kinematics Impact and Determination of Comfort Height","title-short":"Wearing High Heel Shoes During Gait","volume":"3","author":[{"family":"Koussihouèdé","given":"Fifamè Eudia Nadège"},{"family":"Falola","given":"Jean-Marie"},{"family":"Lawani","given":"Mohamed Mansourou"},{"family":"Gouthon","given":"Polycarpe"},{"family":"Avossevou","given":"Yves Gabriel"},{"family":"Lawani","given":"Sophia"}],"issued":{"date-parts":[["2015"]]}}}],"schema":"https://github.com/citation-style-language/schema/raw/master/csl-citation.json"} </w:instrText>
      </w:r>
      <w:r w:rsidRPr="00197049">
        <w:rPr>
          <w:rFonts w:ascii="Arial" w:hAnsi="Arial" w:cs="Arial"/>
        </w:rPr>
        <w:fldChar w:fldCharType="separate"/>
      </w:r>
      <w:r w:rsidRPr="00197049">
        <w:rPr>
          <w:rFonts w:ascii="Arial" w:hAnsi="Arial" w:cs="Arial"/>
        </w:rPr>
        <w:t>(Koussihouèdé et al., 2015)</w:t>
      </w:r>
      <w:r w:rsidRPr="00197049">
        <w:rPr>
          <w:rFonts w:ascii="Arial" w:hAnsi="Arial" w:cs="Arial"/>
        </w:rPr>
        <w:fldChar w:fldCharType="end"/>
      </w:r>
      <w:r w:rsidRPr="00197049">
        <w:rPr>
          <w:rFonts w:ascii="Arial" w:hAnsi="Arial" w:cs="Arial"/>
        </w:rPr>
        <w:t xml:space="preserve">. The bulk soil was released following the method described by </w:t>
      </w:r>
      <w:r w:rsidRPr="00197049">
        <w:rPr>
          <w:rFonts w:ascii="Arial" w:hAnsi="Arial" w:cs="Arial"/>
        </w:rPr>
        <w:fldChar w:fldCharType="begin"/>
      </w:r>
      <w:r w:rsidRPr="00197049">
        <w:rPr>
          <w:rFonts w:ascii="Arial" w:hAnsi="Arial" w:cs="Arial"/>
        </w:rPr>
        <w:instrText xml:space="preserve"> ADDIN ZOTERO_ITEM CSL_CITATION {"citationID":"RWI6DJPA","properties":{"formattedCitation":"(Barillot et al., 2013)","plainCitation":"(Barillot et al., 2013)","dontUpdate":true,"noteIndex":0},"citationItems":[{"id":418,"uris":["http://zotero.org/users/5678157/items/6HHWWEJU"],"itemData":{"id":418,"type":"article-journal","abstract":"Plants-microorganisms interactions play a fundamental role in terrestrial ecosystems and various methods have been reported for plant-associated bacteria extraction. However, these methods exhibit notable variations and lack of some procedural details that may impact the interpretations of results. We propose here a standardized and detailed protocol for the independent extraction of bulk, rhizosphere and rhizoplan soil fractions. This protocol was applied to the sampling of different polluted soil fractions collected in the vicinity of Arabidopsis halleri dense root system. It allowed us to determine the cultivable bacterial densities in each fraction and to confirm the existence of a bacterial gradient linked to roots distance, with a higher amount of bacteria in the rhizospheric area. We suggest to use this unified procedure as a common basis for soil sampling and bacterial communities analysis from other roots systems.","container-title":"Annals of Microbiology","DOI":"10.1007/s13213-012-0491-y","ISSN":"1869-2044","issue":"2","journalAbbreviation":"Ann Microbiol","language":"en","page":"471-476","source":"Springer Link","title":"A standardized method for the sampling of rhizosphere and rhizoplan soil bacteria associated to a herbaceous root system","volume":"63","author":[{"family":"Barillot","given":"Cindy D. C."},{"family":"Sarde","given":"Claude-Olivier"},{"family":"Bert","given":"Valerie"},{"family":"Tarnaud","given":"Eric"},{"family":"Cochet","given":"Nelly"}],"issued":{"date-parts":[["2013",6,1]]}}}],"schema":"https://github.com/citation-style-language/schema/raw/master/csl-citation.json"} </w:instrText>
      </w:r>
      <w:r w:rsidRPr="00197049">
        <w:rPr>
          <w:rFonts w:ascii="Arial" w:hAnsi="Arial" w:cs="Arial"/>
        </w:rPr>
        <w:fldChar w:fldCharType="separate"/>
      </w:r>
      <w:r w:rsidRPr="00197049">
        <w:rPr>
          <w:rFonts w:ascii="Arial" w:hAnsi="Arial" w:cs="Arial"/>
        </w:rPr>
        <w:t>Barillot et al. (2013)</w:t>
      </w:r>
      <w:r w:rsidRPr="00197049">
        <w:rPr>
          <w:rFonts w:ascii="Arial" w:hAnsi="Arial" w:cs="Arial"/>
        </w:rPr>
        <w:fldChar w:fldCharType="end"/>
      </w:r>
      <w:r w:rsidRPr="00197049">
        <w:rPr>
          <w:rFonts w:ascii="Arial" w:hAnsi="Arial" w:cs="Arial"/>
        </w:rPr>
        <w:t xml:space="preserve">. Plants were vigorously </w:t>
      </w:r>
      <w:proofErr w:type="spellStart"/>
      <w:r w:rsidRPr="00197049">
        <w:rPr>
          <w:rFonts w:ascii="Arial" w:hAnsi="Arial" w:cs="Arial"/>
        </w:rPr>
        <w:t>shaked</w:t>
      </w:r>
      <w:proofErr w:type="spellEnd"/>
      <w:r w:rsidRPr="00197049">
        <w:rPr>
          <w:rFonts w:ascii="Arial" w:hAnsi="Arial" w:cs="Arial"/>
        </w:rPr>
        <w:t xml:space="preserve"> by hand for 10 minutes, to separate non-adherent soil particles while preserving the root </w:t>
      </w:r>
      <w:proofErr w:type="spellStart"/>
      <w:proofErr w:type="gramStart"/>
      <w:r w:rsidRPr="00197049">
        <w:rPr>
          <w:rFonts w:ascii="Arial" w:hAnsi="Arial" w:cs="Arial"/>
        </w:rPr>
        <w:t>integrity.The</w:t>
      </w:r>
      <w:proofErr w:type="spellEnd"/>
      <w:proofErr w:type="gramEnd"/>
      <w:r w:rsidRPr="00197049">
        <w:rPr>
          <w:rFonts w:ascii="Arial" w:hAnsi="Arial" w:cs="Arial"/>
        </w:rPr>
        <w:t xml:space="preserve"> collected bulk soil then stored at 4 °C.</w:t>
      </w:r>
    </w:p>
    <w:p w14:paraId="76BD40D2" w14:textId="77777777" w:rsidR="00FE41CF" w:rsidRPr="00197049" w:rsidRDefault="00FE41CF" w:rsidP="00FE41CF">
      <w:pPr>
        <w:jc w:val="both"/>
        <w:rPr>
          <w:rFonts w:ascii="Arial" w:hAnsi="Arial" w:cs="Arial"/>
          <w:b/>
          <w:bCs/>
        </w:rPr>
      </w:pPr>
      <w:r w:rsidRPr="00197049">
        <w:rPr>
          <w:rFonts w:ascii="Arial" w:hAnsi="Arial" w:cs="Arial"/>
        </w:rPr>
        <w:t>Composite samples were prepared by mixing samples from each field, resulting in a total of 21 samples for bacteria isolation. Ten grams (10 g) of rhizosphere soil were transferred into a 200 ml bottle containing 90 ml of a phosphate-peptone buffer composed of (per liter): 1.0 g of peptone; 1.21 g of K</w:t>
      </w:r>
      <w:r w:rsidRPr="00197049">
        <w:rPr>
          <w:rFonts w:ascii="Cambria Math" w:hAnsi="Cambria Math" w:cs="Cambria Math"/>
        </w:rPr>
        <w:t>₂</w:t>
      </w:r>
      <w:r w:rsidRPr="00197049">
        <w:rPr>
          <w:rFonts w:ascii="Arial" w:hAnsi="Arial" w:cs="Arial"/>
        </w:rPr>
        <w:t>HPO</w:t>
      </w:r>
      <w:r w:rsidRPr="00197049">
        <w:rPr>
          <w:rFonts w:ascii="Cambria Math" w:hAnsi="Cambria Math" w:cs="Cambria Math"/>
        </w:rPr>
        <w:t>₄</w:t>
      </w:r>
      <w:r w:rsidRPr="00197049">
        <w:rPr>
          <w:rFonts w:ascii="Arial" w:hAnsi="Arial" w:cs="Arial"/>
        </w:rPr>
        <w:t>; 0.34 g of KH</w:t>
      </w:r>
      <w:r w:rsidRPr="00197049">
        <w:rPr>
          <w:rFonts w:ascii="Cambria Math" w:hAnsi="Cambria Math" w:cs="Cambria Math"/>
        </w:rPr>
        <w:t>₂</w:t>
      </w:r>
      <w:r w:rsidRPr="00197049">
        <w:rPr>
          <w:rFonts w:ascii="Arial" w:hAnsi="Arial" w:cs="Arial"/>
        </w:rPr>
        <w:t>PO</w:t>
      </w:r>
      <w:r w:rsidRPr="00197049">
        <w:rPr>
          <w:rFonts w:ascii="Cambria Math" w:hAnsi="Cambria Math" w:cs="Cambria Math"/>
        </w:rPr>
        <w:t>₄</w:t>
      </w:r>
      <w:r w:rsidRPr="00197049">
        <w:rPr>
          <w:rFonts w:ascii="Arial" w:hAnsi="Arial" w:cs="Arial"/>
        </w:rPr>
        <w:t xml:space="preserve"> (Merck (Sigma-Aldrich/</w:t>
      </w:r>
      <w:proofErr w:type="spellStart"/>
      <w:r w:rsidRPr="00197049">
        <w:rPr>
          <w:rFonts w:ascii="Arial" w:hAnsi="Arial" w:cs="Arial"/>
        </w:rPr>
        <w:t>MilliporeSigma</w:t>
      </w:r>
      <w:proofErr w:type="spellEnd"/>
      <w:r w:rsidRPr="00197049">
        <w:rPr>
          <w:rFonts w:ascii="Arial" w:hAnsi="Arial" w:cs="Arial"/>
        </w:rPr>
        <w:t xml:space="preserve">).  The suspension was stirred at 120 rpm for 30 minutes to obtain the stock solution. Serial dilutions were then performed and  100 </w:t>
      </w:r>
      <w:proofErr w:type="spellStart"/>
      <w:r w:rsidRPr="00197049">
        <w:rPr>
          <w:rFonts w:ascii="Arial" w:hAnsi="Arial" w:cs="Arial"/>
        </w:rPr>
        <w:t>μl</w:t>
      </w:r>
      <w:proofErr w:type="spellEnd"/>
      <w:r w:rsidRPr="00197049">
        <w:rPr>
          <w:rFonts w:ascii="Arial" w:hAnsi="Arial" w:cs="Arial"/>
        </w:rPr>
        <w:t xml:space="preserve"> of each dilution were plated on a Petri dishes containing Luria and Bertani (LB) isolation medium </w:t>
      </w:r>
      <w:r w:rsidRPr="00197049">
        <w:rPr>
          <w:rFonts w:ascii="Arial" w:hAnsi="Arial" w:cs="Arial"/>
        </w:rPr>
        <w:fldChar w:fldCharType="begin"/>
      </w:r>
      <w:r w:rsidRPr="00197049">
        <w:rPr>
          <w:rFonts w:ascii="Arial" w:hAnsi="Arial" w:cs="Arial"/>
        </w:rPr>
        <w:instrText xml:space="preserve"> ADDIN ZOTERO_ITEM CSL_CITATION {"citationID":"pLY8cn79","properties":{"formattedCitation":"(Lalande et al., 1989)","plainCitation":"(Lalande et al., 1989)","noteIndex":0},"citationItems":[{"id":111,"uris":["http://zotero.org/users/5678157/items/G57XYIUK"],"itemData":{"id":111,"type":"article-journal","container-title":"Plant and Soil","DOI":"10.1007/BF02220688","ISSN":"0032-079X, 1573-5036","issue":"1","journalAbbreviation":"Plant Soil","language":"en","license":"http://www.springer.com/tdm","page":"7-11","source":"DOI.org (Crossref)","title":"Identification of rhizobacteria from maize and determination of their plant-growth promoting potential","volume":"115","author":[{"family":"Lalande","given":"R."},{"family":"Bissonnette","given":"N."},{"family":"Coutlée","given":"D."},{"family":"Antoun","given":"H."}],"issued":{"date-parts":[["1989",3]]}}}],"schema":"https://github.com/citation-style-language/schema/raw/master/csl-citation.json"} </w:instrText>
      </w:r>
      <w:r w:rsidRPr="00197049">
        <w:rPr>
          <w:rFonts w:ascii="Arial" w:hAnsi="Arial" w:cs="Arial"/>
        </w:rPr>
        <w:fldChar w:fldCharType="separate"/>
      </w:r>
      <w:r w:rsidRPr="00197049">
        <w:rPr>
          <w:rFonts w:ascii="Arial" w:hAnsi="Arial" w:cs="Arial"/>
        </w:rPr>
        <w:t>(Lalande et al., 1989)</w:t>
      </w:r>
      <w:r w:rsidRPr="00197049">
        <w:rPr>
          <w:rFonts w:ascii="Arial" w:hAnsi="Arial" w:cs="Arial"/>
        </w:rPr>
        <w:fldChar w:fldCharType="end"/>
      </w:r>
      <w:r w:rsidRPr="00197049">
        <w:rPr>
          <w:rFonts w:ascii="Arial" w:hAnsi="Arial" w:cs="Arial"/>
        </w:rPr>
        <w:t xml:space="preserve">. </w:t>
      </w:r>
    </w:p>
    <w:p w14:paraId="556CAA41" w14:textId="77777777" w:rsidR="00FE41CF" w:rsidRPr="00197049" w:rsidRDefault="00FE41CF" w:rsidP="00FE41CF">
      <w:pPr>
        <w:jc w:val="both"/>
        <w:rPr>
          <w:rFonts w:ascii="Arial" w:hAnsi="Arial" w:cs="Arial"/>
        </w:rPr>
      </w:pPr>
      <w:r w:rsidRPr="00197049">
        <w:rPr>
          <w:rFonts w:ascii="Arial" w:hAnsi="Arial" w:cs="Arial"/>
        </w:rPr>
        <w:t>The plates were incubated at 30 °C for 24 hours. Under sterile conditions, the individual colonies were transferred onto fresh medium using a sterile Pasteur pipette. After several successive subcultures, pure rhizobacterial colonies were obtained.</w:t>
      </w:r>
    </w:p>
    <w:p w14:paraId="44CC6418" w14:textId="77777777" w:rsidR="00D46A68" w:rsidRPr="00D46A68" w:rsidRDefault="00D46A68" w:rsidP="00D46A68">
      <w:pPr>
        <w:rPr>
          <w:rFonts w:ascii="Arial" w:hAnsi="Arial" w:cs="Arial"/>
          <w:b/>
          <w:bCs/>
          <w:sz w:val="22"/>
          <w:szCs w:val="22"/>
        </w:rPr>
      </w:pPr>
      <w:r w:rsidRPr="00D46A68">
        <w:rPr>
          <w:rFonts w:ascii="Arial" w:hAnsi="Arial" w:cs="Arial"/>
          <w:b/>
          <w:bCs/>
          <w:sz w:val="22"/>
          <w:szCs w:val="22"/>
        </w:rPr>
        <w:t>2.3.</w:t>
      </w:r>
      <w:r w:rsidRPr="00D46A68">
        <w:rPr>
          <w:rFonts w:ascii="Arial" w:hAnsi="Arial" w:cs="Arial"/>
          <w:sz w:val="22"/>
          <w:szCs w:val="22"/>
        </w:rPr>
        <w:t xml:space="preserve"> </w:t>
      </w:r>
      <w:r w:rsidR="006F4732" w:rsidRPr="00D46A68">
        <w:rPr>
          <w:rFonts w:ascii="Arial" w:hAnsi="Arial" w:cs="Arial"/>
          <w:b/>
          <w:bCs/>
          <w:sz w:val="22"/>
          <w:szCs w:val="22"/>
        </w:rPr>
        <w:t>Evaluation of plant growth-promoting properties</w:t>
      </w:r>
    </w:p>
    <w:p w14:paraId="7028B672" w14:textId="77777777" w:rsidR="00D46A68" w:rsidRPr="006F4732" w:rsidRDefault="00D46A68" w:rsidP="00197049">
      <w:pPr>
        <w:rPr>
          <w:rFonts w:ascii="Arial" w:hAnsi="Arial" w:cs="Arial"/>
          <w:b/>
          <w:bCs/>
          <w:u w:val="single"/>
        </w:rPr>
      </w:pPr>
      <w:r w:rsidRPr="006F4732">
        <w:rPr>
          <w:rFonts w:ascii="Arial" w:hAnsi="Arial" w:cs="Arial"/>
          <w:b/>
          <w:bCs/>
          <w:u w:val="single"/>
        </w:rPr>
        <w:t>2.3.1. Nitrogen fixation</w:t>
      </w:r>
    </w:p>
    <w:p w14:paraId="64EC296D" w14:textId="77777777" w:rsidR="00D46A68" w:rsidRPr="00B47993" w:rsidRDefault="00D46A68" w:rsidP="00D46A68">
      <w:pPr>
        <w:jc w:val="both"/>
        <w:rPr>
          <w:rFonts w:ascii="Arial" w:hAnsi="Arial" w:cs="Arial"/>
        </w:rPr>
      </w:pPr>
      <w:r w:rsidRPr="00B47993">
        <w:rPr>
          <w:rFonts w:ascii="Arial" w:hAnsi="Arial" w:cs="Arial"/>
        </w:rPr>
        <w:t>Nitrogen fixation capacity was determined using Azote Free Medium (AFM) prepared with the following composition per liter of distilled water : 20 g sucrose, 0.1 g K</w:t>
      </w:r>
      <w:r w:rsidRPr="00B47993">
        <w:rPr>
          <w:rFonts w:ascii="Arial" w:hAnsi="Arial" w:cs="Arial"/>
          <w:vertAlign w:val="subscript"/>
        </w:rPr>
        <w:t>2</w:t>
      </w:r>
      <w:r w:rsidRPr="00B47993">
        <w:rPr>
          <w:rFonts w:ascii="Arial" w:hAnsi="Arial" w:cs="Arial"/>
        </w:rPr>
        <w:t>HPO</w:t>
      </w:r>
      <w:r w:rsidRPr="00B47993">
        <w:rPr>
          <w:rFonts w:ascii="Arial" w:hAnsi="Arial" w:cs="Arial"/>
          <w:vertAlign w:val="subscript"/>
        </w:rPr>
        <w:t>4</w:t>
      </w:r>
      <w:r w:rsidRPr="00B47993">
        <w:rPr>
          <w:rFonts w:ascii="Arial" w:hAnsi="Arial" w:cs="Arial"/>
        </w:rPr>
        <w:t>, 0.4 g KH</w:t>
      </w:r>
      <w:r w:rsidRPr="00B47993">
        <w:rPr>
          <w:rFonts w:ascii="Arial" w:hAnsi="Arial" w:cs="Arial"/>
          <w:vertAlign w:val="subscript"/>
        </w:rPr>
        <w:t>2</w:t>
      </w:r>
      <w:r w:rsidRPr="00B47993">
        <w:rPr>
          <w:rFonts w:ascii="Arial" w:hAnsi="Arial" w:cs="Arial"/>
        </w:rPr>
        <w:t>PO</w:t>
      </w:r>
      <w:r w:rsidRPr="00B47993">
        <w:rPr>
          <w:rFonts w:ascii="Arial" w:hAnsi="Arial" w:cs="Arial"/>
          <w:vertAlign w:val="subscript"/>
        </w:rPr>
        <w:t>4</w:t>
      </w:r>
      <w:r w:rsidRPr="00B47993">
        <w:rPr>
          <w:rFonts w:ascii="Arial" w:hAnsi="Arial" w:cs="Arial"/>
        </w:rPr>
        <w:t>, 0.2 g MgS0</w:t>
      </w:r>
      <w:r w:rsidRPr="00B47993">
        <w:rPr>
          <w:rFonts w:ascii="Arial" w:hAnsi="Arial" w:cs="Arial"/>
          <w:vertAlign w:val="subscript"/>
        </w:rPr>
        <w:t>4</w:t>
      </w:r>
      <w:r w:rsidRPr="00B47993">
        <w:rPr>
          <w:rFonts w:ascii="Arial" w:hAnsi="Arial" w:cs="Arial"/>
        </w:rPr>
        <w:t xml:space="preserve"> 7H</w:t>
      </w:r>
      <w:r w:rsidRPr="00B47993">
        <w:rPr>
          <w:rFonts w:ascii="Arial" w:hAnsi="Arial" w:cs="Arial"/>
          <w:vertAlign w:val="subscript"/>
        </w:rPr>
        <w:t>2</w:t>
      </w:r>
      <w:r w:rsidRPr="00B47993">
        <w:rPr>
          <w:rFonts w:ascii="Arial" w:hAnsi="Arial" w:cs="Arial"/>
        </w:rPr>
        <w:t>0, 0.1 g NaCl, 0.01 g FeCl</w:t>
      </w:r>
      <w:r w:rsidRPr="00B47993">
        <w:rPr>
          <w:rFonts w:ascii="Arial" w:hAnsi="Arial" w:cs="Arial"/>
          <w:vertAlign w:val="subscript"/>
        </w:rPr>
        <w:t>3</w:t>
      </w:r>
      <w:r w:rsidRPr="00B47993">
        <w:rPr>
          <w:rFonts w:ascii="Arial" w:hAnsi="Arial" w:cs="Arial"/>
        </w:rPr>
        <w:t>, and 0.002 g Na</w:t>
      </w:r>
      <w:r w:rsidRPr="00B47993">
        <w:rPr>
          <w:rFonts w:ascii="Arial" w:hAnsi="Arial" w:cs="Arial"/>
          <w:vertAlign w:val="subscript"/>
        </w:rPr>
        <w:t>2</w:t>
      </w:r>
      <w:r w:rsidRPr="00B47993">
        <w:rPr>
          <w:rFonts w:ascii="Arial" w:hAnsi="Arial" w:cs="Arial"/>
        </w:rPr>
        <w:t>Mo0</w:t>
      </w:r>
      <w:r w:rsidRPr="00B47993">
        <w:rPr>
          <w:rFonts w:ascii="Arial" w:hAnsi="Arial" w:cs="Arial"/>
          <w:vertAlign w:val="subscript"/>
        </w:rPr>
        <w:t>4</w:t>
      </w:r>
      <w:r w:rsidRPr="00B47993">
        <w:rPr>
          <w:rFonts w:ascii="Arial" w:hAnsi="Arial" w:cs="Arial"/>
        </w:rPr>
        <w:t xml:space="preserve"> per 1 L </w:t>
      </w:r>
      <w:r w:rsidRPr="00B47993">
        <w:rPr>
          <w:rFonts w:ascii="Arial" w:hAnsi="Arial" w:cs="Arial"/>
        </w:rPr>
        <w:fldChar w:fldCharType="begin"/>
      </w:r>
      <w:r w:rsidRPr="00B47993">
        <w:rPr>
          <w:rFonts w:ascii="Arial" w:hAnsi="Arial" w:cs="Arial"/>
        </w:rPr>
        <w:instrText xml:space="preserve"> ADDIN ZOTERO_ITEM CSL_CITATION {"citationID":"74an03C6","properties":{"formattedCitation":"(Giroux,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 The inoculated media were incubated at 30 °C for 7 days. After incubation, optical density at 600 nm (OD</w:t>
      </w:r>
      <w:r w:rsidRPr="00B47993">
        <w:rPr>
          <w:rFonts w:ascii="Cambria Math" w:hAnsi="Cambria Math" w:cs="Cambria Math"/>
        </w:rPr>
        <w:t>₆₀₀</w:t>
      </w:r>
      <w:r w:rsidRPr="00B47993">
        <w:rPr>
          <w:rFonts w:ascii="Arial" w:hAnsi="Arial" w:cs="Arial"/>
        </w:rPr>
        <w:t>) was measured using a spectrophotometer (EPOCH Bio Tek Instrument Inc Highland Park, made in the USA). Strains with OD</w:t>
      </w:r>
      <w:r w:rsidRPr="00B47993">
        <w:rPr>
          <w:rFonts w:ascii="Arial" w:hAnsi="Arial" w:cs="Arial"/>
          <w:vertAlign w:val="subscript"/>
        </w:rPr>
        <w:t>600</w:t>
      </w:r>
      <w:r w:rsidRPr="00B47993">
        <w:rPr>
          <w:rFonts w:ascii="Arial" w:hAnsi="Arial" w:cs="Arial"/>
        </w:rPr>
        <w:t xml:space="preserve"> greater than 0.050 were classified as </w:t>
      </w:r>
      <w:r w:rsidRPr="00B47993">
        <w:rPr>
          <w:rFonts w:ascii="Arial" w:hAnsi="Arial" w:cs="Arial"/>
        </w:rPr>
        <w:lastRenderedPageBreak/>
        <w:t xml:space="preserve">capable of nitrogen fixation </w:t>
      </w:r>
      <w:r w:rsidRPr="00B47993">
        <w:rPr>
          <w:rFonts w:ascii="Arial" w:hAnsi="Arial" w:cs="Arial"/>
        </w:rPr>
        <w:fldChar w:fldCharType="begin"/>
      </w:r>
      <w:r w:rsidRPr="00B47993">
        <w:rPr>
          <w:rFonts w:ascii="Arial" w:hAnsi="Arial" w:cs="Arial"/>
        </w:rPr>
        <w:instrText xml:space="preserve"> ADDIN ZOTERO_ITEM CSL_CITATION {"citationID":"2u7KO2j5","properties":{"formattedCitation":"(Giroux,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 Those with OD</w:t>
      </w:r>
      <w:r w:rsidRPr="00B47993">
        <w:rPr>
          <w:rFonts w:ascii="Cambria Math" w:hAnsi="Cambria Math" w:cs="Cambria Math"/>
        </w:rPr>
        <w:t>₆₀₀</w:t>
      </w:r>
      <w:r w:rsidRPr="00B47993">
        <w:rPr>
          <w:rFonts w:ascii="Arial" w:hAnsi="Arial" w:cs="Arial"/>
        </w:rPr>
        <w:t xml:space="preserve"> below 0.010 were considered non-fixers, whereas OD</w:t>
      </w:r>
      <w:r w:rsidRPr="00B47993">
        <w:rPr>
          <w:rFonts w:ascii="Cambria Math" w:hAnsi="Cambria Math" w:cs="Cambria Math"/>
        </w:rPr>
        <w:t>₆₀₀</w:t>
      </w:r>
      <w:r w:rsidRPr="00B47993">
        <w:rPr>
          <w:rFonts w:ascii="Arial" w:hAnsi="Arial" w:cs="Arial"/>
        </w:rPr>
        <w:t xml:space="preserve"> values between 0.010 and 0.050 indicated weak or moderate nitrogen fixation ability</w:t>
      </w:r>
      <w:r w:rsidRPr="00B47993" w:rsidDel="00717001">
        <w:rPr>
          <w:rFonts w:ascii="Arial" w:hAnsi="Arial" w:cs="Arial"/>
        </w:rPr>
        <w:t xml:space="preserve"> </w:t>
      </w:r>
      <w:r w:rsidRPr="00B47993">
        <w:rPr>
          <w:rFonts w:ascii="Arial" w:hAnsi="Arial" w:cs="Arial"/>
        </w:rPr>
        <w:fldChar w:fldCharType="begin"/>
      </w:r>
      <w:r w:rsidRPr="00B47993">
        <w:rPr>
          <w:rFonts w:ascii="Arial" w:hAnsi="Arial" w:cs="Arial"/>
        </w:rPr>
        <w:instrText xml:space="preserve"> ADDIN ZOTERO_ITEM CSL_CITATION {"citationID":"C8RggfSI","properties":{"formattedCitation":"(Giroux,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B47993">
        <w:rPr>
          <w:rFonts w:ascii="Arial" w:hAnsi="Arial" w:cs="Arial"/>
        </w:rPr>
        <w:fldChar w:fldCharType="separate"/>
      </w:r>
      <w:r w:rsidRPr="00B47993">
        <w:rPr>
          <w:rFonts w:ascii="Arial" w:hAnsi="Arial" w:cs="Arial"/>
        </w:rPr>
        <w:t>(Giroux, 2015)</w:t>
      </w:r>
      <w:r w:rsidRPr="00B47993">
        <w:rPr>
          <w:rFonts w:ascii="Arial" w:hAnsi="Arial" w:cs="Arial"/>
        </w:rPr>
        <w:fldChar w:fldCharType="end"/>
      </w:r>
      <w:r w:rsidRPr="00B47993">
        <w:rPr>
          <w:rFonts w:ascii="Arial" w:hAnsi="Arial" w:cs="Arial"/>
        </w:rPr>
        <w:t>.</w:t>
      </w:r>
    </w:p>
    <w:p w14:paraId="52FE17BC" w14:textId="77777777" w:rsidR="00D46A68" w:rsidRPr="00D46A68" w:rsidRDefault="006F4732" w:rsidP="006F4732">
      <w:pPr>
        <w:rPr>
          <w:rFonts w:ascii="Arial" w:hAnsi="Arial" w:cs="Arial"/>
          <w:b/>
          <w:bCs/>
          <w:u w:val="single"/>
        </w:rPr>
      </w:pPr>
      <w:r w:rsidRPr="00D46A68">
        <w:rPr>
          <w:rFonts w:ascii="Arial" w:hAnsi="Arial" w:cs="Arial"/>
          <w:b/>
          <w:bCs/>
          <w:u w:val="single"/>
        </w:rPr>
        <w:t xml:space="preserve">2.3.2. </w:t>
      </w:r>
      <w:bookmarkStart w:id="4" w:name="_Hlk202980525"/>
      <w:r w:rsidRPr="00D46A68">
        <w:rPr>
          <w:rFonts w:ascii="Arial" w:hAnsi="Arial" w:cs="Arial"/>
          <w:b/>
          <w:bCs/>
          <w:u w:val="single"/>
        </w:rPr>
        <w:t>Ammonia production</w:t>
      </w:r>
    </w:p>
    <w:p w14:paraId="78E158AA" w14:textId="77777777" w:rsidR="00D46A68" w:rsidRPr="00D46A68" w:rsidRDefault="00D46A68" w:rsidP="00D46A68">
      <w:pPr>
        <w:jc w:val="both"/>
        <w:rPr>
          <w:rFonts w:ascii="Arial" w:hAnsi="Arial" w:cs="Arial"/>
          <w:b/>
          <w:bCs/>
        </w:rPr>
      </w:pPr>
      <w:r w:rsidRPr="00D46A68">
        <w:rPr>
          <w:rFonts w:ascii="Arial" w:hAnsi="Arial" w:cs="Arial"/>
        </w:rPr>
        <w:t>The ability of bacterial isolates to produce ammonia (NH</w:t>
      </w:r>
      <w:r w:rsidRPr="00D46A68">
        <w:rPr>
          <w:rFonts w:ascii="Arial" w:hAnsi="Arial" w:cs="Arial"/>
          <w:vertAlign w:val="subscript"/>
        </w:rPr>
        <w:t>3</w:t>
      </w:r>
      <w:r w:rsidRPr="00D46A68">
        <w:rPr>
          <w:rFonts w:ascii="Arial" w:hAnsi="Arial" w:cs="Arial"/>
        </w:rPr>
        <w:t>) was assessed by inoculating 5 ml of peptone water (peptone 10 g/l; NaCl 5 g/l) (Merck (Sigma-Aldrich/</w:t>
      </w:r>
      <w:proofErr w:type="spellStart"/>
      <w:r w:rsidRPr="00D46A68">
        <w:rPr>
          <w:rFonts w:ascii="Arial" w:hAnsi="Arial" w:cs="Arial"/>
        </w:rPr>
        <w:t>MilliporeSigma</w:t>
      </w:r>
      <w:proofErr w:type="spellEnd"/>
      <w:r w:rsidRPr="00D46A68">
        <w:rPr>
          <w:rFonts w:ascii="Arial" w:hAnsi="Arial" w:cs="Arial"/>
        </w:rPr>
        <w:t xml:space="preserve">) with 100 </w:t>
      </w:r>
      <w:proofErr w:type="spellStart"/>
      <w:r w:rsidRPr="00D46A68">
        <w:rPr>
          <w:rFonts w:ascii="Arial" w:hAnsi="Arial" w:cs="Arial"/>
        </w:rPr>
        <w:t>μl</w:t>
      </w:r>
      <w:proofErr w:type="spellEnd"/>
      <w:r w:rsidRPr="00D46A68">
        <w:rPr>
          <w:rFonts w:ascii="Arial" w:hAnsi="Arial" w:cs="Arial"/>
        </w:rPr>
        <w:t xml:space="preserve"> of each bacterial inoculum. Peptone water without inoculation served as a control. After incubation at 30 °C for 48 hours, 0.5 ml of Nessler's reagent was added to each tube. A color change from yellow to brown indicates NH</w:t>
      </w:r>
      <w:r w:rsidRPr="00D46A68">
        <w:rPr>
          <w:rFonts w:ascii="Arial" w:hAnsi="Arial" w:cs="Arial"/>
          <w:vertAlign w:val="subscript"/>
        </w:rPr>
        <w:t xml:space="preserve">3 </w:t>
      </w:r>
      <w:r w:rsidRPr="00D46A68">
        <w:rPr>
          <w:rFonts w:ascii="Arial" w:hAnsi="Arial" w:cs="Arial"/>
        </w:rPr>
        <w:t xml:space="preserve">production </w:t>
      </w:r>
      <w:r w:rsidRPr="00D46A68">
        <w:rPr>
          <w:rFonts w:ascii="Arial" w:hAnsi="Arial" w:cs="Arial"/>
        </w:rPr>
        <w:fldChar w:fldCharType="begin"/>
      </w:r>
      <w:r w:rsidRPr="00D46A68">
        <w:rPr>
          <w:rFonts w:ascii="Arial" w:hAnsi="Arial" w:cs="Arial"/>
        </w:rPr>
        <w:instrText xml:space="preserve"> ADDIN ZOTERO_ITEM CSL_CITATION {"citationID":"nJOXITp7","properties":{"formattedCitation":"(Cappuccino and Sherman, 1992)","plainCitation":"(Cappuccino and Sherman, 1992)","noteIndex":0},"citationItems":[{"id":388,"uris":["http://zotero.org/users/5678157/items/PHS9Y3DG"],"itemData":{"id":388,"type":"webpage","title":"Microbiology: a laboratory manual - Google Scholar","URL":"https://scholar.google.com/scholar_lookup?title=Microbiology%3A%20A%20Laboratory%20Manual&amp;publication_year=1992&amp;author=J.C.%20Cappuccino&amp;author=N.%20Sherman","author":[{"family":"Cappuccino","given":"J. C"},{"family":"Sherman","given":"N."}],"accessed":{"date-parts":[["2025",10,29]]},"issued":{"date-parts":[["1992"]]}}}],"schema":"https://github.com/citation-style-language/schema/raw/master/csl-citation.json"} </w:instrText>
      </w:r>
      <w:r w:rsidRPr="00D46A68">
        <w:rPr>
          <w:rFonts w:ascii="Arial" w:hAnsi="Arial" w:cs="Arial"/>
        </w:rPr>
        <w:fldChar w:fldCharType="separate"/>
      </w:r>
      <w:r w:rsidRPr="00D46A68">
        <w:rPr>
          <w:rFonts w:ascii="Arial" w:hAnsi="Arial" w:cs="Arial"/>
        </w:rPr>
        <w:t>(Cappuccino and Sherman, 1992)</w:t>
      </w:r>
      <w:r w:rsidRPr="00D46A68">
        <w:rPr>
          <w:rFonts w:ascii="Arial" w:hAnsi="Arial" w:cs="Arial"/>
        </w:rPr>
        <w:fldChar w:fldCharType="end"/>
      </w:r>
      <w:r w:rsidRPr="00D46A68">
        <w:rPr>
          <w:rFonts w:ascii="Arial" w:hAnsi="Arial" w:cs="Arial"/>
          <w:b/>
          <w:bCs/>
        </w:rPr>
        <w:t>.</w:t>
      </w:r>
    </w:p>
    <w:p w14:paraId="78137BFF" w14:textId="77777777" w:rsidR="00D46A68" w:rsidRPr="00D46A68" w:rsidRDefault="006F4732" w:rsidP="006F4732">
      <w:pPr>
        <w:rPr>
          <w:rFonts w:ascii="Arial" w:hAnsi="Arial" w:cs="Arial"/>
          <w:b/>
          <w:bCs/>
          <w:u w:val="single"/>
        </w:rPr>
      </w:pPr>
      <w:r w:rsidRPr="00D46A68">
        <w:rPr>
          <w:rFonts w:ascii="Arial" w:hAnsi="Arial" w:cs="Arial"/>
          <w:b/>
          <w:bCs/>
          <w:u w:val="single"/>
        </w:rPr>
        <w:t>2.3.3. Indole acetic acid production</w:t>
      </w:r>
    </w:p>
    <w:p w14:paraId="1E88EAC9" w14:textId="77777777" w:rsidR="00D46A68" w:rsidRPr="00D46A68" w:rsidRDefault="00D46A68" w:rsidP="00D46A68">
      <w:pPr>
        <w:jc w:val="both"/>
        <w:rPr>
          <w:rFonts w:ascii="Arial" w:hAnsi="Arial" w:cs="Arial"/>
        </w:rPr>
      </w:pPr>
      <w:r w:rsidRPr="00D46A68">
        <w:rPr>
          <w:rFonts w:ascii="Arial" w:hAnsi="Arial" w:cs="Arial"/>
        </w:rPr>
        <w:t xml:space="preserve">Indole acetic acid (IAA) production was evaluated using tryptophan broth </w:t>
      </w:r>
      <w:r w:rsidRPr="00D46A68">
        <w:rPr>
          <w:rFonts w:ascii="Arial" w:hAnsi="Arial" w:cs="Arial"/>
        </w:rPr>
        <w:fldChar w:fldCharType="begin"/>
      </w:r>
      <w:r w:rsidRPr="00D46A68">
        <w:rPr>
          <w:rFonts w:ascii="Arial" w:hAnsi="Arial" w:cs="Arial"/>
        </w:rPr>
        <w:instrText xml:space="preserve"> ADDIN ZOTERO_ITEM CSL_CITATION {"citationID":"OdCjPiFH","properties":{"formattedCitation":"(Giroux,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D46A68">
        <w:rPr>
          <w:rFonts w:ascii="Arial" w:hAnsi="Arial" w:cs="Arial"/>
        </w:rPr>
        <w:fldChar w:fldCharType="separate"/>
      </w:r>
      <w:r w:rsidRPr="00D46A68">
        <w:rPr>
          <w:rFonts w:ascii="Arial" w:hAnsi="Arial" w:cs="Arial"/>
        </w:rPr>
        <w:t>(Giroux, 2015)</w:t>
      </w:r>
      <w:r w:rsidRPr="00D46A68">
        <w:rPr>
          <w:rFonts w:ascii="Arial" w:hAnsi="Arial" w:cs="Arial"/>
        </w:rPr>
        <w:fldChar w:fldCharType="end"/>
      </w:r>
      <w:r w:rsidRPr="00D46A68">
        <w:rPr>
          <w:rFonts w:ascii="Arial" w:hAnsi="Arial" w:cs="Arial"/>
        </w:rPr>
        <w:t xml:space="preserve">. Briefly, 100 µl of each fresh bacterial culture were inoculated into 10 ml of tryptophan broth liquid and incubated at 30 °C for 3 days </w:t>
      </w:r>
      <w:r w:rsidRPr="00D46A68">
        <w:rPr>
          <w:rFonts w:ascii="Arial" w:hAnsi="Arial" w:cs="Arial"/>
        </w:rPr>
        <w:fldChar w:fldCharType="begin"/>
      </w:r>
      <w:r w:rsidRPr="00D46A68">
        <w:rPr>
          <w:rFonts w:ascii="Arial" w:hAnsi="Arial" w:cs="Arial"/>
        </w:rPr>
        <w:instrText xml:space="preserve"> ADDIN ZOTERO_ITEM CSL_CITATION {"citationID":"BFGlX9ND","properties":{"formattedCitation":"(Giroux, 2015)","plainCitation":"(Giroux, 2015)","noteIndex":0},"citationItems":[{"id":85,"uris":["http://zotero.org/users/5678157/items/VXGNE9JM"],"itemData":{"id":85,"type":"thesis","event-place":"TROIS-RIVIÈRES","genre":"thèse","publisher":"UNIVERSITÉ DU QUÉBEC","publisher-place":"TROIS-RIVIÈRES","title":"CARACTÉRISATION DE RHIZOBACTÉRIES DU GROUPE DES BACILLUS BÉNÉFIQUES À LA CROISSANCE DE LA TOMATE","author":[{"family":"Giroux","given":"Lauriane"}],"issued":{"date-parts":[["2015"]]}}}],"schema":"https://github.com/citation-style-language/schema/raw/master/csl-citation.json"} </w:instrText>
      </w:r>
      <w:r w:rsidRPr="00D46A68">
        <w:rPr>
          <w:rFonts w:ascii="Arial" w:hAnsi="Arial" w:cs="Arial"/>
        </w:rPr>
        <w:fldChar w:fldCharType="separate"/>
      </w:r>
      <w:r w:rsidRPr="00D46A68">
        <w:rPr>
          <w:rFonts w:ascii="Arial" w:hAnsi="Arial" w:cs="Arial"/>
        </w:rPr>
        <w:t>(Giroux, 2015)</w:t>
      </w:r>
      <w:r w:rsidRPr="00D46A68">
        <w:rPr>
          <w:rFonts w:ascii="Arial" w:hAnsi="Arial" w:cs="Arial"/>
        </w:rPr>
        <w:fldChar w:fldCharType="end"/>
      </w:r>
      <w:r w:rsidRPr="00D46A68">
        <w:rPr>
          <w:rFonts w:ascii="Arial" w:hAnsi="Arial" w:cs="Arial"/>
        </w:rPr>
        <w:t>. Non-inoculated broth served as the control. After incubation, 5 ml of each culture were centrifuged at 13,000 rpm for 10 minutes, and 1 ml of the supernatant was mixed with 2 ml of Salkowski's reagent (50 ml of sulfuric acid and 1 ml of FeCl</w:t>
      </w:r>
      <w:r w:rsidRPr="00D46A68">
        <w:rPr>
          <w:rFonts w:ascii="Arial" w:hAnsi="Arial" w:cs="Arial"/>
          <w:vertAlign w:val="subscript"/>
        </w:rPr>
        <w:t>3</w:t>
      </w:r>
      <w:r w:rsidRPr="00D46A68">
        <w:rPr>
          <w:rFonts w:ascii="Arial" w:hAnsi="Arial" w:cs="Arial"/>
        </w:rPr>
        <w:t xml:space="preserve"> 35% 0.5 M). The mixtures were kept in the dark at room temperature for 15 minutes. The appearance of a pink-red color indicated the IAA production.</w:t>
      </w:r>
    </w:p>
    <w:p w14:paraId="05A3F252" w14:textId="77777777" w:rsidR="00D46A68" w:rsidRPr="00D46A68" w:rsidRDefault="006F4732" w:rsidP="006F4732">
      <w:pPr>
        <w:rPr>
          <w:rFonts w:ascii="Arial" w:hAnsi="Arial" w:cs="Arial"/>
          <w:b/>
          <w:bCs/>
          <w:u w:val="single"/>
        </w:rPr>
      </w:pPr>
      <w:r w:rsidRPr="00D46A68">
        <w:rPr>
          <w:rFonts w:ascii="Arial" w:hAnsi="Arial" w:cs="Arial"/>
          <w:b/>
          <w:bCs/>
          <w:u w:val="single"/>
        </w:rPr>
        <w:t xml:space="preserve">2.3.4. </w:t>
      </w:r>
      <w:bookmarkEnd w:id="4"/>
      <w:r w:rsidRPr="00D46A68">
        <w:rPr>
          <w:rFonts w:ascii="Arial" w:hAnsi="Arial" w:cs="Arial"/>
          <w:b/>
          <w:bCs/>
          <w:u w:val="single"/>
        </w:rPr>
        <w:t>Phosphate solubilization</w:t>
      </w:r>
    </w:p>
    <w:p w14:paraId="7D93EA55" w14:textId="77777777" w:rsidR="00D46A68" w:rsidRPr="006F4732" w:rsidRDefault="00D46A68" w:rsidP="00D46A68">
      <w:pPr>
        <w:jc w:val="both"/>
        <w:rPr>
          <w:rFonts w:ascii="Arial" w:hAnsi="Arial" w:cs="Arial"/>
          <w:b/>
          <w:bCs/>
        </w:rPr>
      </w:pPr>
      <w:r w:rsidRPr="006F4732">
        <w:rPr>
          <w:rFonts w:ascii="Arial" w:hAnsi="Arial" w:cs="Arial"/>
        </w:rPr>
        <w:t xml:space="preserve">Phosphate solubilization was assessed using </w:t>
      </w:r>
      <w:proofErr w:type="spellStart"/>
      <w:r w:rsidRPr="006F4732">
        <w:rPr>
          <w:rFonts w:ascii="Arial" w:hAnsi="Arial" w:cs="Arial"/>
        </w:rPr>
        <w:t>Pikovskaya</w:t>
      </w:r>
      <w:proofErr w:type="spellEnd"/>
      <w:r w:rsidRPr="006F4732">
        <w:rPr>
          <w:rFonts w:ascii="Arial" w:hAnsi="Arial" w:cs="Arial"/>
        </w:rPr>
        <w:t xml:space="preserve"> (PVK) agar supplemented with tricalcium phosphate [Ca</w:t>
      </w:r>
      <w:r w:rsidRPr="006F4732">
        <w:rPr>
          <w:rFonts w:ascii="Arial" w:hAnsi="Arial" w:cs="Arial"/>
          <w:vertAlign w:val="subscript"/>
        </w:rPr>
        <w:t>3</w:t>
      </w:r>
      <w:r w:rsidRPr="006F4732">
        <w:rPr>
          <w:rFonts w:ascii="Arial" w:hAnsi="Arial" w:cs="Arial"/>
        </w:rPr>
        <w:t>(PO</w:t>
      </w:r>
      <w:r w:rsidRPr="006F4732">
        <w:rPr>
          <w:rFonts w:ascii="Arial" w:hAnsi="Arial" w:cs="Arial"/>
          <w:vertAlign w:val="subscript"/>
        </w:rPr>
        <w:t>4</w:t>
      </w:r>
      <w:r w:rsidRPr="006F4732">
        <w:rPr>
          <w:rFonts w:ascii="Arial" w:hAnsi="Arial" w:cs="Arial"/>
        </w:rPr>
        <w:t>)</w:t>
      </w:r>
      <w:r w:rsidRPr="006F4732">
        <w:rPr>
          <w:rFonts w:ascii="Arial" w:hAnsi="Arial" w:cs="Arial"/>
          <w:vertAlign w:val="subscript"/>
        </w:rPr>
        <w:t>2</w:t>
      </w:r>
      <w:r w:rsidRPr="006F4732">
        <w:rPr>
          <w:rFonts w:ascii="Arial" w:hAnsi="Arial" w:cs="Arial"/>
        </w:rPr>
        <w:t xml:space="preserve">] as the sole source of phosphate </w:t>
      </w:r>
      <w:r w:rsidRPr="006F4732">
        <w:rPr>
          <w:rFonts w:ascii="Arial" w:hAnsi="Arial" w:cs="Arial"/>
        </w:rPr>
        <w:fldChar w:fldCharType="begin"/>
      </w:r>
      <w:r w:rsidRPr="006F4732">
        <w:rPr>
          <w:rFonts w:ascii="Arial" w:hAnsi="Arial" w:cs="Arial"/>
        </w:rPr>
        <w:instrText xml:space="preserve"> ADDIN ZOTERO_ITEM CSL_CITATION {"citationID":"eBY02BU4","properties":{"formattedCitation":"(Deshwal and Kumar, 2013)","plainCitation":"(Deshwal and Kumar, 2013)","noteIndex":0},"citationItems":[{"id":194,"uris":["http://zotero.org/users/5678157/items/YI882ID8"],"itemData":{"id":194,"type":"article-journal","container-title":"J Acad Ind Res","issue":"4","page":"221–225","source":"Google Scholar","title":"Production of plant growth promoting substance by Pseudomonads","volume":"2","author":[{"family":"Deshwal","given":"Vishal Kumar"},{"family":"Kumar","given":"Punkaj"}],"issued":{"date-parts":[["2013"]]}}}],"schema":"https://github.com/citation-style-language/schema/raw/master/csl-citation.json"} </w:instrText>
      </w:r>
      <w:r w:rsidRPr="006F4732">
        <w:rPr>
          <w:rFonts w:ascii="Arial" w:hAnsi="Arial" w:cs="Arial"/>
        </w:rPr>
        <w:fldChar w:fldCharType="separate"/>
      </w:r>
      <w:r w:rsidRPr="006F4732">
        <w:rPr>
          <w:rFonts w:ascii="Arial" w:hAnsi="Arial" w:cs="Arial"/>
        </w:rPr>
        <w:t>(Deshwal and Kumar, 2013)</w:t>
      </w:r>
      <w:r w:rsidRPr="006F4732">
        <w:rPr>
          <w:rFonts w:ascii="Arial" w:hAnsi="Arial" w:cs="Arial"/>
        </w:rPr>
        <w:fldChar w:fldCharType="end"/>
      </w:r>
      <w:r w:rsidRPr="006F4732">
        <w:rPr>
          <w:rFonts w:ascii="Arial" w:hAnsi="Arial" w:cs="Arial"/>
        </w:rPr>
        <w:t xml:space="preserve">. A 5 </w:t>
      </w:r>
      <w:proofErr w:type="spellStart"/>
      <w:r w:rsidRPr="006F4732">
        <w:rPr>
          <w:rFonts w:ascii="Arial" w:hAnsi="Arial" w:cs="Arial"/>
        </w:rPr>
        <w:t>μl</w:t>
      </w:r>
      <w:proofErr w:type="spellEnd"/>
      <w:r w:rsidRPr="006F4732">
        <w:rPr>
          <w:rFonts w:ascii="Arial" w:hAnsi="Arial" w:cs="Arial"/>
        </w:rPr>
        <w:t xml:space="preserve"> aliquot of each bacterial culture was spotted on the </w:t>
      </w:r>
      <w:proofErr w:type="spellStart"/>
      <w:r w:rsidRPr="006F4732">
        <w:rPr>
          <w:rFonts w:ascii="Arial" w:hAnsi="Arial" w:cs="Arial"/>
        </w:rPr>
        <w:t>Pikovskaya</w:t>
      </w:r>
      <w:proofErr w:type="spellEnd"/>
      <w:r w:rsidRPr="006F4732">
        <w:rPr>
          <w:rFonts w:ascii="Arial" w:hAnsi="Arial" w:cs="Arial"/>
        </w:rPr>
        <w:t xml:space="preserve"> (PVK) agar surface </w:t>
      </w:r>
      <w:r w:rsidRPr="006F4732">
        <w:rPr>
          <w:rFonts w:ascii="Arial" w:hAnsi="Arial" w:cs="Arial"/>
        </w:rPr>
        <w:fldChar w:fldCharType="begin"/>
      </w:r>
      <w:r w:rsidRPr="006F4732">
        <w:rPr>
          <w:rFonts w:ascii="Arial" w:hAnsi="Arial" w:cs="Arial"/>
        </w:rPr>
        <w:instrText xml:space="preserve"> ADDIN ZOTERO_ITEM CSL_CITATION {"citationID":"cmnW8T3s","properties":{"formattedCitation":"(Deshwal and Kumar, 2013)","plainCitation":"(Deshwal and Kumar, 2013)","noteIndex":0},"citationItems":[{"id":194,"uris":["http://zotero.org/users/5678157/items/YI882ID8"],"itemData":{"id":194,"type":"article-journal","container-title":"J Acad Ind Res","issue":"4","page":"221–225","source":"Google Scholar","title":"Production of plant growth promoting substance by Pseudomonads","volume":"2","author":[{"family":"Deshwal","given":"Vishal Kumar"},{"family":"Kumar","given":"Punkaj"}],"issued":{"date-parts":[["2013"]]}}}],"schema":"https://github.com/citation-style-language/schema/raw/master/csl-citation.json"} </w:instrText>
      </w:r>
      <w:r w:rsidRPr="006F4732">
        <w:rPr>
          <w:rFonts w:ascii="Arial" w:hAnsi="Arial" w:cs="Arial"/>
        </w:rPr>
        <w:fldChar w:fldCharType="separate"/>
      </w:r>
      <w:r w:rsidRPr="006F4732">
        <w:rPr>
          <w:rFonts w:ascii="Arial" w:hAnsi="Arial" w:cs="Arial"/>
        </w:rPr>
        <w:t>(Deshwal and Kumar, 2013)</w:t>
      </w:r>
      <w:r w:rsidRPr="006F4732">
        <w:rPr>
          <w:rFonts w:ascii="Arial" w:hAnsi="Arial" w:cs="Arial"/>
        </w:rPr>
        <w:fldChar w:fldCharType="end"/>
      </w:r>
      <w:r w:rsidRPr="006F4732">
        <w:rPr>
          <w:rFonts w:ascii="Arial" w:hAnsi="Arial" w:cs="Arial"/>
        </w:rPr>
        <w:t>, and incubated at 30 °C for 5 days. The formation of a clear halo surrounding</w:t>
      </w:r>
      <w:r w:rsidRPr="006F4732" w:rsidDel="00515186">
        <w:rPr>
          <w:rFonts w:ascii="Arial" w:hAnsi="Arial" w:cs="Arial"/>
        </w:rPr>
        <w:t xml:space="preserve"> </w:t>
      </w:r>
      <w:r w:rsidRPr="006F4732">
        <w:rPr>
          <w:rFonts w:ascii="Arial" w:hAnsi="Arial" w:cs="Arial"/>
        </w:rPr>
        <w:t xml:space="preserve">the colonies indicated phosphate solubilization. This phosphate solubilization capacity was analyzed by measuring the diameter of the halo according to the method proposed by </w:t>
      </w:r>
      <w:r w:rsidRPr="006F4732">
        <w:rPr>
          <w:rFonts w:ascii="Arial" w:hAnsi="Arial" w:cs="Arial"/>
        </w:rPr>
        <w:fldChar w:fldCharType="begin"/>
      </w:r>
      <w:r w:rsidRPr="006F4732">
        <w:rPr>
          <w:rFonts w:ascii="Arial" w:hAnsi="Arial" w:cs="Arial"/>
        </w:rPr>
        <w:instrText xml:space="preserve"> ADDIN ZOTERO_ITEM CSL_CITATION {"citationID":"fAy39KGs","properties":{"formattedCitation":"(Ambrosini and Passaglia, 2017)","plainCitation":"(Ambrosini and Passaglia, 2017)","dontUpdate":true,"noteIndex":0},"citationItems":[{"id":405,"uris":["http://zotero.org/users/5678157/items/HG9EFTRV"],"itemData":{"id":405,"type":"article-journal","abstract":"Abstract\n            Plant roots are associated with numerous and diverse types of beneficial and pathogenic microorganisms. Plant growth–promoting (rhizo)bacteria (PGPB or PGPR) are isolated from plants crops worldwide, and many of them are used as agricultural inoculants. Agricultural biofertilization and biocontrol of pathogens are eco</w:instrText>
      </w:r>
      <w:r w:rsidRPr="006F4732">
        <w:rPr>
          <w:rFonts w:ascii="Cambria Math" w:hAnsi="Cambria Math" w:cs="Cambria Math"/>
        </w:rPr>
        <w:instrText>‐</w:instrText>
      </w:r>
      <w:r w:rsidRPr="006F4732">
        <w:rPr>
          <w:rFonts w:ascii="Arial" w:hAnsi="Arial" w:cs="Arial"/>
        </w:rPr>
        <w:instrText>friendly alternatives to chemical usage and have less energy, environmental, and economic costs. PGPB isolation and evaluation are essentials steps for determining bacteria that are able to improve plant development and productivity. In this unit, we present protocols to isolate bacteria from soil and plant roots (“putative” diazotrophic and endospore</w:instrText>
      </w:r>
      <w:r w:rsidRPr="006F4732">
        <w:rPr>
          <w:rFonts w:ascii="Cambria Math" w:hAnsi="Cambria Math" w:cs="Cambria Math"/>
        </w:rPr>
        <w:instrText>‐</w:instrText>
      </w:r>
      <w:r w:rsidRPr="006F4732">
        <w:rPr>
          <w:rFonts w:ascii="Arial" w:hAnsi="Arial" w:cs="Arial"/>
        </w:rPr>
        <w:instrText>forming bacteria), as well to evaluate some of their beneficial characteristics for the promotion of plant growth (e.g., nitrogen fixation, production of indolic compounds and siderophores, phosphate solubilization, and 1</w:instrText>
      </w:r>
      <w:r w:rsidRPr="006F4732">
        <w:rPr>
          <w:rFonts w:ascii="Cambria Math" w:hAnsi="Cambria Math" w:cs="Cambria Math"/>
        </w:rPr>
        <w:instrText>‐</w:instrText>
      </w:r>
      <w:r w:rsidRPr="006F4732">
        <w:rPr>
          <w:rFonts w:ascii="Arial" w:hAnsi="Arial" w:cs="Arial"/>
        </w:rPr>
        <w:instrText>aminocyclopropane</w:instrText>
      </w:r>
      <w:r w:rsidRPr="006F4732">
        <w:rPr>
          <w:rFonts w:ascii="Cambria Math" w:hAnsi="Cambria Math" w:cs="Cambria Math"/>
        </w:rPr>
        <w:instrText>‐</w:instrText>
      </w:r>
      <w:r w:rsidRPr="006F4732">
        <w:rPr>
          <w:rFonts w:ascii="Arial" w:hAnsi="Arial" w:cs="Arial"/>
        </w:rPr>
        <w:instrText>1</w:instrText>
      </w:r>
      <w:r w:rsidRPr="006F4732">
        <w:rPr>
          <w:rFonts w:ascii="Cambria Math" w:hAnsi="Cambria Math" w:cs="Cambria Math"/>
        </w:rPr>
        <w:instrText>‐</w:instrText>
      </w:r>
      <w:r w:rsidRPr="006F4732">
        <w:rPr>
          <w:rFonts w:ascii="Arial" w:hAnsi="Arial" w:cs="Arial"/>
        </w:rPr>
        <w:instrText xml:space="preserve">carboxylate deaminase activity). © 2017 by John Wiley &amp; Sons, Inc.","container-title":"Current Protocols in Plant Biology","DOI":"10.1002/pb.20054","ISSN":"2379-8068, 2379-8068","issue":"3","journalAbbreviation":"CP Plant Biology","language":"en","license":"http://onlinelibrary.wiley.com/termsAndConditions#vor","page":"190-209","source":"DOI.org (Crossref)","title":"Plant Growth–Promoting Bacteria (PGPB): Isolation and Screening of PGP Activities","title-short":"Plant Growth–Promoting Bacteria (PGPB)","volume":"2","author":[{"family":"Ambrosini","given":"Adriana"},{"family":"Passaglia","given":"Luciane M. P."}],"issued":{"date-parts":[["2017",9]]}}}],"schema":"https://github.com/citation-style-language/schema/raw/master/csl-citation.json"} </w:instrText>
      </w:r>
      <w:r w:rsidRPr="006F4732">
        <w:rPr>
          <w:rFonts w:ascii="Arial" w:hAnsi="Arial" w:cs="Arial"/>
        </w:rPr>
        <w:fldChar w:fldCharType="separate"/>
      </w:r>
      <w:r w:rsidRPr="006F4732">
        <w:rPr>
          <w:rFonts w:ascii="Arial" w:hAnsi="Arial" w:cs="Arial"/>
        </w:rPr>
        <w:t>Ambrosini and Passaglia (2017)</w:t>
      </w:r>
      <w:r w:rsidRPr="006F4732">
        <w:rPr>
          <w:rFonts w:ascii="Arial" w:hAnsi="Arial" w:cs="Arial"/>
        </w:rPr>
        <w:fldChar w:fldCharType="end"/>
      </w:r>
      <w:r w:rsidRPr="006F4732">
        <w:rPr>
          <w:rFonts w:ascii="Arial" w:hAnsi="Arial" w:cs="Arial"/>
        </w:rPr>
        <w:t>.</w:t>
      </w:r>
    </w:p>
    <w:p w14:paraId="2E91C813" w14:textId="77777777" w:rsidR="00D46A68" w:rsidRPr="00D46A68" w:rsidRDefault="006F4732" w:rsidP="006F4732">
      <w:pPr>
        <w:rPr>
          <w:rFonts w:ascii="Arial" w:hAnsi="Arial" w:cs="Arial"/>
          <w:b/>
          <w:bCs/>
          <w:u w:val="single"/>
        </w:rPr>
      </w:pPr>
      <w:r w:rsidRPr="00D46A68">
        <w:rPr>
          <w:rFonts w:ascii="Arial" w:hAnsi="Arial" w:cs="Arial"/>
          <w:b/>
          <w:bCs/>
          <w:u w:val="single"/>
        </w:rPr>
        <w:t>2.3.5. Hydrogen cyanide production</w:t>
      </w:r>
    </w:p>
    <w:p w14:paraId="29B54ADC" w14:textId="77777777" w:rsidR="00D46A68" w:rsidRPr="00D46A68" w:rsidRDefault="00D46A68" w:rsidP="00D46A68">
      <w:pPr>
        <w:jc w:val="both"/>
        <w:rPr>
          <w:rFonts w:ascii="Arial" w:hAnsi="Arial" w:cs="Arial"/>
          <w:color w:val="1F1F1F"/>
        </w:rPr>
      </w:pPr>
      <w:r w:rsidRPr="00D46A68">
        <w:rPr>
          <w:rFonts w:ascii="Arial" w:hAnsi="Arial" w:cs="Arial"/>
        </w:rPr>
        <w:t xml:space="preserve">Hydrogen cyanide (HCN) production was evaluated following the method described by </w:t>
      </w:r>
      <w:r w:rsidRPr="00D46A68">
        <w:rPr>
          <w:rFonts w:ascii="Arial" w:hAnsi="Arial" w:cs="Arial"/>
        </w:rPr>
        <w:fldChar w:fldCharType="begin"/>
      </w:r>
      <w:r w:rsidRPr="00D46A68">
        <w:rPr>
          <w:rFonts w:ascii="Arial" w:hAnsi="Arial" w:cs="Arial"/>
        </w:rPr>
        <w:instrText xml:space="preserve"> ADDIN ZOTERO_ITEM CSL_CITATION {"citationID":"2OPmiNpd","properties":{"formattedCitation":"(Lorck, 1948)","plainCitation":"(Lorck, 1948)","dontUpdate":true,"noteIndex":0},"citationItems":[{"id":320,"uris":["http://zotero.org/users/5678157/items/6MLTWBY5"],"itemData":{"id":320,"type":"article-journal","container-title":"Physiologia Plantarum","DOI":"10.1111/j.1399-3054.1948.tb07118.x","ISSN":"0031-9317, 1399-3054","issue":"2","journalAbbreviation":"Physiologia Plantarum","language":"en","page":"142-146","source":"DOI.org (Crossref)","title":"Production of Hydrocyanic Acid by Bacteria","volume":"1","author":[{"family":"Lorck","given":"H."}],"issued":{"date-parts":[["1948",4]]}}}],"schema":"https://github.com/citation-style-language/schema/raw/master/csl-citation.json"} </w:instrText>
      </w:r>
      <w:r w:rsidRPr="00D46A68">
        <w:rPr>
          <w:rFonts w:ascii="Arial" w:hAnsi="Arial" w:cs="Arial"/>
        </w:rPr>
        <w:fldChar w:fldCharType="separate"/>
      </w:r>
      <w:r w:rsidRPr="00D46A68">
        <w:rPr>
          <w:rFonts w:ascii="Arial" w:hAnsi="Arial" w:cs="Arial"/>
        </w:rPr>
        <w:t>Lorck, (1948)</w:t>
      </w:r>
      <w:r w:rsidRPr="00D46A68">
        <w:rPr>
          <w:rFonts w:ascii="Arial" w:hAnsi="Arial" w:cs="Arial"/>
        </w:rPr>
        <w:fldChar w:fldCharType="end"/>
      </w:r>
      <w:r w:rsidRPr="00D46A68">
        <w:rPr>
          <w:rFonts w:ascii="Arial" w:hAnsi="Arial" w:cs="Arial"/>
        </w:rPr>
        <w:t>. Nutrient agar plates supplemented with glycine (4.4 g/l) were inoculated with the isolates. A Whatman filter paper strip impregnated with 2 % sodium carbonate and 0.5 % picric acid was placed on the inner surface of each Petri dish lid. Plates were sealed with parafilm and incubated at 30 °C for 96 hours.</w:t>
      </w:r>
      <w:r w:rsidRPr="00D46A68">
        <w:rPr>
          <w:rFonts w:ascii="Arial" w:hAnsi="Arial" w:cs="Arial"/>
          <w:color w:val="1F1F1F"/>
        </w:rPr>
        <w:t xml:space="preserve"> The development of an </w:t>
      </w:r>
      <w:r w:rsidRPr="00D46A68">
        <w:rPr>
          <w:rFonts w:ascii="Arial" w:hAnsi="Arial" w:cs="Arial"/>
        </w:rPr>
        <w:t>orange to red coloration on the top of the media indicated HCN production</w:t>
      </w:r>
      <w:r w:rsidRPr="00D46A68">
        <w:rPr>
          <w:rFonts w:ascii="Arial" w:hAnsi="Arial" w:cs="Arial"/>
          <w:color w:val="1F1F1F"/>
        </w:rPr>
        <w:t>. A three-point scale (+ = low intensity; + + = medium intensity; and +++ = high intensity) was used to analyze the results according to color intensity.</w:t>
      </w:r>
    </w:p>
    <w:p w14:paraId="2B05981D" w14:textId="77777777" w:rsidR="00D46A68" w:rsidRPr="00D46A68" w:rsidRDefault="006F4732" w:rsidP="006F4732">
      <w:pPr>
        <w:rPr>
          <w:rFonts w:ascii="Arial" w:hAnsi="Arial" w:cs="Arial"/>
          <w:b/>
          <w:bCs/>
          <w:u w:val="single"/>
        </w:rPr>
      </w:pPr>
      <w:r w:rsidRPr="00D46A68">
        <w:rPr>
          <w:rFonts w:ascii="Arial" w:hAnsi="Arial" w:cs="Arial"/>
          <w:b/>
          <w:bCs/>
          <w:u w:val="single"/>
        </w:rPr>
        <w:t>2.3.6. Cellulase production</w:t>
      </w:r>
    </w:p>
    <w:p w14:paraId="10A9613C" w14:textId="77777777" w:rsidR="00D46A68" w:rsidRPr="00D46A68" w:rsidRDefault="00D46A68" w:rsidP="00D46A68">
      <w:pPr>
        <w:jc w:val="both"/>
        <w:rPr>
          <w:rFonts w:ascii="Arial" w:hAnsi="Arial" w:cs="Arial"/>
        </w:rPr>
      </w:pPr>
      <w:r w:rsidRPr="00D46A68">
        <w:rPr>
          <w:rFonts w:ascii="Arial" w:hAnsi="Arial" w:cs="Arial"/>
        </w:rPr>
        <w:t xml:space="preserve">Cellulase production was determined using the method described by </w:t>
      </w:r>
      <w:r w:rsidRPr="00D46A68">
        <w:rPr>
          <w:rFonts w:ascii="Arial" w:hAnsi="Arial" w:cs="Arial"/>
        </w:rPr>
        <w:fldChar w:fldCharType="begin"/>
      </w:r>
      <w:r w:rsidRPr="00D46A68">
        <w:rPr>
          <w:rFonts w:ascii="Arial" w:hAnsi="Arial" w:cs="Arial"/>
        </w:rPr>
        <w:instrText xml:space="preserve"> ADDIN ZOTERO_ITEM CSL_CITATION {"citationID":"vJEKjfY0","properties":{"formattedCitation":"(Bhatt and Vyas, 2014)","plainCitation":"(Bhatt and Vyas, 2014)","dontUpdate":true,"noteIndex":0},"citationItems":[{"id":182,"uris":["http://zotero.org/users/5678157/items/4DLCE6WA"],"itemData":{"id":182,"type":"article-journal","container-title":"International Journal of Current Microbiology and Applied Sciences","issue":"6","page":"139–155","source":"Google Scholar","title":"Screening and characterization of plant growth and health promoting rhizobacteria","volume":"3","author":[{"family":"Bhatt","given":"Parth Vinodrai"},{"family":"Vyas","given":"Bharatkumar Rajiv Manuel"}],"issued":{"date-parts":[["2014"]]}}}],"schema":"https://github.com/citation-style-language/schema/raw/master/csl-citation.json"} </w:instrText>
      </w:r>
      <w:r w:rsidRPr="00D46A68">
        <w:rPr>
          <w:rFonts w:ascii="Arial" w:hAnsi="Arial" w:cs="Arial"/>
        </w:rPr>
        <w:fldChar w:fldCharType="separate"/>
      </w:r>
      <w:r w:rsidRPr="00D46A68">
        <w:rPr>
          <w:rFonts w:ascii="Arial" w:hAnsi="Arial" w:cs="Arial"/>
        </w:rPr>
        <w:t>Bhatt and Vyas (2014)</w:t>
      </w:r>
      <w:r w:rsidRPr="00D46A68">
        <w:rPr>
          <w:rFonts w:ascii="Arial" w:hAnsi="Arial" w:cs="Arial"/>
        </w:rPr>
        <w:fldChar w:fldCharType="end"/>
      </w:r>
      <w:r w:rsidRPr="00D46A68">
        <w:rPr>
          <w:rFonts w:ascii="Arial" w:hAnsi="Arial" w:cs="Arial"/>
        </w:rPr>
        <w:t xml:space="preserve">. Isolates were streaked on reconstituted King B agar medium. After incubation, the appearance of a clear halo surrounding the colonies was considered as cellulase production </w:t>
      </w:r>
      <w:r w:rsidRPr="00D46A68">
        <w:rPr>
          <w:rFonts w:ascii="Arial" w:hAnsi="Arial" w:cs="Arial"/>
        </w:rPr>
        <w:fldChar w:fldCharType="begin"/>
      </w:r>
      <w:r w:rsidRPr="00D46A68">
        <w:rPr>
          <w:rFonts w:ascii="Arial" w:hAnsi="Arial" w:cs="Arial"/>
        </w:rPr>
        <w:instrText xml:space="preserve"> ADDIN ZOTERO_ITEM CSL_CITATION {"citationID":"05vp3KUh","properties":{"formattedCitation":"(Bhatt and Vyas, 2014)","plainCitation":"(Bhatt and Vyas, 2014)","noteIndex":0},"citationItems":[{"id":182,"uris":["http://zotero.org/users/5678157/items/4DLCE6WA"],"itemData":{"id":182,"type":"article-journal","container-title":"International Journal of Current Microbiology and Applied Sciences","issue":"6","page":"139–155","source":"Google Scholar","title":"Screening and characterization of plant growth and health promoting rhizobacteria","volume":"3","author":[{"family":"Bhatt","given":"Parth Vinodrai"},{"family":"Vyas","given":"Bharatkumar Rajiv Manuel"}],"issued":{"date-parts":[["2014"]]}}}],"schema":"https://github.com/citation-style-language/schema/raw/master/csl-citation.json"} </w:instrText>
      </w:r>
      <w:r w:rsidRPr="00D46A68">
        <w:rPr>
          <w:rFonts w:ascii="Arial" w:hAnsi="Arial" w:cs="Arial"/>
        </w:rPr>
        <w:fldChar w:fldCharType="separate"/>
      </w:r>
      <w:r w:rsidRPr="00D46A68">
        <w:rPr>
          <w:rFonts w:ascii="Arial" w:hAnsi="Arial" w:cs="Arial"/>
        </w:rPr>
        <w:t>(Bhatt and Vyas, 2014)</w:t>
      </w:r>
      <w:r w:rsidRPr="00D46A68">
        <w:rPr>
          <w:rFonts w:ascii="Arial" w:hAnsi="Arial" w:cs="Arial"/>
        </w:rPr>
        <w:fldChar w:fldCharType="end"/>
      </w:r>
      <w:r w:rsidRPr="00D46A68">
        <w:rPr>
          <w:rFonts w:ascii="Arial" w:hAnsi="Arial" w:cs="Arial"/>
        </w:rPr>
        <w:t>.</w:t>
      </w:r>
    </w:p>
    <w:p w14:paraId="4D040653" w14:textId="77777777" w:rsidR="00D46A68" w:rsidRPr="00D46A68" w:rsidRDefault="006F4732" w:rsidP="006F4732">
      <w:pPr>
        <w:rPr>
          <w:rFonts w:ascii="Arial" w:hAnsi="Arial" w:cs="Arial"/>
          <w:b/>
          <w:bCs/>
          <w:sz w:val="22"/>
          <w:szCs w:val="22"/>
        </w:rPr>
      </w:pPr>
      <w:r w:rsidRPr="00D46A68">
        <w:rPr>
          <w:rFonts w:ascii="Arial" w:hAnsi="Arial" w:cs="Arial"/>
          <w:b/>
          <w:bCs/>
          <w:sz w:val="22"/>
          <w:szCs w:val="22"/>
        </w:rPr>
        <w:t>2.4. Evaluation of the effect of the isolates on tomato seeds germination</w:t>
      </w:r>
    </w:p>
    <w:p w14:paraId="2E737B97" w14:textId="77777777" w:rsidR="00D46A68" w:rsidRPr="00D46A68" w:rsidRDefault="006F4732" w:rsidP="006F4732">
      <w:pPr>
        <w:rPr>
          <w:rFonts w:ascii="Arial" w:hAnsi="Arial" w:cs="Arial"/>
          <w:b/>
          <w:bCs/>
          <w:u w:val="single"/>
        </w:rPr>
      </w:pPr>
      <w:r w:rsidRPr="00D46A68">
        <w:rPr>
          <w:rFonts w:ascii="Arial" w:hAnsi="Arial" w:cs="Arial"/>
          <w:b/>
          <w:bCs/>
          <w:u w:val="single"/>
        </w:rPr>
        <w:t>2.4.1. Preparation of inoculum</w:t>
      </w:r>
    </w:p>
    <w:p w14:paraId="1F5916BD" w14:textId="77777777" w:rsidR="00D46A68" w:rsidRPr="00D46A68" w:rsidRDefault="00D46A68" w:rsidP="00D46A68">
      <w:pPr>
        <w:jc w:val="both"/>
        <w:rPr>
          <w:rFonts w:ascii="Arial" w:hAnsi="Arial" w:cs="Arial"/>
        </w:rPr>
      </w:pPr>
      <w:r w:rsidRPr="00D46A68">
        <w:rPr>
          <w:rFonts w:ascii="Arial" w:hAnsi="Arial" w:cs="Arial"/>
        </w:rPr>
        <w:t xml:space="preserve">Bacterial </w:t>
      </w:r>
      <w:proofErr w:type="spellStart"/>
      <w:r w:rsidRPr="00D46A68">
        <w:rPr>
          <w:rFonts w:ascii="Arial" w:hAnsi="Arial" w:cs="Arial"/>
        </w:rPr>
        <w:t>inocula</w:t>
      </w:r>
      <w:proofErr w:type="spellEnd"/>
      <w:r w:rsidRPr="00D46A68">
        <w:rPr>
          <w:rFonts w:ascii="Arial" w:hAnsi="Arial" w:cs="Arial"/>
        </w:rPr>
        <w:t xml:space="preserve"> were prepared in 500 ml Erlenmeyer flasks containing 200 ml of nutrient broth (Hi Media-Mumbai). Cultures were incubated for 24 hours at room temperature under agitation (120 rpm). The cells obtained were harvested by centrifugation at 6,000 rpm for 5 minutes, the resulting pellet was resuspended in distilled water. The  bacterial suspension was adjusted to an optical density of 0.5 at 600 nm using a µquant spectrophotometer (Bio-</w:t>
      </w:r>
      <w:proofErr w:type="spellStart"/>
      <w:r w:rsidRPr="00D46A68">
        <w:rPr>
          <w:rFonts w:ascii="Arial" w:hAnsi="Arial" w:cs="Arial"/>
        </w:rPr>
        <w:t>tek</w:t>
      </w:r>
      <w:proofErr w:type="spellEnd"/>
      <w:r w:rsidRPr="00D46A68">
        <w:rPr>
          <w:rFonts w:ascii="Arial" w:hAnsi="Arial" w:cs="Arial"/>
        </w:rPr>
        <w:t xml:space="preserve"> instrument, serial number: 157904, USA) corresponding to approximately 10⁸ CFU/ml </w:t>
      </w:r>
      <w:r w:rsidRPr="00D46A68">
        <w:rPr>
          <w:rFonts w:ascii="Arial" w:hAnsi="Arial" w:cs="Arial"/>
        </w:rPr>
        <w:fldChar w:fldCharType="begin"/>
      </w:r>
      <w:r w:rsidRPr="00D46A68">
        <w:rPr>
          <w:rFonts w:ascii="Arial" w:hAnsi="Arial" w:cs="Arial"/>
        </w:rPr>
        <w:instrText xml:space="preserve"> ADDIN ZOTERO_ITEM CSL_CITATION {"citationID":"tvddjEns","properties":{"formattedCitation":"(Konappa et al., 2020)","plainCitation":"(Konappa et al., 2020)","noteIndex":0},"citationItems":[{"id":54,"uris":["http://zotero.org/users/5678157/items/V75KSXA2"],"itemData":{"id":54,"type":"article-journal","abstract":"Abstract\n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Siddapura"}],"issued":{"date-parts":[["2020",12]]}}}],"schema":"https://github.com/citation-style-language/schema/raw/master/csl-citation.json"} </w:instrText>
      </w:r>
      <w:r w:rsidRPr="00D46A68">
        <w:rPr>
          <w:rFonts w:ascii="Arial" w:hAnsi="Arial" w:cs="Arial"/>
        </w:rPr>
        <w:fldChar w:fldCharType="separate"/>
      </w:r>
      <w:r w:rsidRPr="00D46A68">
        <w:rPr>
          <w:rFonts w:ascii="Arial" w:hAnsi="Arial" w:cs="Arial"/>
        </w:rPr>
        <w:t>(Konappa et al., 2020)</w:t>
      </w:r>
      <w:r w:rsidRPr="00D46A68">
        <w:rPr>
          <w:rFonts w:ascii="Arial" w:hAnsi="Arial" w:cs="Arial"/>
        </w:rPr>
        <w:fldChar w:fldCharType="end"/>
      </w:r>
      <w:r w:rsidRPr="00D46A68">
        <w:rPr>
          <w:rFonts w:ascii="Arial" w:hAnsi="Arial" w:cs="Arial"/>
        </w:rPr>
        <w:t xml:space="preserve"> . </w:t>
      </w:r>
    </w:p>
    <w:p w14:paraId="37CA240E" w14:textId="77777777" w:rsidR="00D46A68" w:rsidRPr="00D46A68" w:rsidRDefault="006F4732" w:rsidP="006F4732">
      <w:pPr>
        <w:rPr>
          <w:rFonts w:ascii="Arial" w:hAnsi="Arial" w:cs="Arial"/>
          <w:b/>
          <w:bCs/>
          <w:u w:val="single"/>
        </w:rPr>
      </w:pPr>
      <w:r w:rsidRPr="00D46A68">
        <w:rPr>
          <w:rFonts w:ascii="Arial" w:hAnsi="Arial" w:cs="Arial"/>
          <w:b/>
          <w:bCs/>
          <w:u w:val="single"/>
        </w:rPr>
        <w:t>2.4.2. Seeds treatment</w:t>
      </w:r>
    </w:p>
    <w:p w14:paraId="60D60D4B" w14:textId="77777777" w:rsidR="00D46A68" w:rsidRPr="00D46A68" w:rsidRDefault="00D46A68" w:rsidP="00D46A68">
      <w:pPr>
        <w:jc w:val="both"/>
        <w:rPr>
          <w:rFonts w:ascii="Arial" w:hAnsi="Arial" w:cs="Arial"/>
        </w:rPr>
      </w:pPr>
      <w:r w:rsidRPr="00D46A68">
        <w:rPr>
          <w:rFonts w:ascii="Arial" w:hAnsi="Arial" w:cs="Arial"/>
        </w:rPr>
        <w:t xml:space="preserve">The tomato seeds were surface-sterilized with 70 % ethanol in an Erlenmeyer flask </w:t>
      </w:r>
      <w:r w:rsidRPr="00D46A68">
        <w:rPr>
          <w:rFonts w:ascii="Arial" w:hAnsi="Arial" w:cs="Arial"/>
        </w:rPr>
        <w:fldChar w:fldCharType="begin"/>
      </w:r>
      <w:r w:rsidRPr="00D46A68">
        <w:rPr>
          <w:rFonts w:ascii="Arial" w:hAnsi="Arial" w:cs="Arial"/>
        </w:rPr>
        <w:instrText xml:space="preserve"> ADDIN ZOTERO_ITEM CSL_CITATION {"citationID":"x4v2hjA3","properties":{"formattedCitation":"(Costa-Catala et al., 2024)","plainCitation":"(Costa-Catala et al., 2024)","noteIndex":0},"citationItems":[{"id":270,"uris":["http://zotero.org/users/5678157/items/HBRTRK32"],"itemData":{"id":270,"type":"article-journal","abstract":"Edible legume sprouts have been proposed as a promising plant-based source of the enzyme diamine oxidase (DAO), which plays a key role in degrading histamine at an intestinal level and preventing the development of histamine intolerance symptoms. However, the temperature and humidity conditions required for seed germination can also favor the rapid growth of yeast and mold, potentially compromising sprout yield and quality. The aim of this study was to evaluate the influence of different seed disinfection treatments on both the germination rate and DAO enzymatic activity in sprouts of four Leguminosae species. Seed disinfection with 70% ethanol for either 5 or 15 min slightly increased the germination rates of chickpea and soybean sprouts without affecting DAO activity, regardless of treatment duration. However, in lentil and green pea sprouts, ethanol disinfection caused a statistically significant reduction in histamine-degrading capacity. In contrast, treating seeds with sodium hypochlorite for 15 min increased germination rates by up to 14% and preserved DAO activity in all legume sprouts tested. These results indicate that incorporating a seed disinfection step during legume sprouting may affect both the DAO enzymatic activity and germination rate.","container-title":"Foods","DOI":"10.3390/foods13244105","ISSN":"2304-8158","issue":"24","language":"en","license":"http://creativecommons.org/licenses/by/3.0/","note":"publisher: Multidisciplinary Digital Publishing Institute","page":"4105","source":"www.mdpi.com","title":"Influence of Seed Disinfection Treatments on the Germination Rate and Histamine-Degrading Activity of Legume Sprouts","volume":"13","author":[{"family":"Costa-Catala","given":"Judit"},{"family":"Bori","given":"Jaume"},{"family":"Veciana-Nogués","given":"M. Teresa"},{"family":"Latorre-Moratalla","given":"M. Luz"},{"family":"Vidal-Carou","given":"M. Carmen"},{"family":"Comas-Basté","given":"Oriol"}],"issued":{"date-parts":[["2024",1]]}}}],"schema":"https://github.com/citation-style-language/schema/raw/master/csl-citation.json"} </w:instrText>
      </w:r>
      <w:r w:rsidRPr="00D46A68">
        <w:rPr>
          <w:rFonts w:ascii="Arial" w:hAnsi="Arial" w:cs="Arial"/>
        </w:rPr>
        <w:fldChar w:fldCharType="separate"/>
      </w:r>
      <w:r w:rsidRPr="00D46A68">
        <w:rPr>
          <w:rFonts w:ascii="Arial" w:hAnsi="Arial" w:cs="Arial"/>
        </w:rPr>
        <w:t>(Costa-Catala et al., 2024)</w:t>
      </w:r>
      <w:r w:rsidRPr="00D46A68">
        <w:rPr>
          <w:rFonts w:ascii="Arial" w:hAnsi="Arial" w:cs="Arial"/>
        </w:rPr>
        <w:fldChar w:fldCharType="end"/>
      </w:r>
      <w:r w:rsidRPr="00D46A68">
        <w:rPr>
          <w:rFonts w:ascii="Arial" w:hAnsi="Arial" w:cs="Arial"/>
        </w:rPr>
        <w:t xml:space="preserve">. Fifty seeds were soaked in each bacterial suspension for 30 min, then transferred to Petri dishes at a rate of ten seeds per dish </w:t>
      </w:r>
      <w:r w:rsidRPr="00D46A68">
        <w:rPr>
          <w:rFonts w:ascii="Arial" w:hAnsi="Arial" w:cs="Arial"/>
        </w:rPr>
        <w:fldChar w:fldCharType="begin"/>
      </w:r>
      <w:r w:rsidRPr="00D46A68">
        <w:rPr>
          <w:rFonts w:ascii="Arial" w:hAnsi="Arial" w:cs="Arial"/>
        </w:rPr>
        <w:instrText xml:space="preserve"> ADDIN ZOTERO_ITEM CSL_CITATION {"citationID":"yDvdUXlY","properties":{"formattedCitation":"(Naureen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 xml:space="preserve">. Seeds treated with sterile distilled water served as controls </w:t>
      </w:r>
      <w:r w:rsidRPr="00D46A68">
        <w:rPr>
          <w:rFonts w:ascii="Arial" w:hAnsi="Arial" w:cs="Arial"/>
        </w:rPr>
        <w:fldChar w:fldCharType="begin"/>
      </w:r>
      <w:r w:rsidRPr="00D46A68">
        <w:rPr>
          <w:rFonts w:ascii="Arial" w:hAnsi="Arial" w:cs="Arial"/>
        </w:rPr>
        <w:instrText xml:space="preserve"> ADDIN ZOTERO_ITEM CSL_CITATION {"citationID":"X91rY8Jr","properties":{"formattedCitation":"(Naureen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w:t>
      </w:r>
    </w:p>
    <w:p w14:paraId="0EC8D8C8" w14:textId="77777777" w:rsidR="00D46A68" w:rsidRPr="00D46A68" w:rsidRDefault="00325DA5" w:rsidP="00325DA5">
      <w:pPr>
        <w:rPr>
          <w:rFonts w:ascii="Arial" w:hAnsi="Arial" w:cs="Arial"/>
          <w:u w:val="single"/>
        </w:rPr>
      </w:pPr>
      <w:r w:rsidRPr="00D46A68">
        <w:rPr>
          <w:rFonts w:ascii="Arial" w:hAnsi="Arial" w:cs="Arial"/>
          <w:b/>
          <w:bCs/>
          <w:u w:val="single"/>
        </w:rPr>
        <w:t>2.4.3. Germination test</w:t>
      </w:r>
    </w:p>
    <w:p w14:paraId="4A311EA9" w14:textId="77777777" w:rsidR="00D46A68" w:rsidRPr="00D46A68" w:rsidRDefault="00D46A68" w:rsidP="00D46A68">
      <w:pPr>
        <w:jc w:val="both"/>
        <w:rPr>
          <w:rFonts w:ascii="Arial" w:hAnsi="Arial" w:cs="Arial"/>
        </w:rPr>
      </w:pPr>
      <w:r w:rsidRPr="00D46A68">
        <w:rPr>
          <w:rFonts w:ascii="Arial" w:hAnsi="Arial" w:cs="Arial"/>
        </w:rPr>
        <w:lastRenderedPageBreak/>
        <w:t xml:space="preserve">The treated seeds were placed on sterile absorbent paper beds in 120 cm Petri dishes, with 10 seeds per dish and five replicates </w:t>
      </w:r>
      <w:r w:rsidRPr="00D46A68">
        <w:rPr>
          <w:rFonts w:ascii="Arial" w:hAnsi="Arial" w:cs="Arial"/>
        </w:rPr>
        <w:fldChar w:fldCharType="begin"/>
      </w:r>
      <w:r w:rsidRPr="00D46A68">
        <w:rPr>
          <w:rFonts w:ascii="Arial" w:hAnsi="Arial" w:cs="Arial"/>
        </w:rPr>
        <w:instrText xml:space="preserve"> ADDIN ZOTERO_ITEM CSL_CITATION {"citationID":"JUkjoeBv","properties":{"formattedCitation":"(Naureen et al., 2017)","plainCitation":"(Naureen et al., 2017)","noteIndex":0},"citationItems":[{"id":272,"uris":["http://zotero.org/users/5678157/items/IIX6RDGM"],"itemData":{"id":272,"type":"article-journal","abstract":"There is an ongoing hunt for biologically-active compounds that can combat phytopathogenic fungi and improve plant growth without causing any hazards to the environment. Consequently the present study aims at deciphering the plant growth promotion and antifungal capability of Lysinibacilluys sphaericus ZA9. The bacterium was previously isolated and identified in our laboratory from maize rhizosphere using 16S rRNA gene sequencing. The test bacterium Lysinibacillus sphaericus ZA9 was found to produce high quantity of IAA (697 µg/ mL); siderophores (195.79 µg/ mL), HCN and hydrolytic enzyme as compared to the reference strain Bacillus sphaericus Z2-7. The bacterium was also capable of solubilizing silicates (Si), phosphates (P) and potassium (K). The bacterium enhanced the seedling vigour and germination of seeds pretreated with it and promoted the shoot length of both cucumber and tomato seeds in greenhouse experiment. Lysinibacillus sphaericus ZA9 and its cell free culture supernatant (CFCS) showed varied antaganoistic behaviour against Alternaria alternata, Curvularia lunata, Aspergillus sp., Sclerotinia sp., Bipolaris spicifera, Trichophyton sp. Fermentation broth culture of Lysinibacillus sphaericus ZA9 was then used to isolate antifungal metabolites by silica column chromatography. Identification and determination of antifungal compounds was carried out by Thin-layer chromatography (TLC) followed by NMR spectroscopy. Two compounds were isolated and identified as 2-pentyl-4-quinolinecarboxylic acid (C15H17NO2) which is a quinoline alkaloid and 1- methylcyclohexene which is a cycloalkene. Compound 1; 2-Penthyl-4-quinolinecarboxylic acid was found to be highly antagonistic against most of the fungi tested as compared to the bacterium itself. Its activity was comparable to that of fungicide Benlate , while compound 2; 1- methylcyclohexene did not show any antifungal activity.","container-title":"Frontiers in Microbiology","DOI":"10.3389/fmicb.2017.01477","ISSN":"1664-302X","journalAbbreviation":"Front. Microbiol.","language":"English","note":"publisher: Frontiers","source":"Frontiers","title":"Exploring the Potentials of Lysinibacillus sphaericus ZA9 for Plant Growth Promotion and Biocontrol Activities against Phytopathogenic Fungi","URL":"https://www.frontiersin.org/journals/microbiology/articles/10.3389/fmicb.2017.01477/full","volume":"8","author":[{"family":"Naureen","given":"Zakira"},{"family":"Rehman","given":"Najeeb Ur"},{"family":"Hussain","given":"Hidayat"},{"family":"Hussain","given":"Javid"},{"family":"Gilani","given":"Syed A."},{"family":"Al Housni","given":"Saif K."},{"family":"Mabood","given":"Fazal"},{"family":"Khan","given":"Abdul L."},{"family":"Farooq","given":"Saima"},{"family":"Abbas","given":"Ghulam"},{"family":"Harrasi","given":"Ahmed A."}],"accessed":{"date-parts":[["2025",9,10]]},"issued":{"date-parts":[["2017",8,17]]}}}],"schema":"https://github.com/citation-style-language/schema/raw/master/csl-citation.json"} </w:instrText>
      </w:r>
      <w:r w:rsidRPr="00D46A68">
        <w:rPr>
          <w:rFonts w:ascii="Arial" w:hAnsi="Arial" w:cs="Arial"/>
        </w:rPr>
        <w:fldChar w:fldCharType="separate"/>
      </w:r>
      <w:r w:rsidRPr="00D46A68">
        <w:rPr>
          <w:rFonts w:ascii="Arial" w:hAnsi="Arial" w:cs="Arial"/>
        </w:rPr>
        <w:t>(Naureen et al., 2017)</w:t>
      </w:r>
      <w:r w:rsidRPr="00D46A68">
        <w:rPr>
          <w:rFonts w:ascii="Arial" w:hAnsi="Arial" w:cs="Arial"/>
        </w:rPr>
        <w:fldChar w:fldCharType="end"/>
      </w:r>
      <w:r w:rsidRPr="00D46A68">
        <w:rPr>
          <w:rFonts w:ascii="Arial" w:hAnsi="Arial" w:cs="Arial"/>
        </w:rPr>
        <w:t xml:space="preserve">. Control seeds were treated with sterile distilled water. The paper beds were moistened every two days by spraying sterile distilled water </w:t>
      </w:r>
      <w:r w:rsidRPr="00D46A68">
        <w:rPr>
          <w:rFonts w:ascii="Arial" w:hAnsi="Arial" w:cs="Arial"/>
        </w:rPr>
        <w:fldChar w:fldCharType="begin"/>
      </w:r>
      <w:r w:rsidRPr="00D46A68">
        <w:rPr>
          <w:rFonts w:ascii="Arial" w:hAnsi="Arial" w:cs="Arial"/>
        </w:rPr>
        <w:instrText xml:space="preserve"> ADDIN ZOTERO_ITEM CSL_CITATION {"citationID":"u36tBL34","properties":{"formattedCitation":"(Islam et al., 2016)","plainCitation":"(Islam et al., 2016)","noteIndex":0},"citationItems":[{"id":183,"uris":["http://zotero.org/users/5678157/items/FI5FVJ6T"],"itemData":{"id":183,"type":"article-journal","container-title":"Frontiers in Microbiology","DOI":"10.3389/fmicb.2015.01360","ISSN":"1664-302X","journalAbbreviation":"Front. Microbiol.","source":"DOI.org (Crossref)","title":"Isolation and Identification of Plant Growth Promoting Rhizobacteria from Cucumber Rhizosphere and Their Effect on Plant Growth Promotion and Disease Suppression","URL":"http://journal.frontiersin.org/Article/10.3389/fmicb.2015.01360/abstract","volume":"6","author":[{"family":"Islam","given":"Shaikhul"},{"family":"Akanda","given":"Abdul M."},{"family":"Prova","given":"Ananya"},{"family":"Islam","given":"Md. T."},{"family":"Hossain","given":"Md. M."}],"accessed":{"date-parts":[["2025",5,25]]},"issued":{"date-parts":[["2016",2,2]]}}}],"schema":"https://github.com/citation-style-language/schema/raw/master/csl-citation.json"} </w:instrText>
      </w:r>
      <w:r w:rsidRPr="00D46A68">
        <w:rPr>
          <w:rFonts w:ascii="Arial" w:hAnsi="Arial" w:cs="Arial"/>
        </w:rPr>
        <w:fldChar w:fldCharType="separate"/>
      </w:r>
      <w:r w:rsidRPr="00D46A68">
        <w:rPr>
          <w:rFonts w:ascii="Arial" w:hAnsi="Arial" w:cs="Arial"/>
        </w:rPr>
        <w:t>(Islam et al., 2016)</w:t>
      </w:r>
      <w:r w:rsidRPr="00D46A68">
        <w:rPr>
          <w:rFonts w:ascii="Arial" w:hAnsi="Arial" w:cs="Arial"/>
        </w:rPr>
        <w:fldChar w:fldCharType="end"/>
      </w:r>
      <w:r w:rsidRPr="00D46A68">
        <w:rPr>
          <w:rFonts w:ascii="Arial" w:hAnsi="Arial" w:cs="Arial"/>
        </w:rPr>
        <w:t xml:space="preserve">. A seed was considered germinated when its radicles reached at least half the seeds length. Germinated seedlings were counted, and radicles and shoots lengths were measured every 24-hours for 7 days using a ruler. Germination-related parameters, including germination rate and vigor index, were calculated following </w:t>
      </w:r>
      <w:r w:rsidRPr="00D46A68">
        <w:rPr>
          <w:rFonts w:ascii="Arial" w:hAnsi="Arial" w:cs="Arial"/>
        </w:rPr>
        <w:fldChar w:fldCharType="begin"/>
      </w:r>
      <w:r w:rsidRPr="00D46A68">
        <w:rPr>
          <w:rFonts w:ascii="Arial" w:hAnsi="Arial" w:cs="Arial"/>
        </w:rPr>
        <w:instrText xml:space="preserve"> ADDIN ZOTERO_ITEM CSL_CITATION {"citationID":"MpgvPfWV","properties":{"formattedCitation":"(Konappa et al., 2020; Narendra Babu et al., 2015)","plainCitation":"(Konappa et al., 2020; Narendra Babu et al., 2015)","dontUpdate":true,"noteIndex":0},"citationItems":[{"id":54,"uris":["http://zotero.org/users/5678157/items/V75KSXA2"],"itemData":{"id":54,"type":"article-journal","abstract":"Abstract\n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Siddapura"}],"issued":{"date-parts":[["2020",12]]}},"label":"page"},{"id":205,"uris":["http://zotero.org/users/5678157/items/ZGH3LRM9"],"itemData":{"id":205,"type":"article-journal","abstract":"Five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Phan"}],"issued":{"date-parts":[["2015",2,1]]}},"label":"page"}],"schema":"https://github.com/citation-style-language/schema/raw/master/csl-citation.json"} </w:instrText>
      </w:r>
      <w:r w:rsidRPr="00D46A68">
        <w:rPr>
          <w:rFonts w:ascii="Arial" w:hAnsi="Arial" w:cs="Arial"/>
        </w:rPr>
        <w:fldChar w:fldCharType="separate"/>
      </w:r>
      <w:r w:rsidRPr="00D46A68">
        <w:rPr>
          <w:rFonts w:ascii="Arial" w:hAnsi="Arial" w:cs="Arial"/>
        </w:rPr>
        <w:t>Konappa et al., (2020)</w:t>
      </w:r>
      <w:r w:rsidRPr="00D46A68">
        <w:rPr>
          <w:rFonts w:ascii="Arial" w:hAnsi="Arial" w:cs="Arial"/>
        </w:rPr>
        <w:fldChar w:fldCharType="end"/>
      </w:r>
      <w:r w:rsidRPr="00D46A68">
        <w:rPr>
          <w:rFonts w:ascii="Arial" w:hAnsi="Arial" w:cs="Arial"/>
        </w:rPr>
        <w:t xml:space="preserve"> and </w:t>
      </w:r>
      <w:r w:rsidRPr="00D46A68">
        <w:rPr>
          <w:rFonts w:ascii="Arial" w:hAnsi="Arial" w:cs="Arial"/>
        </w:rPr>
        <w:fldChar w:fldCharType="begin"/>
      </w:r>
      <w:r w:rsidRPr="00D46A68">
        <w:rPr>
          <w:rFonts w:ascii="Arial" w:hAnsi="Arial" w:cs="Arial"/>
        </w:rPr>
        <w:instrText xml:space="preserve"> ADDIN ZOTERO_ITEM CSL_CITATION {"citationID":"mhif3FbS","properties":{"formattedCitation":"(Konappa et al., 2020; Narendra Babu et al., 2015)","plainCitation":"(Konappa et al., 2020; Narendra Babu et al., 2015)","dontUpdate":true,"noteIndex":0},"citationItems":[{"id":54,"uris":["http://zotero.org/users/5678157/items/V75KSXA2"],"itemData":{"id":54,"type":"article-journal","abstract":"Abstract\n            \n              Bacterial wilt of tomato caused by\n              Ralstonia solanacearum\n              is a serious threat to tomato production worldwide. For eco-friendly management of bacterial wilt of tomato, the rhizospheric microorganisms belonging to the genera\n              Bacillus\n              (6 isolates),\n              Brevibacillus\n              (1 isolate),\n              Pseudomonas\n              (3 isolates), and\n              Trichoderma\n              (8 isolates) were studied for their ability to induce innate immunity in tomato, individually and in combination against\n              R. solanacearum\n              in greenhouse and field studies. In laboratory studies, maximum germination percent of 93%, vigor index of 1609 was noted in seed bacterization with\n              P. fluorescens\n              Pf3, followed by 91% germination, vigor index of 1593 in treatment with\n              T. asperellum\n              T8 over control. Under greenhouse conditions, protection against bacterial wilt in individual treatments with PGPRs ranged from 38 to 43% and\n              Trichoderma\n              sp. ranged from 39 to 43% in comparison to control. In comparison to individual seed treatment, among different combinations, maximum seed germination percent of 97% was recorded with combination\n              P. fluorescens\n              Pf3 +\n              T. longibrachiatum\n              UNS11. In greenhouse studies’ combination seed treatment with\n              P. fluorescens\n              Pf3\n              + T. longibrachiatum\n              UNS11 offered an impressive 62% protection against bacterial wilt over control. Similarly, under field conditions, seed treatment with\n              P. fluorescens\n              Pf3\n              + T. longibrachiatum\n              UNS11 resulted in 61% protection. The innate immunity triggered by eco-friendly seed treatment was analyzed by expression to defense-related enzymes such as peroxidase, phenylalanine ammonialyase, and polyphenol oxidase in comparison to control. This study indicated that the potential benefits of using combination treatments of beneficial microorganisms in effectively inducing resistance are possible for dual benefits of enhanced plant growth, tomato yield, and pathogen suppression.","container-title":"Egyptian Journal of Biological Pest Control","DOI":"10.1186/s41938-020-00303-3","ISSN":"2536-9342","issue":"1","journalAbbreviation":"Egypt J Biol Pest Control","language":"en","page":"106","source":"DOI.org (Crossref)","title":"Efficacy of indigenous plant growth-promoting rhizobacteria and Trichoderma strains in eliciting resistance against bacterial wilt in a tomato","volume":"30","author":[{"family":"Konappa","given":"Narasimhamurthy"},{"family":"Krishnamurthy","given":"Soumya"},{"family":"Arakere","given":"Udayashankar C."},{"family":"Chowdappa","given":"Srinivas"},{"family":"Ramachandrappa","given":"Niranjana Siddapura"}],"issued":{"date-parts":[["2020",12]]}},"label":"page"},{"id":205,"uris":["http://zotero.org/users/5678157/items/ZGH3LRM9"],"itemData":{"id":205,"type":"article-journal","abstract":"Five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Phan"}],"issued":{"date-parts":[["2015",2,1]]}},"label":"page"}],"schema":"https://github.com/citation-style-language/schema/raw/master/csl-citation.json"} </w:instrText>
      </w:r>
      <w:r w:rsidRPr="00D46A68">
        <w:rPr>
          <w:rFonts w:ascii="Arial" w:hAnsi="Arial" w:cs="Arial"/>
        </w:rPr>
        <w:fldChar w:fldCharType="separate"/>
      </w:r>
      <w:r w:rsidRPr="00D46A68">
        <w:rPr>
          <w:rFonts w:ascii="Arial" w:hAnsi="Arial" w:cs="Arial"/>
        </w:rPr>
        <w:t>Narendra Babu et al., (2015)</w:t>
      </w:r>
      <w:r w:rsidRPr="00D46A68">
        <w:rPr>
          <w:rFonts w:ascii="Arial" w:hAnsi="Arial" w:cs="Arial"/>
        </w:rPr>
        <w:fldChar w:fldCharType="end"/>
      </w:r>
      <w:r w:rsidRPr="00D46A68">
        <w:rPr>
          <w:rFonts w:ascii="Arial" w:hAnsi="Arial" w:cs="Arial"/>
        </w:rPr>
        <w:t xml:space="preserve">using the following formulas : </w:t>
      </w:r>
    </w:p>
    <w:p w14:paraId="59722777" w14:textId="77777777" w:rsidR="00D46A68" w:rsidRPr="00D46A68" w:rsidRDefault="00D46A68" w:rsidP="00D46A68">
      <w:pPr>
        <w:jc w:val="both"/>
        <w:rPr>
          <w:rFonts w:ascii="Arial" w:hAnsi="Arial" w:cs="Arial"/>
        </w:rPr>
      </w:pPr>
      <w:r w:rsidRPr="00D46A68">
        <w:rPr>
          <w:rFonts w:ascii="Arial" w:hAnsi="Arial" w:cs="Arial"/>
        </w:rPr>
        <w:t>The Germination rate and the vigor index were determined according to equations 1 and 2</w:t>
      </w:r>
    </w:p>
    <w:p w14:paraId="0B60D38E" w14:textId="77777777" w:rsidR="00D46A68" w:rsidRPr="00D46A68" w:rsidRDefault="00D46A68" w:rsidP="00D46A68">
      <w:pPr>
        <w:ind w:left="360"/>
        <w:jc w:val="both"/>
        <w:rPr>
          <w:rFonts w:ascii="Arial" w:hAnsi="Arial" w:cs="Arial"/>
          <w:b/>
          <w:bCs/>
        </w:rPr>
      </w:pPr>
    </w:p>
    <w:p w14:paraId="1CA0A177" w14:textId="77777777" w:rsidR="00D46A68" w:rsidRPr="00D46A68" w:rsidRDefault="00D46A68" w:rsidP="00D46A68">
      <w:pPr>
        <w:jc w:val="both"/>
        <w:rPr>
          <w:rFonts w:ascii="Arial" w:eastAsiaTheme="minorEastAsia" w:hAnsi="Arial" w:cs="Arial"/>
        </w:rPr>
      </w:pPr>
      <m:oMath>
        <m:r>
          <m:rPr>
            <m:sty m:val="p"/>
          </m:rPr>
          <w:rPr>
            <w:rFonts w:ascii="Cambria Math" w:hAnsi="Cambria Math" w:cs="Arial"/>
          </w:rPr>
          <m:t>Germination rate =</m:t>
        </m:r>
        <m:f>
          <m:fPr>
            <m:ctrlPr>
              <w:rPr>
                <w:rFonts w:ascii="Cambria Math" w:hAnsi="Cambria Math" w:cs="Arial"/>
                <w:iCs/>
              </w:rPr>
            </m:ctrlPr>
          </m:fPr>
          <m:num>
            <m:r>
              <m:rPr>
                <m:sty m:val="p"/>
              </m:rPr>
              <w:rPr>
                <w:rFonts w:ascii="Cambria Math" w:hAnsi="Cambria Math" w:cs="Arial"/>
              </w:rPr>
              <m:t>Number of germinated seeds</m:t>
            </m:r>
          </m:num>
          <m:den>
            <m:r>
              <m:rPr>
                <m:sty m:val="p"/>
              </m:rPr>
              <w:rPr>
                <w:rFonts w:ascii="Cambria Math" w:hAnsi="Cambria Math" w:cs="Arial"/>
              </w:rPr>
              <m:t>Total number of seeds sown</m:t>
            </m:r>
          </m:den>
        </m:f>
        <m:r>
          <m:rPr>
            <m:sty m:val="p"/>
          </m:rPr>
          <w:rPr>
            <w:rFonts w:ascii="Cambria Math" w:hAnsi="Cambria Math" w:cs="Arial"/>
          </w:rPr>
          <m:t>×1OO</m:t>
        </m:r>
      </m:oMath>
      <w:r w:rsidRPr="00D46A68">
        <w:rPr>
          <w:rFonts w:ascii="Arial" w:eastAsiaTheme="minorEastAsia" w:hAnsi="Arial" w:cs="Arial"/>
        </w:rPr>
        <w:t xml:space="preserve"> </w:t>
      </w:r>
      <w:r w:rsidRPr="00D46A68">
        <w:rPr>
          <w:rFonts w:ascii="Arial" w:eastAsiaTheme="minorEastAsia" w:hAnsi="Arial" w:cs="Arial"/>
        </w:rPr>
        <w:tab/>
        <w:t>Eq. 1</w:t>
      </w:r>
    </w:p>
    <w:p w14:paraId="595F1285" w14:textId="77777777" w:rsidR="00D46A68" w:rsidRPr="00D46A68" w:rsidRDefault="00D46A68" w:rsidP="00D46A68">
      <w:pPr>
        <w:jc w:val="both"/>
        <w:rPr>
          <w:rFonts w:ascii="Arial" w:hAnsi="Arial" w:cs="Arial"/>
        </w:rPr>
      </w:pPr>
      <w:r w:rsidRPr="00D46A68">
        <w:rPr>
          <w:rFonts w:ascii="Arial" w:hAnsi="Arial" w:cs="Arial"/>
        </w:rPr>
        <w:t xml:space="preserve">Vigor index = Plant length </w:t>
      </w:r>
      <m:oMath>
        <m:r>
          <m:rPr>
            <m:sty m:val="p"/>
          </m:rPr>
          <w:rPr>
            <w:rFonts w:ascii="Cambria Math" w:hAnsi="Cambria Math" w:cs="Arial"/>
          </w:rPr>
          <m:t>*</m:t>
        </m:r>
      </m:oMath>
      <w:r w:rsidRPr="00D46A68">
        <w:rPr>
          <w:rFonts w:ascii="Arial" w:hAnsi="Arial" w:cs="Arial"/>
        </w:rPr>
        <w:t xml:space="preserve"> Germination rate </w:t>
      </w:r>
      <w:r w:rsidRPr="00D46A68">
        <w:rPr>
          <w:rFonts w:ascii="Arial" w:hAnsi="Arial" w:cs="Arial"/>
        </w:rPr>
        <w:tab/>
        <w:t>Eq. 2</w:t>
      </w:r>
    </w:p>
    <w:p w14:paraId="2F564C50" w14:textId="77777777" w:rsidR="00D46A68" w:rsidRPr="00D46A68" w:rsidRDefault="00325DA5" w:rsidP="00325DA5">
      <w:pPr>
        <w:rPr>
          <w:rFonts w:ascii="Arial" w:hAnsi="Arial" w:cs="Arial"/>
          <w:b/>
          <w:bCs/>
          <w:sz w:val="22"/>
          <w:szCs w:val="22"/>
        </w:rPr>
      </w:pPr>
      <w:r w:rsidRPr="00D46A68">
        <w:rPr>
          <w:rFonts w:ascii="Arial" w:hAnsi="Arial" w:cs="Arial"/>
          <w:b/>
          <w:bCs/>
          <w:sz w:val="22"/>
          <w:szCs w:val="22"/>
        </w:rPr>
        <w:t>2.5. Morphological characterization of isolates</w:t>
      </w:r>
    </w:p>
    <w:p w14:paraId="1CBA644B" w14:textId="77777777" w:rsidR="00D46A68" w:rsidRPr="00D46A68" w:rsidRDefault="00D46A68" w:rsidP="00D46A68">
      <w:pPr>
        <w:pStyle w:val="NormalWeb"/>
        <w:spacing w:after="0" w:line="240" w:lineRule="auto"/>
        <w:jc w:val="both"/>
        <w:rPr>
          <w:rFonts w:ascii="Arial" w:hAnsi="Arial" w:cs="Arial"/>
          <w:sz w:val="20"/>
          <w:szCs w:val="20"/>
          <w:lang w:val="en-US"/>
        </w:rPr>
      </w:pPr>
      <w:r w:rsidRPr="00D46A68">
        <w:rPr>
          <w:rFonts w:ascii="Arial" w:hAnsi="Arial" w:cs="Arial"/>
          <w:sz w:val="20"/>
          <w:szCs w:val="20"/>
          <w:lang w:val="en-US"/>
        </w:rPr>
        <w:t xml:space="preserve">The morphological characteristics of the isolates included the colony shape, elevation, surface area, color, opacity, consistency and size of the colonies, and was determined according to the criteria described by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{"citationID":"PMTJvD2Q","properties":{"formattedCitation":"(Ahad et al., 2014)","plainCitation":"(Ahad et al., 2014)","dontUpdate":true,"noteIndex":0},"citationItems":[{"id":188,"uris":["http://zotero.org/users/5678157/items/RJ8T7K3B"],"itemData":{"id":188,"type":"article-journal","container-title":"International Journal of Agriculture, Environment and Biotechnology","DOI":"10.5958/2230-732X.2014.01353.9","ISSN":"0974-1712, 2230-732X","issue":"3","journalAbbreviation":"Intern. Jour. of Agricul., Environ. and Biotech.","language":"en","page":"491","source":"DOI.org (Crossref)","title":"Biochemical Characterization and Molecular Fingerprinting of Plant Growth Promoting Rhizobacteria","volume":"7","author":[{"family":"Ahad","given":"Abdul"},{"family":"Akhtar","given":"Nadeem"},{"family":"Vasmatkar","given":"Pashupat"},{"family":"Baral","given":"Pratibha"}],"issued":{"date-parts":[["2014"]]}}}],"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Ahad et al., (2014)</w:t>
      </w:r>
      <w:r w:rsidRPr="00D46A68">
        <w:rPr>
          <w:rFonts w:ascii="Arial" w:hAnsi="Arial" w:cs="Arial"/>
          <w:sz w:val="20"/>
          <w:szCs w:val="20"/>
        </w:rPr>
        <w:fldChar w:fldCharType="end"/>
      </w:r>
      <w:r w:rsidRPr="00D46A68">
        <w:rPr>
          <w:rFonts w:ascii="Arial" w:hAnsi="Arial" w:cs="Arial"/>
          <w:sz w:val="20"/>
          <w:szCs w:val="20"/>
          <w:lang w:val="en-US"/>
        </w:rPr>
        <w:t>. Cell mobility and shape were examined under a light microscope. Gram staining was subsequently performed to characterize the bacterial cell wall structure</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{"citationID":"4zDHdcLj","properties":{"formattedCitation":"(Tazi et al., 2016)","plainCitation":"(Tazi et al., 2016)","noteIndex":0},"citationItems":[{"id":410,"uris":["http://zotero.org/users/5678157/items/FMCYBPJF"],"itemData":{"id":410,"type":"article-journal","abstract":"In recent decades, Natural substances were intensively studied in order to determine their active compounds that have found its application in food and medical-sciences. The growing interest in such substances diversifies its applications including as anti-corrosion substances. Indeed, interesting results were obtained with essential oils as materials protection for metals, beside these natural inhibiters were recognized as not toxic elements and therefore do not present risks for environmental pollution compared to the organic inhibiters. In this work, we studied the effect of essential oil of clove (recognized in medical field by its analgesic and antiseptic properties) on the corrosion of brass (70%Cu/30%Zn) in NaCl 3%. The results obtained showed a improvement of alloy resistance against salt corrosion. In order to determine the most active component of this essential oil, that plays a key role in inhibiting corrosion of this alloy, the eugenol was extracted from the essential oil of clove. The effect of concentration, temperature and the immersion time were studied to measure the inhibiting capacity of eugenol by using polarization and electrochemical impedance spectroscopy (EIS).","language":"fr","source":"Zotero","title":"L’effet Inhibiteur d’Eugénol sur la corrosion du Laiton dans NaCl 3% (The Inhibition effect of Brass corrosion in NaCl 3% by Eugenol)","author":[{"family":"Tazi","given":"S"},{"family":"Raissouni","given":"I"},{"family":"Chaoukat","given":"F"},{"family":"Bouchta","given":"D"},{"family":"Dahdouh","given":"A"},{"family":"Elkhamlichi","given":"R"},{"family":"Douhri","given":"H"}],"issued":{"date-parts":[["2016"]]}}}],"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(Tazi et al., 2016)</w:t>
      </w:r>
      <w:r w:rsidRPr="00D46A68">
        <w:rPr>
          <w:rFonts w:ascii="Arial" w:hAnsi="Arial" w:cs="Arial"/>
          <w:sz w:val="20"/>
          <w:szCs w:val="20"/>
        </w:rPr>
        <w:fldChar w:fldCharType="end"/>
      </w:r>
      <w:r w:rsidRPr="00D46A68">
        <w:rPr>
          <w:rFonts w:ascii="Arial" w:hAnsi="Arial" w:cs="Arial"/>
          <w:sz w:val="20"/>
          <w:szCs w:val="20"/>
          <w:lang w:val="en-US"/>
        </w:rPr>
        <w:t>.</w:t>
      </w:r>
    </w:p>
    <w:p w14:paraId="35A652CF" w14:textId="77777777" w:rsidR="00D46A68" w:rsidRPr="00D46A68" w:rsidRDefault="00325DA5" w:rsidP="00325DA5">
      <w:pPr>
        <w:rPr>
          <w:rFonts w:ascii="Arial" w:hAnsi="Arial" w:cs="Arial"/>
          <w:b/>
          <w:bCs/>
          <w:sz w:val="22"/>
          <w:szCs w:val="22"/>
        </w:rPr>
      </w:pPr>
      <w:r w:rsidRPr="00D46A68">
        <w:rPr>
          <w:rFonts w:ascii="Arial" w:hAnsi="Arial" w:cs="Arial"/>
          <w:b/>
          <w:bCs/>
          <w:sz w:val="22"/>
          <w:szCs w:val="22"/>
        </w:rPr>
        <w:t>2.6. Biochemical and physiological characterization of the isolates</w:t>
      </w:r>
    </w:p>
    <w:p w14:paraId="48C3A691" w14:textId="77777777" w:rsidR="00D46A68" w:rsidRPr="00D46A68" w:rsidRDefault="00D46A68" w:rsidP="00D46A68">
      <w:pPr>
        <w:pStyle w:val="NormalWeb"/>
        <w:spacing w:after="0" w:line="240" w:lineRule="auto"/>
        <w:jc w:val="both"/>
        <w:rPr>
          <w:rFonts w:ascii="Arial" w:hAnsi="Arial" w:cs="Arial"/>
          <w:sz w:val="20"/>
          <w:szCs w:val="20"/>
          <w:lang w:val="en-US"/>
        </w:rPr>
      </w:pPr>
      <w:r w:rsidRPr="00D46A68">
        <w:rPr>
          <w:rFonts w:ascii="Arial" w:hAnsi="Arial" w:cs="Arial"/>
          <w:sz w:val="20"/>
          <w:szCs w:val="20"/>
          <w:lang w:val="en-US"/>
        </w:rPr>
        <w:t xml:space="preserve">Several biochemical tests were carried out to characterize the physiological properties of the bacterial isolates. The catalase and oxidase tests were performed according to the methods described by  </w:t>
      </w:r>
      <w:r w:rsidRPr="00D46A68">
        <w:rPr>
          <w:rFonts w:ascii="Arial" w:hAnsi="Arial" w:cs="Arial"/>
          <w:color w:val="C00000"/>
          <w:sz w:val="20"/>
          <w:szCs w:val="20"/>
          <w:lang w:val="en-US"/>
        </w:rPr>
        <w:t xml:space="preserve"> </w:t>
      </w:r>
      <w:r w:rsidRPr="00D46A68">
        <w:rPr>
          <w:rFonts w:ascii="Arial" w:hAnsi="Arial" w:cs="Arial"/>
          <w:color w:val="C00000"/>
          <w:sz w:val="20"/>
          <w:szCs w:val="20"/>
        </w:rPr>
        <w:fldChar w:fldCharType="begin"/>
      </w:r>
      <w:r w:rsidRPr="00D46A68">
        <w:rPr>
          <w:rFonts w:ascii="Arial" w:hAnsi="Arial" w:cs="Arial"/>
          <w:color w:val="C00000"/>
          <w:sz w:val="20"/>
          <w:szCs w:val="20"/>
          <w:lang w:val="en-US"/>
        </w:rPr>
        <w:instrText xml:space="preserve"> ADDIN ZOTERO_ITEM CSL_CITATION {"citationID":"tAheGVWw","properties":{"unsorted":true,"formattedCitation":"(Mollah et al., 2020; Leyral et al., 1997)","plainCitation":"(Mollah et al., 2020; Leyral et al., 1997)","dontUpdate":true,"noteIndex":0},"citationItems":[{"id":274,"uris":["http://zotero.org/users/5678157/items/FZX3ALVF"],"itemData":{"id":274,"type":"article-journal","abstract":"Abstract\n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A"},{"family":"Yassi","given":"A"},{"family":"Ridwan","given":"I"}],"issued":{"date-parts":[["2020",10,1]]}},"label":"page"},{"id":404,"uris":["http://zotero.org/users/5678157/items/Y29TCNHJ"],"itemData":{"id":404,"type":"book","publisher":"Doin","source":"Google Scholar","title":"Microbiologie et toxicologie des aliments: hygiène et sécurité alimentaires","title-short":"Microbiologie et toxicologie des aliments","URL":"https://pascal-francis.inist.fr/vibad/index.php?action=getRecordDetail&amp;idt=14307917","author":[{"family":"Leyral","given":"Guy"},{"family":"Vierling","given":"Elisabeth"},{"family":"Figarella","given":"J."},{"family":"Zonsain","given":"F."}],"accessed":{"date-parts":[["2025",11,6]]},"issued":{"date-parts":[["1997"]]}},"label":"page"}],"schema":"https://github.com/citation-style-language/schema/raw/master/csl-citation.json"} </w:instrText>
      </w:r>
      <w:r w:rsidRPr="00D46A68">
        <w:rPr>
          <w:rFonts w:ascii="Arial" w:hAnsi="Arial" w:cs="Arial"/>
          <w:color w:val="C00000"/>
          <w:sz w:val="20"/>
          <w:szCs w:val="20"/>
        </w:rPr>
        <w:fldChar w:fldCharType="separate"/>
      </w:r>
      <w:r w:rsidRPr="00D46A68">
        <w:rPr>
          <w:rFonts w:ascii="Arial" w:hAnsi="Arial" w:cs="Arial"/>
          <w:sz w:val="20"/>
          <w:szCs w:val="20"/>
          <w:lang w:val="en-US"/>
        </w:rPr>
        <w:t>Mollah et al., (2020)</w:t>
      </w:r>
      <w:r w:rsidRPr="00D46A68">
        <w:rPr>
          <w:rFonts w:ascii="Arial" w:hAnsi="Arial" w:cs="Arial"/>
          <w:color w:val="C00000"/>
          <w:sz w:val="20"/>
          <w:szCs w:val="20"/>
        </w:rPr>
        <w:fldChar w:fldCharType="end"/>
      </w:r>
      <w:r w:rsidRPr="00D46A68">
        <w:rPr>
          <w:rFonts w:ascii="Arial" w:hAnsi="Arial" w:cs="Arial"/>
          <w:color w:val="C00000"/>
          <w:sz w:val="20"/>
          <w:szCs w:val="20"/>
        </w:rPr>
        <w:t xml:space="preserve"> </w:t>
      </w:r>
      <w:r w:rsidRPr="00D46A68">
        <w:rPr>
          <w:rFonts w:ascii="Arial" w:hAnsi="Arial" w:cs="Arial"/>
          <w:color w:val="000000" w:themeColor="text1"/>
          <w:sz w:val="20"/>
          <w:szCs w:val="20"/>
        </w:rPr>
        <w:t>and</w:t>
      </w:r>
      <w:r w:rsidRPr="00D46A68">
        <w:rPr>
          <w:rFonts w:ascii="Arial" w:hAnsi="Arial" w:cs="Arial"/>
          <w:color w:val="C00000"/>
          <w:sz w:val="20"/>
          <w:szCs w:val="20"/>
        </w:rPr>
        <w:t xml:space="preserve"> </w:t>
      </w:r>
      <w:r w:rsidRPr="00D46A68">
        <w:rPr>
          <w:rFonts w:ascii="Arial" w:hAnsi="Arial" w:cs="Arial"/>
          <w:color w:val="C00000"/>
          <w:sz w:val="20"/>
          <w:szCs w:val="20"/>
        </w:rPr>
        <w:fldChar w:fldCharType="begin"/>
      </w:r>
      <w:r w:rsidRPr="00D46A68">
        <w:rPr>
          <w:rFonts w:ascii="Arial" w:hAnsi="Arial" w:cs="Arial"/>
          <w:color w:val="C00000"/>
          <w:sz w:val="20"/>
          <w:szCs w:val="20"/>
          <w:lang w:val="en-US"/>
        </w:rPr>
        <w:instrText xml:space="preserve"> ADDIN ZOTERO_ITEM CSL_CITATION {"citationID":"E4mhgxie","properties":{"unsorted":true,"formattedCitation":"(Mollah et al., 2020; Leyral et al., 1997)","plainCitation":"(Mollah et al., 2020; Leyral et al., 1997)","dontUpdate":true,"noteIndex":0},"citationItems":[{"id":274,"uris":["http://zotero.org/users/5678157/items/FZX3ALVF"],"itemData":{"id":274,"type":"article-journal","abstract":"Abstract\n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A"},{"family":"Yassi","given":"A"},{"family":"Ridwan","given":"I"}],"issued":{"date-parts":[["2020",10,1]]}},"label":"page"},{"id":404,"uris":["http://zotero.org/users/5678157/items/Y29TCNHJ"],"itemData":{"id":404,"type":"book","publisher":"Doin","source":"Google Scholar","title":"Microbiologie et toxicologie des aliments: hygiène et sécurité alimentaires","title-short":"Microbiologie et toxicologie des aliments","URL":"https://pascal-francis.inist.fr/vibad/index.php?action=getRecordDetail&amp;idt=14307917","author":[{"family":"Leyral","given":"Guy"},{"family":"Vierling","given":"Elisabeth"},{"family":"Figarella","given":"J."},{"family":"Zonsain","given":"F."}],"accessed":{"date-parts":[["2025",11,6]]},"issued":{"date-parts":[["1997"]]}},"label":"page"}],"schema":"https://github.com/citation-style-language/schema/raw/master/csl-citation.json"} </w:instrText>
      </w:r>
      <w:r w:rsidRPr="00D46A68">
        <w:rPr>
          <w:rFonts w:ascii="Arial" w:hAnsi="Arial" w:cs="Arial"/>
          <w:color w:val="C00000"/>
          <w:sz w:val="20"/>
          <w:szCs w:val="20"/>
        </w:rPr>
        <w:fldChar w:fldCharType="separate"/>
      </w:r>
      <w:r w:rsidRPr="00D46A68">
        <w:rPr>
          <w:rFonts w:ascii="Arial" w:hAnsi="Arial" w:cs="Arial"/>
          <w:sz w:val="20"/>
          <w:szCs w:val="20"/>
          <w:lang w:val="en-US"/>
        </w:rPr>
        <w:t>Leyral et al., (1997)</w:t>
      </w:r>
      <w:r w:rsidRPr="00D46A68">
        <w:rPr>
          <w:rFonts w:ascii="Arial" w:hAnsi="Arial" w:cs="Arial"/>
          <w:color w:val="C00000"/>
          <w:sz w:val="20"/>
          <w:szCs w:val="20"/>
        </w:rPr>
        <w:fldChar w:fldCharType="end"/>
      </w:r>
      <w:r w:rsidRPr="00D46A68">
        <w:rPr>
          <w:rFonts w:ascii="Arial" w:hAnsi="Arial" w:cs="Arial"/>
          <w:sz w:val="20"/>
          <w:szCs w:val="20"/>
          <w:lang w:val="en-US"/>
        </w:rPr>
        <w:t xml:space="preserve">, respectively. KOH solubility test was used to further confirm the Gram reaction. Thus, the isolates were mixed with 3% KOH on a clean slide for 1 minute, and the formation of a viscous filament indicated a Gram-negative reaction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{"citationID":"43Pb64GW","properties":{"formattedCitation":"(Mollah et al., 2020)","plainCitation":"(Mollah et al., 2020)","noteIndex":0},"citationItems":[{"id":274,"uris":["http://zotero.org/users/5678157/items/FZX3ALVF"],"itemData":{"id":274,"type":"article-journal","abstract":"Abstract\n            \n              The paper reports on an initial study aimed to isolate and identify plant growth promoting rhizobacteria in the roots of\n              Ipomea pes-caprae\n              (locally named as\n              Katang-katang\n              ) abundantly found in the coastal area of South Sulawesi. Plant roots samples were obtained from the coastal area in Gantarangkeke Village, Bantaeng Regency, South Sulawesi Province, Indonesia. The isolation and identification were carried out at the Biofertilizer and Potential Microbial Laboratory, Faculty of Agriculture, Hasanuddin University from August to October 2019. The isolation was conducted by previously extracting the roots of the plant and then fermented for 14 days. One millilitre of the solution was used to inoculate the bacteria in a sterile petridish contained NA media using spread and streak methods and then left to an incubation period. Identification of the bacteria was conducted using three methods namely gram reaction test, catalase test, and microscopic colouring method. The bacteria samples were observed macroscopically and microscopically. The catalase test results reveal that bacteria in the\n              Katang-katang\n              roots was from the genus of Bacillus and Pseudomonas. Some of the implication of the results for agricultural purpose was discussed.","container-title":"IOP Conference Series: Earth and Environmental Science","DOI":"10.1088/1755-1315/575/1/012117","ISSN":"1755-1307, 1755-1315","issue":"1","journalAbbreviation":"IOP Conf. Ser.: Earth Environ. Sci.","page":"012117","source":"DOI.org (Crossref)","title":"Potency of Plant Growth Promoting Rhizobacteria (PGPR) in Ipomea pes-caprae roots: Initial microscopic and macroscopic identification on South Sulawesi’s coastal resources","title-short":"Potency of Plant Growth Promoting Rhizobacteria (PGPR) in Ipomea pes-caprae roots","volume":"575","author":[{"family":"Mollah","given":"A"},{"family":"Purnama","given":"I R Y"},{"family":"Bahrun","given":"A H"},{"family":"Syaiful","given":"S A"},{"family":"Yassi","given":"A"},{"family":"Ridwan","given":"I"}],"issued":{"date-parts":[["2020",10,1]]}}}],"schema":"https://github.com/citation-style-language/schema/raw/master/csl-citation.json"}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(Mollah et al., 2020)</w:t>
      </w:r>
      <w:r w:rsidRPr="00D46A68">
        <w:rPr>
          <w:rFonts w:ascii="Arial" w:hAnsi="Arial" w:cs="Arial"/>
          <w:sz w:val="20"/>
          <w:szCs w:val="20"/>
        </w:rPr>
        <w:fldChar w:fldCharType="end"/>
      </w:r>
      <w:r w:rsidRPr="00D46A68">
        <w:rPr>
          <w:rFonts w:ascii="Arial" w:hAnsi="Arial" w:cs="Arial"/>
          <w:sz w:val="20"/>
          <w:szCs w:val="20"/>
          <w:lang w:val="en-US"/>
        </w:rPr>
        <w:t xml:space="preserve">. The ability of the isolates to utilize citrate as the sole source of carbon was assessed on Simmons citrate agar where the color change of the medium from green to blue indicated citrate utilization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{"citationID":"eNWPxS0B","properties":{"formattedCitation":"(Lounis and Mansouri, 2022)","plainCitation":"(Lounis and Mansouri, 2022)","noteIndex":0},"citationItems":[{"id":406,"uris":["http://zotero.org/users/5678157/items/YGMRM69X"],"itemData":{"id":406,"type":"thesis","genre":"PhD Thesis","publisher":"Université Mouloud Mammeri","source":"Google Scholar","title":"Etude de l’antagonisme in Planta de deux souches de Pseudomonas spp. Fluorescents vis-à-vis de Fusarium oxysporum f. sp. lycopersici","URL":"https://dspace.ummto.dz/bitstreams/5eaa2bdc-f962-434c-b27b-b404ca07fc43/download","author":[{"family":"Lounis","given":"Nawal"},{"family":"Mansouri","given":"Katia"}],"accessed":{"date-parts":[["2025",11,6]]},"issued":{"date-parts":[["2022"]]}}}],"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(Lounis and Mansouri, 2022)</w:t>
      </w:r>
      <w:r w:rsidRPr="00D46A68">
        <w:rPr>
          <w:rFonts w:ascii="Arial" w:hAnsi="Arial" w:cs="Arial"/>
          <w:sz w:val="20"/>
          <w:szCs w:val="20"/>
        </w:rPr>
        <w:fldChar w:fldCharType="end"/>
      </w:r>
      <w:r w:rsidRPr="00D46A68">
        <w:rPr>
          <w:rFonts w:ascii="Arial" w:hAnsi="Arial" w:cs="Arial"/>
          <w:sz w:val="20"/>
          <w:szCs w:val="20"/>
          <w:lang w:val="en-US"/>
        </w:rPr>
        <w:t xml:space="preserve">,. Triple sugar iron (TSI) agar was used to determine glucose and lactose fermentation and hydrogen sulfide (H2S) production  and gas formation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{"citationID":"Mf1iWann","properties":{"formattedCitation":"(Gardan and Luisetti, 1981)","plainCitation":"(Gardan and Luisetti, 1981)","noteIndex":0},"citationItems":[{"id":321,"uris":["http://zotero.org/users/5678157/items/9EGQNRBP"],"itemData":{"id":321,"type":"thesis","event-place":"Station de Pathologie INRA","number-of-pages":"32p","publisher-place":"Station de Pathologie INRA","title":"Méthode d’isolement et identification des bactéries  phytopathogènes.","author":[{"family":"Gardan","given":"L."},{"family":"Luisetti","given":"G."}],"issued":{"date-parts":[["1981"]]}}}],"schema":"https://github.com/citation-style-language/schema/raw/master/csl-citation.json"}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(Gardan and Luisetti, 1981)</w:t>
      </w:r>
      <w:r w:rsidRPr="00D46A68">
        <w:rPr>
          <w:rFonts w:ascii="Arial" w:hAnsi="Arial" w:cs="Arial"/>
          <w:sz w:val="20"/>
          <w:szCs w:val="20"/>
        </w:rPr>
        <w:fldChar w:fldCharType="end"/>
      </w:r>
      <w:r w:rsidRPr="00D46A68">
        <w:rPr>
          <w:rFonts w:ascii="Arial" w:hAnsi="Arial" w:cs="Arial"/>
          <w:sz w:val="20"/>
          <w:szCs w:val="20"/>
          <w:lang w:val="en-US"/>
        </w:rPr>
        <w:t xml:space="preserve">. In addition,  motility and mannitol utilization were tested in a mannitol mobility medium according to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{"citationID":"VYUYPSvt","properties":{"formattedCitation":"(Hamidechi and Meziani, 2011)","plainCitation":"(Hamidechi and Meziani, 2011)","dontUpdate":true,"noteIndex":0},"citationItems":[{"id":402,"uris":["http://zotero.org/users/5678157/items/BZ7GCUZU"],"itemData":{"id":402,"type":"article-journal","abstract":"Ten bacterial strains were isolated from clinical samples provided by the bacteriology laboratory (Daksi, Constantine). Among the ten strains studied, eight belong to the Enterobacteriaceaeand two are among the Pseudomonadaceae. These strains were presumptively identified by their biochemical characteristics, susceptibility or resistance to antibiotics, and total nitrogen measured by the Kjeldahl method. A phylogenetic profile was produced by phenetic methods based on the calculation of genetic distances using the Neighbor Joining algorithm (NJ) and bioinformatics analysis of 16S rRNA sequences to compare the two phylogenies (phenotypic and genotypic). The analysis of topologies obtained showed that the biochemical phenotype has some limitations in bacterial identification and sequence analysis of 16S rRNA is a key tool in bacterial identification across the case.","container-title":"Sciences &amp; Technologie. C, Biotechnologies","ISSN":"2602-7798","language":"fr","license":"© Sciences &amp; Technologie C 2015","page":"24-31","source":"revue.umc.edu.dz","title":"CONTRIBUTION DU DIAGNOSTIC BIOCHIMIQUE BACTERIEN DANS L’ETABLISSEMENT DES PARENTES PHYLOGENETIQUES : CAS DES EnterobacteriaceaeET Pseudomonas sp","title-short":"CONTRIBUTION DU DIAGNOSTIC BIOCHIMIQUE BACTERIEN DANS L’ETABLISSEMENT DES PARENTES PHYLOGENETIQUES","author":[{"family":"Hamidechi","given":"M. A."},{"family":"Meziani","given":"M."}],"issued":{"date-parts":[["2011",12,1]]}}}],"schema":"https://github.com/citation-style-language/schema/raw/master/csl-citation.json"}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Hamidechi and Meziani, (2011)</w:t>
      </w:r>
      <w:r w:rsidRPr="00D46A68">
        <w:rPr>
          <w:rFonts w:ascii="Arial" w:hAnsi="Arial" w:cs="Arial"/>
          <w:sz w:val="20"/>
          <w:szCs w:val="20"/>
        </w:rPr>
        <w:fldChar w:fldCharType="end"/>
      </w:r>
      <w:r w:rsidRPr="00D46A68">
        <w:rPr>
          <w:rFonts w:ascii="Arial" w:hAnsi="Arial" w:cs="Arial"/>
          <w:sz w:val="20"/>
          <w:szCs w:val="20"/>
          <w:lang w:val="en-US"/>
        </w:rPr>
        <w:t xml:space="preserve">. The optimal growth temperature and pH were determined according to the methods of </w:t>
      </w:r>
      <w:r w:rsidRPr="00D46A68">
        <w:rPr>
          <w:rFonts w:ascii="Arial" w:hAnsi="Arial" w:cs="Arial"/>
          <w:sz w:val="20"/>
          <w:szCs w:val="20"/>
        </w:rPr>
        <w:fldChar w:fldCharType="begin"/>
      </w:r>
      <w:r w:rsidRPr="00D46A68">
        <w:rPr>
          <w:rFonts w:ascii="Arial" w:hAnsi="Arial" w:cs="Arial"/>
          <w:sz w:val="20"/>
          <w:szCs w:val="20"/>
          <w:lang w:val="en-US"/>
        </w:rPr>
        <w:instrText xml:space="preserve"> ADDIN ZOTERO_ITEM CSL_CITATION {"citationID":"NniMaspW","properties":{"unsorted":true,"formattedCitation":"(Panda et al., 2013; Darsa et al., 2014)","plainCitation":"(Panda et al., 2013; Darsa et al., 2014)","dontUpdate":true,"noteIndex":0},"citationItems":[{"id":411,"uris":["http://zotero.org/users/5678157/items/HYFWZ42V"],"itemData":{"id":411,"type":"article-journal","abstract":"Background and Objectives\nThermophilic bacteria are less studied but important group of microorganisms due to their ability to produce industrial enzymes.\n\nMaterials and Methods\nIn this study, thermophilic bacteria were isolated from hot spring of Tarabalo, India. A bacterium that could tolerate high temperatures was characterized by morphology, biochemistry and sequencing of its 16S rRNA gene. The isolate was screened for protease and amylase activity. Phylogenetic affiliations and G+C content of the isolate was studied.\n\nResults\nThe bacterium with the ability to tolerate high temperatures was identified as Bacillus sp. both by morphology, biochemistry and sequencing of its 16S rRNA gene. BLAST search analysis of the sequence showed maximum identity with Bacillus amyloliquefaciens (99% similarity). Strain exhibited considerable protease activity. Phylogenetic analysis of the isolate revealed close affiliation with thermophilic Bacillus species. The G+C content was found to be 54.7%.\n\nConclusion\nThe study confirmed that the isolated Bacillus sp. to be a true thermophile and could be a source of thermostable protease which can be exploited for pharmaceutical and industrials applications.","container-title":"Iranian Journal of Microbiology","ISSN":"2008-3289","issue":"2","journalAbbreviation":"Iran J Microbiol","note":"PMID: 23825735\nPMCID: PMC3696853","page":"159-165","source":"PubMed Central","title":"Isolation and characterization of a thermophilic Bacillus sp. with protease activity isolated from hot spring of Tarabalo, Odisha, India","volume":"5","author":[{"family":"Panda","given":"Mrunmaya Kumar"},{"family":"Sahu","given":"Mahesh Kumar"},{"family":"Tayung","given":"Kumananda"}],"issued":{"date-parts":[["2013",6]]}},"label":"page"},{"id":413,"uris":["http://zotero.org/users/5678157/items/6KENRE8Y"],"itemData":{"id":413,"type":"article-journal","container-title":"Science International","DOI":"10.17311/sciintl.2014.20.25","ISSN":"23051884","issue":"1","journalAbbreviation":"Science International","page":"20-25","source":"DOI.org (Crossref)","title":"Biodegradation of Petroleum Compound Using the Bacterium Bacillus subtilis","volume":"2","author":[{"family":"Darsa","given":"K.V."},{"family":"Thatheyus","given":"A. Joseph"},{"family":"Ramya","given":"D."}],"issued":{"date-parts":[["2014",1,1]]}},"label":"page"}],"schema":"https://github.com/citation-style-language/schema/raw/master/csl-citation.json"} </w:instrText>
      </w:r>
      <w:r w:rsidRPr="00D46A68">
        <w:rPr>
          <w:rFonts w:ascii="Arial" w:hAnsi="Arial" w:cs="Arial"/>
          <w:sz w:val="20"/>
          <w:szCs w:val="20"/>
        </w:rPr>
        <w:fldChar w:fldCharType="separate"/>
      </w:r>
      <w:r w:rsidRPr="00D46A68">
        <w:rPr>
          <w:rFonts w:ascii="Arial" w:hAnsi="Arial" w:cs="Arial"/>
          <w:sz w:val="20"/>
          <w:szCs w:val="20"/>
          <w:lang w:val="en-US"/>
        </w:rPr>
        <w:t>Panda et al. (2013) and Darsa et al. (2014)</w:t>
      </w:r>
      <w:r w:rsidRPr="00D46A68">
        <w:rPr>
          <w:rFonts w:ascii="Arial" w:hAnsi="Arial" w:cs="Arial"/>
          <w:sz w:val="20"/>
          <w:szCs w:val="20"/>
        </w:rPr>
        <w:fldChar w:fldCharType="end"/>
      </w:r>
      <w:r w:rsidRPr="00D46A68">
        <w:rPr>
          <w:rFonts w:ascii="Arial" w:hAnsi="Arial" w:cs="Arial"/>
          <w:sz w:val="20"/>
          <w:szCs w:val="20"/>
          <w:lang w:val="en-US"/>
        </w:rPr>
        <w:t>, respectively.</w:t>
      </w:r>
    </w:p>
    <w:p w14:paraId="14D9DA93" w14:textId="77777777" w:rsidR="00D46A68" w:rsidRPr="00D46A68" w:rsidRDefault="00325DA5" w:rsidP="00325DA5">
      <w:pPr>
        <w:rPr>
          <w:rFonts w:ascii="Arial" w:hAnsi="Arial" w:cs="Arial"/>
          <w:b/>
          <w:bCs/>
          <w:sz w:val="22"/>
          <w:szCs w:val="22"/>
        </w:rPr>
      </w:pPr>
      <w:r w:rsidRPr="00D46A68">
        <w:rPr>
          <w:rFonts w:ascii="Arial" w:hAnsi="Arial" w:cs="Arial"/>
          <w:b/>
          <w:bCs/>
          <w:sz w:val="22"/>
          <w:szCs w:val="22"/>
        </w:rPr>
        <w:t>2.7. Data analysis</w:t>
      </w:r>
    </w:p>
    <w:p w14:paraId="04A30156" w14:textId="77777777" w:rsidR="00D46A68" w:rsidRPr="00D46A68" w:rsidRDefault="00D46A68" w:rsidP="00D46A68">
      <w:pPr>
        <w:jc w:val="both"/>
        <w:rPr>
          <w:rFonts w:ascii="Arial" w:hAnsi="Arial" w:cs="Arial"/>
        </w:rPr>
      </w:pPr>
      <w:r w:rsidRPr="00D46A68">
        <w:rPr>
          <w:rFonts w:ascii="Arial" w:hAnsi="Arial" w:cs="Arial"/>
        </w:rPr>
        <w:t>The data on germination rate and growth parameters (</w:t>
      </w:r>
      <w:proofErr w:type="spellStart"/>
      <w:r w:rsidRPr="00D46A68">
        <w:rPr>
          <w:rFonts w:ascii="Arial" w:hAnsi="Arial" w:cs="Arial"/>
        </w:rPr>
        <w:t>tigella</w:t>
      </w:r>
      <w:proofErr w:type="spellEnd"/>
      <w:r w:rsidRPr="00D46A68">
        <w:rPr>
          <w:rFonts w:ascii="Arial" w:hAnsi="Arial" w:cs="Arial"/>
        </w:rPr>
        <w:t xml:space="preserve"> length, radicle length, and vigor index) were subjected to</w:t>
      </w:r>
      <w:r w:rsidRPr="00D46A68" w:rsidDel="00842C3B">
        <w:rPr>
          <w:rFonts w:ascii="Arial" w:hAnsi="Arial" w:cs="Arial"/>
        </w:rPr>
        <w:t xml:space="preserve"> </w:t>
      </w:r>
      <w:r w:rsidRPr="00D46A68">
        <w:rPr>
          <w:rFonts w:ascii="Arial" w:hAnsi="Arial" w:cs="Arial"/>
        </w:rPr>
        <w:t>analysis of variance (ANOVA) using Fisher's test at a significance level of 5%.  Principal component analysis (PCA) was performed using XLSTAT software (version 2016) to evaluate the relationships and correlations between plant growth–promoting characteristics, including nitrogen fixation, ammonia production, indole acetic acid synthesis, hydrogen cyanide production, cellulase activity and phosphate solubilization.   The biochemical data were analyzed using ABIS online software to determine the presumptive taxonomic identity of the bacteria</w:t>
      </w:r>
      <w:commentRangeEnd w:id="3"/>
      <w:r w:rsidR="00E77C25">
        <w:rPr>
          <w:rStyle w:val="CommentReference"/>
          <w:rFonts w:ascii="Times New Roman" w:hAnsi="Times New Roman"/>
          <w:lang w:val="nb-NO" w:eastAsia="nb-NO"/>
        </w:rPr>
        <w:commentReference w:id="3"/>
      </w:r>
      <w:r w:rsidRPr="00D46A68">
        <w:rPr>
          <w:rFonts w:ascii="Arial" w:hAnsi="Arial" w:cs="Arial"/>
        </w:rPr>
        <w:t xml:space="preserve">l isolates. </w:t>
      </w:r>
    </w:p>
    <w:p w14:paraId="7C77021A" w14:textId="77777777" w:rsidR="00FE41CF" w:rsidRPr="00FB3A86" w:rsidRDefault="00FE41CF" w:rsidP="00441B6F">
      <w:pPr>
        <w:pStyle w:val="Body"/>
        <w:spacing w:after="0"/>
        <w:rPr>
          <w:rFonts w:ascii="Arial" w:hAnsi="Arial" w:cs="Arial"/>
        </w:rPr>
      </w:pPr>
    </w:p>
    <w:p w14:paraId="7C9892AF" w14:textId="77777777" w:rsidR="00902823" w:rsidRDefault="00000F8F" w:rsidP="00441B6F">
      <w:pPr>
        <w:pStyle w:val="Head1"/>
        <w:spacing w:after="0"/>
        <w:jc w:val="both"/>
        <w:rPr>
          <w:rFonts w:ascii="Arial" w:hAnsi="Arial" w:cs="Arial"/>
        </w:rPr>
      </w:pPr>
      <w:commentRangeStart w:id="5"/>
      <w:r>
        <w:rPr>
          <w:rFonts w:ascii="Arial" w:hAnsi="Arial" w:cs="Arial"/>
        </w:rPr>
        <w:t>3</w:t>
      </w:r>
      <w:r w:rsidR="00902823">
        <w:rPr>
          <w:rFonts w:ascii="Arial" w:hAnsi="Arial" w:cs="Arial"/>
        </w:rPr>
        <w:t xml:space="preserve">. </w:t>
      </w:r>
      <w:r>
        <w:rPr>
          <w:rFonts w:ascii="Arial" w:hAnsi="Arial" w:cs="Arial"/>
        </w:rPr>
        <w:t>results and discussion</w:t>
      </w:r>
    </w:p>
    <w:p w14:paraId="04402B5B" w14:textId="77777777" w:rsidR="00790ADA" w:rsidRPr="00FB3A86" w:rsidRDefault="00790ADA" w:rsidP="00441B6F">
      <w:pPr>
        <w:pStyle w:val="Head1"/>
        <w:spacing w:after="0"/>
        <w:jc w:val="both"/>
        <w:rPr>
          <w:rFonts w:ascii="Arial" w:hAnsi="Arial" w:cs="Arial"/>
        </w:rPr>
      </w:pPr>
    </w:p>
    <w:p w14:paraId="2CCBE534" w14:textId="77777777" w:rsidR="00325DA5" w:rsidRPr="008F289C" w:rsidRDefault="00325DA5" w:rsidP="00325DA5">
      <w:pPr>
        <w:rPr>
          <w:rFonts w:ascii="Arial" w:hAnsi="Arial" w:cs="Arial"/>
          <w:b/>
          <w:bCs/>
          <w:sz w:val="22"/>
          <w:szCs w:val="22"/>
        </w:rPr>
      </w:pPr>
      <w:r w:rsidRPr="008F289C">
        <w:rPr>
          <w:rFonts w:ascii="Arial" w:hAnsi="Arial" w:cs="Arial"/>
          <w:b/>
          <w:bCs/>
          <w:sz w:val="22"/>
          <w:szCs w:val="22"/>
        </w:rPr>
        <w:t>3.1. Selection of Plant Growth-Promoting Bacteria</w:t>
      </w:r>
    </w:p>
    <w:p w14:paraId="2524B6A3" w14:textId="77777777" w:rsidR="00325DA5" w:rsidRPr="00325DA5" w:rsidRDefault="00325DA5" w:rsidP="00325DA5">
      <w:pPr>
        <w:jc w:val="both"/>
        <w:rPr>
          <w:rFonts w:ascii="Arial" w:hAnsi="Arial" w:cs="Arial"/>
        </w:rPr>
      </w:pPr>
      <w:r w:rsidRPr="00325DA5">
        <w:rPr>
          <w:rFonts w:ascii="Arial" w:hAnsi="Arial" w:cs="Arial"/>
        </w:rPr>
        <w:t xml:space="preserve">During the study, a total of 225 rhizobacteria were isolated from the different market gardening sites, </w:t>
      </w:r>
      <w:r w:rsidRPr="00325DA5">
        <w:rPr>
          <w:rFonts w:ascii="Arial" w:hAnsi="Arial" w:cs="Arial"/>
          <w:lang w:eastAsia="fr-BE"/>
        </w:rPr>
        <w:t xml:space="preserve">including 19 from </w:t>
      </w:r>
      <w:proofErr w:type="spellStart"/>
      <w:r w:rsidRPr="00325DA5">
        <w:rPr>
          <w:rFonts w:ascii="Arial" w:hAnsi="Arial" w:cs="Arial"/>
          <w:lang w:eastAsia="fr-BE"/>
        </w:rPr>
        <w:t>Leguema</w:t>
      </w:r>
      <w:proofErr w:type="spellEnd"/>
      <w:r w:rsidRPr="00325DA5">
        <w:rPr>
          <w:rFonts w:ascii="Arial" w:hAnsi="Arial" w:cs="Arial"/>
          <w:lang w:eastAsia="fr-BE"/>
        </w:rPr>
        <w:t xml:space="preserve">, 15 from </w:t>
      </w:r>
      <w:proofErr w:type="spellStart"/>
      <w:r w:rsidRPr="00325DA5">
        <w:rPr>
          <w:rFonts w:ascii="Arial" w:hAnsi="Arial" w:cs="Arial"/>
          <w:lang w:eastAsia="fr-BE"/>
        </w:rPr>
        <w:t>Kimidougou</w:t>
      </w:r>
      <w:proofErr w:type="spellEnd"/>
      <w:r w:rsidRPr="00325DA5">
        <w:rPr>
          <w:rFonts w:ascii="Arial" w:hAnsi="Arial" w:cs="Arial"/>
          <w:lang w:eastAsia="fr-BE"/>
        </w:rPr>
        <w:t xml:space="preserve">, 26 from </w:t>
      </w:r>
      <w:proofErr w:type="spellStart"/>
      <w:r w:rsidRPr="00325DA5">
        <w:rPr>
          <w:rFonts w:ascii="Arial" w:hAnsi="Arial" w:cs="Arial"/>
          <w:lang w:eastAsia="fr-BE"/>
        </w:rPr>
        <w:t>Kodeni</w:t>
      </w:r>
      <w:proofErr w:type="spellEnd"/>
      <w:r w:rsidRPr="00325DA5">
        <w:rPr>
          <w:rFonts w:ascii="Arial" w:hAnsi="Arial" w:cs="Arial"/>
          <w:lang w:eastAsia="fr-BE"/>
        </w:rPr>
        <w:t xml:space="preserve">, 10 from </w:t>
      </w:r>
      <w:proofErr w:type="spellStart"/>
      <w:r w:rsidRPr="00325DA5">
        <w:rPr>
          <w:rFonts w:ascii="Arial" w:hAnsi="Arial" w:cs="Arial"/>
          <w:lang w:eastAsia="fr-BE"/>
        </w:rPr>
        <w:t>Toussiana</w:t>
      </w:r>
      <w:proofErr w:type="spellEnd"/>
      <w:r w:rsidRPr="00325DA5">
        <w:rPr>
          <w:rFonts w:ascii="Arial" w:hAnsi="Arial" w:cs="Arial"/>
          <w:lang w:eastAsia="fr-BE"/>
        </w:rPr>
        <w:t xml:space="preserve">, 69 from </w:t>
      </w:r>
      <w:proofErr w:type="spellStart"/>
      <w:r w:rsidRPr="00325DA5">
        <w:rPr>
          <w:rFonts w:ascii="Arial" w:hAnsi="Arial" w:cs="Arial"/>
          <w:lang w:eastAsia="fr-BE"/>
        </w:rPr>
        <w:t>Kombissiri</w:t>
      </w:r>
      <w:proofErr w:type="spellEnd"/>
      <w:r w:rsidRPr="00325DA5">
        <w:rPr>
          <w:rFonts w:ascii="Arial" w:hAnsi="Arial" w:cs="Arial"/>
          <w:lang w:eastAsia="fr-BE"/>
        </w:rPr>
        <w:t xml:space="preserve">, 30 from </w:t>
      </w:r>
      <w:proofErr w:type="spellStart"/>
      <w:r w:rsidRPr="00325DA5">
        <w:rPr>
          <w:rFonts w:ascii="Arial" w:hAnsi="Arial" w:cs="Arial"/>
          <w:lang w:eastAsia="fr-BE"/>
        </w:rPr>
        <w:t>Koubri</w:t>
      </w:r>
      <w:proofErr w:type="spellEnd"/>
      <w:r w:rsidRPr="00325DA5">
        <w:rPr>
          <w:rFonts w:ascii="Arial" w:hAnsi="Arial" w:cs="Arial"/>
          <w:lang w:eastAsia="fr-BE"/>
        </w:rPr>
        <w:t xml:space="preserve">, and 56 from </w:t>
      </w:r>
      <w:proofErr w:type="spellStart"/>
      <w:r w:rsidRPr="00325DA5">
        <w:rPr>
          <w:rFonts w:ascii="Arial" w:hAnsi="Arial" w:cs="Arial"/>
          <w:lang w:eastAsia="fr-BE"/>
        </w:rPr>
        <w:t>Loumbila</w:t>
      </w:r>
      <w:proofErr w:type="spellEnd"/>
      <w:r w:rsidRPr="00325DA5">
        <w:rPr>
          <w:rFonts w:ascii="Arial" w:hAnsi="Arial" w:cs="Arial"/>
        </w:rPr>
        <w:t xml:space="preserve">. Analysis of their plant growth-promoting properties revealed that 93 % of the isolates produced ammonia (Table 1). Indeed, ammonia is a </w:t>
      </w:r>
      <w:r w:rsidRPr="00325DA5">
        <w:rPr>
          <w:rFonts w:ascii="Arial" w:hAnsi="Arial" w:cs="Arial"/>
          <w:lang w:eastAsia="fr-BE"/>
        </w:rPr>
        <w:t xml:space="preserve"> plant-available nitrogen source </w:t>
      </w:r>
      <w:r w:rsidRPr="00325DA5">
        <w:rPr>
          <w:rFonts w:ascii="Arial" w:hAnsi="Arial" w:cs="Arial"/>
        </w:rPr>
        <w:t xml:space="preserve">which is directly absorbed by plants for growth </w:t>
      </w:r>
      <w:r w:rsidRPr="00325DA5">
        <w:rPr>
          <w:rFonts w:ascii="Arial" w:hAnsi="Arial" w:cs="Arial"/>
        </w:rPr>
        <w:fldChar w:fldCharType="begin"/>
      </w:r>
      <w:r w:rsidRPr="00325DA5">
        <w:rPr>
          <w:rFonts w:ascii="Arial" w:hAnsi="Arial" w:cs="Arial"/>
        </w:rPr>
        <w:instrText xml:space="preserve"> ADDIN ZOTERO_ITEM CSL_CITATION {"citationID":"WZ7ZP8U6","properties":{"formattedCitation":"(Cherif-Silini et al., 2016)","plainCitation":"(Cherif-Silini et al., 2016)","noteIndex":0},"citationItems":[{"id":119,"uris":["http://zotero.org/users/5678157/items/PILL25L2"],"itemData":{"id":119,"type":"article-journal","container-title":"Annals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2016)</w:t>
      </w:r>
      <w:r w:rsidRPr="00325DA5">
        <w:rPr>
          <w:rFonts w:ascii="Arial" w:hAnsi="Arial" w:cs="Arial"/>
        </w:rPr>
        <w:fldChar w:fldCharType="end"/>
      </w:r>
      <w:r w:rsidRPr="00325DA5">
        <w:rPr>
          <w:rFonts w:ascii="Arial" w:hAnsi="Arial" w:cs="Arial"/>
        </w:rPr>
        <w:t xml:space="preserve">. These results are higher than those obtained by </w:t>
      </w:r>
      <w:r w:rsidRPr="00325DA5">
        <w:rPr>
          <w:rFonts w:ascii="Arial" w:hAnsi="Arial" w:cs="Arial"/>
        </w:rPr>
        <w:fldChar w:fldCharType="begin"/>
      </w:r>
      <w:r w:rsidRPr="00325DA5">
        <w:rPr>
          <w:rFonts w:ascii="Arial" w:hAnsi="Arial" w:cs="Arial"/>
        </w:rPr>
        <w:instrText xml:space="preserve"> ADDIN ZOTERO_ITEM CSL_CITATION {"citationID":"83Z8Png5","properties":{"formattedCitation":"(Cherif-Silini et al., 2016)","plainCitation":"(Cherif-Silini et al., 2016)","dontUpdate":true,"noteIndex":0},"citationItems":[{"id":119,"uris":["http://zotero.org/users/5678157/items/PILL25L2"],"itemData":{"id":119,"type":"article-journal","container-title":"Annals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(2016)</w:t>
      </w:r>
      <w:r w:rsidRPr="00325DA5">
        <w:rPr>
          <w:rFonts w:ascii="Arial" w:hAnsi="Arial" w:cs="Arial"/>
        </w:rPr>
        <w:fldChar w:fldCharType="end"/>
      </w:r>
      <w:r w:rsidRPr="00325DA5">
        <w:rPr>
          <w:rFonts w:ascii="Arial" w:hAnsi="Arial" w:cs="Arial"/>
        </w:rPr>
        <w:t xml:space="preserve">, who reported that 85 % of bacteria in the wheat rhizosphere were  able to produce </w:t>
      </w:r>
      <w:r w:rsidRPr="00325DA5">
        <w:rPr>
          <w:rFonts w:ascii="Arial" w:hAnsi="Arial" w:cs="Arial"/>
        </w:rPr>
        <w:lastRenderedPageBreak/>
        <w:t xml:space="preserve">ammonia. However, this result is consistent with those obtained by </w:t>
      </w:r>
      <w:r w:rsidRPr="00325DA5">
        <w:rPr>
          <w:rFonts w:ascii="Arial" w:hAnsi="Arial" w:cs="Arial"/>
        </w:rPr>
        <w:fldChar w:fldCharType="begin"/>
      </w:r>
      <w:r w:rsidRPr="00325DA5">
        <w:rPr>
          <w:rFonts w:ascii="Arial" w:hAnsi="Arial" w:cs="Arial"/>
        </w:rPr>
        <w:instrText xml:space="preserve"> ADDIN ZOTERO_ITEM CSL_CITATION {"citationID":"Q9RGi7RN","properties":{"formattedCitation":"(Joseph et al., 2007)","plainCitation":"(Joseph et al., 2007)","dontUpdate":true,"noteIndex":0},"citationItems":[{"id":208,"uris":["http://zotero.org/users/5678157/items/A3C5SFMW"],"itemData":{"id":208,"type":"article-journal","abstract":"Plant growth promoting rhizobacteria (PGPR) are known to influence plant growth by various direct or indirect mechanisms. In search of efficient PGPR strains with multiple activities, a total of 150 bacterial isolates belonging to Bacillus, Pseudomonas, Azotobacter and Rhizobium were isolated from different rhizospheric soil of chick pea in the vicinity of Allahabad. These test isolates were biochemically characterized and screened in vitro for their plant growth promoting traits like production of indoleacetic acid (IAA), ammonia (NH3), hydrogen cyanide (HCN), siderophore and catalase. All the isolates of Bacillus, Pseudomonas and Azotobacter produced IAA, whereas only 85.7% of Rhizobium was able to produce IAA. Production of ammonia was commonly detected in the isolates of Bacillus (95.0%) followed by Pseudomonas (94.2%), Rhizobium (74.2%) and Azotobacter (45.0%). All test isolates were positive for catalase but none of the isolates produced HCN. On the basis of multiple plant growth promoting activities, 20 bacterial isolates of each genus, in total 80 isolates, were evaluated for their heavy metal tolerance. Among these isolates, Bacillus spp. were tolerant to all the heavy metals (400 µg ml-1), whereas Pseudomonas spp. were tolerant to Hg (100 µg ml-1), Co (100 µg ml-1), Cd (200 µg ml-1), Cr (100 µg ml-1), Cu (200 µg ml-1), Pb (400 µg ml-1), Zn (200 µg ml-1). Tolerance to heavy metals was observed less frequently in Azotobacter spp. and Rhizobium spp. The isolates could exhibit more than two or three PGP traits, which may promote plant growth directly or indirectly or synergistically. Further, rhizobacteria tolerant to multiple heavy metals exhibited a couple of PGP activities.","language":"en","source":"Zotero","title":"Characterization of plant growth promoting rhizobacteria associated with chickpea (Cicer arietinum L.)","author":[{"family":"Joseph","given":"B"},{"family":"Patra","given":"R Ranjan"},{"family":"Lawrence","given":"R"}],"issued":{"date-parts":[["2007"]]}}}],"schema":"https://github.com/citation-style-language/schema/raw/master/csl-citation.json"} </w:instrText>
      </w:r>
      <w:r w:rsidRPr="00325DA5">
        <w:rPr>
          <w:rFonts w:ascii="Arial" w:hAnsi="Arial" w:cs="Arial"/>
        </w:rPr>
        <w:fldChar w:fldCharType="separate"/>
      </w:r>
      <w:r w:rsidRPr="00325DA5">
        <w:rPr>
          <w:rFonts w:ascii="Arial" w:hAnsi="Arial" w:cs="Arial"/>
        </w:rPr>
        <w:t>Joseph et al., (2007)</w:t>
      </w:r>
      <w:r w:rsidRPr="00325DA5">
        <w:rPr>
          <w:rFonts w:ascii="Arial" w:hAnsi="Arial" w:cs="Arial"/>
        </w:rPr>
        <w:fldChar w:fldCharType="end"/>
      </w:r>
      <w:r w:rsidRPr="00325DA5">
        <w:rPr>
          <w:rFonts w:ascii="Arial" w:hAnsi="Arial" w:cs="Arial"/>
        </w:rPr>
        <w:t xml:space="preserve">, who demonstrated that 95 % and 94 % of rhizobacteria among </w:t>
      </w:r>
      <w:r w:rsidRPr="00325DA5">
        <w:rPr>
          <w:rFonts w:ascii="Arial" w:hAnsi="Arial" w:cs="Arial"/>
          <w:i/>
          <w:iCs/>
        </w:rPr>
        <w:t>Bacillus</w:t>
      </w:r>
      <w:r w:rsidRPr="00325DA5">
        <w:rPr>
          <w:rFonts w:ascii="Arial" w:hAnsi="Arial" w:cs="Arial"/>
        </w:rPr>
        <w:t xml:space="preserve"> and </w:t>
      </w:r>
      <w:r w:rsidRPr="00325DA5">
        <w:rPr>
          <w:rFonts w:ascii="Arial" w:hAnsi="Arial" w:cs="Arial"/>
          <w:i/>
          <w:iCs/>
        </w:rPr>
        <w:t>Pseudomonas</w:t>
      </w:r>
      <w:r w:rsidRPr="00325DA5">
        <w:rPr>
          <w:rFonts w:ascii="Arial" w:hAnsi="Arial" w:cs="Arial"/>
        </w:rPr>
        <w:t xml:space="preserve"> associated with chickpeas were capable of producing ammonia, respectively. </w:t>
      </w:r>
      <w:r w:rsidRPr="00325DA5">
        <w:rPr>
          <w:rFonts w:ascii="Arial" w:hAnsi="Arial" w:cs="Arial"/>
          <w:lang w:eastAsia="fr-BE"/>
        </w:rPr>
        <w:t xml:space="preserve">Such variability likely reflects differences in plant species </w:t>
      </w:r>
      <w:r w:rsidRPr="00325DA5">
        <w:rPr>
          <w:rFonts w:ascii="Arial" w:hAnsi="Arial" w:cs="Arial"/>
        </w:rPr>
        <w:t xml:space="preserve">and abiotic factors </w:t>
      </w:r>
      <w:r w:rsidRPr="00325DA5">
        <w:rPr>
          <w:rFonts w:ascii="Arial" w:hAnsi="Arial" w:cs="Arial"/>
        </w:rPr>
        <w:fldChar w:fldCharType="begin"/>
      </w:r>
      <w:r w:rsidRPr="00325DA5">
        <w:rPr>
          <w:rFonts w:ascii="Arial" w:hAnsi="Arial" w:cs="Arial"/>
        </w:rPr>
        <w:instrText xml:space="preserve"> ADDIN ZOTERO_ITEM CSL_CITATION {"citationID":"cLZ3TyZv","properties":{"formattedCitation":"(Ulbrich et al., 2022)","plainCitation":"(Ulbrich et al., 2022)","noteIndex":0},"citationItems":[{"id":397,"uris":["http://zotero.org/users/5678157/items/8H2W9XMK"],"itemData":{"id":397,"type":"article-journal","container-title":"Soil Biology and Biochemistry","DOI":"10.1016/j.soilbio.2022.108753","ISSN":"00380717","journalAbbreviation":"Soil Biology and Biochemistry","language":"en","page":"108753","source":"DOI.org (Crossref)","title":"Plant root exudates and rhizosphere bacterial communities shift with neighbor context","volume":"172","author":[{"family":"Ulbrich","given":"Tayler C."},{"family":"Rivas-Ubach","given":"Albert"},{"family":"Tiemann","given":"Lisa K."},{"family":"Friesen","given":"Maren L."},{"family":"Evans","given":"Sarah E."}],"issued":{"date-parts":[["2022",9]]}}}],"schema":"https://github.com/citation-style-language/schema/raw/master/csl-citation.json"} </w:instrText>
      </w:r>
      <w:r w:rsidRPr="00325DA5">
        <w:rPr>
          <w:rFonts w:ascii="Arial" w:hAnsi="Arial" w:cs="Arial"/>
        </w:rPr>
        <w:fldChar w:fldCharType="separate"/>
      </w:r>
      <w:r w:rsidRPr="00325DA5">
        <w:rPr>
          <w:rFonts w:ascii="Arial" w:hAnsi="Arial" w:cs="Arial"/>
        </w:rPr>
        <w:t>(Ulbrich et al., 2022)</w:t>
      </w:r>
      <w:r w:rsidRPr="00325DA5">
        <w:rPr>
          <w:rFonts w:ascii="Arial" w:hAnsi="Arial" w:cs="Arial"/>
        </w:rPr>
        <w:fldChar w:fldCharType="end"/>
      </w:r>
      <w:r w:rsidRPr="00325DA5">
        <w:rPr>
          <w:rFonts w:ascii="Arial" w:hAnsi="Arial" w:cs="Arial"/>
        </w:rPr>
        <w:t xml:space="preserve">. </w:t>
      </w:r>
      <w:bookmarkStart w:id="6" w:name="_Hlk214657332"/>
      <w:r w:rsidRPr="00325DA5">
        <w:rPr>
          <w:rFonts w:ascii="Arial" w:hAnsi="Arial" w:cs="Arial"/>
        </w:rPr>
        <w:t xml:space="preserve">Indeed, each plant can release specific root exudates into the rhizosphere, leading to shaping </w:t>
      </w:r>
      <w:r w:rsidRPr="00325DA5">
        <w:rPr>
          <w:rFonts w:ascii="Arial" w:hAnsi="Arial" w:cs="Arial"/>
          <w:lang w:eastAsia="fr-BE"/>
        </w:rPr>
        <w:t xml:space="preserve">rhizosphere communities </w:t>
      </w:r>
      <w:r w:rsidRPr="00325DA5">
        <w:rPr>
          <w:rFonts w:ascii="Arial" w:hAnsi="Arial" w:cs="Arial"/>
          <w:lang w:eastAsia="fr-BE"/>
        </w:rPr>
        <w:fldChar w:fldCharType="begin"/>
      </w:r>
      <w:r w:rsidRPr="00325DA5">
        <w:rPr>
          <w:rFonts w:ascii="Arial" w:hAnsi="Arial" w:cs="Arial"/>
          <w:lang w:eastAsia="fr-BE"/>
        </w:rPr>
        <w:instrText xml:space="preserve"> ADDIN ZOTERO_ITEM CSL_CITATION {"citationID":"ijaRtzjg","properties":{"formattedCitation":"(Alahmad et al., 2024)","plainCitation":"(Alahmad et al., 2024)","noteIndex":0},"citationItems":[{"id":423,"uris":["http://zotero.org/users/5678157/items/BC23NYEU"],"itemData":{"id":423,"type":"article-journal","abstract":"Abstract\n            \n              Background\n              The rhizosheath, a cohesive soil layer firmly adhering to plant roots, plays a vital role in facilitating water and mineral uptake. In pearl millet, rhizosheath formation is genetically controlled and influenced by root exudates. Here, we investigated the impact of root exudates on the microbiota composition, interactions, and assembly processes, and rhizosheath structure in pearl millet using four distinct lines with contrasting soil aggregation abilities.\n            \n            \n              Results\n              Utilizing 16S rRNA gene and ITS metabarcoding for microbiota profiling, coupled with FTICR-MS metabonomic analysis of metabolite composition in distinct plant compartments and root exudates, we revealed substantial disparities in microbial diversity and interaction networks. The ß-NTI analysis highlighted bacterial rhizosphere turnover driven primarily by deterministic processes, showcasing prevalent homogeneous selection in root tissue (RT) and root-adhering soil (RAS). Conversely, fungal communities were more influenced by stochastic processes. In bulk soil assembly, a combination of deterministic and stochastic mechanisms shapes composition, with deterministic factors exerting a more pronounced role. Metabolic profiles across shoots, RT, and RAS in different pearl millet lines mirrored their soil aggregation levels, emphasizing the impact of inherent plant traits on microbiota composition and unique metabolic profiles in RT and exudates. Notably, exclusive presence of antimicrobial compounds, including DIMBOA and H-DIMBOA, emerged in root exudates and RT of low aggregation lines.\n            \n            \n              Conclusions\n              This research underscores the pivotal influence of root exudates in shaping the root-associated microbiota composition across pearl millet lines, entwined with their soil aggregation capacities. These findings underscore the interconnectedness of root exudates and microbiota, which jointly shape rhizosheath structure, deepening insights into soil–plant-microbe interactions and ecological processes shaping rhizosphere microbial communities. Deciphering plant–microbe interactions and their contribution to soil aggregation and microbiota dynamics holds promise for the advancement of sustainable agricultural strategies.","container-title":"Microbiome","DOI":"10.1186/s40168-023-01727-3","ISSN":"2049-2618","issue":"1","journalAbbreviation":"Microbiome","language":"en","page":"1","source":"DOI.org (Crossref)","title":"Unraveling the interplay between root exudates, microbiota, and rhizosheath formation in pearl millet","volume":"12","author":[{"family":"Alahmad","given":"Abdelrahman"},{"family":"Harir","given":"Mourad"},{"family":"Fochesato","given":"Sylvain"},{"family":"Tulumello","given":"Joris"},{"family":"Walker","given":"Alesia"},{"family":"Barakat","given":"Mohamed"},{"family":"Ndour","given":"Papa Mamadou Sitor"},{"family":"Schmitt-Kopplin","given":"Philippe"},{"family":"Cournac","given":"Laurent"},{"family":"Laplaze","given":"Laurent"},{"family":"Heulin","given":"Thierry"},{"family":"Achouak","given":"Wafa"}],"issued":{"date-parts":[["2024",1,3]]}}}],"schema":"https://github.com/citation-style-language/schema/raw/master/csl-citation.json"} </w:instrText>
      </w:r>
      <w:r w:rsidRPr="00325DA5">
        <w:rPr>
          <w:rFonts w:ascii="Arial" w:hAnsi="Arial" w:cs="Arial"/>
          <w:lang w:eastAsia="fr-BE"/>
        </w:rPr>
        <w:fldChar w:fldCharType="separate"/>
      </w:r>
      <w:r w:rsidRPr="00325DA5">
        <w:rPr>
          <w:rFonts w:ascii="Arial" w:hAnsi="Arial" w:cs="Arial"/>
        </w:rPr>
        <w:t>(Alahmad et al., 2024)</w:t>
      </w:r>
      <w:r w:rsidRPr="00325DA5">
        <w:rPr>
          <w:rFonts w:ascii="Arial" w:hAnsi="Arial" w:cs="Arial"/>
          <w:lang w:eastAsia="fr-BE"/>
        </w:rPr>
        <w:fldChar w:fldCharType="end"/>
      </w:r>
      <w:r w:rsidRPr="00325DA5">
        <w:rPr>
          <w:rFonts w:ascii="Arial" w:hAnsi="Arial" w:cs="Arial"/>
        </w:rPr>
        <w:t xml:space="preserve">. </w:t>
      </w:r>
    </w:p>
    <w:bookmarkEnd w:id="6"/>
    <w:p w14:paraId="0C7F4E47" w14:textId="77777777" w:rsidR="00325DA5" w:rsidRPr="00325DA5" w:rsidRDefault="00325DA5" w:rsidP="00325DA5">
      <w:pPr>
        <w:jc w:val="both"/>
        <w:rPr>
          <w:rFonts w:ascii="Arial" w:hAnsi="Arial" w:cs="Arial"/>
        </w:rPr>
      </w:pPr>
      <w:r w:rsidRPr="00325DA5">
        <w:rPr>
          <w:rFonts w:ascii="Arial" w:hAnsi="Arial" w:cs="Arial"/>
        </w:rPr>
        <w:t xml:space="preserve">During the study, </w:t>
      </w:r>
      <w:r w:rsidRPr="00325DA5">
        <w:rPr>
          <w:rFonts w:ascii="Arial" w:hAnsi="Arial" w:cs="Arial"/>
          <w:lang w:eastAsia="fr-BE"/>
        </w:rPr>
        <w:t xml:space="preserve">nitrogen fixation was detected in </w:t>
      </w:r>
      <w:r w:rsidRPr="00325DA5">
        <w:rPr>
          <w:rFonts w:ascii="Arial" w:hAnsi="Arial" w:cs="Arial"/>
        </w:rPr>
        <w:t xml:space="preserve">66 % of the isolates. This result is higher than those obtained by </w:t>
      </w:r>
      <w:r w:rsidRPr="00325DA5">
        <w:rPr>
          <w:rFonts w:ascii="Arial" w:hAnsi="Arial" w:cs="Arial"/>
        </w:rPr>
        <w:fldChar w:fldCharType="begin"/>
      </w:r>
      <w:r w:rsidRPr="00325DA5">
        <w:rPr>
          <w:rFonts w:ascii="Arial" w:hAnsi="Arial" w:cs="Arial"/>
        </w:rPr>
        <w:instrText xml:space="preserve"> ADDIN ZOTERO_ITEM CSL_CITATION {"citationID":"niZgf483","properties":{"formattedCitation":"(Cherif-Silini et al., 2016)","plainCitation":"(Cherif-Silini et al., 2016)","dontUpdate":true,"noteIndex":0},"citationItems":[{"id":119,"uris":["http://zotero.org/users/5678157/items/PILL25L2"],"itemData":{"id":119,"type":"article-journal","container-title":"Annals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( 2016)</w:t>
      </w:r>
      <w:r w:rsidRPr="00325DA5">
        <w:rPr>
          <w:rFonts w:ascii="Arial" w:hAnsi="Arial" w:cs="Arial"/>
        </w:rPr>
        <w:fldChar w:fldCharType="end"/>
      </w:r>
      <w:r w:rsidRPr="00325DA5">
        <w:rPr>
          <w:rFonts w:ascii="Arial" w:hAnsi="Arial" w:cs="Arial"/>
        </w:rPr>
        <w:t xml:space="preserve">, who demonstrated that 48 % of wheat rhizosphere bacteria were able of nitrogen fixation. However, the value obtained is </w:t>
      </w:r>
      <w:r w:rsidRPr="00325DA5">
        <w:rPr>
          <w:rFonts w:ascii="Arial" w:hAnsi="Arial" w:cs="Arial"/>
          <w:lang w:eastAsia="fr-BE"/>
        </w:rPr>
        <w:t xml:space="preserve">slightly lower than those </w:t>
      </w:r>
      <w:r w:rsidRPr="00325DA5">
        <w:rPr>
          <w:rFonts w:ascii="Arial" w:hAnsi="Arial" w:cs="Arial"/>
        </w:rPr>
        <w:t xml:space="preserve">  observed </w:t>
      </w:r>
      <w:r w:rsidRPr="00325DA5">
        <w:rPr>
          <w:rFonts w:ascii="Arial" w:hAnsi="Arial" w:cs="Arial"/>
          <w:lang w:eastAsia="fr-BE"/>
        </w:rPr>
        <w:t>in bean rhizobacteria</w:t>
      </w:r>
      <w:r w:rsidRPr="00325DA5">
        <w:rPr>
          <w:rFonts w:ascii="Arial" w:hAnsi="Arial" w:cs="Arial"/>
        </w:rPr>
        <w:t xml:space="preserve"> (70 %) </w:t>
      </w:r>
      <w:r w:rsidRPr="00325DA5">
        <w:rPr>
          <w:rFonts w:ascii="Arial" w:hAnsi="Arial" w:cs="Arial"/>
        </w:rPr>
        <w:fldChar w:fldCharType="begin"/>
      </w:r>
      <w:r w:rsidRPr="00325DA5">
        <w:rPr>
          <w:rFonts w:ascii="Arial" w:hAnsi="Arial" w:cs="Arial"/>
        </w:rPr>
        <w:instrText xml:space="preserve"> ADDIN ZOTERO_ITEM CSL_CITATION {"citationID":"ghQOrjEE","properties":{"formattedCitation":"(Aouane and Hamani, 2017)","plainCitation":"(Aouane and Hamani, 2017)","noteIndex":0},"citationItems":[{"id":395,"uris":["http://zotero.org/users/5678157/items/T9KD67A8"],"itemData":{"id":395,"type":"article-journal","container-title":"Memoire de master en Sciences. Université des Frères Mentouri Constantine","source":"Google Scholar","title":"Etude des PGPR “Plant Growth Promoting Rhizobacteria” des plantes actinorhiziennes: cas de Casuarina equisetifolia et d’Elaeagnusangustifolia","title-short":"Etude des PGPR “Plant Growth Promoting Rhizobacteria” des plantes actinorhiziennes","author":[{"family":"Aouane","given":"M."},{"family":"Hamani","given":"H."}],"issued":{"date-parts":[["2017"]]}}}],"schema":"https://github.com/citation-style-language/schema/raw/master/csl-citation.json"} </w:instrText>
      </w:r>
      <w:r w:rsidRPr="00325DA5">
        <w:rPr>
          <w:rFonts w:ascii="Arial" w:hAnsi="Arial" w:cs="Arial"/>
        </w:rPr>
        <w:fldChar w:fldCharType="separate"/>
      </w:r>
      <w:r w:rsidRPr="00325DA5">
        <w:rPr>
          <w:rFonts w:ascii="Arial" w:hAnsi="Arial" w:cs="Arial"/>
        </w:rPr>
        <w:t>(Aouane and Hamani, 2017)</w:t>
      </w:r>
      <w:r w:rsidRPr="00325DA5">
        <w:rPr>
          <w:rFonts w:ascii="Arial" w:hAnsi="Arial" w:cs="Arial"/>
        </w:rPr>
        <w:fldChar w:fldCharType="end"/>
      </w:r>
      <w:r w:rsidRPr="00325DA5">
        <w:rPr>
          <w:rFonts w:ascii="Arial" w:hAnsi="Arial" w:cs="Arial"/>
        </w:rPr>
        <w:t xml:space="preserve"> and on bacteria isolated (100 %) from rehabilitated forest soils </w:t>
      </w:r>
      <w:r w:rsidRPr="00325DA5">
        <w:rPr>
          <w:rFonts w:ascii="Arial" w:hAnsi="Arial" w:cs="Arial"/>
        </w:rPr>
        <w:fldChar w:fldCharType="begin"/>
      </w:r>
      <w:r w:rsidRPr="00325DA5">
        <w:rPr>
          <w:rFonts w:ascii="Arial" w:hAnsi="Arial" w:cs="Arial"/>
        </w:rPr>
        <w:instrText xml:space="preserve"> ADDIN ZOTERO_ITEM CSL_CITATION {"citationID":"scB6VTQa","properties":{"formattedCitation":"(Tang et al., 2020)","plainCitation":"(Tang et al., 2020)","dontUpdate":true,"noteIndex":0},"citationItems":[{"id":330,"uris":["http://zotero.org/users/5678157/items/4NCKUYMB"],"itemData":{"id":330,"type":"article-journal","abstract":"In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Boyie"}],"issued":{"date-parts":[["2020",3]]}}}],"schema":"https://github.com/citation-style-language/schema/raw/master/csl-citation.json"} </w:instrText>
      </w:r>
      <w:r w:rsidRPr="00325DA5">
        <w:rPr>
          <w:rFonts w:ascii="Arial" w:hAnsi="Arial" w:cs="Arial"/>
        </w:rPr>
        <w:fldChar w:fldCharType="separate"/>
      </w:r>
      <w:r w:rsidRPr="00325DA5">
        <w:rPr>
          <w:rFonts w:ascii="Arial" w:hAnsi="Arial" w:cs="Arial"/>
        </w:rPr>
        <w:t>Tang et al. (2020)</w:t>
      </w:r>
      <w:r w:rsidRPr="00325DA5">
        <w:rPr>
          <w:rFonts w:ascii="Arial" w:hAnsi="Arial" w:cs="Arial"/>
        </w:rPr>
        <w:fldChar w:fldCharType="end"/>
      </w:r>
      <w:r w:rsidRPr="00325DA5">
        <w:rPr>
          <w:rFonts w:ascii="Arial" w:hAnsi="Arial" w:cs="Arial"/>
        </w:rPr>
        <w:t xml:space="preserve">. These results could be explained by environmental factors (biotic and abiotic) that can influence the metabolism of isolates </w:t>
      </w:r>
      <w:r w:rsidRPr="00325DA5">
        <w:rPr>
          <w:rFonts w:ascii="Arial" w:hAnsi="Arial" w:cs="Arial"/>
        </w:rPr>
        <w:fldChar w:fldCharType="begin"/>
      </w:r>
      <w:r w:rsidRPr="00325DA5">
        <w:rPr>
          <w:rFonts w:ascii="Arial" w:hAnsi="Arial" w:cs="Arial"/>
        </w:rPr>
        <w:instrText xml:space="preserve"> ADDIN ZOTERO_ITEM CSL_CITATION {"citationID":"8zX2DAkK","properties":{"formattedCitation":"(Philippot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325DA5">
        <w:rPr>
          <w:rFonts w:ascii="Arial" w:hAnsi="Arial" w:cs="Arial"/>
        </w:rPr>
        <w:fldChar w:fldCharType="separate"/>
      </w:r>
      <w:r w:rsidRPr="00325DA5">
        <w:rPr>
          <w:rFonts w:ascii="Arial" w:hAnsi="Arial" w:cs="Arial"/>
        </w:rPr>
        <w:t>(Philippot et al., 2013)</w:t>
      </w:r>
      <w:r w:rsidRPr="00325DA5">
        <w:rPr>
          <w:rFonts w:ascii="Arial" w:hAnsi="Arial" w:cs="Arial"/>
        </w:rPr>
        <w:fldChar w:fldCharType="end"/>
      </w:r>
      <w:r w:rsidRPr="00325DA5">
        <w:rPr>
          <w:rFonts w:ascii="Arial" w:hAnsi="Arial" w:cs="Arial"/>
        </w:rPr>
        <w:t xml:space="preserve">. Nitrogen fixation is essential for plant nutrition and growth. Indeed, some rhizobacteria can convert atmospheric nitrogen into ammonia </w:t>
      </w:r>
      <w:r w:rsidRPr="00325DA5">
        <w:rPr>
          <w:rFonts w:ascii="Arial" w:hAnsi="Arial" w:cs="Arial"/>
          <w:lang w:eastAsia="fr-BE"/>
        </w:rPr>
        <w:t xml:space="preserve">through nitrogenase </w:t>
      </w:r>
      <w:r w:rsidRPr="00325DA5">
        <w:rPr>
          <w:rFonts w:ascii="Arial" w:hAnsi="Arial" w:cs="Arial"/>
        </w:rPr>
        <w:t xml:space="preserve"> </w:t>
      </w:r>
      <w:r w:rsidRPr="00325DA5">
        <w:rPr>
          <w:rFonts w:ascii="Arial" w:hAnsi="Arial" w:cs="Arial"/>
        </w:rPr>
        <w:fldChar w:fldCharType="begin"/>
      </w:r>
      <w:r w:rsidRPr="00325DA5">
        <w:rPr>
          <w:rFonts w:ascii="Arial" w:hAnsi="Arial" w:cs="Arial"/>
        </w:rPr>
        <w:instrText xml:space="preserve"> ADDIN ZOTERO_ITEM CSL_CITATION {"citationID":"xlwTC44s","properties":{"unsorted":true,"formattedCitation":"(Kenneth et al., 2019; Aasfar et al., 2024)","plainCitation":"(Kenneth et al., 2019; Aasfar et al., 2024)","noteIndex":0},"citationItems":[{"id":284,"uris":["http://zotero.org/users/5678157/items/Z82VGNUM"],"itemData":{"id":284,"type":"article-journal","abstract":"Plant Growth Promoting Rhizobacteria (PGPR) involves the use of large array of soil bacteria to improve yield, plant growth and sustainable food production. As free living and symbiotic rhizobacteria, PGPR exert its role by colonizing extracellular and/or intracellular rhizoenvironment in the quest for carbon source. In the past decades, focus has been on developing a biosafety agro base approach void of continuous burden on soil micro flora as a result of agrochemicals application. However, with clear understanding of PGPR mechanisms of action “biocontrol, biofertilization and biostimulation”, more hope on the possibility of curbing food insecurity amidst rising population has been strengthened. Seeds or soil application of PGPR inoculants enhances phosphates solubilization, biological nitrogen fixation and secretion of plant hormones (indole acetic acid, gibberellins, cytokinins and ethylene) needed for growth and adaptation in stressed environment. As soil pathogen constantly rival the roles of these organisms, PGPR has developed over time wide spectrum of strategies in the form of systemic resistance, iron, space and nutrient competition, antibiotics synthesis, lytic acid production and hydrogen cyanide for efficient food production. In view of this, the review broadens our scope on the use of PGPR as an efficient microbial consortium for enhanced agrobiology and sustenance especially in the tropics were paucity of data on its use, implementation and application of genetically modified organisms has long prevailed.","container-title":"American Journal of Agricultural and Biological Sciences","DOI":"10.3844/ajabssp.2019.35.54","ISSN":"1557-4989","issue":"1","journalAbbreviation":"American Journal of Agricultural and Biological Sciences","language":"en","page":"35-54","source":"DOI.org (Crossref)","title":"Plant Growth Promoting Rhizobacteria (PGPR): A Novel Agent for Sustainable Food Production","title-short":"Plant Growth Promoting Rhizobacteria (PGPR)","volume":"14","author":[{"family":"Kenneth","given":"Odoh Chuks"},{"family":"Nwadibe","given":"Eze Chibuzor"},{"family":"Kalu","given":"Akpi Uchenna"},{"family":"Unah","given":"Unah Victor"}],"issued":{"date-parts":[["2019",1,1]]}},"label":"page"},{"id":285,"uris":["http://zotero.org/users/5678157/items/PKMPXC4J"],"itemData":{"id":285,"type":"article-journal","abstract":"Introduction\n              Given their remarkable capacity to convert atmospheric nitrogen into plant-accessible ammonia, nitrogen-fixing microbial species hold promise as a sustainable alternative to chemical nitrogen fertilizers, particularly in economically significant crops like wheat. This study aimed to identify strains with optimal attributes for promoting wheat growth sustainably, with a primary emphasis on reducing reliance on chemical nitrogen fertilizers.\n            \n            \n              Methods\n              \n                We isolated free nitrogen-fixing strains from diverse rhizospheric soils across Morocco. Subsequently, we conducted a rigorous screening process to evaluate their plant growth-promoting traits, including nitrogen fixation, phosphate solubilization, phytohormone production and their ability to enhance wheat plant growth under controlled conditions. Two specific strains,\n                Rhodotorula mucilaginosa\n                NF 516 and\n                Arthrobacter\n                sp. NF 528, were selected for in-depth evaluation, with the focus on their ability to reduce the need for chemical nitrogen supply, particularly when used in conjunction with TSP fertilizer and natural rock phosphate. These two sources of phosphate were chosen to assess their agricultural effectiveness on wheat plants.\n              \n            \n            \n              Results and discussion\n              \n                Twenty-two nitrogen-fixing strains (\n                nif-H\n                +) were isolated from various Moroccan rhizospheric soils, representing\n                Bacillus\n                sp.,\n                Pseudomonas\n                sp.,\n                Arthrobacter\n                sp.,\n                Burkholderia\n                sp. and a yeast-like microorganism. These strains were carefully selected based on their potential to promote plant growth. The findings revealed that the application of\n                Rhodotorula mucilaginosa\n                NF 516 and\n                Arthrobacter\n                sp. NF 528 individually or in combination, significantly improved wheat plant growth and enhanced nutrients (N and P) uptake under reduced nitrogen regimes. Notably, their effectiveness was evident in response to both natural rock phosphate and TSP, demonstrating their important role in wheat production under conditions of low nitrogen and complex phosphorus inputs. This research underscores the significant role of nitrogen-fixing microorganisms, particularly\n                Rhodotorula mucilaginosa\n                NF 516 and\n                Arthrobacter\n                sp. NF 528, in wheat production under conditions of low nitrogen and complex phosphorus inputs. It showcases their potential to reduce chemical nitrogen fertilization requirements by up to 50% without compromising wheat plant yields. Our study emphasizes the importance of bacterial biological nitrogen fixation in meeting the remaining nitrogen requirements beyond this reduction. This underscores the vital role of microbial contributions in providing essential nitrogen for optimal plant growth and highlights the significance of biological nitrogen fixation in sustainable agriculture practices.","container-title":"Frontiers in Plant Science","DOI":"10.3389/fpls.2024.1388775","ISSN":"1664-462X","journalAbbreviation":"Front. Plant Sci.","page":"1388775","source":"DOI.org (Crossref)","title":"Agronomic advantage of bacterial biological nitrogen fixation on wheat plant growth under contrasting nitrogen and phosphorus regimes","volume":"15","author":[{"family":"Aasfar","given":"Abderrahim"},{"family":"Meftah Kadmiri","given":"Issam"},{"family":"Azaroual","given":"Salah Eddine"},{"family":"Lemriss","given":"Sanaâ"},{"family":"Mernissi","given":"Najib El"},{"family":"Bargaz","given":"Adnane"},{"family":"Zeroual","given":"Youssef"},{"family":"Hilali","given":"Abderraouf"}],"issued":{"date-parts":[["2024",5,8]]}},"label":"page"}],"schema":"https://github.com/citation-style-language/schema/raw/master/csl-citation.json"} </w:instrText>
      </w:r>
      <w:r w:rsidRPr="00325DA5">
        <w:rPr>
          <w:rFonts w:ascii="Arial" w:hAnsi="Arial" w:cs="Arial"/>
        </w:rPr>
        <w:fldChar w:fldCharType="separate"/>
      </w:r>
      <w:r w:rsidRPr="00325DA5">
        <w:rPr>
          <w:rFonts w:ascii="Arial" w:hAnsi="Arial" w:cs="Arial"/>
        </w:rPr>
        <w:t>(Kenneth et al., 2019; Aasfar et al., 2024)</w:t>
      </w:r>
      <w:r w:rsidRPr="00325DA5">
        <w:rPr>
          <w:rFonts w:ascii="Arial" w:hAnsi="Arial" w:cs="Arial"/>
        </w:rPr>
        <w:fldChar w:fldCharType="end"/>
      </w:r>
      <w:r w:rsidRPr="00325DA5">
        <w:rPr>
          <w:rFonts w:ascii="Arial" w:hAnsi="Arial" w:cs="Arial"/>
        </w:rPr>
        <w:t xml:space="preserve">, </w:t>
      </w:r>
    </w:p>
    <w:p w14:paraId="0AEAC314" w14:textId="77777777" w:rsidR="00325DA5" w:rsidRPr="00325DA5" w:rsidRDefault="00325DA5" w:rsidP="00325DA5">
      <w:pPr>
        <w:jc w:val="both"/>
        <w:rPr>
          <w:rFonts w:ascii="Arial" w:hAnsi="Arial" w:cs="Arial"/>
        </w:rPr>
      </w:pPr>
      <w:r w:rsidRPr="00325DA5">
        <w:rPr>
          <w:rFonts w:ascii="Arial" w:hAnsi="Arial" w:cs="Arial"/>
        </w:rPr>
        <w:t xml:space="preserve">IAA production was observed in 44 % of the isolates. This molecule is the most common and effective plant growth hormone </w:t>
      </w:r>
      <w:r w:rsidRPr="00325DA5">
        <w:rPr>
          <w:rFonts w:ascii="Arial" w:hAnsi="Arial" w:cs="Arial"/>
        </w:rPr>
        <w:fldChar w:fldCharType="begin"/>
      </w:r>
      <w:r w:rsidRPr="00325DA5">
        <w:rPr>
          <w:rFonts w:ascii="Arial" w:hAnsi="Arial" w:cs="Arial"/>
        </w:rPr>
        <w:instrText xml:space="preserve"> ADDIN ZOTERO_ITEM CSL_CITATION {"citationID":"32UkUDtJ","properties":{"formattedCitation":"(Cherif-Silini et al., 2016)","plainCitation":"(Cherif-Silini et al., 2016)","noteIndex":0},"citationItems":[{"id":119,"uris":["http://zotero.org/users/5678157/items/PILL25L2"],"itemData":{"id":119,"type":"article-journal","container-title":"Annals of Microbiology","DOI":"10.1007/s13213-016-1194-6","ISSN":"1590-4261, 1869-2044","issue":"3","journalAbbreviation":"Ann Microbiol","language":"en","page":"1087-1097","source":"DOI.org (Crossref)","title":"Phylogenetic and plant-growth-promoting characteristics of Bacillus isolated from the wheat rhizosphere","volume":"66","author":[{"family":"Cherif-Silini","given":"Hafsa"},{"family":"Silini","given":"Allaoua"},{"family":"Yahiaoui","given":"Bilal"},{"family":"Ouzari","given":"Imen"},{"family":"Boudabous","given":"Abdellatif"}],"issued":{"date-parts":[["2016",9]]}}}],"schema":"https://github.com/citation-style-language/schema/raw/master/csl-citation.json"} </w:instrText>
      </w:r>
      <w:r w:rsidRPr="00325DA5">
        <w:rPr>
          <w:rFonts w:ascii="Arial" w:hAnsi="Arial" w:cs="Arial"/>
        </w:rPr>
        <w:fldChar w:fldCharType="separate"/>
      </w:r>
      <w:r w:rsidRPr="00325DA5">
        <w:rPr>
          <w:rFonts w:ascii="Arial" w:hAnsi="Arial" w:cs="Arial"/>
        </w:rPr>
        <w:t>(Cherif-Silini et al., 2016)</w:t>
      </w:r>
      <w:r w:rsidRPr="00325DA5">
        <w:rPr>
          <w:rFonts w:ascii="Arial" w:hAnsi="Arial" w:cs="Arial"/>
        </w:rPr>
        <w:fldChar w:fldCharType="end"/>
      </w:r>
      <w:r w:rsidRPr="00325DA5">
        <w:rPr>
          <w:rFonts w:ascii="Arial" w:hAnsi="Arial" w:cs="Arial"/>
        </w:rPr>
        <w:t xml:space="preserve">. However, the result obtained is lower than 49 % reported in tomato by </w:t>
      </w:r>
      <w:r w:rsidRPr="00325DA5">
        <w:rPr>
          <w:rFonts w:ascii="Arial" w:hAnsi="Arial" w:cs="Arial"/>
        </w:rPr>
        <w:fldChar w:fldCharType="begin"/>
      </w:r>
      <w:r w:rsidRPr="00325DA5">
        <w:rPr>
          <w:rFonts w:ascii="Arial" w:hAnsi="Arial" w:cs="Arial"/>
        </w:rPr>
        <w:instrText xml:space="preserve"> ADDIN ZOTERO_ITEM CSL_CITATION {"citationID":"YJbQo5Vc","properties":{"formattedCitation":"(Vaikuntapu et al., 2014)","plainCitation":"(Vaikuntapu et al., 2014)","dontUpdate":true,"noteIndex":0},"citationItems":[{"id":216,"uris":["http://zotero.org/users/5678157/items/82T9MV6F"],"itemData":{"id":216,"type":"article-journal","abstract":"A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Rao"}],"issued":{"date-parts":[["2014",12]]}}}],"schema":"https://github.com/citation-style-language/schema/raw/master/csl-citation.json"} </w:instrText>
      </w:r>
      <w:r w:rsidRPr="00325DA5">
        <w:rPr>
          <w:rFonts w:ascii="Arial" w:hAnsi="Arial" w:cs="Arial"/>
        </w:rPr>
        <w:fldChar w:fldCharType="separate"/>
      </w:r>
      <w:r w:rsidRPr="00325DA5">
        <w:rPr>
          <w:rFonts w:ascii="Arial" w:hAnsi="Arial" w:cs="Arial"/>
        </w:rPr>
        <w:t>Vaikuntapu et al. (2014)</w:t>
      </w:r>
      <w:r w:rsidRPr="00325DA5">
        <w:rPr>
          <w:rFonts w:ascii="Arial" w:hAnsi="Arial" w:cs="Arial"/>
        </w:rPr>
        <w:fldChar w:fldCharType="end"/>
      </w:r>
      <w:r w:rsidRPr="00325DA5">
        <w:rPr>
          <w:rFonts w:ascii="Arial" w:hAnsi="Arial" w:cs="Arial"/>
        </w:rPr>
        <w:t xml:space="preserve"> and 100 % in cucumber rhizobacteria </w:t>
      </w:r>
      <w:r w:rsidRPr="00325DA5">
        <w:rPr>
          <w:rFonts w:ascii="Arial" w:hAnsi="Arial" w:cs="Arial"/>
        </w:rPr>
        <w:fldChar w:fldCharType="begin"/>
      </w:r>
      <w:r w:rsidRPr="00325DA5">
        <w:rPr>
          <w:rFonts w:ascii="Arial" w:hAnsi="Arial" w:cs="Arial"/>
        </w:rPr>
        <w:instrText xml:space="preserve"> ADDIN ZOTERO_ITEM CSL_CITATION {"citationID":"HRGe5fUP","properties":{"formattedCitation":"(Islam et al., 2016)","plainCitation":"(Islam et al., 2016)","noteIndex":0},"citationItems":[{"id":183,"uris":["http://zotero.org/users/5678157/items/FI5FVJ6T"],"itemData":{"id":183,"type":"article-journal","container-title":"Frontiers in Microbiology","DOI":"10.3389/fmicb.2015.01360","ISSN":"1664-302X","journalAbbreviation":"Front. Microbiol.","source":"DOI.org (Crossref)","title":"Isolation and Identification of Plant Growth Promoting Rhizobacteria from Cucumber Rhizosphere and Their Effect on Plant Growth Promotion and Disease Suppression","URL":"http://journal.frontiersin.org/Article/10.3389/fmicb.2015.01360/abstract","volume":"6","author":[{"family":"Islam","given":"Shaikhul"},{"family":"Akanda","given":"Abdul M."},{"family":"Prova","given":"Ananya"},{"family":"Islam","given":"Md. T."},{"family":"Hossain","given":"Md. M."}],"accessed":{"date-parts":[["2025",5,25]]},"issued":{"date-parts":[["2016",2,2]]}}}],"schema":"https://github.com/citation-style-language/schema/raw/master/csl-citation.json"} </w:instrText>
      </w:r>
      <w:r w:rsidRPr="00325DA5">
        <w:rPr>
          <w:rFonts w:ascii="Arial" w:hAnsi="Arial" w:cs="Arial"/>
        </w:rPr>
        <w:fldChar w:fldCharType="separate"/>
      </w:r>
      <w:r w:rsidRPr="00325DA5">
        <w:rPr>
          <w:rFonts w:ascii="Arial" w:hAnsi="Arial" w:cs="Arial"/>
        </w:rPr>
        <w:t>(Islam et al., 2016)</w:t>
      </w:r>
      <w:r w:rsidRPr="00325DA5">
        <w:rPr>
          <w:rFonts w:ascii="Arial" w:hAnsi="Arial" w:cs="Arial"/>
        </w:rPr>
        <w:fldChar w:fldCharType="end"/>
      </w:r>
      <w:r w:rsidRPr="00325DA5">
        <w:rPr>
          <w:rFonts w:ascii="Arial" w:hAnsi="Arial" w:cs="Arial"/>
        </w:rPr>
        <w:t xml:space="preserve">. These results could be explained by the differences between the studied tomato varieties </w:t>
      </w:r>
      <w:r w:rsidRPr="00325DA5">
        <w:rPr>
          <w:rFonts w:ascii="Arial" w:hAnsi="Arial" w:cs="Arial"/>
        </w:rPr>
        <w:fldChar w:fldCharType="begin"/>
      </w:r>
      <w:r w:rsidRPr="00325DA5">
        <w:rPr>
          <w:rFonts w:ascii="Arial" w:hAnsi="Arial" w:cs="Arial"/>
        </w:rPr>
        <w:instrText xml:space="preserve"> ADDIN ZOTERO_ITEM CSL_CITATION {"citationID":"IAAduK3A","properties":{"formattedCitation":"(Smulders et al., 2021)","plainCitation":"(Smulders et al., 2021)","noteIndex":0},"citationItems":[{"id":227,"uris":["http://zotero.org/users/5678157/items/JLLQ6HZD"],"itemData":{"id":227,"type":"article-journal","abstract":"While it has been well evidenced that plant domestication affects the structure of the root-associated microbiome, there is a poor understanding of how domestication-mediated differences between rhizosphere microorganisms functionally affect microbial ecosystem services. In this study, we explore how domestication influenced functional assembly patterns of bacterial communities in the root-associated soil of 27 tomato accessions through a transect of evolution, from plant ancestors to landraces to modern cultivars. Based on molecular analysis, functional profiles were predicted and co-occurrence networks were constructed based on the identification of co-presences of functional units in the tomato root-associated microbiome. The results revealed differences in eight metabolic pathway categories and highlighted the influence of the host genotype on the potential functions of soil bacterial communities. In general, wild tomatoes differed from modern cultivars and tomato landraces which showed similar values, although all ancestral functional characteristics have been conserved across time. We also found that certain functional groups tended to be more evolutionarily conserved in bacterial communities associated with tomato landraces than those of modern varieties. We hypothesize that the capacity of soil bacteria to provide ecosystem services is affected by agronomic practices linked to the domestication process, particularly those related to the preservation of soil organic matter.","container-title":"Plants","DOI":"10.3390/plants10091942","ISSN":"2223-7747","issue":"9","language":"en","license":"http://creativecommons.org/licenses/by/3.0/","note":"number: 9\npublisher: Multidisciplinary Digital Publishing Institute","page":"1942","source":"www.mdpi.com","title":"Tomato Domestication Affects Potential Functional Molecular Pathways of Root-Associated Soil Bacteria","volume":"10","author":[{"family":"Smulders","given":"Lisanne"},{"family":"Benítez","given":"Emilio"},{"family":"Moreno","given":"Beatriz"},{"family":"López-García","given":"Álvaro"},{"family":"Pozo","given":"María J."},{"family":"Ferrero","given":"Victoria"},{"family":"Peña","given":"Eduardo","non-dropping-particle":"de la"},{"family":"Alcalá Herrera","given":"Rafael"}],"issued":{"date-parts":[["2021",9]]}}}],"schema":"https://github.com/citation-style-language/schema/raw/master/csl-citation.json"} </w:instrText>
      </w:r>
      <w:r w:rsidRPr="00325DA5">
        <w:rPr>
          <w:rFonts w:ascii="Arial" w:hAnsi="Arial" w:cs="Arial"/>
        </w:rPr>
        <w:fldChar w:fldCharType="separate"/>
      </w:r>
      <w:r w:rsidRPr="00325DA5">
        <w:rPr>
          <w:rFonts w:ascii="Arial" w:hAnsi="Arial" w:cs="Arial"/>
        </w:rPr>
        <w:t>(Smulders et al., 2021)</w:t>
      </w:r>
      <w:r w:rsidRPr="00325DA5">
        <w:rPr>
          <w:rFonts w:ascii="Arial" w:hAnsi="Arial" w:cs="Arial"/>
        </w:rPr>
        <w:fldChar w:fldCharType="end"/>
      </w:r>
      <w:r w:rsidRPr="00325DA5">
        <w:rPr>
          <w:rFonts w:ascii="Arial" w:hAnsi="Arial" w:cs="Arial"/>
        </w:rPr>
        <w:t xml:space="preserve">, the plant species, and environmental variability </w:t>
      </w:r>
      <w:r w:rsidRPr="00325DA5">
        <w:rPr>
          <w:rFonts w:ascii="Arial" w:hAnsi="Arial" w:cs="Arial"/>
        </w:rPr>
        <w:fldChar w:fldCharType="begin"/>
      </w:r>
      <w:r w:rsidRPr="00325DA5">
        <w:rPr>
          <w:rFonts w:ascii="Arial" w:hAnsi="Arial" w:cs="Arial"/>
        </w:rPr>
        <w:instrText xml:space="preserve"> ADDIN ZOTERO_ITEM CSL_CITATION {"citationID":"giepaKkg","properties":{"formattedCitation":"(Philippot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325DA5">
        <w:rPr>
          <w:rFonts w:ascii="Arial" w:hAnsi="Arial" w:cs="Arial"/>
        </w:rPr>
        <w:fldChar w:fldCharType="separate"/>
      </w:r>
      <w:r w:rsidRPr="00325DA5">
        <w:rPr>
          <w:rFonts w:ascii="Arial" w:hAnsi="Arial" w:cs="Arial"/>
        </w:rPr>
        <w:t>(Philippot et al., 2013)</w:t>
      </w:r>
      <w:r w:rsidRPr="00325DA5">
        <w:rPr>
          <w:rFonts w:ascii="Arial" w:hAnsi="Arial" w:cs="Arial"/>
        </w:rPr>
        <w:fldChar w:fldCharType="end"/>
      </w:r>
      <w:r w:rsidRPr="00325DA5">
        <w:rPr>
          <w:rFonts w:ascii="Arial" w:hAnsi="Arial" w:cs="Arial"/>
        </w:rPr>
        <w:t xml:space="preserve">.  </w:t>
      </w:r>
    </w:p>
    <w:p w14:paraId="6B4A7C1A" w14:textId="77777777" w:rsidR="00325DA5" w:rsidRPr="00325DA5" w:rsidRDefault="00325DA5" w:rsidP="00325DA5">
      <w:pPr>
        <w:jc w:val="both"/>
        <w:rPr>
          <w:rFonts w:ascii="Arial" w:hAnsi="Arial" w:cs="Arial"/>
        </w:rPr>
      </w:pPr>
      <w:r w:rsidRPr="00325DA5">
        <w:rPr>
          <w:rFonts w:ascii="Arial" w:hAnsi="Arial" w:cs="Arial"/>
          <w:lang w:eastAsia="fr-BE"/>
        </w:rPr>
        <w:t xml:space="preserve">IAA-production by bacteria can enhance  nutrient uptake, root development, and regulate several physiological processes including fruit formation, stem elongation, and cell differentiation </w:t>
      </w:r>
      <w:r w:rsidRPr="00325DA5">
        <w:rPr>
          <w:rFonts w:ascii="Arial" w:hAnsi="Arial" w:cs="Arial"/>
        </w:rPr>
        <w:fldChar w:fldCharType="begin"/>
      </w:r>
      <w:r w:rsidRPr="00325DA5">
        <w:rPr>
          <w:rFonts w:ascii="Arial" w:hAnsi="Arial" w:cs="Arial"/>
        </w:rPr>
        <w:instrText xml:space="preserve"> ADDIN ZOTERO_ITEM CSL_CITATION {"citationID":"Sv87Ioas","properties":{"formattedCitation":"(Carrillo et al., 2002)","plainCitation":"(Carrillo et al., 2002)","dontUpdate":true,"noteIndex":0},"citationItems":[{"id":214,"uris":["http://zotero.org/users/5678157/items/B5QEZINJ"],"itemData":{"id":214,"type":"article-journal","abstract":"Acidification of the rhizosphere of cactus seedlings (giant cardon, Pachycereus pringlei) after inoculation with the plant growth-promoting bacterium Azospirillum brasilense Cd, in the presence or absence of ammonium and nitrate, was studied to understand how to increase growth of cardon seedlings in poor desert soils. While ammonium enhanced rhizosphere and liquid culture acidification, inoculation with the bacteria enhanced it further. On the other hand, nitrate increased pH of the rhizosphere, but combined with the bacterial inoculation, increase in pH was significantly smaller. Bacterial inoculation with ammonium enhanced plant growth.","container-title":"Die Naturwissenschaften","DOI":"10.1007/s00114-002-0347-6","ISSN":"0028-1042","issue":"9","journalAbbreviation":"Naturwissenschaften","language":"eng","note":"PMID: 12435098","page":"428-432","source":"PubMed","title":"Increased acidification in the rhizosphere of cactus seedlings induced by Azospirillum brasilense","volume":"89","author":[{"family":"Carrillo","given":"Angel E."},{"family":"Li","given":"Ching Y."},{"family":"Bashan","given":"Yoav"}],"issued":{"date-parts":[["2002",9]]}}}],"schema":"https://github.com/citation-style-language/schema/raw/master/csl-citation.json"} </w:instrText>
      </w:r>
      <w:r w:rsidRPr="00325DA5">
        <w:rPr>
          <w:rFonts w:ascii="Arial" w:hAnsi="Arial" w:cs="Arial"/>
        </w:rPr>
        <w:fldChar w:fldCharType="separate"/>
      </w:r>
      <w:r w:rsidRPr="00325DA5">
        <w:rPr>
          <w:rFonts w:ascii="Arial" w:hAnsi="Arial" w:cs="Arial"/>
        </w:rPr>
        <w:t>(Carrillo et al., 2002</w:t>
      </w:r>
      <w:r w:rsidRPr="00325DA5">
        <w:rPr>
          <w:rFonts w:ascii="Arial" w:hAnsi="Arial" w:cs="Arial"/>
        </w:rPr>
        <w:fldChar w:fldCharType="end"/>
      </w:r>
      <w:r w:rsidRPr="00325DA5">
        <w:rPr>
          <w:rFonts w:ascii="Arial" w:hAnsi="Arial" w:cs="Arial"/>
        </w:rPr>
        <w:t xml:space="preserve"> ; </w:t>
      </w:r>
      <w:r w:rsidRPr="00325DA5">
        <w:rPr>
          <w:rFonts w:ascii="Arial" w:hAnsi="Arial" w:cs="Arial"/>
        </w:rPr>
        <w:fldChar w:fldCharType="begin"/>
      </w:r>
      <w:r w:rsidRPr="00325DA5">
        <w:rPr>
          <w:rFonts w:ascii="Arial" w:hAnsi="Arial" w:cs="Arial"/>
        </w:rPr>
        <w:instrText xml:space="preserve"> ADDIN ZOTERO_ITEM CSL_CITATION {"citationID":"l6ZzIHqA","properties":{"formattedCitation":"(Khalid et al., 2004)","plainCitation":"(Khalid et al., 2004)","dontUpdate":true,"noteIndex":0},"citationItems":[{"id":222,"uris":["http://zotero.org/users/5678157/items/ZLWSN7QX"],"itemData":{"id":222,"type":"article-journal","abstract":"Abstract. Aims: Plant growth promoting rhizobacteria (PGPR) are commonly used as inoculants for improving the growth and yield of agricultural crops, howev","container-title":"Journal of Applied Microbiology","DOI":"10.1046/j.1365-2672.2003.02161.x","ISSN":"1364-5072","issue":"3","journalAbbreviation":"J. Appl. Microbiol.","language":"fr","note":"publisher: Oxford Academic","page":"473-480","source":"academic.oup.com","title":"Screening plant growth</w:instrText>
      </w:r>
      <w:r w:rsidRPr="00325DA5">
        <w:rPr>
          <w:rFonts w:ascii="Cambria Math" w:hAnsi="Cambria Math" w:cs="Cambria Math"/>
        </w:rPr>
        <w:instrText>‐</w:instrText>
      </w:r>
      <w:r w:rsidRPr="00325DA5">
        <w:rPr>
          <w:rFonts w:ascii="Arial" w:hAnsi="Arial" w:cs="Arial"/>
        </w:rPr>
        <w:instrText xml:space="preserve">promoting rhizobacteria for improving growth and yield of wheat","volume":"96","author":[{"family":"Khalid","given":"A."},{"family":"Arshad","given":"M."},{"family":"Zahir","given":"Z. A."}],"issued":{"date-parts":[["2004",3,1]]}}}],"schema":"https://github.com/citation-style-language/schema/raw/master/csl-citation.json"} </w:instrText>
      </w:r>
      <w:r w:rsidRPr="00325DA5">
        <w:rPr>
          <w:rFonts w:ascii="Arial" w:hAnsi="Arial" w:cs="Arial"/>
        </w:rPr>
        <w:fldChar w:fldCharType="separate"/>
      </w:r>
      <w:r w:rsidRPr="00325DA5">
        <w:rPr>
          <w:rFonts w:ascii="Arial" w:hAnsi="Arial" w:cs="Arial"/>
        </w:rPr>
        <w:t>Khalid et al., 2004</w:t>
      </w:r>
      <w:r w:rsidRPr="00325DA5">
        <w:rPr>
          <w:rFonts w:ascii="Arial" w:hAnsi="Arial" w:cs="Arial"/>
        </w:rPr>
        <w:fldChar w:fldCharType="end"/>
      </w:r>
      <w:r w:rsidRPr="00325DA5">
        <w:rPr>
          <w:rFonts w:ascii="Arial" w:hAnsi="Arial" w:cs="Arial"/>
        </w:rPr>
        <w:t xml:space="preserve">; </w:t>
      </w:r>
      <w:r w:rsidRPr="00325DA5">
        <w:rPr>
          <w:rFonts w:ascii="Arial" w:hAnsi="Arial" w:cs="Arial"/>
        </w:rPr>
        <w:fldChar w:fldCharType="begin"/>
      </w:r>
      <w:r w:rsidRPr="00325DA5">
        <w:rPr>
          <w:rFonts w:ascii="Arial" w:hAnsi="Arial" w:cs="Arial"/>
        </w:rPr>
        <w:instrText xml:space="preserve"> ADDIN ZOTERO_ITEM CSL_CITATION {"citationID":"ePVCvrBB","properties":{"formattedCitation":"(Lounis and Mansouri, 2022)","plainCitation":"(Lounis and Mansouri, 2022)","dontUpdate":true,"noteIndex":0},"citationItems":[{"id":406,"uris":["http://zotero.org/users/5678157/items/YGMRM69X"],"itemData":{"id":406,"type":"thesis","genre":"PhD Thesis","publisher":"Université Mouloud Mammeri","source":"Google Scholar","title":"Etude de l’antagonisme in Planta de deux souches de Pseudomonas spp. Fluorescents vis-à-vis de Fusarium oxysporum f. sp. lycopersici","URL":"https://dspace.ummto.dz/bitstreams/5eaa2bdc-f962-434c-b27b-b404ca07fc43/download","author":[{"family":"Lounis","given":"Nawal"},{"family":"Mansouri","given":"Katia"}],"accessed":{"date-parts":[["2025",11,6]]},"issued":{"date-parts":[["2022"]]}}}],"schema":"https://github.com/citation-style-language/schema/raw/master/csl-citation.json"} </w:instrText>
      </w:r>
      <w:r w:rsidRPr="00325DA5">
        <w:rPr>
          <w:rFonts w:ascii="Arial" w:hAnsi="Arial" w:cs="Arial"/>
        </w:rPr>
        <w:fldChar w:fldCharType="separate"/>
      </w:r>
      <w:r w:rsidRPr="00325DA5">
        <w:rPr>
          <w:rFonts w:ascii="Arial" w:hAnsi="Arial" w:cs="Arial"/>
        </w:rPr>
        <w:t>Lounis and Mansouri, 2022)</w:t>
      </w:r>
      <w:r w:rsidRPr="00325DA5">
        <w:rPr>
          <w:rFonts w:ascii="Arial" w:hAnsi="Arial" w:cs="Arial"/>
        </w:rPr>
        <w:fldChar w:fldCharType="end"/>
      </w:r>
      <w:r w:rsidRPr="00325DA5">
        <w:rPr>
          <w:rFonts w:ascii="Arial" w:hAnsi="Arial" w:cs="Arial"/>
        </w:rPr>
        <w:t>.</w:t>
      </w:r>
    </w:p>
    <w:p w14:paraId="2387E73C" w14:textId="77777777" w:rsidR="00325DA5" w:rsidRPr="008F289C" w:rsidRDefault="00325DA5" w:rsidP="00325DA5">
      <w:pPr>
        <w:jc w:val="both"/>
        <w:rPr>
          <w:rFonts w:ascii="Arial" w:hAnsi="Arial" w:cs="Arial"/>
          <w:sz w:val="24"/>
          <w:szCs w:val="24"/>
        </w:rPr>
      </w:pPr>
    </w:p>
    <w:p w14:paraId="2FBEB0F4" w14:textId="77777777" w:rsidR="00325DA5" w:rsidRPr="006066F2" w:rsidRDefault="00325DA5" w:rsidP="00325DA5">
      <w:pPr>
        <w:jc w:val="both"/>
        <w:rPr>
          <w:rFonts w:ascii="Arial" w:hAnsi="Arial" w:cs="Arial"/>
        </w:rPr>
      </w:pPr>
    </w:p>
    <w:p w14:paraId="41975768" w14:textId="77777777" w:rsidR="00325DA5" w:rsidRPr="006066F2" w:rsidRDefault="00325DA5" w:rsidP="00325DA5">
      <w:pPr>
        <w:jc w:val="both"/>
        <w:rPr>
          <w:rFonts w:ascii="Arial" w:hAnsi="Arial" w:cs="Arial"/>
          <w:b/>
          <w:bCs/>
          <w:sz w:val="24"/>
          <w:szCs w:val="24"/>
        </w:rPr>
      </w:pPr>
    </w:p>
    <w:p w14:paraId="660117A8" w14:textId="77777777" w:rsidR="00325DA5" w:rsidRDefault="00325DA5" w:rsidP="00325DA5">
      <w:pPr>
        <w:jc w:val="both"/>
        <w:rPr>
          <w:rFonts w:ascii="Arial" w:hAnsi="Arial" w:cs="Arial"/>
          <w:b/>
          <w:bCs/>
          <w:sz w:val="24"/>
          <w:szCs w:val="24"/>
        </w:rPr>
      </w:pPr>
    </w:p>
    <w:p w14:paraId="52F570EE" w14:textId="77777777" w:rsidR="00325DA5" w:rsidRDefault="00325DA5" w:rsidP="00325DA5">
      <w:pPr>
        <w:jc w:val="both"/>
        <w:rPr>
          <w:rFonts w:ascii="Arial" w:hAnsi="Arial" w:cs="Arial"/>
          <w:b/>
          <w:bCs/>
          <w:sz w:val="24"/>
          <w:szCs w:val="24"/>
        </w:rPr>
      </w:pPr>
    </w:p>
    <w:p w14:paraId="2CFA3FB1" w14:textId="77777777" w:rsidR="00325DA5" w:rsidRDefault="00325DA5" w:rsidP="00325DA5">
      <w:pPr>
        <w:jc w:val="both"/>
        <w:rPr>
          <w:rFonts w:ascii="Arial" w:hAnsi="Arial" w:cs="Arial"/>
          <w:b/>
          <w:bCs/>
          <w:sz w:val="24"/>
          <w:szCs w:val="24"/>
        </w:rPr>
      </w:pPr>
    </w:p>
    <w:p w14:paraId="176A2BFD" w14:textId="77777777" w:rsidR="00325DA5" w:rsidRDefault="00325DA5" w:rsidP="00325DA5">
      <w:pPr>
        <w:jc w:val="both"/>
        <w:rPr>
          <w:rFonts w:ascii="Arial" w:hAnsi="Arial" w:cs="Arial"/>
          <w:b/>
          <w:bCs/>
          <w:sz w:val="24"/>
          <w:szCs w:val="24"/>
        </w:rPr>
      </w:pPr>
    </w:p>
    <w:p w14:paraId="5F2655B6" w14:textId="77777777" w:rsidR="00325DA5" w:rsidRDefault="00325DA5" w:rsidP="00325DA5">
      <w:pPr>
        <w:jc w:val="both"/>
        <w:rPr>
          <w:rFonts w:ascii="Arial" w:hAnsi="Arial" w:cs="Arial"/>
          <w:b/>
          <w:bCs/>
          <w:sz w:val="24"/>
          <w:szCs w:val="24"/>
        </w:rPr>
      </w:pPr>
    </w:p>
    <w:p w14:paraId="5CB307EC" w14:textId="77777777" w:rsidR="00325DA5" w:rsidRDefault="00325DA5" w:rsidP="00325DA5">
      <w:pPr>
        <w:jc w:val="both"/>
        <w:rPr>
          <w:rFonts w:ascii="Arial" w:hAnsi="Arial" w:cs="Arial"/>
          <w:b/>
          <w:bCs/>
          <w:sz w:val="24"/>
          <w:szCs w:val="24"/>
        </w:rPr>
      </w:pPr>
    </w:p>
    <w:p w14:paraId="5B43DCA6" w14:textId="77777777" w:rsidR="00325DA5" w:rsidRDefault="00325DA5" w:rsidP="00325DA5">
      <w:pPr>
        <w:jc w:val="both"/>
        <w:rPr>
          <w:rFonts w:ascii="Arial" w:hAnsi="Arial" w:cs="Arial"/>
          <w:b/>
          <w:bCs/>
          <w:sz w:val="24"/>
          <w:szCs w:val="24"/>
        </w:rPr>
      </w:pPr>
    </w:p>
    <w:p w14:paraId="5574A611" w14:textId="77777777" w:rsidR="00325DA5" w:rsidRDefault="00325DA5" w:rsidP="00325DA5">
      <w:pPr>
        <w:jc w:val="both"/>
        <w:rPr>
          <w:rFonts w:ascii="Arial" w:hAnsi="Arial" w:cs="Arial"/>
          <w:b/>
          <w:bCs/>
          <w:sz w:val="24"/>
          <w:szCs w:val="24"/>
        </w:rPr>
      </w:pPr>
    </w:p>
    <w:p w14:paraId="7713CB3D" w14:textId="77777777" w:rsidR="00325DA5" w:rsidRDefault="00325DA5" w:rsidP="00325DA5">
      <w:pPr>
        <w:jc w:val="both"/>
        <w:rPr>
          <w:rFonts w:ascii="Arial" w:hAnsi="Arial" w:cs="Arial"/>
          <w:b/>
          <w:bCs/>
          <w:sz w:val="24"/>
          <w:szCs w:val="24"/>
        </w:rPr>
      </w:pPr>
    </w:p>
    <w:p w14:paraId="4D68E709" w14:textId="77777777" w:rsidR="00325DA5" w:rsidRDefault="00325DA5" w:rsidP="00325DA5">
      <w:pPr>
        <w:jc w:val="both"/>
        <w:rPr>
          <w:rFonts w:ascii="Arial" w:hAnsi="Arial" w:cs="Arial"/>
          <w:b/>
          <w:bCs/>
          <w:sz w:val="24"/>
          <w:szCs w:val="24"/>
        </w:rPr>
      </w:pPr>
    </w:p>
    <w:p w14:paraId="4C74121F" w14:textId="77777777" w:rsidR="00325DA5" w:rsidRDefault="00325DA5" w:rsidP="00325DA5">
      <w:pPr>
        <w:jc w:val="both"/>
        <w:rPr>
          <w:rFonts w:ascii="Arial" w:hAnsi="Arial" w:cs="Arial"/>
          <w:b/>
          <w:bCs/>
        </w:rPr>
      </w:pPr>
    </w:p>
    <w:p w14:paraId="1BE7FE8A" w14:textId="77777777" w:rsidR="00325DA5" w:rsidRPr="008F289C" w:rsidRDefault="00325DA5" w:rsidP="00325DA5">
      <w:pPr>
        <w:jc w:val="both"/>
        <w:rPr>
          <w:rFonts w:ascii="Arial" w:hAnsi="Arial" w:cs="Arial"/>
        </w:rPr>
      </w:pPr>
      <w:r w:rsidRPr="008F289C">
        <w:rPr>
          <w:rFonts w:ascii="Arial" w:hAnsi="Arial" w:cs="Arial"/>
          <w:b/>
          <w:bCs/>
        </w:rPr>
        <w:t>Table 1</w:t>
      </w:r>
      <w:r>
        <w:rPr>
          <w:rFonts w:ascii="Arial" w:hAnsi="Arial" w:cs="Arial"/>
          <w:b/>
          <w:bCs/>
        </w:rPr>
        <w:t xml:space="preserve">. </w:t>
      </w:r>
      <w:r>
        <w:rPr>
          <w:rFonts w:ascii="Arial" w:hAnsi="Arial" w:cs="Arial"/>
          <w:b/>
          <w:bCs/>
        </w:rPr>
        <w:tab/>
      </w:r>
      <w:r w:rsidRPr="008F289C">
        <w:rPr>
          <w:rFonts w:ascii="Arial" w:hAnsi="Arial" w:cs="Arial"/>
          <w:b/>
          <w:bCs/>
        </w:rPr>
        <w:t xml:space="preserve"> Plant growth promoting activities</w:t>
      </w:r>
    </w:p>
    <w:p w14:paraId="2E1CAE5B" w14:textId="77777777" w:rsidR="00325DA5" w:rsidRDefault="00325DA5" w:rsidP="00325DA5">
      <w:pPr>
        <w:jc w:val="both"/>
        <w:rPr>
          <w:rFonts w:ascii="Arial" w:hAnsi="Arial" w:cs="Arial"/>
          <w:b/>
          <w:bCs/>
        </w:rPr>
      </w:pPr>
    </w:p>
    <w:tbl>
      <w:tblPr>
        <w:tblStyle w:val="ListTable6Colorful"/>
        <w:tblW w:w="9057" w:type="dxa"/>
        <w:jc w:val="center"/>
        <w:tblLook w:val="04A0" w:firstRow="1" w:lastRow="0" w:firstColumn="1" w:lastColumn="0" w:noHBand="0" w:noVBand="1"/>
      </w:tblPr>
      <w:tblGrid>
        <w:gridCol w:w="1262"/>
        <w:gridCol w:w="1848"/>
        <w:gridCol w:w="1347"/>
        <w:gridCol w:w="708"/>
        <w:gridCol w:w="1005"/>
        <w:gridCol w:w="1591"/>
        <w:gridCol w:w="1591"/>
      </w:tblGrid>
      <w:tr w:rsidR="00325DA5" w:rsidRPr="006066F2" w14:paraId="58D30FA2" w14:textId="77777777" w:rsidTr="006919B8">
        <w:trPr>
          <w:cnfStyle w:val="100000000000" w:firstRow="1" w:lastRow="0" w:firstColumn="0" w:lastColumn="0" w:oddVBand="0" w:evenVBand="0" w:oddHBand="0" w:evenHBand="0" w:firstRowFirstColumn="0" w:firstRowLastColumn="0" w:lastRowFirstColumn="0" w:lastRowLastColumn="0"/>
          <w:trHeight w:val="1125"/>
          <w:jc w:val="center"/>
        </w:trPr>
        <w:tc>
          <w:tcPr>
            <w:cnfStyle w:val="001000000000" w:firstRow="0" w:lastRow="0" w:firstColumn="1" w:lastColumn="0" w:oddVBand="0" w:evenVBand="0" w:oddHBand="0" w:evenHBand="0" w:firstRowFirstColumn="0" w:firstRowLastColumn="0" w:lastRowFirstColumn="0" w:lastRowLastColumn="0"/>
            <w:tcW w:w="1261" w:type="dxa"/>
          </w:tcPr>
          <w:p w14:paraId="1D5991B5" w14:textId="77777777" w:rsidR="00325DA5" w:rsidRPr="006066F2" w:rsidRDefault="00325DA5" w:rsidP="006919B8">
            <w:pPr>
              <w:ind w:left="113" w:right="113"/>
              <w:jc w:val="both"/>
              <w:rPr>
                <w:rFonts w:ascii="Arial" w:hAnsi="Arial" w:cs="Arial"/>
                <w:color w:val="000000"/>
              </w:rPr>
            </w:pPr>
            <w:proofErr w:type="spellStart"/>
            <w:r w:rsidRPr="006066F2">
              <w:rPr>
                <w:rFonts w:ascii="Arial" w:hAnsi="Arial" w:cs="Arial"/>
              </w:rPr>
              <w:t>Isolates</w:t>
            </w:r>
            <w:proofErr w:type="spellEnd"/>
          </w:p>
        </w:tc>
        <w:tc>
          <w:tcPr>
            <w:tcW w:w="1702" w:type="dxa"/>
          </w:tcPr>
          <w:p w14:paraId="10378C85"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 xml:space="preserve">Phosphate </w:t>
            </w:r>
            <w:proofErr w:type="spellStart"/>
            <w:r w:rsidRPr="006066F2">
              <w:rPr>
                <w:rFonts w:ascii="Arial" w:hAnsi="Arial" w:cs="Arial"/>
              </w:rPr>
              <w:t>solubilization</w:t>
            </w:r>
            <w:proofErr w:type="spellEnd"/>
            <w:r w:rsidRPr="006066F2">
              <w:rPr>
                <w:rFonts w:ascii="Arial" w:hAnsi="Arial" w:cs="Arial"/>
              </w:rPr>
              <w:t xml:space="preserve"> (cm)*</w:t>
            </w:r>
          </w:p>
        </w:tc>
        <w:tc>
          <w:tcPr>
            <w:tcW w:w="1273" w:type="dxa"/>
          </w:tcPr>
          <w:p w14:paraId="3E1693E5"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6066F2">
              <w:rPr>
                <w:rFonts w:ascii="Arial" w:hAnsi="Arial" w:cs="Arial"/>
              </w:rPr>
              <w:t>Nitrogen</w:t>
            </w:r>
            <w:proofErr w:type="spellEnd"/>
            <w:r w:rsidRPr="006066F2">
              <w:rPr>
                <w:rFonts w:ascii="Arial" w:hAnsi="Arial" w:cs="Arial"/>
              </w:rPr>
              <w:t xml:space="preserve"> Fixation</w:t>
            </w:r>
          </w:p>
        </w:tc>
        <w:tc>
          <w:tcPr>
            <w:tcW w:w="796" w:type="dxa"/>
          </w:tcPr>
          <w:p w14:paraId="0334A045" w14:textId="77777777" w:rsidR="00325DA5" w:rsidRPr="006066F2" w:rsidRDefault="00325DA5" w:rsidP="006919B8">
            <w:pPr>
              <w:ind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IAA</w:t>
            </w:r>
          </w:p>
        </w:tc>
        <w:tc>
          <w:tcPr>
            <w:tcW w:w="1061" w:type="dxa"/>
          </w:tcPr>
          <w:p w14:paraId="14F53602"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HCN*</w:t>
            </w:r>
          </w:p>
        </w:tc>
        <w:tc>
          <w:tcPr>
            <w:tcW w:w="1482" w:type="dxa"/>
          </w:tcPr>
          <w:p w14:paraId="1E25B463"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NH</w:t>
            </w:r>
            <w:r w:rsidRPr="006066F2">
              <w:rPr>
                <w:rFonts w:ascii="Arial" w:hAnsi="Arial" w:cs="Arial"/>
                <w:vertAlign w:val="subscript"/>
              </w:rPr>
              <w:t xml:space="preserve">3 </w:t>
            </w:r>
            <w:r w:rsidRPr="006066F2">
              <w:rPr>
                <w:rFonts w:ascii="Arial" w:hAnsi="Arial" w:cs="Arial"/>
              </w:rPr>
              <w:t>production</w:t>
            </w:r>
          </w:p>
        </w:tc>
        <w:tc>
          <w:tcPr>
            <w:tcW w:w="1482" w:type="dxa"/>
          </w:tcPr>
          <w:p w14:paraId="2785F349" w14:textId="77777777" w:rsidR="00325DA5" w:rsidRPr="006066F2" w:rsidRDefault="00325DA5" w:rsidP="006919B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6066F2">
              <w:rPr>
                <w:rFonts w:ascii="Arial" w:hAnsi="Arial" w:cs="Arial"/>
              </w:rPr>
              <w:t>Cellulase production</w:t>
            </w:r>
          </w:p>
        </w:tc>
      </w:tr>
      <w:tr w:rsidR="00325DA5" w:rsidRPr="006066F2" w14:paraId="4C5813D3"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340BAB12"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3</w:t>
            </w:r>
          </w:p>
        </w:tc>
        <w:tc>
          <w:tcPr>
            <w:tcW w:w="1702" w:type="dxa"/>
            <w:shd w:val="clear" w:color="auto" w:fill="auto"/>
          </w:tcPr>
          <w:p w14:paraId="3EAE96A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4AD53DB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71AE255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40DA945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C7936C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7136549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B8EF247"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69FD5FF0"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56</w:t>
            </w:r>
          </w:p>
        </w:tc>
        <w:tc>
          <w:tcPr>
            <w:tcW w:w="1702" w:type="dxa"/>
          </w:tcPr>
          <w:p w14:paraId="385675A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67ED082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0B5E6A4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402002C7"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2717761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4A1A3C7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262C433F"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5F18574"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A</w:t>
            </w:r>
            <w:r w:rsidRPr="006066F2">
              <w:rPr>
                <w:rFonts w:ascii="Arial" w:hAnsi="Arial" w:cs="Arial"/>
                <w:color w:val="auto"/>
                <w:sz w:val="24"/>
                <w:szCs w:val="24"/>
                <w:vertAlign w:val="subscript"/>
              </w:rPr>
              <w:t>30</w:t>
            </w:r>
          </w:p>
        </w:tc>
        <w:tc>
          <w:tcPr>
            <w:tcW w:w="1702" w:type="dxa"/>
            <w:shd w:val="clear" w:color="auto" w:fill="auto"/>
          </w:tcPr>
          <w:p w14:paraId="7D99902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073B056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7E4BEC5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41B73D05"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2DACBA1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566CC77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C26F70B" w14:textId="77777777" w:rsidTr="006919B8">
        <w:trPr>
          <w:trHeight w:val="463"/>
          <w:jc w:val="center"/>
        </w:trPr>
        <w:tc>
          <w:tcPr>
            <w:cnfStyle w:val="001000000000" w:firstRow="0" w:lastRow="0" w:firstColumn="1" w:lastColumn="0" w:oddVBand="0" w:evenVBand="0" w:oddHBand="0" w:evenHBand="0" w:firstRowFirstColumn="0" w:firstRowLastColumn="0" w:lastRowFirstColumn="0" w:lastRowLastColumn="0"/>
            <w:tcW w:w="1261" w:type="dxa"/>
          </w:tcPr>
          <w:p w14:paraId="0B1C91C5"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lastRenderedPageBreak/>
              <w:t>B</w:t>
            </w:r>
            <w:r w:rsidRPr="006066F2">
              <w:rPr>
                <w:rFonts w:ascii="Arial" w:hAnsi="Arial" w:cs="Arial"/>
                <w:color w:val="auto"/>
                <w:sz w:val="24"/>
                <w:szCs w:val="24"/>
                <w:vertAlign w:val="subscript"/>
              </w:rPr>
              <w:t>1</w:t>
            </w:r>
          </w:p>
        </w:tc>
        <w:tc>
          <w:tcPr>
            <w:tcW w:w="1702" w:type="dxa"/>
          </w:tcPr>
          <w:p w14:paraId="6210E9C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3DE5BF3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31E4F90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3832FBF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16F89B22"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A641282"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3207F5B3"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0DE03777"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15</w:t>
            </w:r>
          </w:p>
        </w:tc>
        <w:tc>
          <w:tcPr>
            <w:tcW w:w="1702" w:type="dxa"/>
            <w:shd w:val="clear" w:color="auto" w:fill="auto"/>
          </w:tcPr>
          <w:p w14:paraId="6DBC9B3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0.4</w:t>
            </w:r>
          </w:p>
        </w:tc>
        <w:tc>
          <w:tcPr>
            <w:tcW w:w="1273" w:type="dxa"/>
            <w:shd w:val="clear" w:color="auto" w:fill="auto"/>
          </w:tcPr>
          <w:p w14:paraId="779C1FD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3B7D78A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78A95E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7AA4B23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B554A1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70557136"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7669A758"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B</w:t>
            </w:r>
            <w:r w:rsidRPr="006066F2">
              <w:rPr>
                <w:rFonts w:ascii="Arial" w:hAnsi="Arial" w:cs="Arial"/>
                <w:color w:val="auto"/>
                <w:sz w:val="24"/>
                <w:szCs w:val="24"/>
                <w:vertAlign w:val="subscript"/>
              </w:rPr>
              <w:t>30</w:t>
            </w:r>
          </w:p>
        </w:tc>
        <w:tc>
          <w:tcPr>
            <w:tcW w:w="1702" w:type="dxa"/>
          </w:tcPr>
          <w:p w14:paraId="4E45DA92"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0.3</w:t>
            </w:r>
          </w:p>
        </w:tc>
        <w:tc>
          <w:tcPr>
            <w:tcW w:w="1273" w:type="dxa"/>
          </w:tcPr>
          <w:p w14:paraId="68DEF9C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4D20AF2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79ECCBB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0C5086E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0852ECD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55F8372"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8E514CA"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18</w:t>
            </w:r>
          </w:p>
        </w:tc>
        <w:tc>
          <w:tcPr>
            <w:tcW w:w="1702" w:type="dxa"/>
            <w:shd w:val="clear" w:color="auto" w:fill="auto"/>
          </w:tcPr>
          <w:p w14:paraId="275B39B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71C1DB0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34FC623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150237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0A6D0CA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148C4C8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5CB75F8"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1C42880E"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6</w:t>
            </w:r>
          </w:p>
        </w:tc>
        <w:tc>
          <w:tcPr>
            <w:tcW w:w="1702" w:type="dxa"/>
          </w:tcPr>
          <w:p w14:paraId="3F6A3A2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tcPr>
          <w:p w14:paraId="6946E048"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5F1727B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165C419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6C4E40E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111DF84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55C96E35"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9797653"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Le</w:t>
            </w:r>
            <w:r w:rsidRPr="006066F2">
              <w:rPr>
                <w:rFonts w:ascii="Arial" w:hAnsi="Arial" w:cs="Arial"/>
                <w:color w:val="auto"/>
                <w:sz w:val="24"/>
                <w:szCs w:val="24"/>
                <w:vertAlign w:val="subscript"/>
              </w:rPr>
              <w:t>13</w:t>
            </w:r>
          </w:p>
        </w:tc>
        <w:tc>
          <w:tcPr>
            <w:tcW w:w="1702" w:type="dxa"/>
            <w:shd w:val="clear" w:color="auto" w:fill="auto"/>
          </w:tcPr>
          <w:p w14:paraId="33BD0FB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7710B6D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574374B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1E1F1F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640B736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6563F5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28DF9776"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B95D387"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9</w:t>
            </w:r>
          </w:p>
        </w:tc>
        <w:tc>
          <w:tcPr>
            <w:tcW w:w="1702" w:type="dxa"/>
          </w:tcPr>
          <w:p w14:paraId="2DE0A79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1E89A1D3"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2111D2F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43D6901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1961A33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1BF099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048479F1"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24C246C9"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6</w:t>
            </w:r>
          </w:p>
        </w:tc>
        <w:tc>
          <w:tcPr>
            <w:tcW w:w="1702" w:type="dxa"/>
            <w:shd w:val="clear" w:color="auto" w:fill="auto"/>
          </w:tcPr>
          <w:p w14:paraId="4C225A58"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5CF0CD3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CFCA7D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061" w:type="dxa"/>
            <w:shd w:val="clear" w:color="auto" w:fill="auto"/>
          </w:tcPr>
          <w:p w14:paraId="23C0CC09"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36604DB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2791194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2C7DF735"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6946B34B"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T</w:t>
            </w:r>
            <w:r w:rsidRPr="006066F2">
              <w:rPr>
                <w:rFonts w:ascii="Arial" w:hAnsi="Arial" w:cs="Arial"/>
                <w:color w:val="auto"/>
                <w:sz w:val="24"/>
                <w:szCs w:val="24"/>
                <w:vertAlign w:val="subscript"/>
              </w:rPr>
              <w:t>3</w:t>
            </w:r>
          </w:p>
        </w:tc>
        <w:tc>
          <w:tcPr>
            <w:tcW w:w="1702" w:type="dxa"/>
          </w:tcPr>
          <w:p w14:paraId="58592C8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tcPr>
          <w:p w14:paraId="700ECAB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02833F0D"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0016792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93316E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38017F5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9C4C8F5" w14:textId="77777777" w:rsidTr="006919B8">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7781693E"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1</w:t>
            </w:r>
          </w:p>
        </w:tc>
        <w:tc>
          <w:tcPr>
            <w:tcW w:w="1702" w:type="dxa"/>
            <w:shd w:val="clear" w:color="auto" w:fill="auto"/>
          </w:tcPr>
          <w:p w14:paraId="3AAF6A2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shd w:val="clear" w:color="auto" w:fill="auto"/>
          </w:tcPr>
          <w:p w14:paraId="76894DE2"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0C7DDBE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5368F51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7C906A7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4B507C7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1A58CE66"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3D5E6161"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6</w:t>
            </w:r>
          </w:p>
        </w:tc>
        <w:tc>
          <w:tcPr>
            <w:tcW w:w="1702" w:type="dxa"/>
          </w:tcPr>
          <w:p w14:paraId="68CAA22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40BC6D5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17BA958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6C06C1A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5A40995B"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7B4828F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36C3A468"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5BF2CEC8"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Ki</w:t>
            </w:r>
            <w:r w:rsidRPr="006066F2">
              <w:rPr>
                <w:rFonts w:ascii="Arial" w:hAnsi="Arial" w:cs="Arial"/>
                <w:color w:val="auto"/>
                <w:sz w:val="24"/>
                <w:szCs w:val="24"/>
                <w:vertAlign w:val="subscript"/>
              </w:rPr>
              <w:t>3</w:t>
            </w:r>
          </w:p>
        </w:tc>
        <w:tc>
          <w:tcPr>
            <w:tcW w:w="1702" w:type="dxa"/>
            <w:shd w:val="clear" w:color="auto" w:fill="auto"/>
          </w:tcPr>
          <w:p w14:paraId="0CF3C38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0.3</w:t>
            </w:r>
          </w:p>
        </w:tc>
        <w:tc>
          <w:tcPr>
            <w:tcW w:w="1273" w:type="dxa"/>
            <w:shd w:val="clear" w:color="auto" w:fill="auto"/>
          </w:tcPr>
          <w:p w14:paraId="7EA1931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795EE1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6DDCD74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4C3BAB97"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8328FC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65895913"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0A870A11"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1</w:t>
            </w:r>
          </w:p>
        </w:tc>
        <w:tc>
          <w:tcPr>
            <w:tcW w:w="1702" w:type="dxa"/>
          </w:tcPr>
          <w:p w14:paraId="7999F14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tcPr>
          <w:p w14:paraId="21CB5A50"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11547739"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706E761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8B5F70C"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7D3705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BEB6A9C"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612B12D4"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2</w:t>
            </w:r>
          </w:p>
        </w:tc>
        <w:tc>
          <w:tcPr>
            <w:tcW w:w="1702" w:type="dxa"/>
            <w:shd w:val="clear" w:color="auto" w:fill="auto"/>
          </w:tcPr>
          <w:p w14:paraId="4C7E428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shd w:val="clear" w:color="auto" w:fill="auto"/>
          </w:tcPr>
          <w:p w14:paraId="22CC1EE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0BC9305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404F956D"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4824560E"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350640A9"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3A6DAC3C"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2165CCFF"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w:t>
            </w:r>
            <w:r w:rsidRPr="006066F2">
              <w:rPr>
                <w:rFonts w:ascii="Arial" w:hAnsi="Arial" w:cs="Arial"/>
                <w:color w:val="auto"/>
                <w:sz w:val="24"/>
                <w:szCs w:val="24"/>
                <w:vertAlign w:val="subscript"/>
              </w:rPr>
              <w:t>15</w:t>
            </w:r>
          </w:p>
        </w:tc>
        <w:tc>
          <w:tcPr>
            <w:tcW w:w="1702" w:type="dxa"/>
          </w:tcPr>
          <w:p w14:paraId="597622CF"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0.2</w:t>
            </w:r>
          </w:p>
        </w:tc>
        <w:tc>
          <w:tcPr>
            <w:tcW w:w="1273" w:type="dxa"/>
          </w:tcPr>
          <w:p w14:paraId="242246AD"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51FE2EC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1F54FFD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1AE72DB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31D1030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5F13A802" w14:textId="77777777" w:rsidTr="006919B8">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C755656" w14:textId="77777777" w:rsidR="00325DA5" w:rsidRPr="006066F2" w:rsidRDefault="00325DA5" w:rsidP="006919B8">
            <w:pPr>
              <w:jc w:val="both"/>
              <w:rPr>
                <w:rFonts w:ascii="Arial" w:hAnsi="Arial" w:cs="Arial"/>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9</w:t>
            </w:r>
          </w:p>
        </w:tc>
        <w:tc>
          <w:tcPr>
            <w:tcW w:w="1702" w:type="dxa"/>
            <w:shd w:val="clear" w:color="auto" w:fill="auto"/>
          </w:tcPr>
          <w:p w14:paraId="5C7DE13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643672EB"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17E37D16"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061" w:type="dxa"/>
            <w:shd w:val="clear" w:color="auto" w:fill="auto"/>
          </w:tcPr>
          <w:p w14:paraId="0D42750F"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49917F8A"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6DD6A8B9"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r>
      <w:tr w:rsidR="00325DA5" w:rsidRPr="006066F2" w14:paraId="1624B200" w14:textId="77777777" w:rsidTr="006919B8">
        <w:trPr>
          <w:trHeight w:val="447"/>
          <w:jc w:val="center"/>
        </w:trPr>
        <w:tc>
          <w:tcPr>
            <w:cnfStyle w:val="001000000000" w:firstRow="0" w:lastRow="0" w:firstColumn="1" w:lastColumn="0" w:oddVBand="0" w:evenVBand="0" w:oddHBand="0" w:evenHBand="0" w:firstRowFirstColumn="0" w:firstRowLastColumn="0" w:lastRowFirstColumn="0" w:lastRowLastColumn="0"/>
            <w:tcW w:w="1261" w:type="dxa"/>
          </w:tcPr>
          <w:p w14:paraId="102136A9"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1</w:t>
            </w:r>
          </w:p>
        </w:tc>
        <w:tc>
          <w:tcPr>
            <w:tcW w:w="1702" w:type="dxa"/>
          </w:tcPr>
          <w:p w14:paraId="653AB461"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w:t>
            </w:r>
          </w:p>
        </w:tc>
        <w:tc>
          <w:tcPr>
            <w:tcW w:w="1273" w:type="dxa"/>
          </w:tcPr>
          <w:p w14:paraId="1826D5EA"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tcPr>
          <w:p w14:paraId="24E94255"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tcPr>
          <w:p w14:paraId="23A285EE"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tcPr>
          <w:p w14:paraId="2CF8C724"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tcPr>
          <w:p w14:paraId="5EFC7516" w14:textId="77777777" w:rsidR="00325DA5" w:rsidRPr="006066F2" w:rsidRDefault="00325DA5" w:rsidP="006919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r w:rsidR="00325DA5" w:rsidRPr="006066F2" w14:paraId="40FA2842" w14:textId="77777777" w:rsidTr="006919B8">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261" w:type="dxa"/>
            <w:shd w:val="clear" w:color="auto" w:fill="auto"/>
          </w:tcPr>
          <w:p w14:paraId="18CD57C9" w14:textId="77777777" w:rsidR="00325DA5" w:rsidRPr="006066F2" w:rsidRDefault="00325DA5" w:rsidP="006919B8">
            <w:pPr>
              <w:jc w:val="both"/>
              <w:rPr>
                <w:rFonts w:ascii="Arial" w:hAnsi="Arial" w:cs="Arial"/>
                <w:color w:val="000000"/>
                <w:sz w:val="24"/>
                <w:szCs w:val="24"/>
              </w:rPr>
            </w:pPr>
            <w:r w:rsidRPr="006066F2">
              <w:rPr>
                <w:rFonts w:ascii="Arial" w:hAnsi="Arial" w:cs="Arial"/>
                <w:color w:val="auto"/>
                <w:sz w:val="24"/>
                <w:szCs w:val="24"/>
              </w:rPr>
              <w:t>KOM</w:t>
            </w:r>
            <w:r w:rsidRPr="006066F2">
              <w:rPr>
                <w:rFonts w:ascii="Arial" w:hAnsi="Arial" w:cs="Arial"/>
                <w:color w:val="auto"/>
                <w:sz w:val="24"/>
                <w:szCs w:val="24"/>
                <w:vertAlign w:val="subscript"/>
              </w:rPr>
              <w:t>3</w:t>
            </w:r>
          </w:p>
        </w:tc>
        <w:tc>
          <w:tcPr>
            <w:tcW w:w="1702" w:type="dxa"/>
            <w:shd w:val="clear" w:color="auto" w:fill="auto"/>
          </w:tcPr>
          <w:p w14:paraId="18AD6CD3"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0.1</w:t>
            </w:r>
          </w:p>
        </w:tc>
        <w:tc>
          <w:tcPr>
            <w:tcW w:w="1273" w:type="dxa"/>
            <w:shd w:val="clear" w:color="auto" w:fill="auto"/>
          </w:tcPr>
          <w:p w14:paraId="503493F9"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796" w:type="dxa"/>
            <w:shd w:val="clear" w:color="auto" w:fill="auto"/>
          </w:tcPr>
          <w:p w14:paraId="0C1D8F94"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061" w:type="dxa"/>
            <w:shd w:val="clear" w:color="auto" w:fill="auto"/>
          </w:tcPr>
          <w:p w14:paraId="6519C541"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c>
          <w:tcPr>
            <w:tcW w:w="1482" w:type="dxa"/>
            <w:shd w:val="clear" w:color="auto" w:fill="auto"/>
          </w:tcPr>
          <w:p w14:paraId="28B13A10"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color w:val="000000"/>
                <w:sz w:val="24"/>
                <w:szCs w:val="24"/>
              </w:rPr>
              <w:t>+</w:t>
            </w:r>
          </w:p>
        </w:tc>
        <w:tc>
          <w:tcPr>
            <w:tcW w:w="1482" w:type="dxa"/>
            <w:shd w:val="clear" w:color="auto" w:fill="auto"/>
          </w:tcPr>
          <w:p w14:paraId="320D3D6C" w14:textId="77777777" w:rsidR="00325DA5" w:rsidRPr="006066F2" w:rsidRDefault="00325DA5" w:rsidP="006919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066F2">
              <w:rPr>
                <w:rFonts w:ascii="Arial" w:hAnsi="Arial" w:cs="Arial"/>
                <w:sz w:val="24"/>
                <w:szCs w:val="24"/>
              </w:rPr>
              <w:t>+</w:t>
            </w:r>
          </w:p>
        </w:tc>
      </w:tr>
    </w:tbl>
    <w:p w14:paraId="57E74584" w14:textId="77777777" w:rsidR="00325DA5" w:rsidRDefault="00325DA5" w:rsidP="00325DA5">
      <w:pPr>
        <w:jc w:val="both"/>
        <w:rPr>
          <w:rFonts w:ascii="Arial" w:hAnsi="Arial" w:cs="Arial"/>
          <w:b/>
          <w:bCs/>
        </w:rPr>
      </w:pPr>
    </w:p>
    <w:p w14:paraId="5E62B51D" w14:textId="77777777" w:rsidR="00325DA5" w:rsidRPr="00325DA5" w:rsidRDefault="00325DA5" w:rsidP="00325DA5">
      <w:pPr>
        <w:spacing w:line="480" w:lineRule="auto"/>
        <w:jc w:val="both"/>
        <w:rPr>
          <w:rFonts w:ascii="Arial" w:hAnsi="Arial" w:cs="Arial"/>
        </w:rPr>
      </w:pPr>
      <w:r w:rsidRPr="00325DA5">
        <w:rPr>
          <w:rFonts w:ascii="Arial" w:hAnsi="Arial" w:cs="Arial"/>
          <w:b/>
          <w:bCs/>
        </w:rPr>
        <w:t xml:space="preserve">*: </w:t>
      </w:r>
      <w:r w:rsidRPr="00325DA5">
        <w:rPr>
          <w:rFonts w:ascii="Arial" w:hAnsi="Arial" w:cs="Arial"/>
        </w:rPr>
        <w:t>diameter of the halo</w:t>
      </w:r>
    </w:p>
    <w:p w14:paraId="0BCB036A" w14:textId="77777777" w:rsidR="00325DA5" w:rsidRPr="008F289C" w:rsidRDefault="00325DA5" w:rsidP="001F6D7B">
      <w:pPr>
        <w:jc w:val="both"/>
        <w:rPr>
          <w:rFonts w:ascii="Arial" w:hAnsi="Arial" w:cs="Arial"/>
        </w:rPr>
      </w:pPr>
      <w:r w:rsidRPr="008F289C">
        <w:rPr>
          <w:rFonts w:ascii="Arial" w:hAnsi="Arial" w:cs="Arial"/>
          <w:lang w:eastAsia="fr-BE"/>
        </w:rPr>
        <w:t xml:space="preserve">Based on these three key PGPR characteristics, </w:t>
      </w:r>
      <w:r w:rsidRPr="008F289C">
        <w:rPr>
          <w:rFonts w:ascii="Arial" w:hAnsi="Arial" w:cs="Arial"/>
        </w:rPr>
        <w:t xml:space="preserve">a preliminary screening resulted in the selection of 21 isolates (9.33 %) </w:t>
      </w:r>
      <w:r w:rsidRPr="008F289C">
        <w:rPr>
          <w:rFonts w:ascii="Arial" w:hAnsi="Arial" w:cs="Arial"/>
          <w:lang w:val="en"/>
        </w:rPr>
        <w:t xml:space="preserve">capable of performing all three tests </w:t>
      </w:r>
      <w:r w:rsidRPr="008F289C">
        <w:rPr>
          <w:rFonts w:ascii="Arial" w:hAnsi="Arial" w:cs="Arial"/>
        </w:rPr>
        <w:t>for further</w:t>
      </w:r>
      <w:r w:rsidRPr="008F289C">
        <w:rPr>
          <w:rFonts w:ascii="Arial" w:hAnsi="Arial" w:cs="Arial"/>
          <w:lang w:eastAsia="fr-BE"/>
        </w:rPr>
        <w:t xml:space="preserve"> characterization</w:t>
      </w:r>
      <w:r w:rsidRPr="008F289C" w:rsidDel="006907E6">
        <w:rPr>
          <w:rFonts w:ascii="Arial" w:hAnsi="Arial" w:cs="Arial"/>
        </w:rPr>
        <w:t xml:space="preserve"> </w:t>
      </w:r>
      <w:r w:rsidRPr="008F289C">
        <w:rPr>
          <w:rFonts w:ascii="Arial" w:hAnsi="Arial" w:cs="Arial"/>
        </w:rPr>
        <w:t>(Fig</w:t>
      </w:r>
      <w:r>
        <w:rPr>
          <w:rFonts w:ascii="Arial" w:hAnsi="Arial" w:cs="Arial"/>
        </w:rPr>
        <w:t>.</w:t>
      </w:r>
      <w:r w:rsidRPr="008F289C">
        <w:rPr>
          <w:rFonts w:ascii="Arial" w:hAnsi="Arial" w:cs="Arial"/>
        </w:rPr>
        <w:t xml:space="preserve"> 2). </w:t>
      </w:r>
    </w:p>
    <w:p w14:paraId="064E9FE0" w14:textId="77777777" w:rsidR="00325DA5" w:rsidRDefault="00325DA5" w:rsidP="00325DA5">
      <w:pPr>
        <w:jc w:val="both"/>
        <w:rPr>
          <w:rFonts w:ascii="Arial" w:hAnsi="Arial" w:cs="Arial"/>
          <w:b/>
          <w:bCs/>
        </w:rPr>
      </w:pPr>
    </w:p>
    <w:p w14:paraId="115807DB" w14:textId="77777777" w:rsidR="00927834" w:rsidRDefault="001F6D7B" w:rsidP="00441B6F">
      <w:pPr>
        <w:autoSpaceDE w:val="0"/>
        <w:autoSpaceDN w:val="0"/>
        <w:adjustRightInd w:val="0"/>
        <w:jc w:val="both"/>
        <w:rPr>
          <w:rFonts w:ascii="Arial" w:hAnsi="Arial" w:cs="Arial"/>
          <w:b/>
          <w:bCs/>
          <w:sz w:val="22"/>
          <w:szCs w:val="22"/>
        </w:rPr>
      </w:pPr>
      <w:r w:rsidRPr="006066F2">
        <w:rPr>
          <w:rFonts w:ascii="Arial" w:hAnsi="Arial" w:cs="Arial"/>
          <w:noProof/>
          <w:sz w:val="24"/>
          <w:szCs w:val="24"/>
        </w:rPr>
        <w:lastRenderedPageBreak/>
        <w:drawing>
          <wp:inline distT="0" distB="0" distL="0" distR="0" wp14:anchorId="349E27FD" wp14:editId="3270EADB">
            <wp:extent cx="4762500" cy="3291840"/>
            <wp:effectExtent l="0" t="0" r="0" b="3810"/>
            <wp:docPr id="3" name="Graphique 3">
              <a:extLst xmlns:a="http://schemas.openxmlformats.org/drawingml/2006/main">
                <a:ext uri="{FF2B5EF4-FFF2-40B4-BE49-F238E27FC236}">
                  <a16:creationId xmlns:a16="http://schemas.microsoft.com/office/drawing/2014/main" id="{8D9268E1-34B7-F47A-7247-6D9CD22C8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3207DD" w14:textId="77777777" w:rsidR="00927834" w:rsidRDefault="00927834" w:rsidP="00441B6F">
      <w:pPr>
        <w:autoSpaceDE w:val="0"/>
        <w:autoSpaceDN w:val="0"/>
        <w:adjustRightInd w:val="0"/>
        <w:jc w:val="both"/>
        <w:rPr>
          <w:rFonts w:ascii="Arial" w:hAnsi="Arial" w:cs="Arial"/>
          <w:b/>
          <w:bCs/>
          <w:szCs w:val="22"/>
        </w:rPr>
      </w:pPr>
    </w:p>
    <w:p w14:paraId="0F64A90B" w14:textId="77777777" w:rsidR="001F6D7B" w:rsidRPr="004D6289" w:rsidRDefault="009E048A" w:rsidP="001F6D7B">
      <w:pPr>
        <w:spacing w:line="360" w:lineRule="auto"/>
        <w:jc w:val="both"/>
        <w:rPr>
          <w:rFonts w:ascii="Arial" w:hAnsi="Arial" w:cs="Arial"/>
          <w:b/>
          <w:bCs/>
        </w:rPr>
      </w:pPr>
      <w:r>
        <w:rPr>
          <w:rFonts w:ascii="Arial" w:hAnsi="Arial" w:cs="Arial"/>
          <w:b/>
          <w:bCs/>
          <w:szCs w:val="22"/>
        </w:rPr>
        <w:t>Fig.</w:t>
      </w:r>
      <w:r w:rsidR="00927834" w:rsidRPr="008247A6">
        <w:rPr>
          <w:rFonts w:ascii="Arial" w:hAnsi="Arial" w:cs="Arial"/>
          <w:b/>
          <w:bCs/>
          <w:szCs w:val="22"/>
        </w:rPr>
        <w:t xml:space="preserve"> </w:t>
      </w:r>
      <w:r w:rsidR="001F6D7B" w:rsidRPr="004D6289">
        <w:rPr>
          <w:rFonts w:ascii="Arial" w:hAnsi="Arial" w:cs="Arial"/>
          <w:b/>
          <w:bCs/>
        </w:rPr>
        <w:t>2</w:t>
      </w:r>
      <w:r w:rsidR="001F6D7B">
        <w:rPr>
          <w:rFonts w:ascii="Arial" w:hAnsi="Arial" w:cs="Arial"/>
          <w:b/>
          <w:bCs/>
        </w:rPr>
        <w:t xml:space="preserve">. </w:t>
      </w:r>
      <w:r w:rsidR="001F6D7B" w:rsidRPr="004D6289">
        <w:rPr>
          <w:rFonts w:ascii="Arial" w:hAnsi="Arial" w:cs="Arial"/>
          <w:b/>
          <w:bCs/>
        </w:rPr>
        <w:t>Plant growth promoting activities of the tested isolates</w:t>
      </w:r>
    </w:p>
    <w:p w14:paraId="23B5B2EF" w14:textId="77777777" w:rsidR="001F6D7B" w:rsidRPr="00F37A70" w:rsidRDefault="001F6D7B" w:rsidP="001F6D7B">
      <w:pPr>
        <w:jc w:val="both"/>
        <w:rPr>
          <w:rFonts w:ascii="Arial" w:hAnsi="Arial" w:cs="Arial"/>
        </w:rPr>
      </w:pPr>
      <w:r w:rsidRPr="00F37A70">
        <w:rPr>
          <w:rFonts w:ascii="Arial" w:hAnsi="Arial" w:cs="Arial"/>
          <w:lang w:eastAsia="fr-BE"/>
        </w:rPr>
        <w:t>The selected isolates (A3, A30, A56, B1, B15, B30, T9, T6, T3, KO1, KO2, Le6, Le13, Le18, Ki6, KOM9, KOM1, KOM3, Ki1, and Ki3) were subsequently evaluated for phosphate solubilization, hydrogen cyanide (HCN) production, and cellulase activity. Phosphate solubilization was detected in 80.95 % of the isolates (A3, A30, A56, B1, B15, B30, T9, T6, T3, KO1, KO2, Le13, Le18, Ki6, KOM9, KOM3, Ki3), with isolate B15 showing the largest solubilization activity (halo of 4 mm), followed by isolates B1 and Ki6 (3 mm each) (Table 1)</w:t>
      </w:r>
      <w:r w:rsidRPr="00F37A70">
        <w:rPr>
          <w:rFonts w:ascii="Arial" w:hAnsi="Arial" w:cs="Arial"/>
        </w:rPr>
        <w:t xml:space="preserve">. </w:t>
      </w:r>
      <w:r w:rsidRPr="00F37A70">
        <w:rPr>
          <w:rFonts w:ascii="Arial" w:hAnsi="Arial" w:cs="Arial"/>
          <w:lang w:eastAsia="fr-BE"/>
        </w:rPr>
        <w:t xml:space="preserve">This rate is markedly higher than the rates reported by </w:t>
      </w:r>
      <w:r w:rsidRPr="00F37A70">
        <w:rPr>
          <w:rFonts w:ascii="Arial" w:hAnsi="Arial" w:cs="Arial"/>
        </w:rPr>
        <w:fldChar w:fldCharType="begin"/>
      </w:r>
      <w:r w:rsidRPr="00F37A70">
        <w:rPr>
          <w:rFonts w:ascii="Arial" w:hAnsi="Arial" w:cs="Arial"/>
        </w:rPr>
        <w:instrText xml:space="preserve"> ADDIN ZOTERO_ITEM CSL_CITATION {"citationID":"EJsffpnP","properties":{"formattedCitation":"(Kalam et al., 2020; Vaikuntapu et al., 2014)","plainCitation":"(Kalam et al., 2020; Vaikuntapu et al., 2014)","dontUpdate":true,"noteIndex":0},"citationItems":[{"id":231,"uris":["http://zotero.org/users/5678157/items/LUTMYQKM"],"itemData":{"id":231,"type":"article-journal","container-title":"Heliyon","DOI":"10.1016/j.heliyon.2020.e04734","ISSN":"24058440","issue":"8","journalAbbreviation":"Heliyon","language":"en","page":"e04734","source":"DOI.org (Crossref)","title":"Functional and molecular characterization of plant growth promoting Bacillus isolates from tomato rhizosphere","volume":"6","author":[{"family":"Kalam","given":"Sadaf"},{"family":"Basu","given":"Anirban"},{"family":"Podile","given":"Appa Rao"}],"issued":{"date-parts":[["2020",8]]}},"label":"page"},{"id":216,"uris":["http://zotero.org/users/5678157/items/82T9MV6F"],"itemData":{"id":216,"type":"article-journal","abstract":"A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Rao"}],"issued":{"date-parts":[["2014",12]]}},"label":"page"}],"schema":"https://github.com/citation-style-language/schema/raw/master/csl-citation.json"} </w:instrText>
      </w:r>
      <w:r w:rsidRPr="00F37A70">
        <w:rPr>
          <w:rFonts w:ascii="Arial" w:hAnsi="Arial" w:cs="Arial"/>
        </w:rPr>
        <w:fldChar w:fldCharType="separate"/>
      </w:r>
      <w:r w:rsidRPr="00F37A70">
        <w:rPr>
          <w:rFonts w:ascii="Arial" w:hAnsi="Arial" w:cs="Arial"/>
        </w:rPr>
        <w:t>Kalam et al. (2020) and Vaikuntapu et al. (2014)</w:t>
      </w:r>
      <w:r w:rsidRPr="00F37A70">
        <w:rPr>
          <w:rFonts w:ascii="Arial" w:hAnsi="Arial" w:cs="Arial"/>
        </w:rPr>
        <w:fldChar w:fldCharType="end"/>
      </w:r>
      <w:r w:rsidRPr="00F37A70">
        <w:rPr>
          <w:rFonts w:ascii="Arial" w:hAnsi="Arial" w:cs="Arial"/>
        </w:rPr>
        <w:t>,</w:t>
      </w:r>
      <w:r w:rsidRPr="00F37A70">
        <w:rPr>
          <w:rFonts w:ascii="Arial" w:hAnsi="Arial" w:cs="Arial"/>
          <w:lang w:eastAsia="fr-BE"/>
        </w:rPr>
        <w:t xml:space="preserve"> </w:t>
      </w:r>
      <w:r w:rsidRPr="00F37A70">
        <w:rPr>
          <w:rFonts w:ascii="Arial" w:hAnsi="Arial" w:cs="Arial"/>
        </w:rPr>
        <w:t>who showed that 14.28 % and 40 % of bacteria in the tomato rhizosphere can solubilize inorganic phosphate, respectively</w:t>
      </w:r>
      <w:r w:rsidRPr="00F37A70">
        <w:rPr>
          <w:rFonts w:ascii="Arial" w:hAnsi="Arial" w:cs="Arial"/>
          <w:lang w:eastAsia="fr-BE"/>
        </w:rPr>
        <w:t xml:space="preserve">. </w:t>
      </w:r>
      <w:r w:rsidRPr="00F37A70">
        <w:rPr>
          <w:rFonts w:ascii="Arial" w:hAnsi="Arial" w:cs="Arial"/>
        </w:rPr>
        <w:t xml:space="preserve">This difference in rates could be due to variable environmental conditions </w:t>
      </w:r>
      <w:r w:rsidRPr="00F37A70">
        <w:rPr>
          <w:rFonts w:ascii="Arial" w:hAnsi="Arial" w:cs="Arial"/>
        </w:rPr>
        <w:fldChar w:fldCharType="begin"/>
      </w:r>
      <w:r w:rsidRPr="00F37A70">
        <w:rPr>
          <w:rFonts w:ascii="Arial" w:hAnsi="Arial" w:cs="Arial"/>
        </w:rPr>
        <w:instrText xml:space="preserve"> ADDIN ZOTERO_ITEM CSL_CITATION {"citationID":"VpcQ3nGa","properties":{"formattedCitation":"(Philippot et al., 2013)","plainCitation":"(Philippot et al., 2013)","noteIndex":0},"citationItems":[{"id":226,"uris":["http://zotero.org/users/5678157/items/FDEKE7LW"],"itemData":{"id":226,"type":"article-journal","container-title":"Nature Reviews Microbiology","DOI":"10.1038/nrmicro3109","ISSN":"1740-1526, 1740-1534","issue":"11","journalAbbreviation":"Nat Rev Microbiol","language":"en","license":"http://www.springer.com/tdm","page":"789-799","source":"DOI.org (Crossref)","title":"Going back to the roots: the microbial ecology of the rhizosphere","title-short":"Going back to the roots","volume":"11","author":[{"family":"Philippot","given":"Laurent"},{"family":"Raaijmakers","given":"Jos M."},{"family":"Lemanceau","given":"Philippe"},{"family":"Van Der Putten","given":"Wim H."}],"issued":{"date-parts":[["2013",11]]}}}],"schema":"https://github.com/citation-style-language/schema/raw/master/csl-citation.json"} </w:instrText>
      </w:r>
      <w:r w:rsidRPr="00F37A70">
        <w:rPr>
          <w:rFonts w:ascii="Arial" w:hAnsi="Arial" w:cs="Arial"/>
        </w:rPr>
        <w:fldChar w:fldCharType="separate"/>
      </w:r>
      <w:r w:rsidRPr="00F37A70">
        <w:rPr>
          <w:rFonts w:ascii="Arial" w:hAnsi="Arial" w:cs="Arial"/>
        </w:rPr>
        <w:t>(Philippot et al., 2013)</w:t>
      </w:r>
      <w:r w:rsidRPr="00F37A70">
        <w:rPr>
          <w:rFonts w:ascii="Arial" w:hAnsi="Arial" w:cs="Arial"/>
        </w:rPr>
        <w:fldChar w:fldCharType="end"/>
      </w:r>
      <w:r w:rsidRPr="00F37A70">
        <w:rPr>
          <w:rFonts w:ascii="Arial" w:hAnsi="Arial" w:cs="Arial"/>
        </w:rPr>
        <w:t>.</w:t>
      </w:r>
    </w:p>
    <w:p w14:paraId="0C9E4D8C" w14:textId="77777777" w:rsidR="001F6D7B" w:rsidRPr="00F37A70" w:rsidRDefault="001F6D7B" w:rsidP="001F6D7B">
      <w:pPr>
        <w:jc w:val="both"/>
        <w:rPr>
          <w:rFonts w:ascii="Arial" w:hAnsi="Arial" w:cs="Arial"/>
          <w:lang w:eastAsia="fr-BE"/>
        </w:rPr>
      </w:pPr>
      <w:r w:rsidRPr="00F37A70">
        <w:rPr>
          <w:rFonts w:ascii="Arial" w:hAnsi="Arial" w:cs="Arial"/>
          <w:lang w:eastAsia="fr-BE"/>
        </w:rPr>
        <w:t>In addition, HCN production was observed in 47.62 % of the strains, with T3 and KO15 producing the highest amounts (Fig</w:t>
      </w:r>
      <w:r w:rsidR="00BE12B5">
        <w:rPr>
          <w:rFonts w:ascii="Arial" w:hAnsi="Arial" w:cs="Arial"/>
          <w:lang w:eastAsia="fr-BE"/>
        </w:rPr>
        <w:t>.</w:t>
      </w:r>
      <w:r w:rsidRPr="00F37A70">
        <w:rPr>
          <w:rFonts w:ascii="Arial" w:hAnsi="Arial" w:cs="Arial"/>
          <w:lang w:eastAsia="fr-BE"/>
        </w:rPr>
        <w:t xml:space="preserve"> 3). This percentage exceeds the 21 % reported in tomato </w:t>
      </w:r>
      <w:r w:rsidRPr="00F37A70">
        <w:rPr>
          <w:rFonts w:ascii="Arial" w:hAnsi="Arial" w:cs="Arial"/>
        </w:rPr>
        <w:fldChar w:fldCharType="begin"/>
      </w:r>
      <w:r w:rsidRPr="00F37A70">
        <w:rPr>
          <w:rFonts w:ascii="Arial" w:hAnsi="Arial" w:cs="Arial"/>
        </w:rPr>
        <w:instrText xml:space="preserve"> ADDIN ZOTERO_ITEM CSL_CITATION {"citationID":"k6DaPd3U","properties":{"formattedCitation":"(Vaikuntapu et al., 2014)","plainCitation":"(Vaikuntapu et al., 2014)","noteIndex":0},"citationItems":[{"id":216,"uris":["http://zotero.org/users/5678157/items/82T9MV6F"],"itemData":{"id":216,"type":"article-journal","abstract":"A total of 74 morphologically distinct bacterial colonies were selected during isolation of bacteria from different parts of tomato plant (rhizoplane, phylloplane and rhizosphere) as well as nearby bulk soil. The isolates were screened for plant growth promoting (PGP) traits such as production of indole acetic acid, siderophore, chitinase and hydrogen cyanide as well as phosphate solubilization. Seven isolates viz., NR4, NR6, RP3, PP1, RS4, RP6 and NR1 that exhibited multiple PGP traits were identified, based on morphological, biochemical and 16S rRNA gene sequence analysis, as species that belonged to four genera Aeromonas, Pseudomonas,Bacillus and Enterobacter. All the seven isolates were positive for 1-aminocyclopropane-1-carboxylate deaminase. Isolate NR6 was antagonistic to Fusarium solani and Fusarium moniliforme, and both PP1 and RP6 isolates were antagonistic to F. moniliforme. Except RP6, all isolates adhered significantly to glass surface suggestive of biofilm formation. Seed bacterization of tomato, groundnut, sorghum and chickpea with the seven bacterial isolates resulted in varied growth response in laboratory assay on half strength Murashige and Skoog medium. Most of the tomato isolates positively influenced tomato growth. The growth response was either neutral or negative with groundnut, sorghum and chickpea. Overall, the results suggested that bacteria with PGP traits do not positively influence the growth of all plants, and certain PGP bacteria may exhibit host-specificity. Among the isolates that positively influenced growth of tomato (NR1, RP3, PP1, RS4 and RP6) only RS4 was isolated from tomato rhizosphere. Therefore, the best PGP bacteria can also be isolated from zones other than rhizosphere or rhizoplane of a plant.","container-title":"Indian Journal of Microbiology","DOI":"10.1007/s12088-014-0470-z","ISSN":"0046-8991","issue":"4","journalAbbreviation":"Indian J Microbiol","note":"PMID: 25320438\nPMCID: PMC4186933","page":"403-412","source":"PubMed Central","title":"Preferential Promotion of Lycopersicon esculentum (Tomato) Growth by Plant Growth Promoting Bacteria Associated with Tomato","volume":"54","author":[{"family":"Vaikuntapu","given":"Papa Rao"},{"family":"Dutta","given":"Swarnalee"},{"family":"Samudrala","given":"Ram Babu"},{"family":"Rao","given":"Vukanti R. V. N."},{"family":"Kalam","given":"Sadaf"},{"family":"Podile","given":"Appa Rao"}],"issued":{"date-parts":[["2014",12]]}}}],"schema":"https://github.com/citation-style-language/schema/raw/master/csl-citation.json"} </w:instrText>
      </w:r>
      <w:r w:rsidRPr="00F37A70">
        <w:rPr>
          <w:rFonts w:ascii="Arial" w:hAnsi="Arial" w:cs="Arial"/>
        </w:rPr>
        <w:fldChar w:fldCharType="separate"/>
      </w:r>
      <w:r w:rsidRPr="00F37A70">
        <w:rPr>
          <w:rFonts w:ascii="Arial" w:hAnsi="Arial" w:cs="Arial"/>
        </w:rPr>
        <w:t>(Vaikuntapu et al., 2014)</w:t>
      </w:r>
      <w:r w:rsidRPr="00F37A70">
        <w:rPr>
          <w:rFonts w:ascii="Arial" w:hAnsi="Arial" w:cs="Arial"/>
        </w:rPr>
        <w:fldChar w:fldCharType="end"/>
      </w:r>
      <w:r w:rsidRPr="00F37A70">
        <w:rPr>
          <w:rFonts w:ascii="Arial" w:hAnsi="Arial" w:cs="Arial"/>
          <w:lang w:eastAsia="fr-BE"/>
        </w:rPr>
        <w:t xml:space="preserve">, but remains lower than that reported in rice (75 %; </w:t>
      </w:r>
      <w:r w:rsidRPr="00F37A70">
        <w:rPr>
          <w:rFonts w:ascii="Arial" w:hAnsi="Arial" w:cs="Arial"/>
        </w:rPr>
        <w:fldChar w:fldCharType="begin"/>
      </w:r>
      <w:r w:rsidRPr="00F37A70">
        <w:rPr>
          <w:rFonts w:ascii="Arial" w:hAnsi="Arial" w:cs="Arial"/>
        </w:rPr>
        <w:instrText xml:space="preserve"> ADDIN ZOTERO_ITEM CSL_CITATION {"citationID":"hnHQ6wrO","properties":{"formattedCitation":"(Karuppiah and Rajaram, 2011)","plainCitation":"(Karuppiah and Rajaram, 2011)","dontUpdate":true,"noteIndex":0},"citationItems":[{"id":392,"uris":["http://zotero.org/users/5678157/items/F2W28NXS"],"itemData":{"id":392,"type":"article-journal","container-title":"Journal of Microbiology Research","issue":"1","page":"17–23","source":"Google Scholar","title":"Exploring the potential of chromium reducing Bacillus sp. and there plant growth promoting activities","volume":"1","author":[{"family":"Karuppiah","given":"Ponmurugan"},{"family":"Rajaram","given":"Shyamkumar"}],"issued":{"date-parts":[["2011"]]}}}],"schema":"https://github.com/citation-style-language/schema/raw/master/csl-citation.json"} </w:instrText>
      </w:r>
      <w:r w:rsidRPr="00F37A70">
        <w:rPr>
          <w:rFonts w:ascii="Arial" w:hAnsi="Arial" w:cs="Arial"/>
        </w:rPr>
        <w:fldChar w:fldCharType="separate"/>
      </w:r>
      <w:r w:rsidRPr="00F37A70">
        <w:rPr>
          <w:rFonts w:ascii="Arial" w:hAnsi="Arial" w:cs="Arial"/>
        </w:rPr>
        <w:t>Karuppiah and Rajaram 2011)</w:t>
      </w:r>
      <w:r w:rsidRPr="00F37A70">
        <w:rPr>
          <w:rFonts w:ascii="Arial" w:hAnsi="Arial" w:cs="Arial"/>
        </w:rPr>
        <w:fldChar w:fldCharType="end"/>
      </w:r>
      <w:r w:rsidRPr="00F37A70">
        <w:rPr>
          <w:rFonts w:ascii="Arial" w:hAnsi="Arial" w:cs="Arial"/>
          <w:lang w:eastAsia="fr-BE"/>
        </w:rPr>
        <w:t xml:space="preserve"> and beans (40 %; </w:t>
      </w:r>
      <w:r w:rsidRPr="00F37A70">
        <w:rPr>
          <w:rFonts w:ascii="Arial" w:hAnsi="Arial" w:cs="Arial"/>
        </w:rPr>
        <w:fldChar w:fldCharType="begin"/>
      </w:r>
      <w:r w:rsidRPr="00F37A70">
        <w:rPr>
          <w:rFonts w:ascii="Arial" w:hAnsi="Arial" w:cs="Arial"/>
        </w:rPr>
        <w:instrText xml:space="preserve"> ADDIN ZOTERO_ITEM CSL_CITATION {"citationID":"5NJ5uiIF","properties":{"formattedCitation":"(Kumar et al., 2011)","plainCitation":"(Kumar et al., 2011)","dontUpdate":true,"noteIndex":0},"citationItems":[{"id":324,"uris":["http://zotero.org/users/5678157/items/TPAMFCCC"],"itemData":{"id":324,"type":"chapter","abstract":"Gram-positive bacteria, in particular, members of group Bacillus, are among the best-studied experimental systems in bacteriology. Research, in Bacillus subtilis is remarkably diverse, including genetics, biochemistry, cell biology, and ecology, thus has an enormous impact on both basic and applied biology. Multiple species of Bacillus and Paenibacillus occur in the agricultural fields that can promote the crop health in different ways. Some of these species directly stimulate plant growth either through enhancement in acquisition of nutrients or through stimulation of host plant’s defense mechanisms prior to infection; other species can inhibit or suppress the populations of pathogenic microorganisms and/or pests. Although the distribution, diversity, and population dynamics of these two genera have been widely studied using a variety of techniques, much remains to be learned if we are to improve both basic studies of plant–microbe interactions and bacterial ecology, as well as the efforts to improve agricultural technologies. Biological control, using microorganisms to suppress plant disease, offers a powerful alternative to the use of synthetic chemicals. Many species of Bacillus and related forms are potential biological control agents against various pathogenic microbes. Their spore forming ability makes them an ideal candidate for developing efficient biopesticide products from technological point of view. Many isolates of Bacillus spp. have been developed as biocontrol agents (BCAs) of plant pests and pathogens. However, a greater understanding of their ecology including diversity, distribution, and physiology of this Gram-positive genus will be helpful for identification of new strains to be used as successful BCAs. Development of molecular and genomic tools offers new possibilities for improving the selection, characterization, and management of biological control including modifications of wild-type strains to improve their ability for controlling soilborne diseases.","container-title":"Bacteria in Agrobiology: Crop Ecosystems","event-place":"Berlin, Heidelberg","ISBN":"978-3-642-18357-7","language":"en","note":"DOI: 10.1007/978-3-642-18357-7_2","page":"37-59","publisher":"Springer","publisher-place":"Berlin, Heidelberg","source":"Springer Link","title":"Bacillus as PGPR in Crop Ecosystem","URL":"https://doi.org/10.1007/978-3-642-18357-7_2","author":[{"family":"Kumar","given":"Ankit"},{"family":"Prakash","given":"Anil"},{"family":"Johri","given":"B. N."}],"editor":[{"family":"Maheshwari","given":"Dinesh K."}],"accessed":{"date-parts":[["2025",10,10]]},"issued":{"date-parts":[["2011"]]}}}],"schema":"https://github.com/citation-style-language/schema/raw/master/csl-citation.json"} </w:instrText>
      </w:r>
      <w:r w:rsidRPr="00F37A70">
        <w:rPr>
          <w:rFonts w:ascii="Arial" w:hAnsi="Arial" w:cs="Arial"/>
        </w:rPr>
        <w:fldChar w:fldCharType="separate"/>
      </w:r>
      <w:r w:rsidRPr="00F37A70">
        <w:rPr>
          <w:rFonts w:ascii="Arial" w:hAnsi="Arial" w:cs="Arial"/>
        </w:rPr>
        <w:t>Kumar et al.,  2011</w:t>
      </w:r>
      <w:r w:rsidRPr="00F37A70">
        <w:rPr>
          <w:rFonts w:ascii="Arial" w:hAnsi="Arial" w:cs="Arial"/>
        </w:rPr>
        <w:fldChar w:fldCharType="end"/>
      </w:r>
      <w:r w:rsidRPr="00F37A70">
        <w:rPr>
          <w:rFonts w:ascii="Arial" w:hAnsi="Arial" w:cs="Arial"/>
          <w:lang w:eastAsia="fr-BE"/>
        </w:rPr>
        <w:t xml:space="preserve">). HCN production by bacterial isolates can  contribute to antifungal activity and biocontrol potential </w:t>
      </w:r>
      <w:r w:rsidRPr="00F37A70">
        <w:rPr>
          <w:rFonts w:ascii="Arial" w:hAnsi="Arial" w:cs="Arial"/>
        </w:rPr>
        <w:fldChar w:fldCharType="begin"/>
      </w:r>
      <w:r w:rsidRPr="00F37A70">
        <w:rPr>
          <w:rFonts w:ascii="Arial" w:hAnsi="Arial" w:cs="Arial"/>
        </w:rPr>
        <w:instrText xml:space="preserve"> ADDIN ZOTERO_ITEM CSL_CITATION {"citationID":"pZwSOKEW","properties":{"formattedCitation":"(Meena et al., 2015)","plainCitation":"(Meena et al., 2015)","noteIndex":0},"citationItems":[{"id":219,"uris":["http://zotero.org/users/5678157/items/VTG4L469"],"itemData":{"id":219,"type":"article-journal","container-title":"Ecological Engineering","DOI":"10.1016/j.ecoleng.2015.04.065","ISSN":"09258574","journalAbbreviation":"Ecological Engineering","language":"en","page":"340-347","source":"DOI.org (Crossref)","title":"Potassium solubilizing rhizobacteria (KSR): Isolation, identification, and K-release dynamics from waste mica","title-short":"Potassium solubilizing rhizobacteria (KSR)","volume":"81","author":[{"family":"Meena","given":"Vijay Singh"},{"family":"Maurya","given":"Bihari Ram"},{"family":"Verma","given":"Jai Prakash"},{"family":"Aeron","given":"Abhinav"},{"family":"Kumar","given":"Ashok"},{"family":"Kim","given":"Kangmin"},{"family":"Bajpai","given":"Vivek K."}],"issued":{"date-parts":[["2015",8]]}}}],"schema":"https://github.com/citation-style-language/schema/raw/master/csl-citation.json"} </w:instrText>
      </w:r>
      <w:r w:rsidRPr="00F37A70">
        <w:rPr>
          <w:rFonts w:ascii="Arial" w:hAnsi="Arial" w:cs="Arial"/>
        </w:rPr>
        <w:fldChar w:fldCharType="separate"/>
      </w:r>
      <w:r w:rsidRPr="00F37A70">
        <w:rPr>
          <w:rFonts w:ascii="Arial" w:hAnsi="Arial" w:cs="Arial"/>
        </w:rPr>
        <w:t>(Meena et al., 2015)</w:t>
      </w:r>
      <w:r w:rsidRPr="00F37A70">
        <w:rPr>
          <w:rFonts w:ascii="Arial" w:hAnsi="Arial" w:cs="Arial"/>
        </w:rPr>
        <w:fldChar w:fldCharType="end"/>
      </w:r>
      <w:r w:rsidRPr="00F37A70">
        <w:rPr>
          <w:rFonts w:ascii="Arial" w:hAnsi="Arial" w:cs="Arial"/>
          <w:lang w:eastAsia="fr-BE"/>
        </w:rPr>
        <w:t>.</w:t>
      </w:r>
    </w:p>
    <w:p w14:paraId="3011BBB8" w14:textId="77777777" w:rsidR="00E053D0" w:rsidRDefault="00A17805"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0EE9426" wp14:editId="4BB63F4F">
                <wp:simplePos x="0" y="0"/>
                <wp:positionH relativeFrom="column">
                  <wp:posOffset>289560</wp:posOffset>
                </wp:positionH>
                <wp:positionV relativeFrom="paragraph">
                  <wp:posOffset>1455420</wp:posOffset>
                </wp:positionV>
                <wp:extent cx="381000" cy="297180"/>
                <wp:effectExtent l="0" t="0" r="0" b="0"/>
                <wp:wrapNone/>
                <wp:docPr id="500960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EA2CD" w14:textId="77777777" w:rsidR="00985DDE" w:rsidRPr="005D5DD5" w:rsidRDefault="00985DDE">
                            <w:pPr>
                              <w:rPr>
                                <w:rFonts w:ascii="Arial" w:hAnsi="Arial" w:cs="Arial"/>
                              </w:rPr>
                            </w:pPr>
                            <w:r w:rsidRPr="005D5DD5">
                              <w:rPr>
                                <w:rFonts w:ascii="Arial" w:hAnsi="Arial" w:cs="Aria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EE9426" id="_x0000_t202" coordsize="21600,21600" o:spt="202" path="m,l,21600r21600,l21600,xe">
                <v:stroke joinstyle="miter"/>
                <v:path gradientshapeok="t" o:connecttype="rect"/>
              </v:shapetype>
              <v:shape id="Text Box 3" o:spid="_x0000_s1026" type="#_x0000_t202" style="position:absolute;left:0;text-align:left;margin-left:22.8pt;margin-top:114.6pt;width:30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" filled="f" stroked="f">
                <v:path arrowok="t"/>
                <v:textbox>
                  <w:txbxContent>
                    <w:p w14:paraId="5C7EA2CD" w14:textId="77777777" w:rsidR="00985DDE" w:rsidRPr="005D5DD5" w:rsidRDefault="00985DDE">
                      <w:pPr>
                        <w:rPr>
                          <w:rFonts w:ascii="Arial" w:hAnsi="Arial" w:cs="Arial"/>
                        </w:rPr>
                      </w:pPr>
                      <w:r w:rsidRPr="005D5DD5">
                        <w:rPr>
                          <w:rFonts w:ascii="Arial" w:hAnsi="Arial" w:cs="Arial"/>
                        </w:rPr>
                        <w:t>a</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9A79ACF" wp14:editId="1DEABA43">
                <wp:simplePos x="0" y="0"/>
                <wp:positionH relativeFrom="column">
                  <wp:posOffset>4434840</wp:posOffset>
                </wp:positionH>
                <wp:positionV relativeFrom="paragraph">
                  <wp:posOffset>1623060</wp:posOffset>
                </wp:positionV>
                <wp:extent cx="449580" cy="274320"/>
                <wp:effectExtent l="0" t="0" r="0" b="0"/>
                <wp:wrapNone/>
                <wp:docPr id="1596986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E262" w14:textId="77777777" w:rsidR="00985DDE" w:rsidRDefault="00985DDE">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79ACF" id="Text Box 5" o:spid="_x0000_s1027" type="#_x0000_t202" style="position:absolute;left:0;text-align:left;margin-left:349.2pt;margin-top:127.8pt;width:35.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" filled="f" stroked="f">
                <v:path arrowok="t"/>
                <v:textbox>
                  <w:txbxContent>
                    <w:p w14:paraId="7020E262" w14:textId="77777777" w:rsidR="00985DDE" w:rsidRDefault="00985DDE">
                      <w:r>
                        <w:t>c</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50F8659E" wp14:editId="645F50F6">
                <wp:simplePos x="0" y="0"/>
                <wp:positionH relativeFrom="column">
                  <wp:posOffset>2590800</wp:posOffset>
                </wp:positionH>
                <wp:positionV relativeFrom="paragraph">
                  <wp:posOffset>1623060</wp:posOffset>
                </wp:positionV>
                <wp:extent cx="396240" cy="274320"/>
                <wp:effectExtent l="0" t="0" r="0" b="0"/>
                <wp:wrapNone/>
                <wp:docPr id="1965602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7A3E3" w14:textId="77777777" w:rsidR="00985DDE" w:rsidRPr="005D5DD5" w:rsidRDefault="00985DDE">
                            <w:pPr>
                              <w:rPr>
                                <w:rFonts w:ascii="Arial" w:hAnsi="Arial" w:cs="Arial"/>
                              </w:rP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F8659E" id="Text Box 4" o:spid="_x0000_s1028" type="#_x0000_t202" style="position:absolute;left:0;text-align:left;margin-left:204pt;margin-top:127.8pt;width:3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" filled="f" stroked="f">
                <v:path arrowok="t"/>
                <v:textbox>
                  <w:txbxContent>
                    <w:p w14:paraId="7BD7A3E3" w14:textId="77777777" w:rsidR="00985DDE" w:rsidRPr="005D5DD5" w:rsidRDefault="00985DDE">
                      <w:pPr>
                        <w:rPr>
                          <w:rFonts w:ascii="Arial" w:hAnsi="Arial" w:cs="Arial"/>
                        </w:rPr>
                      </w:pPr>
                      <w:r>
                        <w:t>b</w:t>
                      </w:r>
                    </w:p>
                  </w:txbxContent>
                </v:textbox>
              </v:shape>
            </w:pict>
          </mc:Fallback>
        </mc:AlternateContent>
      </w:r>
      <w:r w:rsidR="001F6D7B">
        <w:rPr>
          <w:rFonts w:ascii="Arial" w:hAnsi="Arial" w:cs="Arial"/>
          <w:noProof/>
        </w:rPr>
        <w:drawing>
          <wp:inline distT="0" distB="0" distL="0" distR="0" wp14:anchorId="37B1E328" wp14:editId="3E643DB0">
            <wp:extent cx="5590540" cy="18656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0540" cy="1865630"/>
                    </a:xfrm>
                    <a:prstGeom prst="rect">
                      <a:avLst/>
                    </a:prstGeom>
                    <a:noFill/>
                  </pic:spPr>
                </pic:pic>
              </a:graphicData>
            </a:graphic>
          </wp:inline>
        </w:drawing>
      </w:r>
    </w:p>
    <w:p w14:paraId="335B3CBD" w14:textId="77777777" w:rsidR="00790ADA" w:rsidRDefault="00790ADA" w:rsidP="00441B6F">
      <w:pPr>
        <w:pStyle w:val="Body"/>
        <w:spacing w:after="0"/>
        <w:rPr>
          <w:rFonts w:ascii="Arial" w:hAnsi="Arial" w:cs="Arial"/>
        </w:rPr>
      </w:pPr>
    </w:p>
    <w:p w14:paraId="4E35EFA8" w14:textId="77777777" w:rsidR="00BE12B5" w:rsidRDefault="00BE12B5" w:rsidP="00BE12B5">
      <w:pPr>
        <w:jc w:val="both"/>
        <w:rPr>
          <w:rFonts w:ascii="Arial" w:hAnsi="Arial" w:cs="Arial"/>
          <w:b/>
          <w:bCs/>
        </w:rPr>
      </w:pPr>
      <w:r w:rsidRPr="004D6289">
        <w:rPr>
          <w:rFonts w:ascii="Arial" w:hAnsi="Arial" w:cs="Arial"/>
          <w:b/>
          <w:bCs/>
        </w:rPr>
        <w:lastRenderedPageBreak/>
        <w:t>Fig</w:t>
      </w:r>
      <w:r>
        <w:rPr>
          <w:rFonts w:ascii="Arial" w:hAnsi="Arial" w:cs="Arial"/>
          <w:b/>
          <w:bCs/>
        </w:rPr>
        <w:t>.</w:t>
      </w:r>
      <w:r w:rsidRPr="004D6289">
        <w:rPr>
          <w:rFonts w:ascii="Arial" w:hAnsi="Arial" w:cs="Arial"/>
          <w:b/>
          <w:bCs/>
        </w:rPr>
        <w:t xml:space="preserve"> 3</w:t>
      </w:r>
      <w:r>
        <w:rPr>
          <w:rFonts w:ascii="Arial" w:hAnsi="Arial" w:cs="Arial"/>
          <w:b/>
          <w:bCs/>
        </w:rPr>
        <w:t>.</w:t>
      </w:r>
      <w:r w:rsidRPr="004D6289">
        <w:rPr>
          <w:rFonts w:ascii="Arial" w:hAnsi="Arial" w:cs="Arial"/>
          <w:b/>
          <w:bCs/>
        </w:rPr>
        <w:t xml:space="preserve"> Hydrogen cyanide production</w:t>
      </w:r>
    </w:p>
    <w:p w14:paraId="0637E770" w14:textId="77777777" w:rsidR="00BE12B5" w:rsidRPr="00BE12B5" w:rsidRDefault="00BE12B5" w:rsidP="00BE12B5">
      <w:pPr>
        <w:jc w:val="both"/>
        <w:rPr>
          <w:rFonts w:ascii="Arial" w:hAnsi="Arial" w:cs="Arial"/>
          <w:b/>
          <w:bCs/>
        </w:rPr>
      </w:pPr>
      <w:r w:rsidRPr="00BE12B5">
        <w:rPr>
          <w:rFonts w:ascii="Arial" w:hAnsi="Arial" w:cs="Arial"/>
          <w:i/>
          <w:iCs/>
          <w:sz w:val="18"/>
          <w:szCs w:val="18"/>
        </w:rPr>
        <w:t>a: Cyanide production by isolate KO15; b: Cyanide production by isolate T3; c: No cyanide production (control)</w:t>
      </w:r>
    </w:p>
    <w:p w14:paraId="29B65A47" w14:textId="77777777" w:rsidR="00BE12B5" w:rsidRPr="004D6289" w:rsidRDefault="00BE12B5" w:rsidP="00BE12B5">
      <w:pPr>
        <w:jc w:val="both"/>
        <w:rPr>
          <w:rFonts w:ascii="Arial" w:hAnsi="Arial" w:cs="Arial"/>
          <w:lang w:eastAsia="fr-BE"/>
        </w:rPr>
      </w:pPr>
      <w:r w:rsidRPr="008945B6">
        <w:rPr>
          <w:rFonts w:ascii="Arial" w:hAnsi="Arial" w:cs="Arial"/>
          <w:lang w:eastAsia="fr-BE"/>
        </w:rPr>
        <w:t xml:space="preserve">Finally, 85.71% of the isolates produced cellulase, a proportion higher than the 55.5% reported in bean rhizobacteria </w:t>
      </w:r>
      <w:r w:rsidRPr="008945B6">
        <w:rPr>
          <w:rFonts w:ascii="Arial" w:hAnsi="Arial" w:cs="Arial"/>
          <w:lang w:eastAsia="fr-BE"/>
        </w:rPr>
        <w:fldChar w:fldCharType="begin"/>
      </w:r>
      <w:r w:rsidRPr="008945B6">
        <w:rPr>
          <w:rFonts w:ascii="Arial" w:hAnsi="Arial" w:cs="Arial"/>
          <w:lang w:eastAsia="fr-BE"/>
        </w:rPr>
        <w:instrText xml:space="preserve"> ADDIN ZOTERO_ITEM CSL_CITATION {"citationID":"E53IoZle","properties":{"formattedCitation":"(Bakha and Ameur, 2023)","plainCitation":"(Bakha and Ameur, 2023)","noteIndex":0},"citationItems":[{"id":408,"uris":["http://zotero.org/users/5678157/items/GAT7B2G7"],"itemData":{"id":408,"type":"book","event-place":"Laghouat","number-of-pages":"32 p.","publisher":"Université Amar Telidji - Département d'agronomie","publisher-place":"Laghouat","source":"COinS","title":"Contribution à l’étude du rhizobactéries du haricot (Phaseolus vulgaris L.)","author":[{"family":"Bakha","given":"Sabrina"},{"family":"Ameur","given":"Djamila"}],"issued":{"date-parts":[["2023"]]}}}],"schema":"https://github.com/citation-style-language/schema/raw/master/csl-citation.json"} </w:instrText>
      </w:r>
      <w:r w:rsidRPr="008945B6">
        <w:rPr>
          <w:rFonts w:ascii="Arial" w:hAnsi="Arial" w:cs="Arial"/>
          <w:lang w:eastAsia="fr-BE"/>
        </w:rPr>
        <w:fldChar w:fldCharType="separate"/>
      </w:r>
      <w:r w:rsidRPr="008945B6">
        <w:rPr>
          <w:rFonts w:ascii="Arial" w:hAnsi="Arial" w:cs="Arial"/>
        </w:rPr>
        <w:t>(Bakha and Ameur, 2023)</w:t>
      </w:r>
      <w:r w:rsidRPr="008945B6">
        <w:rPr>
          <w:rFonts w:ascii="Arial" w:hAnsi="Arial" w:cs="Arial"/>
          <w:lang w:eastAsia="fr-BE"/>
        </w:rPr>
        <w:fldChar w:fldCharType="end"/>
      </w:r>
      <w:r w:rsidRPr="008945B6">
        <w:rPr>
          <w:rFonts w:ascii="Arial" w:hAnsi="Arial" w:cs="Arial"/>
          <w:lang w:eastAsia="fr-BE"/>
        </w:rPr>
        <w:t xml:space="preserve">. Similar cellulolytic activity has been reported for PGPR from rehabilitated forest soils </w:t>
      </w:r>
      <w:r w:rsidRPr="008945B6">
        <w:rPr>
          <w:rFonts w:ascii="Arial" w:hAnsi="Arial" w:cs="Arial"/>
        </w:rPr>
        <w:fldChar w:fldCharType="begin"/>
      </w:r>
      <w:r w:rsidRPr="008945B6">
        <w:rPr>
          <w:rFonts w:ascii="Arial" w:hAnsi="Arial" w:cs="Arial"/>
        </w:rPr>
        <w:instrText xml:space="preserve"> ADDIN ZOTERO_ITEM CSL_CITATION {"citationID":"gexORpLQ","properties":{"formattedCitation":"(Tang et al., 2020)","plainCitation":"(Tang et al., 2020)","dontUpdate":true,"noteIndex":0},"citationItems":[{"id":330,"uris":["http://zotero.org/users/5678157/items/4NCKUYMB"],"itemData":{"id":330,"type":"article-journal","abstract":"In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Boyie"}],"issued":{"date-parts":[["2020",3]]}}}],"schema":"https://github.com/citation-style-language/schema/raw/master/csl-citation.json"} </w:instrText>
      </w:r>
      <w:r w:rsidRPr="008945B6">
        <w:rPr>
          <w:rFonts w:ascii="Arial" w:hAnsi="Arial" w:cs="Arial"/>
        </w:rPr>
        <w:fldChar w:fldCharType="separate"/>
      </w:r>
      <w:r w:rsidRPr="008945B6">
        <w:rPr>
          <w:rFonts w:ascii="Arial" w:hAnsi="Arial" w:cs="Arial"/>
        </w:rPr>
        <w:t>Tang et al. ( 2020)</w:t>
      </w:r>
      <w:r w:rsidRPr="008945B6">
        <w:rPr>
          <w:rFonts w:ascii="Arial" w:hAnsi="Arial" w:cs="Arial"/>
        </w:rPr>
        <w:fldChar w:fldCharType="end"/>
      </w:r>
      <w:r w:rsidRPr="008945B6">
        <w:rPr>
          <w:rFonts w:ascii="Arial" w:hAnsi="Arial" w:cs="Arial"/>
          <w:lang w:eastAsia="fr-BE"/>
        </w:rPr>
        <w:t xml:space="preserve">. Moreover, </w:t>
      </w:r>
      <w:r w:rsidRPr="008945B6">
        <w:rPr>
          <w:rFonts w:ascii="Arial" w:hAnsi="Arial" w:cs="Arial"/>
          <w:color w:val="C00000"/>
        </w:rPr>
        <w:fldChar w:fldCharType="begin"/>
      </w:r>
      <w:r w:rsidRPr="008945B6">
        <w:rPr>
          <w:rFonts w:ascii="Arial" w:hAnsi="Arial" w:cs="Arial"/>
          <w:color w:val="C00000"/>
        </w:rPr>
        <w:instrText xml:space="preserve"> ADDIN ZOTERO_ITEM CSL_CITATION {"citationID":"Wkc63tzy","properties":{"formattedCitation":"(Meena et al., 2015)","plainCitation":"(Meena et al., 2015)","dontUpdate":true,"noteIndex":0},"citationItems":[{"id":219,"uris":["http://zotero.org/users/5678157/items/VTG4L469"],"itemData":{"id":219,"type":"article-journal","container-title":"Ecological Engineering","DOI":"10.1016/j.ecoleng.2015.04.065","ISSN":"09258574","journalAbbreviation":"Ecological Engineering","language":"en","page":"340-347","source":"DOI.org (Crossref)","title":"Potassium solubilizing rhizobacteria (KSR): Isolation, identification, and K-release dynamics from waste mica","title-short":"Potassium solubilizing rhizobacteria (KSR)","volume":"81","author":[{"family":"Meena","given":"Vijay Singh"},{"family":"Maurya","given":"Bihari Ram"},{"family":"Verma","given":"Jai Prakash"},{"family":"Aeron","given":"Abhinav"},{"family":"Kumar","given":"Ashok"},{"family":"Kim","given":"Kangmin"},{"family":"Bajpai","given":"Vivek K."}],"issued":{"date-parts":[["2015",8]]}}}],"schema":"https://github.com/citation-style-language/schema/raw/master/csl-citation.json"} </w:instrText>
      </w:r>
      <w:r w:rsidRPr="008945B6">
        <w:rPr>
          <w:rFonts w:ascii="Arial" w:hAnsi="Arial" w:cs="Arial"/>
          <w:color w:val="C00000"/>
        </w:rPr>
        <w:fldChar w:fldCharType="separate"/>
      </w:r>
      <w:r w:rsidRPr="008945B6">
        <w:rPr>
          <w:rFonts w:ascii="Arial" w:hAnsi="Arial" w:cs="Arial"/>
        </w:rPr>
        <w:t>Meena et al. (2015)</w:t>
      </w:r>
      <w:r w:rsidRPr="008945B6">
        <w:rPr>
          <w:rFonts w:ascii="Arial" w:hAnsi="Arial" w:cs="Arial"/>
          <w:color w:val="C00000"/>
        </w:rPr>
        <w:fldChar w:fldCharType="end"/>
      </w:r>
      <w:r w:rsidRPr="008945B6">
        <w:rPr>
          <w:rFonts w:ascii="Arial" w:hAnsi="Arial" w:cs="Arial"/>
          <w:color w:val="C00000"/>
        </w:rPr>
        <w:t xml:space="preserve"> </w:t>
      </w:r>
      <w:r w:rsidRPr="008945B6">
        <w:rPr>
          <w:rFonts w:ascii="Arial" w:hAnsi="Arial" w:cs="Arial"/>
          <w:color w:val="000000" w:themeColor="text1"/>
        </w:rPr>
        <w:t>evidenced that</w:t>
      </w:r>
      <w:r w:rsidRPr="008945B6">
        <w:rPr>
          <w:rFonts w:ascii="Arial" w:hAnsi="Arial" w:cs="Arial"/>
          <w:color w:val="C00000"/>
        </w:rPr>
        <w:t xml:space="preserve"> </w:t>
      </w:r>
      <w:r w:rsidRPr="008945B6">
        <w:rPr>
          <w:rFonts w:ascii="Arial" w:hAnsi="Arial" w:cs="Arial"/>
          <w:lang w:eastAsia="fr-BE"/>
        </w:rPr>
        <w:t>cellulase production enhances organic matter degradation and supports plant protection against biotic and abiotic stresses</w:t>
      </w:r>
      <w:r w:rsidRPr="004D6289">
        <w:rPr>
          <w:rFonts w:ascii="Arial" w:hAnsi="Arial" w:cs="Arial"/>
          <w:lang w:eastAsia="fr-BE"/>
        </w:rPr>
        <w:t xml:space="preserve">. </w:t>
      </w:r>
    </w:p>
    <w:p w14:paraId="53B21E2C" w14:textId="77777777" w:rsidR="00BE12B5" w:rsidRPr="004D6289" w:rsidRDefault="00BE12B5" w:rsidP="00BE12B5">
      <w:pPr>
        <w:jc w:val="both"/>
        <w:rPr>
          <w:rFonts w:ascii="Arial" w:hAnsi="Arial" w:cs="Arial"/>
        </w:rPr>
      </w:pPr>
      <w:r w:rsidRPr="004D6289">
        <w:rPr>
          <w:rFonts w:ascii="Arial" w:hAnsi="Arial" w:cs="Arial"/>
        </w:rPr>
        <w:t>The principal component analysis (PCA) was</w:t>
      </w:r>
      <w:r w:rsidRPr="004D6289">
        <w:rPr>
          <w:rFonts w:ascii="Arial" w:hAnsi="Arial" w:cs="Arial"/>
          <w:lang w:eastAsia="fr-BE"/>
        </w:rPr>
        <w:t xml:space="preserve"> conducted </w:t>
      </w:r>
      <w:r w:rsidRPr="004D6289">
        <w:rPr>
          <w:rFonts w:ascii="Arial" w:hAnsi="Arial" w:cs="Arial"/>
        </w:rPr>
        <w:t xml:space="preserve">to compare </w:t>
      </w:r>
      <w:r w:rsidRPr="004D6289">
        <w:rPr>
          <w:rFonts w:ascii="Arial" w:hAnsi="Arial" w:cs="Arial"/>
          <w:lang w:eastAsia="fr-BE"/>
        </w:rPr>
        <w:t>the expression of</w:t>
      </w:r>
      <w:r w:rsidRPr="004D6289">
        <w:rPr>
          <w:rFonts w:ascii="Arial" w:hAnsi="Arial" w:cs="Arial"/>
        </w:rPr>
        <w:t xml:space="preserve"> the plant growth-promoting activities among the selected isolates. The results obtained explain a variability of 29.4% and 52.36% according to the second half of the axes. </w:t>
      </w:r>
      <w:r w:rsidRPr="004D6289">
        <w:rPr>
          <w:rFonts w:ascii="Arial" w:hAnsi="Arial" w:cs="Arial"/>
          <w:lang w:eastAsia="fr-BE"/>
        </w:rPr>
        <w:t>The PCA distinguished three groups of isolates (</w:t>
      </w:r>
      <w:r w:rsidRPr="006518DC">
        <w:rPr>
          <w:rFonts w:ascii="Arial" w:hAnsi="Arial" w:cs="Arial"/>
          <w:lang w:eastAsia="fr-BE"/>
        </w:rPr>
        <w:t>Fig</w:t>
      </w:r>
      <w:r>
        <w:rPr>
          <w:rFonts w:ascii="Arial" w:hAnsi="Arial" w:cs="Arial"/>
          <w:lang w:eastAsia="fr-BE"/>
        </w:rPr>
        <w:t>.</w:t>
      </w:r>
      <w:r w:rsidRPr="006518DC">
        <w:rPr>
          <w:rFonts w:ascii="Arial" w:hAnsi="Arial" w:cs="Arial"/>
          <w:lang w:eastAsia="fr-BE"/>
        </w:rPr>
        <w:t xml:space="preserve"> 4):</w:t>
      </w:r>
    </w:p>
    <w:p w14:paraId="733C69A7"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1</w:t>
      </w:r>
      <w:r w:rsidRPr="004D6289">
        <w:rPr>
          <w:rFonts w:ascii="Arial" w:hAnsi="Arial" w:cs="Arial"/>
          <w:lang w:eastAsia="fr-BE"/>
        </w:rPr>
        <w:t xml:space="preserve"> (B15, B30, Ki3), characterized by the highest expression of multiple PGPR activities;</w:t>
      </w:r>
    </w:p>
    <w:p w14:paraId="6FAE2C8B"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2</w:t>
      </w:r>
      <w:r w:rsidRPr="004D6289">
        <w:rPr>
          <w:rFonts w:ascii="Arial" w:hAnsi="Arial" w:cs="Arial"/>
          <w:lang w:eastAsia="fr-BE"/>
        </w:rPr>
        <w:t xml:space="preserve"> (A3, T3, Le18, KO15, B1, T9, T6, KO1, KOM3), showing intermediate but substantial PGPR activity;</w:t>
      </w:r>
    </w:p>
    <w:p w14:paraId="07EFBA86" w14:textId="77777777" w:rsidR="00BE12B5" w:rsidRPr="004D6289" w:rsidRDefault="00BE12B5" w:rsidP="00BE12B5">
      <w:pPr>
        <w:numPr>
          <w:ilvl w:val="0"/>
          <w:numId w:val="31"/>
        </w:numPr>
        <w:spacing w:before="100" w:beforeAutospacing="1" w:after="100" w:afterAutospacing="1"/>
        <w:jc w:val="both"/>
        <w:rPr>
          <w:rFonts w:ascii="Arial" w:hAnsi="Arial" w:cs="Arial"/>
          <w:lang w:eastAsia="fr-BE"/>
        </w:rPr>
      </w:pPr>
      <w:r w:rsidRPr="004D6289">
        <w:rPr>
          <w:rFonts w:ascii="Arial" w:hAnsi="Arial" w:cs="Arial"/>
          <w:b/>
          <w:bCs/>
          <w:lang w:eastAsia="fr-BE"/>
        </w:rPr>
        <w:t>Group 3</w:t>
      </w:r>
      <w:r w:rsidRPr="004D6289">
        <w:rPr>
          <w:rFonts w:ascii="Arial" w:hAnsi="Arial" w:cs="Arial"/>
          <w:lang w:eastAsia="fr-BE"/>
        </w:rPr>
        <w:t xml:space="preserve"> (A56, Le13, KOM9, KOM1, Ki6), which expressed weak PGPR activities compared to the first two groups.</w:t>
      </w:r>
    </w:p>
    <w:p w14:paraId="12D35B0F" w14:textId="77777777" w:rsidR="001F6D7B" w:rsidRDefault="00BE12B5" w:rsidP="00441B6F">
      <w:pPr>
        <w:pStyle w:val="Body"/>
        <w:spacing w:after="0"/>
        <w:rPr>
          <w:rFonts w:ascii="Arial" w:hAnsi="Arial" w:cs="Arial"/>
        </w:rPr>
      </w:pPr>
      <w:r w:rsidRPr="004D6289">
        <w:rPr>
          <w:rFonts w:ascii="Arial" w:hAnsi="Arial" w:cs="Arial"/>
          <w:noProof/>
        </w:rPr>
        <w:drawing>
          <wp:inline distT="0" distB="0" distL="0" distR="0" wp14:anchorId="269F5FB5" wp14:editId="4B276344">
            <wp:extent cx="4693920" cy="3931920"/>
            <wp:effectExtent l="0" t="0" r="11430" b="11430"/>
            <wp:docPr id="13" name="Graphique 13">
              <a:extLst xmlns:a="http://schemas.openxmlformats.org/drawingml/2006/main">
                <a:ext uri="{FF2B5EF4-FFF2-40B4-BE49-F238E27FC236}">
                  <a16:creationId xmlns:a16="http://schemas.microsoft.com/office/drawing/2014/main" id="{A3E03232-1D06-E073-CC7C-031A2B597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5900A7" w14:textId="77777777" w:rsidR="001F6D7B" w:rsidRDefault="001F6D7B" w:rsidP="00441B6F">
      <w:pPr>
        <w:pStyle w:val="Body"/>
        <w:spacing w:after="0"/>
        <w:rPr>
          <w:rFonts w:ascii="Arial" w:hAnsi="Arial" w:cs="Arial"/>
        </w:rPr>
      </w:pPr>
    </w:p>
    <w:p w14:paraId="5E7AD4F7" w14:textId="77777777" w:rsidR="000731B4" w:rsidRPr="004D6289" w:rsidRDefault="000731B4" w:rsidP="000731B4">
      <w:pPr>
        <w:jc w:val="both"/>
        <w:rPr>
          <w:rFonts w:ascii="Arial" w:hAnsi="Arial" w:cs="Arial"/>
          <w:b/>
          <w:bCs/>
        </w:rPr>
      </w:pPr>
      <w:r w:rsidRPr="004D6289">
        <w:rPr>
          <w:rFonts w:ascii="Arial" w:hAnsi="Arial" w:cs="Arial"/>
          <w:b/>
          <w:bCs/>
        </w:rPr>
        <w:t>Fig</w:t>
      </w:r>
      <w:r>
        <w:rPr>
          <w:rFonts w:ascii="Arial" w:hAnsi="Arial" w:cs="Arial"/>
          <w:b/>
          <w:bCs/>
        </w:rPr>
        <w:t>.</w:t>
      </w:r>
      <w:r w:rsidRPr="004D6289">
        <w:rPr>
          <w:rFonts w:ascii="Arial" w:hAnsi="Arial" w:cs="Arial"/>
          <w:b/>
          <w:bCs/>
        </w:rPr>
        <w:t xml:space="preserve"> 4</w:t>
      </w:r>
      <w:r>
        <w:rPr>
          <w:rFonts w:ascii="Arial" w:hAnsi="Arial" w:cs="Arial"/>
          <w:b/>
          <w:bCs/>
        </w:rPr>
        <w:t>.</w:t>
      </w:r>
      <w:r w:rsidRPr="004D6289">
        <w:rPr>
          <w:rFonts w:ascii="Arial" w:hAnsi="Arial" w:cs="Arial"/>
          <w:b/>
          <w:bCs/>
        </w:rPr>
        <w:t xml:space="preserve"> Data ranking generated based on plant growth-promoting activities</w:t>
      </w:r>
    </w:p>
    <w:p w14:paraId="294900D1" w14:textId="77777777" w:rsidR="000731B4" w:rsidRPr="006518DC" w:rsidRDefault="000731B4" w:rsidP="000731B4">
      <w:pPr>
        <w:rPr>
          <w:rFonts w:ascii="Arial" w:hAnsi="Arial" w:cs="Arial"/>
          <w:b/>
          <w:bCs/>
          <w:sz w:val="22"/>
          <w:szCs w:val="22"/>
        </w:rPr>
      </w:pPr>
      <w:r w:rsidRPr="006518DC">
        <w:rPr>
          <w:rFonts w:ascii="Arial" w:hAnsi="Arial" w:cs="Arial"/>
          <w:b/>
          <w:bCs/>
          <w:sz w:val="22"/>
          <w:szCs w:val="22"/>
        </w:rPr>
        <w:t>3.2. Effect of bacterial isolates on tomato seeds germination</w:t>
      </w:r>
    </w:p>
    <w:p w14:paraId="70B119C8" w14:textId="77777777" w:rsidR="000731B4" w:rsidRPr="008945B6" w:rsidRDefault="000731B4" w:rsidP="000731B4">
      <w:pPr>
        <w:jc w:val="both"/>
        <w:rPr>
          <w:rFonts w:ascii="Arial" w:hAnsi="Arial" w:cs="Arial"/>
          <w:lang w:eastAsia="fr-BE"/>
        </w:rPr>
      </w:pPr>
      <w:r w:rsidRPr="004D6289">
        <w:rPr>
          <w:rFonts w:ascii="Arial" w:hAnsi="Arial" w:cs="Arial"/>
        </w:rPr>
        <w:t xml:space="preserve">The effect of rhizobacterial inoculation on tomato seeds </w:t>
      </w:r>
      <w:r w:rsidRPr="004D6289">
        <w:rPr>
          <w:rFonts w:ascii="Arial" w:hAnsi="Arial" w:cs="Arial"/>
          <w:lang w:eastAsia="fr-BE"/>
        </w:rPr>
        <w:t xml:space="preserve">germination and seedling vigor </w:t>
      </w:r>
      <w:r w:rsidRPr="004D6289">
        <w:rPr>
          <w:rFonts w:ascii="Arial" w:hAnsi="Arial" w:cs="Arial"/>
        </w:rPr>
        <w:t xml:space="preserve">varied according to the isolate and tomato variety. </w:t>
      </w:r>
      <w:r w:rsidRPr="004D6289">
        <w:rPr>
          <w:rFonts w:ascii="Arial" w:hAnsi="Arial" w:cs="Arial"/>
          <w:lang w:eastAsia="fr-BE"/>
        </w:rPr>
        <w:t>Although</w:t>
      </w:r>
      <w:r w:rsidRPr="004D6289">
        <w:rPr>
          <w:rFonts w:ascii="Arial" w:hAnsi="Arial" w:cs="Arial"/>
        </w:rPr>
        <w:t xml:space="preserve"> inoculation had no significant effect on germination rate (p=0.98), compared to the control for both tomato varieties (</w:t>
      </w:r>
      <w:r w:rsidRPr="006518DC">
        <w:rPr>
          <w:rFonts w:ascii="Arial" w:hAnsi="Arial" w:cs="Arial"/>
        </w:rPr>
        <w:t>Fig</w:t>
      </w:r>
      <w:r>
        <w:rPr>
          <w:rFonts w:ascii="Arial" w:hAnsi="Arial" w:cs="Arial"/>
        </w:rPr>
        <w:t>.</w:t>
      </w:r>
      <w:r w:rsidRPr="006518DC">
        <w:rPr>
          <w:rFonts w:ascii="Arial" w:hAnsi="Arial" w:cs="Arial"/>
        </w:rPr>
        <w:t xml:space="preserve"> 5</w:t>
      </w:r>
      <w:r w:rsidRPr="004D6289">
        <w:rPr>
          <w:rFonts w:ascii="Arial" w:hAnsi="Arial" w:cs="Arial"/>
        </w:rPr>
        <w:t xml:space="preserve">), inoculated </w:t>
      </w:r>
      <w:r w:rsidRPr="004D6289">
        <w:rPr>
          <w:rFonts w:ascii="Arial" w:hAnsi="Arial" w:cs="Arial"/>
        </w:rPr>
        <w:lastRenderedPageBreak/>
        <w:t xml:space="preserve">seeds germinated more rapidly. Germination rates ranged from 92 to 100 % </w:t>
      </w:r>
      <w:r w:rsidRPr="004D6289">
        <w:rPr>
          <w:rFonts w:ascii="Arial" w:hAnsi="Arial" w:cs="Arial"/>
          <w:lang w:eastAsia="fr-BE"/>
        </w:rPr>
        <w:t xml:space="preserve">for the </w:t>
      </w:r>
      <w:proofErr w:type="spellStart"/>
      <w:r w:rsidRPr="004D6289">
        <w:rPr>
          <w:rFonts w:ascii="Arial" w:hAnsi="Arial" w:cs="Arial"/>
          <w:lang w:eastAsia="fr-BE"/>
        </w:rPr>
        <w:t>Mongal</w:t>
      </w:r>
      <w:proofErr w:type="spellEnd"/>
      <w:r w:rsidRPr="004D6289">
        <w:rPr>
          <w:rFonts w:ascii="Arial" w:hAnsi="Arial" w:cs="Arial"/>
          <w:lang w:eastAsia="fr-BE"/>
        </w:rPr>
        <w:t xml:space="preserve"> variety and 98–</w:t>
      </w:r>
      <w:r w:rsidRPr="008945B6">
        <w:rPr>
          <w:rFonts w:ascii="Arial" w:hAnsi="Arial" w:cs="Arial"/>
          <w:lang w:eastAsia="fr-BE"/>
        </w:rPr>
        <w:t>100 % for the Cobra variety (Fig</w:t>
      </w:r>
      <w:r>
        <w:rPr>
          <w:rFonts w:ascii="Arial" w:hAnsi="Arial" w:cs="Arial"/>
          <w:lang w:eastAsia="fr-BE"/>
        </w:rPr>
        <w:t>.</w:t>
      </w:r>
      <w:r w:rsidRPr="008945B6">
        <w:rPr>
          <w:rFonts w:ascii="Arial" w:hAnsi="Arial" w:cs="Arial"/>
          <w:lang w:eastAsia="fr-BE"/>
        </w:rPr>
        <w:t xml:space="preserve"> 5), compared with their respective controls.</w:t>
      </w:r>
    </w:p>
    <w:p w14:paraId="5536EEEA" w14:textId="77777777" w:rsidR="000731B4" w:rsidRPr="004D6289" w:rsidRDefault="000731B4" w:rsidP="000731B4">
      <w:pPr>
        <w:jc w:val="both"/>
        <w:rPr>
          <w:rFonts w:ascii="Arial" w:hAnsi="Arial" w:cs="Arial"/>
        </w:rPr>
      </w:pPr>
      <w:r w:rsidRPr="008945B6">
        <w:rPr>
          <w:rFonts w:ascii="Arial" w:hAnsi="Arial" w:cs="Arial"/>
        </w:rPr>
        <w:t xml:space="preserve">This result is consistent with those obtained by </w:t>
      </w:r>
      <w:r w:rsidRPr="008945B6">
        <w:rPr>
          <w:rFonts w:ascii="Arial" w:hAnsi="Arial" w:cs="Arial"/>
        </w:rPr>
        <w:fldChar w:fldCharType="begin"/>
      </w:r>
      <w:r w:rsidRPr="008945B6">
        <w:rPr>
          <w:rFonts w:ascii="Arial" w:hAnsi="Arial" w:cs="Arial"/>
        </w:rPr>
        <w:instrText xml:space="preserve"> ADDIN ZOTERO_ITEM CSL_CITATION {"citationID":"fk0PrPW3","properties":{"formattedCitation":"(Aarab et al., 2009)","plainCitation":"(Aarab et al., 2009)","dontUpdate":true,"noteIndex":0},"citationItems":[{"id":339,"uris":["http://zotero.org/users/5678157/items/2HQLWQMR"],"itemData":{"id":339,"type":"article-journal","language":"fr","source":"Zotero","title":"Selection des isolats rhizobiens solubilisant le phosphate tricalcique : inoculation des graines du triticale (variete momtaz)","volume":"5","author":[{"family":"Aarab","given":"S"},{"family":"Laglaoui","given":"A"},{"family":"Bakkali","given":"M"},{"family":"Arakrak","given":"A"}],"issued":{"date-parts":[["2009"]]}}}],"schema":"https://github.com/citation-style-language/schema/raw/master/csl-citation.json"} </w:instrText>
      </w:r>
      <w:r w:rsidRPr="008945B6">
        <w:rPr>
          <w:rFonts w:ascii="Arial" w:hAnsi="Arial" w:cs="Arial"/>
        </w:rPr>
        <w:fldChar w:fldCharType="separate"/>
      </w:r>
      <w:r w:rsidRPr="008945B6">
        <w:rPr>
          <w:rFonts w:ascii="Arial" w:hAnsi="Arial" w:cs="Arial"/>
        </w:rPr>
        <w:t>Aarab et al., (2009)</w:t>
      </w:r>
      <w:r w:rsidRPr="008945B6">
        <w:rPr>
          <w:rFonts w:ascii="Arial" w:hAnsi="Arial" w:cs="Arial"/>
        </w:rPr>
        <w:fldChar w:fldCharType="end"/>
      </w:r>
      <w:r w:rsidRPr="008945B6">
        <w:rPr>
          <w:rFonts w:ascii="Arial" w:hAnsi="Arial" w:cs="Arial"/>
        </w:rPr>
        <w:t xml:space="preserve">, who showed that phosphate-solubilizing rhizobia inhibited triticale seed germination. </w:t>
      </w:r>
      <w:r w:rsidRPr="008945B6">
        <w:rPr>
          <w:rFonts w:ascii="Arial" w:hAnsi="Arial" w:cs="Arial"/>
          <w:lang w:eastAsia="fr-BE"/>
        </w:rPr>
        <w:t xml:space="preserve">Such effects may occur because </w:t>
      </w:r>
      <w:r w:rsidRPr="008945B6">
        <w:rPr>
          <w:rFonts w:ascii="Arial" w:hAnsi="Arial" w:cs="Arial"/>
        </w:rPr>
        <w:t xml:space="preserve">rhizobacteria act after seed emergence by primarily </w:t>
      </w:r>
      <w:r w:rsidRPr="008945B6">
        <w:rPr>
          <w:rFonts w:ascii="Arial" w:hAnsi="Arial" w:cs="Arial"/>
          <w:lang w:eastAsia="fr-BE"/>
        </w:rPr>
        <w:t xml:space="preserve">enhancing root growth and seedling development rather than germination itself </w:t>
      </w:r>
      <w:r w:rsidRPr="008945B6">
        <w:rPr>
          <w:rFonts w:ascii="Arial" w:hAnsi="Arial" w:cs="Arial"/>
        </w:rPr>
        <w:fldChar w:fldCharType="begin"/>
      </w:r>
      <w:r w:rsidRPr="008945B6">
        <w:rPr>
          <w:rFonts w:ascii="Arial" w:hAnsi="Arial" w:cs="Arial"/>
        </w:rPr>
        <w:instrText xml:space="preserve"> ADDIN ZOTERO_ITEM CSL_CITATION {"citationID":"Tlfvj0Qu","properties":{"formattedCitation":"(Khoso et al., 2024)","plainCitation":"(Khoso et al., 2024)","noteIndex":0},"citationItems":[{"id":294,"uris":["http://zotero.org/users/5678157/items/5C4MLSP3"],"itemData":{"id":294,"type":"article-journal","abstract":"Through a variety of mechanisms, including increasing the amount of readily available mineral nutrients, regulating phytohormone levels, and biocontrol of phytopathogens, plant growth-promoting rhizobacteria (PGPR) associated with the plant rhizosphere either directly or indirectly stimulates plant growth and development. The establishment, survival, and persistence of PGPR inoculants are widely acknowledged to be contingent upon these two parameters, in addition to the intricate network of interactions within the rhizosphere. In general, the soil is a moist environment with significant amounts of carbon that have been degraded and harbors a large population of soil microbes. The rhizo-microbiome is crucial to agriculture because a wide variety of root exudates and plant cell debris attract unique and distinct patterns of microbial colonization. The rhizo-microbiome plays a crucial role in the manufacture and regulation of extracellular molecules, including hormones, secondary metabolites, antibiotics, and various signaling chemicals. Additionally, the microbial composition within the rhizo-microbiome influences soil texture enhancement. Research has shown that PGPR can be used to treat plants or inoculate plants to promote plant development. PGPR alters the physiology of the entire plant, which enhances nutrient uptake and affects the effectiveness of root activity. The specific biochemical processes of plants involved in this phenomenon are often not well understood. Nevertheless, new studies have shed light on the mechanisms via which signaling by PGPR can induce various plant responses, both at the local and systemic levels. Insufficient information is available regarding the impact of the PGPR mechanism and molecules on metabolic pathways in root characteristics. Consequently, this review will concentrate on elucidating the PGPR mechanism and identifying the essential molecules that exert influence on root-microbe interactions.","container-title":"Plant Stress","DOI":"10.1016/j.stress.2023.100341","ISSN":"2667-064X","journalAbbreviation":"Plant Stress","page":"100341","source":"ScienceDirect","title":"Impact of plant growth-promoting rhizobacteria (PGPR) on plant nutrition and root characteristics: Current perspective","title-short":"Impact of plant growth-promoting rhizobacteria (PGPR) on plant nutrition and root characteristics","volume":"11","author":[{"family":"Khoso","given":"Muneer Ahmed"},{"family":"Wagan","given":"Sindho"},{"family":"Alam","given":"Intikhab"},{"family":"Hussain","given":"Amjad"},{"family":"Ali","given":"Qurban"},{"family":"Saha","given":"Sudipta"},{"family":"Poudel","given":"Tika Ram"},{"family":"Manghwar","given":"Hakim"},{"family":"Liu","given":"Fen"}],"issued":{"date-parts":[["2024",3,1]]}}}],"schema":"https://github.com/citation-style-language/schema/raw/master/csl-citation.json"} </w:instrText>
      </w:r>
      <w:r w:rsidRPr="008945B6">
        <w:rPr>
          <w:rFonts w:ascii="Arial" w:hAnsi="Arial" w:cs="Arial"/>
        </w:rPr>
        <w:fldChar w:fldCharType="separate"/>
      </w:r>
      <w:r w:rsidRPr="008945B6">
        <w:rPr>
          <w:rFonts w:ascii="Arial" w:hAnsi="Arial" w:cs="Arial"/>
        </w:rPr>
        <w:t>(Khoso et al., 2024)</w:t>
      </w:r>
      <w:r w:rsidRPr="008945B6">
        <w:rPr>
          <w:rFonts w:ascii="Arial" w:hAnsi="Arial" w:cs="Arial"/>
        </w:rPr>
        <w:fldChar w:fldCharType="end"/>
      </w:r>
      <w:r w:rsidRPr="008945B6">
        <w:rPr>
          <w:rFonts w:ascii="Arial" w:hAnsi="Arial" w:cs="Arial"/>
        </w:rPr>
        <w:t xml:space="preserve">. Seed germination is </w:t>
      </w:r>
      <w:r w:rsidRPr="008945B6">
        <w:rPr>
          <w:rFonts w:ascii="Arial" w:hAnsi="Arial" w:cs="Arial"/>
          <w:lang w:eastAsia="fr-BE"/>
        </w:rPr>
        <w:t>largely determined by intrinsic</w:t>
      </w:r>
      <w:r w:rsidRPr="008945B6">
        <w:rPr>
          <w:rFonts w:ascii="Arial" w:hAnsi="Arial" w:cs="Arial"/>
        </w:rPr>
        <w:t xml:space="preserve"> seed vigor and environmental conditions </w:t>
      </w:r>
      <w:r w:rsidRPr="008945B6">
        <w:rPr>
          <w:rFonts w:ascii="Arial" w:hAnsi="Arial" w:cs="Arial"/>
        </w:rPr>
        <w:fldChar w:fldCharType="begin"/>
      </w:r>
      <w:r w:rsidRPr="008945B6">
        <w:rPr>
          <w:rFonts w:ascii="Arial" w:hAnsi="Arial" w:cs="Arial"/>
        </w:rPr>
        <w:instrText xml:space="preserve"> ADDIN ZOTERO_ITEM CSL_CITATION {"citationID":"CrFfddYy","properties":{"formattedCitation":"(Finch-Savage and Bassel, 2016)","plainCitation":"(Finch-Savage and Bassel, 2016)","noteIndex":0},"citationItems":[{"id":291,"uris":["http://zotero.org/users/5678157/items/B4FUKUVQ"],"itemData":{"id":291,"type":"article-journal","abstract":"Seeds are central to crop production, human nutrition, and food security. A key component of the performance of crop seeds is the complex trait of seed vigour. Crop yield and resource use efficiency depend on successful plant establishment in the field, and it is the vigour of seeds that defines their ability to germinate and establish seedlings rapidly, uniformly, and robustly across diverse environmental conditions. Improving vigour to enhance the critical and yield-defining stage of crop establishment remains a primary objective of the agricultural industry and the seed/breeding companies that support it. Our knowledge of the regulation of seed germination has developed greatly in recent times, yet understanding of the basis of variation in vigour and therefore seed performance during the establishment of crops remains limited. Here we consider seed vigour at an ecophysiological, molecular, and biomechanical level. We discuss how some seed characteristics that serve as adaptive responses to the natural environment are not suitable for agriculture. Past domestication has provided incremental improvements, but further actively directed change is required to produce seeds with the characteristics required both now and in the future. We discuss ways in which basic plant science could be applied to enhance seed performance in crop production.","container-title":"Journal of Experimental Botany","DOI":"10.1093/jxb/erv490","ISSN":"0022-0957","issue":"3","journalAbbreviation":"J Exp Bot","page":"567-591","source":"Silverchair","title":"Seed vigour and crop establishment: extending performance beyond adaptation","title-short":"Seed vigour and crop establishment","volume":"67","author":[{"family":"Finch-Savage","given":"W.E."},{"family":"Bassel","given":"G.W."}],"issued":{"date-parts":[["2016",2,1]]}}}],"schema":"https://github.com/citation-style-language/schema/raw/master/csl-citation.json"} </w:instrText>
      </w:r>
      <w:r w:rsidRPr="008945B6">
        <w:rPr>
          <w:rFonts w:ascii="Arial" w:hAnsi="Arial" w:cs="Arial"/>
        </w:rPr>
        <w:fldChar w:fldCharType="separate"/>
      </w:r>
      <w:r w:rsidRPr="008945B6">
        <w:rPr>
          <w:rFonts w:ascii="Arial" w:hAnsi="Arial" w:cs="Arial"/>
        </w:rPr>
        <w:t>(Finch-Savage and Bassel, 2016)</w:t>
      </w:r>
      <w:r w:rsidRPr="008945B6">
        <w:rPr>
          <w:rFonts w:ascii="Arial" w:hAnsi="Arial" w:cs="Arial"/>
        </w:rPr>
        <w:fldChar w:fldCharType="end"/>
      </w:r>
      <w:r w:rsidRPr="004D6289">
        <w:rPr>
          <w:rFonts w:ascii="Arial" w:hAnsi="Arial" w:cs="Arial"/>
        </w:rPr>
        <w:t xml:space="preserve">. </w:t>
      </w:r>
    </w:p>
    <w:p w14:paraId="37785802" w14:textId="77777777" w:rsidR="001F6D7B" w:rsidRDefault="001F6D7B" w:rsidP="00441B6F">
      <w:pPr>
        <w:pStyle w:val="Body"/>
        <w:spacing w:after="0"/>
        <w:rPr>
          <w:rFonts w:ascii="Arial" w:hAnsi="Arial" w:cs="Arial"/>
        </w:rPr>
      </w:pPr>
    </w:p>
    <w:p w14:paraId="1ED505C4" w14:textId="77777777" w:rsidR="000731B4" w:rsidRDefault="000731B4" w:rsidP="000731B4">
      <w:pPr>
        <w:pStyle w:val="Body"/>
        <w:spacing w:after="0"/>
        <w:rPr>
          <w:rFonts w:ascii="Arial" w:hAnsi="Arial" w:cs="Arial"/>
        </w:rPr>
      </w:pPr>
      <w:r w:rsidRPr="004D6289">
        <w:rPr>
          <w:rFonts w:ascii="Arial" w:hAnsi="Arial" w:cs="Arial"/>
          <w:b/>
          <w:bCs/>
          <w:noProof/>
        </w:rPr>
        <w:drawing>
          <wp:inline distT="0" distB="0" distL="0" distR="0" wp14:anchorId="4118109A" wp14:editId="5341C92C">
            <wp:extent cx="5913120" cy="2926080"/>
            <wp:effectExtent l="0" t="0" r="0" b="0"/>
            <wp:docPr id="9" name="Graphique 9">
              <a:extLst xmlns:a="http://schemas.openxmlformats.org/drawingml/2006/main">
                <a:ext uri="{FF2B5EF4-FFF2-40B4-BE49-F238E27FC236}">
                  <a16:creationId xmlns:a16="http://schemas.microsoft.com/office/drawing/2014/main" id="{8062E86D-E318-4C00-A64F-E558B0C2D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4AFD27" w14:textId="77777777" w:rsidR="000731B4" w:rsidRDefault="000731B4" w:rsidP="000731B4">
      <w:pPr>
        <w:jc w:val="both"/>
        <w:rPr>
          <w:rFonts w:ascii="Arial" w:hAnsi="Arial" w:cs="Arial"/>
          <w:b/>
          <w:bCs/>
          <w:noProof/>
        </w:rPr>
      </w:pPr>
      <w:r w:rsidRPr="006518DC">
        <w:rPr>
          <w:rFonts w:ascii="Arial" w:hAnsi="Arial" w:cs="Arial"/>
          <w:b/>
          <w:bCs/>
        </w:rPr>
        <w:t>Fig</w:t>
      </w:r>
      <w:r>
        <w:rPr>
          <w:rFonts w:ascii="Arial" w:hAnsi="Arial" w:cs="Arial"/>
          <w:b/>
          <w:bCs/>
        </w:rPr>
        <w:t>.</w:t>
      </w:r>
      <w:r w:rsidRPr="006518DC">
        <w:rPr>
          <w:rFonts w:ascii="Arial" w:hAnsi="Arial" w:cs="Arial"/>
          <w:b/>
          <w:bCs/>
        </w:rPr>
        <w:t xml:space="preserve"> 5</w:t>
      </w:r>
      <w:r>
        <w:rPr>
          <w:rFonts w:ascii="Arial" w:hAnsi="Arial" w:cs="Arial"/>
          <w:b/>
          <w:bCs/>
        </w:rPr>
        <w:t>.</w:t>
      </w:r>
      <w:r w:rsidRPr="006518DC">
        <w:rPr>
          <w:rFonts w:ascii="Arial" w:hAnsi="Arial" w:cs="Arial"/>
          <w:b/>
          <w:bCs/>
        </w:rPr>
        <w:t xml:space="preserve"> Germination rate with the Cobra and </w:t>
      </w:r>
      <w:proofErr w:type="spellStart"/>
      <w:r w:rsidRPr="006518DC">
        <w:rPr>
          <w:rFonts w:ascii="Arial" w:hAnsi="Arial" w:cs="Arial"/>
          <w:b/>
          <w:bCs/>
        </w:rPr>
        <w:t>Mongal</w:t>
      </w:r>
      <w:proofErr w:type="spellEnd"/>
      <w:r w:rsidRPr="006518DC">
        <w:rPr>
          <w:rFonts w:ascii="Arial" w:hAnsi="Arial" w:cs="Arial"/>
          <w:b/>
          <w:bCs/>
        </w:rPr>
        <w:t xml:space="preserve"> variety depending on isolates</w:t>
      </w:r>
      <w:r w:rsidRPr="006518DC">
        <w:rPr>
          <w:rFonts w:ascii="Arial" w:hAnsi="Arial" w:cs="Arial"/>
          <w:b/>
          <w:bCs/>
          <w:noProof/>
        </w:rPr>
        <w:t xml:space="preserve"> </w:t>
      </w:r>
    </w:p>
    <w:p w14:paraId="70DEAFE9" w14:textId="77777777" w:rsidR="00CC5B6D" w:rsidRPr="006518DC" w:rsidRDefault="00CC5B6D" w:rsidP="000731B4">
      <w:pPr>
        <w:jc w:val="both"/>
        <w:rPr>
          <w:rFonts w:ascii="Arial" w:hAnsi="Arial" w:cs="Arial"/>
          <w:b/>
          <w:bCs/>
          <w:lang w:eastAsia="fr-BE"/>
        </w:rPr>
      </w:pPr>
    </w:p>
    <w:p w14:paraId="2A0F6951" w14:textId="77777777" w:rsidR="000731B4" w:rsidRPr="008945B6" w:rsidRDefault="000731B4" w:rsidP="000731B4">
      <w:pPr>
        <w:jc w:val="both"/>
        <w:rPr>
          <w:rFonts w:ascii="Arial" w:hAnsi="Arial" w:cs="Arial"/>
          <w:lang w:eastAsia="fr-BE"/>
        </w:rPr>
      </w:pPr>
      <w:r w:rsidRPr="004D6289">
        <w:rPr>
          <w:rFonts w:ascii="Arial" w:hAnsi="Arial" w:cs="Arial"/>
          <w:lang w:eastAsia="fr-BE"/>
        </w:rPr>
        <w:t xml:space="preserve">In contrast to the germination rate, seedling growth parameters were significantly enhanced by bacterial inoculation. </w:t>
      </w:r>
      <w:r w:rsidRPr="004D6289">
        <w:rPr>
          <w:rFonts w:ascii="Arial" w:hAnsi="Arial" w:cs="Arial"/>
        </w:rPr>
        <w:t xml:space="preserve">Indeed, the radicle length (p=0.01) and </w:t>
      </w:r>
      <w:proofErr w:type="spellStart"/>
      <w:r w:rsidRPr="004D6289">
        <w:rPr>
          <w:rFonts w:ascii="Arial" w:hAnsi="Arial" w:cs="Arial"/>
        </w:rPr>
        <w:t>tigella</w:t>
      </w:r>
      <w:proofErr w:type="spellEnd"/>
      <w:r w:rsidRPr="004D6289">
        <w:rPr>
          <w:rFonts w:ascii="Arial" w:hAnsi="Arial" w:cs="Arial"/>
        </w:rPr>
        <w:t xml:space="preserve"> length (p=0.001) </w:t>
      </w:r>
      <w:r w:rsidRPr="008945B6">
        <w:rPr>
          <w:rFonts w:ascii="Arial" w:hAnsi="Arial" w:cs="Arial"/>
        </w:rPr>
        <w:t>were significantly higher in inoculated seedlings than in the control plants, improving the vigor index of both tomato varieties. This result</w:t>
      </w:r>
      <w:r w:rsidRPr="008945B6">
        <w:rPr>
          <w:rFonts w:ascii="Arial" w:hAnsi="Arial" w:cs="Arial"/>
          <w:lang w:eastAsia="fr-BE"/>
        </w:rPr>
        <w:t xml:space="preserve"> </w:t>
      </w:r>
      <w:proofErr w:type="spellStart"/>
      <w:r w:rsidRPr="008945B6">
        <w:rPr>
          <w:rFonts w:ascii="Arial" w:hAnsi="Arial" w:cs="Arial"/>
          <w:lang w:eastAsia="fr-BE"/>
        </w:rPr>
        <w:t>corrobor</w:t>
      </w:r>
      <w:proofErr w:type="spellEnd"/>
      <w:r w:rsidRPr="008945B6">
        <w:rPr>
          <w:rFonts w:ascii="Arial" w:hAnsi="Arial" w:cs="Arial"/>
          <w:lang w:eastAsia="fr-BE"/>
        </w:rPr>
        <w:t xml:space="preserve"> the results obtained by </w:t>
      </w:r>
      <w:r w:rsidRPr="008945B6">
        <w:rPr>
          <w:rFonts w:ascii="Arial" w:hAnsi="Arial" w:cs="Arial"/>
          <w:color w:val="C00000"/>
        </w:rPr>
        <w:fldChar w:fldCharType="begin"/>
      </w:r>
      <w:r w:rsidRPr="008945B6">
        <w:rPr>
          <w:rFonts w:ascii="Arial" w:hAnsi="Arial" w:cs="Arial"/>
          <w:color w:val="C00000"/>
        </w:rPr>
        <w:instrText xml:space="preserve"> ADDIN ZOTERO_ITEM CSL_CITATION {"citationID":"jqKqZIrT","properties":{"formattedCitation":"(Almaghrabi et al., 2013)","plainCitation":"(Almaghrabi et al., 2013)","dontUpdate":true,"noteIndex":0},"citationItems":[{"id":394,"uris":["http://zotero.org/users/5678157/items/L6K3B4XC"],"itemData":{"id":394,"type":"article-journal","container-title":"Saudi journal of biological sciences","issue":"1","note":"publisher: Elsevier","page":"57–61","source":"Google Scholar","title":"Influence of inoculation with plant growth promoting rhizobacteria (PGPR) on tomato plant growth and nematode reproduction under greenhouse conditions","volume":"20","author":[{"family":"Almaghrabi","given":"Omar A."},{"family":"Massoud","given":"Samia I."},{"family":"Abdelmoneim","given":"Tamer S."}],"issued":{"date-parts":[["2013"]]}}}],"schema":"https://github.com/citation-style-language/schema/raw/master/csl-citation.json"} </w:instrText>
      </w:r>
      <w:r w:rsidRPr="008945B6">
        <w:rPr>
          <w:rFonts w:ascii="Arial" w:hAnsi="Arial" w:cs="Arial"/>
          <w:color w:val="C00000"/>
        </w:rPr>
        <w:fldChar w:fldCharType="separate"/>
      </w:r>
      <w:r w:rsidRPr="008945B6">
        <w:rPr>
          <w:rFonts w:ascii="Arial" w:hAnsi="Arial" w:cs="Arial"/>
        </w:rPr>
        <w:t>Almaghrabi et al. (2013)</w:t>
      </w:r>
      <w:r w:rsidRPr="008945B6">
        <w:rPr>
          <w:rFonts w:ascii="Arial" w:hAnsi="Arial" w:cs="Arial"/>
          <w:color w:val="C00000"/>
        </w:rPr>
        <w:fldChar w:fldCharType="end"/>
      </w:r>
      <w:r w:rsidRPr="008945B6">
        <w:rPr>
          <w:rFonts w:ascii="Arial" w:hAnsi="Arial" w:cs="Arial"/>
          <w:lang w:eastAsia="fr-BE"/>
        </w:rPr>
        <w:t xml:space="preserve">, who showed that </w:t>
      </w:r>
      <w:r w:rsidRPr="008945B6">
        <w:rPr>
          <w:rFonts w:ascii="Arial" w:hAnsi="Arial" w:cs="Arial"/>
          <w:i/>
          <w:iCs/>
          <w:lang w:eastAsia="fr-BE"/>
        </w:rPr>
        <w:t>Bacillus</w:t>
      </w:r>
      <w:r w:rsidRPr="008945B6">
        <w:rPr>
          <w:rFonts w:ascii="Arial" w:hAnsi="Arial" w:cs="Arial"/>
          <w:lang w:eastAsia="fr-BE"/>
        </w:rPr>
        <w:t xml:space="preserve"> and </w:t>
      </w:r>
      <w:r w:rsidRPr="008945B6">
        <w:rPr>
          <w:rFonts w:ascii="Arial" w:hAnsi="Arial" w:cs="Arial"/>
          <w:i/>
          <w:iCs/>
          <w:lang w:eastAsia="fr-BE"/>
        </w:rPr>
        <w:t>Pseudomonas</w:t>
      </w:r>
      <w:r w:rsidRPr="008945B6">
        <w:rPr>
          <w:rFonts w:ascii="Arial" w:hAnsi="Arial" w:cs="Arial"/>
          <w:lang w:eastAsia="fr-BE"/>
        </w:rPr>
        <w:t xml:space="preserve"> strains can promote tomato shoot elongation. However, a few isolates inhibited seedling growth, likely reflecting specific plant–microbe interactions </w:t>
      </w:r>
      <w:r w:rsidRPr="008945B6">
        <w:rPr>
          <w:rFonts w:ascii="Arial" w:hAnsi="Arial" w:cs="Arial"/>
        </w:rPr>
        <w:fldChar w:fldCharType="begin"/>
      </w:r>
      <w:r w:rsidRPr="008945B6">
        <w:rPr>
          <w:rFonts w:ascii="Arial" w:hAnsi="Arial" w:cs="Arial"/>
        </w:rPr>
        <w:instrText xml:space="preserve"> ADDIN ZOTERO_ITEM CSL_CITATION {"citationID":"omv0WRrw","properties":{"formattedCitation":"(Singh et al., 2018)","plainCitation":"(Singh et al., 2018)","noteIndex":0},"citationItems":[{"id":223,"uris":["http://zotero.org/users/5678157/items/ZACPMNTJ"],"itemData":{"id":223,"type":"article-journal","abstract":"Tomato is one of the most demanding/utilizable vegetable crops worldwide after potato. It is extensively cultivated throughout the tropics and sub-tropics around the world. However, certain climate change consequences like salinity, drought, and environmental pollutants particularly heavy metals etc., lead to low soil productivity. In fact, problem of salinity, drought and soil contamination are increasing rapidly throughout the globe and severely affecting more than 10% of arable land resulting into reduction of more than 50% average yields of major crops including tomato. Therefore, sustainable agriculture is in great demand under current alarming condition of food security. Plant growth promoting bacteria (PGPB) has been evident as a co-evolution between plants and microbes showing antagonistic and synergistic interactions. Therefore, utilization of PGPB to tackle the problem of salinity, drought and heavy metal contamination is one of the novel biological approaches for sustainable agriculture practices. Under stress conditions, plant hormone like ethylene is known to endogenously regulate the homeostasis of plants leading to significant reduction in root and shoot growth. Few PGPB like Pseudomonas sp. and Bacillus sp. have developed tolerance mechanism against varieties of heavy metals through mobilization, surface complexation, biosorption, precipitation, </w:instrText>
      </w:r>
      <w:r w:rsidRPr="008945B6">
        <w:rPr>
          <w:rFonts w:ascii="Arial" w:hAnsi="Arial" w:cs="Arial"/>
          <w:lang w:val="nl-NL"/>
        </w:rPr>
        <w:instrText xml:space="preserve">intracellular compartmentalization or immobilization processes. Looking into the multiple applications of PGPB in sustainable agriculture, scientists and policy makers are currently emphasizing over selection of suitable microbial communities through interdisciplinary research disciplines including agriculture, biotechnology, chemical engineering, environmental science and nanotechnology to bring together different ecological and functional biological approaches to provide new formulations and opportunities with immense potential. The present review entails the overview of current trends in PGPB mediated abiotic stress amelioration in order to encounter the negative impacts of changing climatic conditions for sustainable enhancement in tomato productivity.","container-title":"Agriculture, Ecosystems &amp; Environment","DOI":"10.1016/j.agee.2018.08.020","ISSN":"0167-8809","journalAbbreviation":"Agriculture, Ecosystems &amp; Environment","page":"129-140","source":"ScienceDirect","title":"Interaction of plant growth promoting bacteria with tomato under abiotic stress: A review","title-short":"Interaction of plant growth promoting bacteria with tomato under abiotic stress","volume":"267","author":[{"family":"Singh","given":"Vipin Kumar"},{"family":"Singh","given":"Amit Kishore"},{"family":"Singh","given":"Prem Pratap"},{"family":"Kumar","given":"Ajay"}],"issued":{"date-parts":[["2018",11,15]]}}}],"schema":"https://github.com/citation-style-language/schema/raw/master/csl-citation.json"} </w:instrText>
      </w:r>
      <w:r w:rsidRPr="008945B6">
        <w:rPr>
          <w:rFonts w:ascii="Arial" w:hAnsi="Arial" w:cs="Arial"/>
        </w:rPr>
        <w:fldChar w:fldCharType="separate"/>
      </w:r>
      <w:r w:rsidRPr="008945B6">
        <w:rPr>
          <w:rFonts w:ascii="Arial" w:hAnsi="Arial" w:cs="Arial"/>
          <w:lang w:val="nl-NL"/>
        </w:rPr>
        <w:t>(Singh et al., 2018)</w:t>
      </w:r>
      <w:r w:rsidRPr="008945B6">
        <w:rPr>
          <w:rFonts w:ascii="Arial" w:hAnsi="Arial" w:cs="Arial"/>
        </w:rPr>
        <w:fldChar w:fldCharType="end"/>
      </w:r>
      <w:r w:rsidRPr="008945B6">
        <w:rPr>
          <w:rFonts w:ascii="Arial" w:hAnsi="Arial" w:cs="Arial"/>
          <w:lang w:val="nl-NL" w:eastAsia="fr-BE"/>
        </w:rPr>
        <w:t xml:space="preserve">. Several studies reported that growth-promoting bacteria may become inhibitory when they disrupt hormonal balance (e.g., excess IAA), produce toxic metabolites such as HCN, or compete with seeds for oxygen and nutrients </w:t>
      </w:r>
      <w:r w:rsidRPr="008945B6">
        <w:rPr>
          <w:rFonts w:ascii="Arial" w:hAnsi="Arial" w:cs="Arial"/>
        </w:rPr>
        <w:fldChar w:fldCharType="begin"/>
      </w:r>
      <w:r w:rsidRPr="008945B6">
        <w:rPr>
          <w:rFonts w:ascii="Arial" w:hAnsi="Arial" w:cs="Arial"/>
          <w:lang w:val="nl-NL"/>
        </w:rPr>
        <w:instrText xml:space="preserve"> ADDIN ZOTERO_ITEM CSL_CITATION {"citationID":"LAl0o1VM","properties":{"unsorted":true,"formattedCitation":"(Suslow and Schroth, 1982; Chieb and Gachomo, 2023)","plainCitation":"(Suslow and Schroth, 1982; Chieb and Gachomo, 2023)","noteIndex":0},"citationItems":[{"id":297,"uris":["http://zotero.org/users/5678157/items/QS9UU8CD"],"itemData":{"id":297,"type":"article-journal","container-title":"Phytopathology","issue":"1","page":"111–115","source":"Google Scholar","title":"Role of deleterious rhizobacteria as minor pathogens in reducing crop growth.","volume":"72","author":[{"family":"Suslow","given":"T. V."},{"family":"Schroth","given":"M. N."}],"issued":{"date-parts":[["1982"]]}},"label":"page"},{"id":281,"uris":["http://zotero.org/users/5678157/items/9MMHS757"],"itemData":{"id":281,"type":"article-journal","abstract":"Abstract\n            Climate change has exacerbated the effects of abiotic stresses on plant growth and productivity. Drought is one of the most important abiotic stress factors that interfere with plant growth and development. Plant selection and breeding as well as genetic engineering methods used to improve crop drought tolerance are expensive and time consuming. Plants use a myriad of adaptative mechanisms to cope with the adverse effects of drought stress including the association with beneficial microorganisms such as plant growth promoting rhizobacteria (PGPR). Inoculation of plant roots with different PGPR species has been shown to promote drought tolerance through a variety of interconnected physiological, biochemical, molecular, nutritional, metabolic, and cellular processes, which include enhanced plant growth, root elongation, phytohormone production or inhibition, and production of volatile organic compounds. Therefore, plant colonization by PGPR is an eco-friendly agricultural method to improve plant growth and productivity. Notably, the processes regulated and enhanced by PGPR can promote plant growth as well as enhance drought tolerance. This review addresses the current knowledge on how drought stress affects plant growth and development and describes how PGPR can trigger plant drought stress responses at the physiological, morphological, and molecular levels.","container-title":"BMC Plant Biology","DOI":"10.1186/s12870-023-04403-8","ISSN":"1471-2229","issue":"1","journalAbbreviation":"BMC Plant Biol","language":"en","page":"407","source":"DOI.org (Crossref)","title":"The role of plant growth promoting rhizobacteria in plant drought stress responses","volume":"23","author":[{"family":"Chieb","given":"Maha"},{"family":"Gachomo","given":"Emma W."}],"issued":{"date-parts":[["2023",8,25]]}},"label":"page"}],"schema":"https://github.com/citation-style-language/schema/raw/master/csl-citation.json"} </w:instrText>
      </w:r>
      <w:r w:rsidRPr="008945B6">
        <w:rPr>
          <w:rFonts w:ascii="Arial" w:hAnsi="Arial" w:cs="Arial"/>
        </w:rPr>
        <w:fldChar w:fldCharType="separate"/>
      </w:r>
      <w:r w:rsidRPr="008945B6">
        <w:rPr>
          <w:rFonts w:ascii="Arial" w:hAnsi="Arial" w:cs="Arial"/>
        </w:rPr>
        <w:t>(Suslow and Schroth, 1982; Chieb and Gachomo, 2023)</w:t>
      </w:r>
      <w:r w:rsidRPr="008945B6">
        <w:rPr>
          <w:rFonts w:ascii="Arial" w:hAnsi="Arial" w:cs="Arial"/>
        </w:rPr>
        <w:fldChar w:fldCharType="end"/>
      </w:r>
      <w:r w:rsidRPr="008945B6">
        <w:rPr>
          <w:rFonts w:ascii="Arial" w:hAnsi="Arial" w:cs="Arial"/>
          <w:lang w:eastAsia="fr-BE"/>
        </w:rPr>
        <w:t xml:space="preserve">. Indeed, </w:t>
      </w:r>
      <w:r w:rsidRPr="008945B6">
        <w:rPr>
          <w:rFonts w:ascii="Arial" w:hAnsi="Arial" w:cs="Arial"/>
          <w:lang w:eastAsia="fr-BE"/>
        </w:rPr>
        <w:fldChar w:fldCharType="begin"/>
      </w:r>
      <w:r w:rsidRPr="008945B6">
        <w:rPr>
          <w:rFonts w:ascii="Arial" w:hAnsi="Arial" w:cs="Arial"/>
          <w:lang w:eastAsia="fr-BE"/>
        </w:rPr>
        <w:instrText xml:space="preserve"> ADDIN ZOTERO_ITEM CSL_CITATION {"citationID":"oBxjo5aG","properties":{"formattedCitation":"(Suslow and Schroth, 1982)","plainCitation":"(Suslow and Schroth, 1982)","dontUpdate":true,"noteIndex":0},"citationItems":[{"id":297,"uris":["http://zotero.org/users/5678157/items/QS9UU8CD"],"itemData":{"id":297,"type":"article-journal","container-title":"Phytopathology","issue":"1","page":"111–115","source":"Google Scholar","title":"Role of deleterious rhizobacteria as minor pathogens in reducing crop growth.","volume":"72","author":[{"family":"Suslow","given":"T. V."},{"family":"Schroth","given":"M. N."}],"issued":{"date-parts":[["1982"]]}}}],"schema":"https://github.com/citation-style-language/schema/raw/master/csl-citation.json"} </w:instrText>
      </w:r>
      <w:r w:rsidRPr="008945B6">
        <w:rPr>
          <w:rFonts w:ascii="Arial" w:hAnsi="Arial" w:cs="Arial"/>
          <w:lang w:eastAsia="fr-BE"/>
        </w:rPr>
        <w:fldChar w:fldCharType="separate"/>
      </w:r>
      <w:r w:rsidRPr="008945B6">
        <w:rPr>
          <w:rFonts w:ascii="Arial" w:hAnsi="Arial" w:cs="Arial"/>
        </w:rPr>
        <w:t>Suslow and Schroth, (1982)</w:t>
      </w:r>
      <w:r w:rsidRPr="008945B6">
        <w:rPr>
          <w:rFonts w:ascii="Arial" w:hAnsi="Arial" w:cs="Arial"/>
          <w:lang w:eastAsia="fr-BE"/>
        </w:rPr>
        <w:fldChar w:fldCharType="end"/>
      </w:r>
      <w:r w:rsidRPr="008945B6">
        <w:rPr>
          <w:rFonts w:ascii="Arial" w:hAnsi="Arial" w:cs="Arial"/>
          <w:lang w:eastAsia="fr-BE"/>
        </w:rPr>
        <w:t xml:space="preserve"> demonstrated that strains belonging to </w:t>
      </w:r>
      <w:r w:rsidRPr="008945B6">
        <w:rPr>
          <w:rFonts w:ascii="Arial" w:hAnsi="Arial" w:cs="Arial"/>
          <w:i/>
          <w:iCs/>
          <w:lang w:eastAsia="fr-BE"/>
        </w:rPr>
        <w:t>Enterobacter</w:t>
      </w:r>
      <w:r w:rsidRPr="008945B6">
        <w:rPr>
          <w:rFonts w:ascii="Arial" w:hAnsi="Arial" w:cs="Arial"/>
          <w:lang w:eastAsia="fr-BE"/>
        </w:rPr>
        <w:t xml:space="preserve">, </w:t>
      </w:r>
      <w:r w:rsidRPr="008945B6">
        <w:rPr>
          <w:rFonts w:ascii="Arial" w:hAnsi="Arial" w:cs="Arial"/>
          <w:i/>
          <w:iCs/>
          <w:lang w:eastAsia="fr-BE"/>
        </w:rPr>
        <w:t>Klebsiella</w:t>
      </w:r>
      <w:r w:rsidRPr="008945B6">
        <w:rPr>
          <w:rFonts w:ascii="Arial" w:hAnsi="Arial" w:cs="Arial"/>
          <w:lang w:eastAsia="fr-BE"/>
        </w:rPr>
        <w:t xml:space="preserve">, </w:t>
      </w:r>
      <w:r w:rsidRPr="008945B6">
        <w:rPr>
          <w:rFonts w:ascii="Arial" w:hAnsi="Arial" w:cs="Arial"/>
          <w:i/>
          <w:iCs/>
          <w:lang w:eastAsia="fr-BE"/>
        </w:rPr>
        <w:t>Citrobacter</w:t>
      </w:r>
      <w:r w:rsidRPr="008945B6">
        <w:rPr>
          <w:rFonts w:ascii="Arial" w:hAnsi="Arial" w:cs="Arial"/>
          <w:lang w:eastAsia="fr-BE"/>
        </w:rPr>
        <w:t xml:space="preserve">, and </w:t>
      </w:r>
      <w:r w:rsidRPr="008945B6">
        <w:rPr>
          <w:rFonts w:ascii="Arial" w:hAnsi="Arial" w:cs="Arial"/>
          <w:i/>
          <w:iCs/>
          <w:lang w:eastAsia="fr-BE"/>
        </w:rPr>
        <w:t>Flavobacterium</w:t>
      </w:r>
      <w:r w:rsidRPr="008945B6">
        <w:rPr>
          <w:rFonts w:ascii="Arial" w:hAnsi="Arial" w:cs="Arial"/>
          <w:lang w:eastAsia="fr-BE"/>
        </w:rPr>
        <w:t xml:space="preserve"> genera can reduce germination and root development, indicating that rhizobacterial effects are not uniformly beneficial. These observations highlight the need to characterize metabolic traits to identify suitable isolates for safe application.</w:t>
      </w:r>
    </w:p>
    <w:p w14:paraId="2C482304" w14:textId="77777777" w:rsidR="000731B4" w:rsidRPr="008945B6" w:rsidRDefault="000731B4" w:rsidP="000731B4">
      <w:pPr>
        <w:jc w:val="both"/>
        <w:rPr>
          <w:rFonts w:ascii="Arial" w:hAnsi="Arial" w:cs="Arial"/>
          <w:lang w:eastAsia="fr-BE"/>
        </w:rPr>
      </w:pPr>
      <w:r w:rsidRPr="008945B6">
        <w:rPr>
          <w:rFonts w:ascii="Arial" w:hAnsi="Arial" w:cs="Arial"/>
        </w:rPr>
        <w:t xml:space="preserve">The study also showed that several isolates significantly improved tomato vigor index. In fact, for the </w:t>
      </w:r>
      <w:proofErr w:type="spellStart"/>
      <w:r w:rsidRPr="008945B6">
        <w:rPr>
          <w:rFonts w:ascii="Arial" w:hAnsi="Arial" w:cs="Arial"/>
        </w:rPr>
        <w:t>Mongal</w:t>
      </w:r>
      <w:proofErr w:type="spellEnd"/>
      <w:r w:rsidRPr="008945B6">
        <w:rPr>
          <w:rFonts w:ascii="Arial" w:hAnsi="Arial" w:cs="Arial"/>
        </w:rPr>
        <w:t xml:space="preserve"> variety, the vigor index increased from</w:t>
      </w:r>
      <w:r w:rsidRPr="008945B6">
        <w:rPr>
          <w:rFonts w:ascii="Arial" w:hAnsi="Arial" w:cs="Arial"/>
          <w:lang w:eastAsia="fr-BE"/>
        </w:rPr>
        <w:t xml:space="preserve"> 548.8 in the control to values ranging from 560.62 to 863 while inoculated, with the highest increase recorded for isolate B1 (Fig</w:t>
      </w:r>
      <w:r w:rsidR="00CC5B6D">
        <w:rPr>
          <w:rFonts w:ascii="Arial" w:hAnsi="Arial" w:cs="Arial"/>
          <w:lang w:eastAsia="fr-BE"/>
        </w:rPr>
        <w:t>.</w:t>
      </w:r>
      <w:r w:rsidRPr="008945B6">
        <w:rPr>
          <w:rFonts w:ascii="Arial" w:hAnsi="Arial" w:cs="Arial"/>
          <w:lang w:eastAsia="fr-BE"/>
        </w:rPr>
        <w:t xml:space="preserve"> 6).</w:t>
      </w:r>
    </w:p>
    <w:p w14:paraId="66741B14" w14:textId="77777777" w:rsidR="000731B4" w:rsidRDefault="000731B4" w:rsidP="000731B4">
      <w:pPr>
        <w:jc w:val="both"/>
        <w:rPr>
          <w:rFonts w:ascii="Arial" w:hAnsi="Arial" w:cs="Arial"/>
        </w:rPr>
      </w:pPr>
      <w:r w:rsidRPr="008945B6">
        <w:rPr>
          <w:rFonts w:ascii="Arial" w:hAnsi="Arial" w:cs="Arial"/>
        </w:rPr>
        <w:t xml:space="preserve">However, for the Cobra variety, the vigor index ranged from 755 to 838, with strain B30 </w:t>
      </w:r>
      <w:r w:rsidRPr="008945B6">
        <w:rPr>
          <w:rFonts w:ascii="Arial" w:hAnsi="Arial" w:cs="Arial"/>
          <w:lang w:eastAsia="fr-BE"/>
        </w:rPr>
        <w:t>producing the strongest effect (Fig</w:t>
      </w:r>
      <w:r w:rsidR="00CC5B6D">
        <w:rPr>
          <w:rFonts w:ascii="Arial" w:hAnsi="Arial" w:cs="Arial"/>
          <w:lang w:eastAsia="fr-BE"/>
        </w:rPr>
        <w:t>.</w:t>
      </w:r>
      <w:r w:rsidRPr="008945B6">
        <w:rPr>
          <w:rFonts w:ascii="Arial" w:hAnsi="Arial" w:cs="Arial"/>
          <w:lang w:eastAsia="fr-BE"/>
        </w:rPr>
        <w:t xml:space="preserve"> 6). Overall, 28.57 % of the inoculated isolates evidenced the highest vigor indices across both varieties. This results </w:t>
      </w:r>
      <w:r w:rsidRPr="008945B6">
        <w:rPr>
          <w:rFonts w:ascii="Arial" w:hAnsi="Arial" w:cs="Arial"/>
        </w:rPr>
        <w:t xml:space="preserve">in agreement with earlier findings that rhizosphere bacteria can improve </w:t>
      </w:r>
      <w:r w:rsidRPr="008945B6">
        <w:rPr>
          <w:rFonts w:ascii="Arial" w:hAnsi="Arial" w:cs="Arial"/>
          <w:lang w:eastAsia="fr-BE"/>
        </w:rPr>
        <w:t xml:space="preserve">seedling vigor and early plant growth </w:t>
      </w:r>
      <w:r w:rsidRPr="008945B6">
        <w:rPr>
          <w:rFonts w:ascii="Arial" w:hAnsi="Arial" w:cs="Arial"/>
        </w:rPr>
        <w:fldChar w:fldCharType="begin"/>
      </w:r>
      <w:r w:rsidRPr="008945B6">
        <w:rPr>
          <w:rFonts w:ascii="Arial" w:hAnsi="Arial" w:cs="Arial"/>
        </w:rPr>
        <w:instrText xml:space="preserve"> ADDIN ZOTERO_ITEM CSL_CITATION {"citationID":"fGTCSLiV","properties":{"unsorted":true,"formattedCitation":"(Narendra Babu et al., 2015; Larbaoui-dahoumane and Benchabane, 2023)","plainCitation":"(Narendra Babu et al., 2015; Larbaoui-dahoumane and Benchabane, 2023)","noteIndex":0},"citationItems":[{"id":205,"uris":["http://zotero.org/users/5678157/items/ZGH3LRM9"],"itemData":{"id":205,"type":"article-journal","abstract":"Five plant growth promoting rhizobacteria (PGPRs) of different genera, newly isolated from healthy tomato rhizosphere, were characterized with phosphate solubilizing and root colonizing ability. Treatment with these isolates recorded a significant increase in seed germination and seedling vigor as well as tomato growth and fruit weight which might be partly attributed to the ability of the PGPRs to produce IAA and enhance nutrient uptake and chlorophyll content in treated plants. More importantly, a strong protection against early blight disease was observed in PGPR-pretreated tomato plants infected with Alternaria solani which is in accordance with the presence of siderophores, HCN, chitinase and glucanase in the isolated PGPRs. Additionally, a significantly enhanced accumulation of antioxidant peroxidase (POX) and polyphenol oxidase (PPO) enzymes was observed in the PGPR-pretreated plants with or without pathogen infection in comparison with water or pathogen control. Notably, the highest increase in POX and PPO accumulations was recorded in tomato plants raised from seeds primed with TN_Vel-35 strain. A significant upregulation of POX and PPO in tomato plants subjected to similar treatment with TN_Vel-35 versus respective control was also noticed, further strengthening that the PGPR-induced POX and PPO biosyntheses also contribute to PGPR-mediated protection against early blight disease in tomato plants.","container-title":"Plant Science","DOI":"10.1016/j.plantsci.2014.11.006","ISSN":"0168-9452","journalAbbreviation":"Plant Science","page":"62-73","source":"ScienceDirect","title":"Improvement of growth, fruit weight and early blight disease protection of tomato plants by rhizosphere bacteria is correlated with their beneficial traits and induced biosynthesis of antioxidant peroxidase and polyphenol oxidase","volume":"231","author":[{"family":"Narendra Babu","given":"Anupama"},{"family":"Jogaiah","given":"Sudisha"},{"family":"Ito","given":"Shin-ichi"},{"family":"Kestur Nagaraj","given":"Amruthesh"},{"family":"Tran","given":"Lam-Son Phan"}],"issued":{"date-parts":[["2015",2,1]]}},"label":"page"},{"id":302,"uris":["http://zotero.org/users/5678157/items/N27XJVYQ"],"itemData":{"id":302,"type":"article-journal","abstract":"Résumé\n\nDescription du sujet : Etude de la stimulation de la germination in vitro du Cedrus atlantica et de l’Acacia nilotica par deux souches de Pseudomonas fluorescens.\n\nObjectifs : Mettre en évidence la  capacité des souches de  Pseudomonas fluorescens à synthétiser  de l’acide indole acétique, des sidérophores, d’acide cyanhydrique, des phosphatases et  ainsi  évaluer leurs effets sur l’amélioration de la germination de Cedrus atlantica et Acacia nilotica.\n\nMéthodes : Des graines du cèdre et d’acacia ayant subi une bactérisation par la souche BB10 et F 21 sont mises à germer dans des boites de Pétri à température de 25°C.  Les performances germinatives (taux et vitesse de germination) et de croissance (indice de vigueur) sont mesurées quotidiennement pour chaque traitement.\n\nRésultats : Les résultats de l’essai montrent que les graines bactérisées germent plus rapidement avec  des taux de germination plus élevés dépassant  50%. Une croissance meilleure de la radicule (4,4cm)  et de la plumule (3,87cm) a été observée chez le cèdre. Les rhizobactéries sont plus efficaces dans l’amélioration de la germination des graines du cèdre que celles d’acacia.\n\nConclusion : Les souches bactériennes BB10 et F 21 de Pseudomonas fluorescens sont productrices d’acide indole acétique, de sidérophores, d’acide cyanhydrique et sont solubilisatrices de phosphore tricalcique. La bactérisation est plus favorable sur le cèdre en induisant une amélioration remarquable de tous les paramètres de germination.","container-title":"AGROBIOLOGIA","ISSN":"2507-7627","issue":"1","journalAbbreviation":"LRBPV","language":"fr","note":"publisher: ASJP","page":"3373-3383","source":"asjp.cerist.dz","title":"EFFET DES SOUCHES DE PSEUDOMONAS SPP. FLUORESCENTS SUR LA GERMINATION DU CEDRE (CEDRUS ATLANTICA MANETTI) ET D’UNE LEGUMINEUSE (ACACIA NILOTICA)","volume":"13","author":[{"family":"Larbaoui-dahoumane","given":"Akila"},{"family":"Benchabane","given":"Messaoud"}],"issued":{"date-parts":[["2023",7,1]]}},"label":"page"}],"schema":"https://github.com/citation-style-language/schema/raw/master/csl-citation.json"} </w:instrText>
      </w:r>
      <w:r w:rsidRPr="008945B6">
        <w:rPr>
          <w:rFonts w:ascii="Arial" w:hAnsi="Arial" w:cs="Arial"/>
        </w:rPr>
        <w:fldChar w:fldCharType="separate"/>
      </w:r>
      <w:r w:rsidRPr="008945B6">
        <w:rPr>
          <w:rFonts w:ascii="Arial" w:hAnsi="Arial" w:cs="Arial"/>
        </w:rPr>
        <w:t>(Narendra Babu et al., 2015; Larbaoui-dahoumane and Benchabane, 2023)</w:t>
      </w:r>
      <w:r w:rsidRPr="008945B6">
        <w:rPr>
          <w:rFonts w:ascii="Arial" w:hAnsi="Arial" w:cs="Arial"/>
        </w:rPr>
        <w:fldChar w:fldCharType="end"/>
      </w:r>
      <w:r w:rsidRPr="008945B6">
        <w:rPr>
          <w:rFonts w:ascii="Arial" w:hAnsi="Arial" w:cs="Arial"/>
        </w:rPr>
        <w:t xml:space="preserve">. In addition, the twenty-one </w:t>
      </w:r>
      <w:r w:rsidRPr="008945B6">
        <w:rPr>
          <w:rFonts w:ascii="Arial" w:hAnsi="Arial" w:cs="Arial"/>
        </w:rPr>
        <w:lastRenderedPageBreak/>
        <w:t xml:space="preserve">isolates selected for further investigation each displayed at least three plant growth-promoting activities, </w:t>
      </w:r>
      <w:r w:rsidRPr="008945B6">
        <w:rPr>
          <w:rFonts w:ascii="Arial" w:hAnsi="Arial" w:cs="Arial"/>
          <w:lang w:eastAsia="fr-BE"/>
        </w:rPr>
        <w:t>suggesting strong potential for their use as biofertilizers</w:t>
      </w:r>
      <w:r w:rsidRPr="008945B6">
        <w:rPr>
          <w:rFonts w:ascii="Arial" w:hAnsi="Arial" w:cs="Arial"/>
        </w:rPr>
        <w:t xml:space="preserve">. </w:t>
      </w:r>
    </w:p>
    <w:p w14:paraId="0F3FCB2D" w14:textId="77777777" w:rsidR="000731B4" w:rsidRPr="008945B6" w:rsidRDefault="000731B4" w:rsidP="000731B4">
      <w:pPr>
        <w:jc w:val="both"/>
        <w:rPr>
          <w:rFonts w:ascii="Arial" w:hAnsi="Arial" w:cs="Arial"/>
          <w:lang w:eastAsia="fr-BE"/>
        </w:rPr>
      </w:pPr>
      <w:r w:rsidRPr="004D6289">
        <w:rPr>
          <w:rFonts w:ascii="Arial" w:hAnsi="Arial" w:cs="Arial"/>
          <w:noProof/>
        </w:rPr>
        <w:drawing>
          <wp:inline distT="0" distB="0" distL="0" distR="0" wp14:anchorId="1DCF8609" wp14:editId="3D55D412">
            <wp:extent cx="5212080" cy="2676293"/>
            <wp:effectExtent l="0" t="0" r="0" b="0"/>
            <wp:docPr id="6" name="Graphique 6">
              <a:extLst xmlns:a="http://schemas.openxmlformats.org/drawingml/2006/main">
                <a:ext uri="{FF2B5EF4-FFF2-40B4-BE49-F238E27FC236}">
                  <a16:creationId xmlns:a16="http://schemas.microsoft.com/office/drawing/2014/main" id="{660CAF14-8634-099E-9ADD-0846C5D033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6228F5" w14:textId="77777777" w:rsidR="000731B4" w:rsidRDefault="000731B4" w:rsidP="00441B6F">
      <w:pPr>
        <w:pStyle w:val="ConcHead"/>
        <w:spacing w:after="0"/>
        <w:jc w:val="both"/>
        <w:rPr>
          <w:rFonts w:ascii="Arial" w:hAnsi="Arial" w:cs="Arial"/>
        </w:rPr>
      </w:pPr>
    </w:p>
    <w:p w14:paraId="59CA0DE7" w14:textId="77777777" w:rsidR="000731B4" w:rsidRPr="000731B4" w:rsidRDefault="000731B4" w:rsidP="000731B4">
      <w:pPr>
        <w:jc w:val="both"/>
        <w:rPr>
          <w:rFonts w:ascii="Arial" w:hAnsi="Arial" w:cs="Arial"/>
          <w:b/>
          <w:bCs/>
        </w:rPr>
      </w:pPr>
      <w:r w:rsidRPr="000731B4">
        <w:rPr>
          <w:rFonts w:ascii="Arial" w:hAnsi="Arial" w:cs="Arial"/>
          <w:b/>
          <w:bCs/>
        </w:rPr>
        <w:t xml:space="preserve">Fig. 6. </w:t>
      </w:r>
      <w:proofErr w:type="spellStart"/>
      <w:r w:rsidRPr="000731B4">
        <w:rPr>
          <w:rFonts w:ascii="Arial" w:hAnsi="Arial" w:cs="Arial"/>
          <w:b/>
          <w:bCs/>
        </w:rPr>
        <w:t>Vigour</w:t>
      </w:r>
      <w:proofErr w:type="spellEnd"/>
      <w:r w:rsidRPr="000731B4">
        <w:rPr>
          <w:rFonts w:ascii="Arial" w:hAnsi="Arial" w:cs="Arial"/>
          <w:b/>
          <w:bCs/>
        </w:rPr>
        <w:t xml:space="preserve"> index with the </w:t>
      </w:r>
      <w:proofErr w:type="spellStart"/>
      <w:r w:rsidRPr="000731B4">
        <w:rPr>
          <w:rFonts w:ascii="Arial" w:hAnsi="Arial" w:cs="Arial"/>
          <w:b/>
          <w:bCs/>
        </w:rPr>
        <w:t>Mongal</w:t>
      </w:r>
      <w:proofErr w:type="spellEnd"/>
      <w:r w:rsidRPr="000731B4">
        <w:rPr>
          <w:rFonts w:ascii="Arial" w:hAnsi="Arial" w:cs="Arial"/>
          <w:b/>
          <w:bCs/>
        </w:rPr>
        <w:t xml:space="preserve"> and Cobra variety</w:t>
      </w:r>
    </w:p>
    <w:p w14:paraId="37843B06" w14:textId="77777777" w:rsidR="000731B4" w:rsidRPr="006518DC" w:rsidRDefault="000731B4" w:rsidP="000731B4">
      <w:pPr>
        <w:rPr>
          <w:rFonts w:ascii="Arial" w:hAnsi="Arial" w:cs="Arial"/>
          <w:b/>
          <w:bCs/>
          <w:sz w:val="22"/>
          <w:szCs w:val="22"/>
        </w:rPr>
      </w:pPr>
      <w:r w:rsidRPr="006518DC">
        <w:rPr>
          <w:rFonts w:ascii="Arial" w:hAnsi="Arial" w:cs="Arial"/>
          <w:b/>
          <w:bCs/>
          <w:sz w:val="22"/>
          <w:szCs w:val="22"/>
        </w:rPr>
        <w:t>3.3. Identification of the strains</w:t>
      </w:r>
    </w:p>
    <w:p w14:paraId="66D9226E" w14:textId="77777777" w:rsidR="000731B4" w:rsidRDefault="000731B4" w:rsidP="000731B4">
      <w:pPr>
        <w:jc w:val="both"/>
        <w:rPr>
          <w:rFonts w:ascii="Arial" w:hAnsi="Arial" w:cs="Arial"/>
        </w:rPr>
      </w:pPr>
      <w:r w:rsidRPr="004D6289">
        <w:rPr>
          <w:rFonts w:ascii="Arial" w:hAnsi="Arial" w:cs="Arial"/>
        </w:rPr>
        <w:t xml:space="preserve">The bacterial colony morphologies (margin, surface, elevation, color, consistency, and size) are reported in </w:t>
      </w:r>
      <w:r w:rsidRPr="006518DC">
        <w:rPr>
          <w:rFonts w:ascii="Arial" w:hAnsi="Arial" w:cs="Arial"/>
        </w:rPr>
        <w:t>Table 2.</w:t>
      </w:r>
    </w:p>
    <w:p w14:paraId="330ABA37" w14:textId="77777777" w:rsidR="0060392D" w:rsidRDefault="0060392D" w:rsidP="000731B4">
      <w:pPr>
        <w:jc w:val="both"/>
        <w:rPr>
          <w:rFonts w:ascii="Arial" w:hAnsi="Arial" w:cs="Arial"/>
        </w:rPr>
      </w:pPr>
    </w:p>
    <w:p w14:paraId="3D96AB2B" w14:textId="77777777" w:rsidR="00CC5B6D" w:rsidRPr="004D6289" w:rsidRDefault="00CC5B6D" w:rsidP="00CC5B6D">
      <w:pPr>
        <w:spacing w:line="480" w:lineRule="auto"/>
        <w:jc w:val="both"/>
        <w:rPr>
          <w:rFonts w:ascii="Arial" w:hAnsi="Arial" w:cs="Arial"/>
          <w:b/>
          <w:bCs/>
        </w:rPr>
      </w:pPr>
      <w:bookmarkStart w:id="7" w:name="_Hlk216811319"/>
      <w:r w:rsidRPr="004D6289">
        <w:rPr>
          <w:rFonts w:ascii="Arial" w:hAnsi="Arial" w:cs="Arial"/>
          <w:b/>
          <w:bCs/>
        </w:rPr>
        <w:t xml:space="preserve">Table </w:t>
      </w:r>
      <w:proofErr w:type="gramStart"/>
      <w:r w:rsidRPr="004D6289">
        <w:rPr>
          <w:rFonts w:ascii="Arial" w:hAnsi="Arial" w:cs="Arial"/>
          <w:b/>
          <w:bCs/>
        </w:rPr>
        <w:t xml:space="preserve">2 </w:t>
      </w:r>
      <w:r w:rsidR="00B47993">
        <w:rPr>
          <w:rFonts w:ascii="Arial" w:hAnsi="Arial" w:cs="Arial"/>
          <w:b/>
          <w:bCs/>
        </w:rPr>
        <w:t>.</w:t>
      </w:r>
      <w:proofErr w:type="gramEnd"/>
      <w:r w:rsidRPr="004D6289">
        <w:rPr>
          <w:rFonts w:ascii="Arial" w:hAnsi="Arial" w:cs="Arial"/>
          <w:b/>
          <w:bCs/>
        </w:rPr>
        <w:t xml:space="preserve"> Morphological characterization of bacterial colonies</w:t>
      </w:r>
      <w:r w:rsidRPr="004D6289">
        <w:rPr>
          <w:rFonts w:ascii="Arial" w:hAnsi="Arial" w:cs="Arial"/>
          <w:lang w:eastAsia="fr-FR"/>
        </w:rPr>
        <w:t xml:space="preserve"> </w:t>
      </w:r>
      <w:r w:rsidRPr="004D6289">
        <w:rPr>
          <w:rFonts w:ascii="Arial" w:hAnsi="Arial" w:cs="Arial"/>
          <w:b/>
          <w:bCs/>
        </w:rPr>
        <w:t>Irregular</w:t>
      </w:r>
    </w:p>
    <w:bookmarkEnd w:id="7"/>
    <w:p w14:paraId="58316CA2" w14:textId="77777777" w:rsidR="0060392D" w:rsidRDefault="0060392D" w:rsidP="000731B4">
      <w:pPr>
        <w:jc w:val="both"/>
        <w:rPr>
          <w:rFonts w:ascii="Arial" w:hAnsi="Arial" w:cs="Arial"/>
        </w:rPr>
      </w:pPr>
    </w:p>
    <w:p w14:paraId="7B215EC9" w14:textId="77777777" w:rsidR="0060392D" w:rsidRDefault="0060392D" w:rsidP="000731B4">
      <w:pPr>
        <w:jc w:val="both"/>
        <w:rPr>
          <w:rFonts w:ascii="Arial" w:hAnsi="Arial" w:cs="Arial"/>
        </w:rPr>
      </w:pPr>
    </w:p>
    <w:p w14:paraId="4A3E405A" w14:textId="77777777" w:rsidR="0060392D" w:rsidRDefault="0060392D" w:rsidP="000731B4">
      <w:pPr>
        <w:jc w:val="both"/>
        <w:rPr>
          <w:rFonts w:ascii="Arial" w:hAnsi="Arial" w:cs="Arial"/>
        </w:rPr>
      </w:pPr>
    </w:p>
    <w:p w14:paraId="513795C9" w14:textId="77777777" w:rsidR="0060392D" w:rsidRDefault="0060392D" w:rsidP="000731B4">
      <w:pPr>
        <w:jc w:val="both"/>
        <w:rPr>
          <w:rFonts w:ascii="Arial" w:hAnsi="Arial" w:cs="Arial"/>
        </w:rPr>
      </w:pPr>
    </w:p>
    <w:p w14:paraId="5C7A18BC" w14:textId="77777777" w:rsidR="0060392D" w:rsidRDefault="0060392D" w:rsidP="000731B4">
      <w:pPr>
        <w:jc w:val="both"/>
        <w:rPr>
          <w:rFonts w:ascii="Arial" w:hAnsi="Arial" w:cs="Arial"/>
        </w:rPr>
      </w:pPr>
    </w:p>
    <w:p w14:paraId="5313C088" w14:textId="77777777" w:rsidR="0060392D" w:rsidRDefault="0060392D" w:rsidP="000731B4">
      <w:pPr>
        <w:jc w:val="both"/>
        <w:rPr>
          <w:rFonts w:ascii="Arial" w:hAnsi="Arial" w:cs="Arial"/>
        </w:rPr>
      </w:pPr>
    </w:p>
    <w:p w14:paraId="37CE1240" w14:textId="77777777" w:rsidR="0060392D" w:rsidRDefault="0060392D" w:rsidP="000731B4">
      <w:pPr>
        <w:jc w:val="both"/>
        <w:rPr>
          <w:rFonts w:ascii="Arial" w:hAnsi="Arial" w:cs="Arial"/>
        </w:rPr>
      </w:pPr>
    </w:p>
    <w:p w14:paraId="779EE9DA" w14:textId="77777777" w:rsidR="0060392D" w:rsidRDefault="0060392D" w:rsidP="000731B4">
      <w:pPr>
        <w:jc w:val="both"/>
        <w:rPr>
          <w:rFonts w:ascii="Arial" w:hAnsi="Arial" w:cs="Arial"/>
        </w:rPr>
      </w:pPr>
    </w:p>
    <w:p w14:paraId="267E50C6" w14:textId="77777777" w:rsidR="0060392D" w:rsidRDefault="0060392D" w:rsidP="000731B4">
      <w:pPr>
        <w:jc w:val="both"/>
        <w:rPr>
          <w:rFonts w:ascii="Arial" w:hAnsi="Arial" w:cs="Arial"/>
        </w:rPr>
      </w:pPr>
    </w:p>
    <w:p w14:paraId="56ED8A14" w14:textId="77777777" w:rsidR="0060392D" w:rsidRDefault="0060392D" w:rsidP="000731B4">
      <w:pPr>
        <w:jc w:val="both"/>
        <w:rPr>
          <w:rFonts w:ascii="Arial" w:hAnsi="Arial" w:cs="Arial"/>
        </w:rPr>
      </w:pPr>
    </w:p>
    <w:p w14:paraId="71D70C69" w14:textId="77777777" w:rsidR="0060392D" w:rsidRDefault="0060392D" w:rsidP="000731B4">
      <w:pPr>
        <w:jc w:val="both"/>
        <w:rPr>
          <w:rFonts w:ascii="Arial" w:hAnsi="Arial" w:cs="Arial"/>
        </w:rPr>
      </w:pPr>
    </w:p>
    <w:p w14:paraId="62040E9B" w14:textId="77777777" w:rsidR="0060392D" w:rsidRDefault="0060392D" w:rsidP="000731B4">
      <w:pPr>
        <w:jc w:val="both"/>
        <w:rPr>
          <w:rFonts w:ascii="Arial" w:hAnsi="Arial" w:cs="Arial"/>
        </w:rPr>
      </w:pPr>
    </w:p>
    <w:p w14:paraId="50B130E4" w14:textId="77777777" w:rsidR="0060392D" w:rsidRDefault="0060392D" w:rsidP="000731B4">
      <w:pPr>
        <w:jc w:val="both"/>
        <w:rPr>
          <w:rFonts w:ascii="Arial" w:hAnsi="Arial" w:cs="Arial"/>
        </w:rPr>
      </w:pPr>
    </w:p>
    <w:p w14:paraId="38AD79D7" w14:textId="77777777" w:rsidR="0060392D" w:rsidRDefault="0060392D" w:rsidP="000731B4">
      <w:pPr>
        <w:jc w:val="both"/>
        <w:rPr>
          <w:rFonts w:ascii="Arial" w:hAnsi="Arial" w:cs="Arial"/>
        </w:rPr>
      </w:pPr>
    </w:p>
    <w:p w14:paraId="7227ECDE" w14:textId="77777777" w:rsidR="0060392D" w:rsidRDefault="0060392D" w:rsidP="000731B4">
      <w:pPr>
        <w:jc w:val="both"/>
        <w:rPr>
          <w:rFonts w:ascii="Arial" w:hAnsi="Arial" w:cs="Arial"/>
        </w:rPr>
      </w:pPr>
    </w:p>
    <w:p w14:paraId="00B6F098" w14:textId="77777777" w:rsidR="0060392D" w:rsidRDefault="0060392D" w:rsidP="000731B4">
      <w:pPr>
        <w:jc w:val="both"/>
        <w:rPr>
          <w:rFonts w:ascii="Arial" w:hAnsi="Arial" w:cs="Arial"/>
        </w:rPr>
      </w:pPr>
    </w:p>
    <w:p w14:paraId="0538B8EF" w14:textId="77777777" w:rsidR="0060392D" w:rsidRDefault="0060392D" w:rsidP="000731B4">
      <w:pPr>
        <w:jc w:val="both"/>
        <w:rPr>
          <w:rFonts w:ascii="Arial" w:hAnsi="Arial" w:cs="Arial"/>
        </w:rPr>
      </w:pPr>
    </w:p>
    <w:p w14:paraId="6C1B67C3" w14:textId="77777777" w:rsidR="0060392D" w:rsidRDefault="0060392D" w:rsidP="000731B4">
      <w:pPr>
        <w:jc w:val="both"/>
        <w:rPr>
          <w:rFonts w:ascii="Arial" w:hAnsi="Arial" w:cs="Arial"/>
        </w:rPr>
      </w:pPr>
    </w:p>
    <w:p w14:paraId="72689F5B" w14:textId="77777777" w:rsidR="0060392D" w:rsidRDefault="0060392D" w:rsidP="000731B4">
      <w:pPr>
        <w:jc w:val="both"/>
        <w:rPr>
          <w:rFonts w:ascii="Arial" w:hAnsi="Arial" w:cs="Arial"/>
        </w:rPr>
      </w:pPr>
    </w:p>
    <w:p w14:paraId="32B663B7" w14:textId="77777777" w:rsidR="0060392D" w:rsidRDefault="0060392D" w:rsidP="000731B4">
      <w:pPr>
        <w:jc w:val="both"/>
        <w:rPr>
          <w:rFonts w:ascii="Arial" w:hAnsi="Arial" w:cs="Arial"/>
        </w:rPr>
      </w:pPr>
    </w:p>
    <w:p w14:paraId="1A1C2E7D" w14:textId="77777777" w:rsidR="0060392D" w:rsidRDefault="0060392D" w:rsidP="000731B4">
      <w:pPr>
        <w:jc w:val="both"/>
        <w:rPr>
          <w:rFonts w:ascii="Arial" w:hAnsi="Arial" w:cs="Arial"/>
        </w:rPr>
      </w:pPr>
    </w:p>
    <w:p w14:paraId="46301E11" w14:textId="77777777" w:rsidR="0060392D" w:rsidRDefault="0060392D" w:rsidP="000731B4">
      <w:pPr>
        <w:jc w:val="both"/>
        <w:rPr>
          <w:rFonts w:ascii="Arial" w:hAnsi="Arial" w:cs="Arial"/>
        </w:rPr>
      </w:pPr>
    </w:p>
    <w:p w14:paraId="3EFE55E8" w14:textId="77777777" w:rsidR="0060392D" w:rsidRDefault="0060392D" w:rsidP="000731B4">
      <w:pPr>
        <w:jc w:val="both"/>
        <w:rPr>
          <w:rFonts w:ascii="Arial" w:hAnsi="Arial" w:cs="Arial"/>
        </w:rPr>
      </w:pPr>
    </w:p>
    <w:p w14:paraId="3E32760E" w14:textId="77777777" w:rsidR="0060392D" w:rsidRDefault="0060392D" w:rsidP="000731B4">
      <w:pPr>
        <w:jc w:val="both"/>
        <w:rPr>
          <w:rFonts w:ascii="Arial" w:hAnsi="Arial" w:cs="Arial"/>
        </w:rPr>
      </w:pPr>
    </w:p>
    <w:p w14:paraId="30E7C995" w14:textId="77777777" w:rsidR="0060392D" w:rsidRDefault="0060392D" w:rsidP="000731B4">
      <w:pPr>
        <w:jc w:val="both"/>
        <w:rPr>
          <w:rFonts w:ascii="Arial" w:hAnsi="Arial" w:cs="Arial"/>
        </w:rPr>
      </w:pPr>
    </w:p>
    <w:p w14:paraId="472D3271" w14:textId="77777777" w:rsidR="0060392D" w:rsidRDefault="0060392D" w:rsidP="000731B4">
      <w:pPr>
        <w:jc w:val="both"/>
        <w:rPr>
          <w:rFonts w:ascii="Arial" w:hAnsi="Arial" w:cs="Arial"/>
        </w:rPr>
      </w:pPr>
    </w:p>
    <w:p w14:paraId="2BF506AC" w14:textId="77777777" w:rsidR="0060392D" w:rsidRPr="006518DC" w:rsidRDefault="0060392D" w:rsidP="000731B4">
      <w:pPr>
        <w:jc w:val="both"/>
        <w:rPr>
          <w:rFonts w:ascii="Arial" w:hAnsi="Arial" w:cs="Arial"/>
        </w:rPr>
      </w:pPr>
    </w:p>
    <w:p w14:paraId="720DC45B" w14:textId="77777777" w:rsidR="0060392D" w:rsidRDefault="0060392D" w:rsidP="00441B6F">
      <w:pPr>
        <w:pStyle w:val="ConcHead"/>
        <w:spacing w:after="0"/>
        <w:jc w:val="both"/>
        <w:rPr>
          <w:rFonts w:ascii="Arial" w:hAnsi="Arial" w:cs="Arial"/>
        </w:rPr>
        <w:sectPr w:rsidR="0060392D" w:rsidSect="00F02BE0">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tbl>
      <w:tblPr>
        <w:tblStyle w:val="ListTable6Colorful"/>
        <w:tblpPr w:leftFromText="141" w:rightFromText="141" w:vertAnchor="page" w:horzAnchor="margin" w:tblpY="2139"/>
        <w:tblW w:w="5000" w:type="pct"/>
        <w:shd w:val="clear" w:color="auto" w:fill="FFFFFF" w:themeFill="background1"/>
        <w:tblLook w:val="04A0" w:firstRow="1" w:lastRow="0" w:firstColumn="1" w:lastColumn="0" w:noHBand="0" w:noVBand="1"/>
      </w:tblPr>
      <w:tblGrid>
        <w:gridCol w:w="1334"/>
        <w:gridCol w:w="1644"/>
        <w:gridCol w:w="1277"/>
        <w:gridCol w:w="1268"/>
        <w:gridCol w:w="1141"/>
        <w:gridCol w:w="1173"/>
        <w:gridCol w:w="1443"/>
        <w:gridCol w:w="1444"/>
        <w:gridCol w:w="1588"/>
        <w:gridCol w:w="72"/>
      </w:tblGrid>
      <w:tr w:rsidR="0060392D" w:rsidRPr="00CC5B6D" w14:paraId="5856CFA8" w14:textId="77777777" w:rsidTr="006919B8">
        <w:trPr>
          <w:cnfStyle w:val="100000000000" w:firstRow="1" w:lastRow="0" w:firstColumn="0" w:lastColumn="0" w:oddVBand="0" w:evenVBand="0" w:oddHBand="0" w:evenHBand="0" w:firstRowFirstColumn="0" w:firstRowLastColumn="0" w:lastRowFirstColumn="0" w:lastRowLastColumn="0"/>
          <w:cantSplit/>
          <w:trHeight w:val="37"/>
        </w:trPr>
        <w:tc>
          <w:tcPr>
            <w:cnfStyle w:val="001000000000" w:firstRow="0" w:lastRow="0" w:firstColumn="1" w:lastColumn="0" w:oddVBand="0" w:evenVBand="0" w:oddHBand="0" w:evenHBand="0" w:firstRowFirstColumn="0" w:firstRowLastColumn="0" w:lastRowFirstColumn="0" w:lastRowLastColumn="0"/>
            <w:tcW w:w="5000" w:type="pct"/>
            <w:gridSpan w:val="10"/>
            <w:shd w:val="clear" w:color="auto" w:fill="FFFFFF" w:themeFill="background1"/>
          </w:tcPr>
          <w:p w14:paraId="1532C907" w14:textId="77777777" w:rsidR="0060392D" w:rsidRPr="00CC5B6D" w:rsidRDefault="0060392D" w:rsidP="00985DDE">
            <w:pPr>
              <w:jc w:val="both"/>
              <w:rPr>
                <w:rFonts w:ascii="Arial" w:hAnsi="Arial" w:cs="Arial"/>
                <w:color w:val="auto"/>
                <w:sz w:val="20"/>
                <w:szCs w:val="20"/>
              </w:rPr>
            </w:pPr>
            <w:r w:rsidRPr="00CC5B6D">
              <w:rPr>
                <w:rFonts w:ascii="Arial" w:hAnsi="Arial" w:cs="Arial"/>
                <w:sz w:val="20"/>
                <w:szCs w:val="20"/>
                <w:lang w:val="en-US"/>
              </w:rPr>
              <w:lastRenderedPageBreak/>
              <w:t xml:space="preserve">                                                                                   </w:t>
            </w:r>
            <w:bookmarkStart w:id="8" w:name="_Hlk216557695"/>
            <w:proofErr w:type="spellStart"/>
            <w:r w:rsidRPr="00CC5B6D">
              <w:rPr>
                <w:rFonts w:ascii="Arial" w:hAnsi="Arial" w:cs="Arial"/>
                <w:color w:val="auto"/>
                <w:sz w:val="20"/>
                <w:szCs w:val="20"/>
              </w:rPr>
              <w:t>Macroscopic</w:t>
            </w:r>
            <w:proofErr w:type="spellEnd"/>
            <w:r w:rsidRPr="00CC5B6D">
              <w:rPr>
                <w:rFonts w:ascii="Arial" w:hAnsi="Arial" w:cs="Arial"/>
                <w:color w:val="auto"/>
                <w:sz w:val="20"/>
                <w:szCs w:val="20"/>
              </w:rPr>
              <w:t xml:space="preserve"> observations</w:t>
            </w:r>
          </w:p>
        </w:tc>
      </w:tr>
      <w:tr w:rsidR="0060392D" w:rsidRPr="00CC5B6D" w14:paraId="41B137C2"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232"/>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5695020" w14:textId="77777777" w:rsidR="0060392D" w:rsidRPr="00CC5B6D" w:rsidRDefault="0060392D" w:rsidP="00985DDE">
            <w:pPr>
              <w:jc w:val="both"/>
              <w:rPr>
                <w:rFonts w:ascii="Arial" w:hAnsi="Arial" w:cs="Arial"/>
                <w:color w:val="auto"/>
                <w:sz w:val="20"/>
                <w:szCs w:val="20"/>
              </w:rPr>
            </w:pPr>
            <w:proofErr w:type="spellStart"/>
            <w:r w:rsidRPr="00CC5B6D">
              <w:rPr>
                <w:rFonts w:ascii="Arial" w:hAnsi="Arial" w:cs="Arial"/>
                <w:color w:val="auto"/>
                <w:sz w:val="20"/>
                <w:szCs w:val="20"/>
              </w:rPr>
              <w:t>Isolates</w:t>
            </w:r>
            <w:proofErr w:type="spellEnd"/>
          </w:p>
        </w:tc>
        <w:tc>
          <w:tcPr>
            <w:tcW w:w="666" w:type="pct"/>
            <w:shd w:val="clear" w:color="auto" w:fill="FFFFFF" w:themeFill="background1"/>
            <w:hideMark/>
          </w:tcPr>
          <w:p w14:paraId="0433AB47"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C5B6D">
              <w:rPr>
                <w:rFonts w:ascii="Arial" w:hAnsi="Arial" w:cs="Arial"/>
                <w:b/>
                <w:bCs/>
                <w:sz w:val="20"/>
                <w:szCs w:val="20"/>
              </w:rPr>
              <w:t>Shape</w:t>
            </w:r>
          </w:p>
        </w:tc>
        <w:tc>
          <w:tcPr>
            <w:tcW w:w="518" w:type="pct"/>
            <w:shd w:val="clear" w:color="auto" w:fill="FFFFFF" w:themeFill="background1"/>
            <w:hideMark/>
          </w:tcPr>
          <w:p w14:paraId="4D3E797D" w14:textId="77777777" w:rsidR="0060392D" w:rsidRPr="00C50AEC"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50AEC">
              <w:rPr>
                <w:rFonts w:ascii="Arial" w:hAnsi="Arial" w:cs="Arial"/>
                <w:b/>
                <w:bCs/>
                <w:color w:val="auto"/>
                <w:sz w:val="20"/>
                <w:szCs w:val="20"/>
              </w:rPr>
              <w:t>Elevation</w:t>
            </w:r>
            <w:proofErr w:type="spellEnd"/>
          </w:p>
        </w:tc>
        <w:tc>
          <w:tcPr>
            <w:tcW w:w="492" w:type="pct"/>
            <w:shd w:val="clear" w:color="auto" w:fill="FFFFFF" w:themeFill="background1"/>
            <w:hideMark/>
          </w:tcPr>
          <w:p w14:paraId="70C7A12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Margin</w:t>
            </w:r>
            <w:proofErr w:type="spellEnd"/>
          </w:p>
        </w:tc>
        <w:tc>
          <w:tcPr>
            <w:tcW w:w="463" w:type="pct"/>
            <w:shd w:val="clear" w:color="auto" w:fill="FFFFFF" w:themeFill="background1"/>
            <w:hideMark/>
          </w:tcPr>
          <w:p w14:paraId="357F2359" w14:textId="77777777" w:rsidR="0060392D" w:rsidRPr="00C50AEC"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C50AEC">
              <w:rPr>
                <w:rFonts w:ascii="Arial" w:hAnsi="Arial" w:cs="Arial"/>
                <w:b/>
                <w:bCs/>
                <w:color w:val="auto"/>
                <w:sz w:val="20"/>
                <w:szCs w:val="20"/>
              </w:rPr>
              <w:t>Surface</w:t>
            </w:r>
          </w:p>
        </w:tc>
        <w:tc>
          <w:tcPr>
            <w:tcW w:w="476" w:type="pct"/>
            <w:shd w:val="clear" w:color="auto" w:fill="FFFFFF" w:themeFill="background1"/>
            <w:hideMark/>
          </w:tcPr>
          <w:p w14:paraId="697BEBA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Color</w:t>
            </w:r>
            <w:proofErr w:type="spellEnd"/>
          </w:p>
        </w:tc>
        <w:tc>
          <w:tcPr>
            <w:tcW w:w="585" w:type="pct"/>
            <w:shd w:val="clear" w:color="auto" w:fill="FFFFFF" w:themeFill="background1"/>
            <w:hideMark/>
          </w:tcPr>
          <w:p w14:paraId="520CCCE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Opacity</w:t>
            </w:r>
            <w:proofErr w:type="spellEnd"/>
          </w:p>
        </w:tc>
        <w:tc>
          <w:tcPr>
            <w:tcW w:w="585" w:type="pct"/>
            <w:shd w:val="clear" w:color="auto" w:fill="FFFFFF" w:themeFill="background1"/>
            <w:hideMark/>
          </w:tcPr>
          <w:p w14:paraId="501D5BD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proofErr w:type="spellStart"/>
            <w:r w:rsidRPr="00CC5B6D">
              <w:rPr>
                <w:rFonts w:ascii="Arial" w:hAnsi="Arial" w:cs="Arial"/>
                <w:b/>
                <w:bCs/>
                <w:color w:val="auto"/>
                <w:sz w:val="20"/>
                <w:szCs w:val="20"/>
              </w:rPr>
              <w:t>Consistency</w:t>
            </w:r>
            <w:proofErr w:type="spellEnd"/>
          </w:p>
        </w:tc>
        <w:tc>
          <w:tcPr>
            <w:tcW w:w="643" w:type="pct"/>
            <w:shd w:val="clear" w:color="auto" w:fill="FFFFFF" w:themeFill="background1"/>
            <w:hideMark/>
          </w:tcPr>
          <w:p w14:paraId="1159EBA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CC5B6D">
              <w:rPr>
                <w:rFonts w:ascii="Arial" w:hAnsi="Arial" w:cs="Arial"/>
                <w:b/>
                <w:bCs/>
                <w:color w:val="auto"/>
                <w:sz w:val="20"/>
                <w:szCs w:val="20"/>
              </w:rPr>
              <w:t>Size (cm)</w:t>
            </w:r>
          </w:p>
        </w:tc>
      </w:tr>
      <w:tr w:rsidR="0060392D" w:rsidRPr="00CC5B6D" w14:paraId="6A962A84"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6B4F720"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A</w:t>
            </w:r>
            <w:r w:rsidRPr="00CC5B6D">
              <w:rPr>
                <w:rFonts w:ascii="Arial" w:hAnsi="Arial" w:cs="Arial"/>
                <w:color w:val="auto"/>
                <w:sz w:val="20"/>
                <w:szCs w:val="20"/>
                <w:vertAlign w:val="subscript"/>
              </w:rPr>
              <w:t>3</w:t>
            </w:r>
          </w:p>
        </w:tc>
        <w:tc>
          <w:tcPr>
            <w:tcW w:w="666" w:type="pct"/>
            <w:shd w:val="clear" w:color="auto" w:fill="FFFFFF" w:themeFill="background1"/>
            <w:hideMark/>
          </w:tcPr>
          <w:p w14:paraId="277964D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C5B6D">
              <w:rPr>
                <w:rFonts w:ascii="Arial" w:hAnsi="Arial" w:cs="Arial"/>
                <w:sz w:val="20"/>
                <w:szCs w:val="20"/>
              </w:rPr>
              <w:t>Irregular</w:t>
            </w:r>
            <w:proofErr w:type="spellEnd"/>
          </w:p>
        </w:tc>
        <w:tc>
          <w:tcPr>
            <w:tcW w:w="518" w:type="pct"/>
            <w:shd w:val="clear" w:color="auto" w:fill="FFFFFF" w:themeFill="background1"/>
            <w:hideMark/>
          </w:tcPr>
          <w:p w14:paraId="771D3F66" w14:textId="77777777" w:rsidR="0060392D" w:rsidRPr="00B87B99" w:rsidRDefault="00B87B99"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87B99">
              <w:rPr>
                <w:rFonts w:ascii="Arial" w:hAnsi="Arial" w:cs="Arial"/>
                <w:color w:val="auto"/>
                <w:lang w:val="en"/>
              </w:rPr>
              <w:t>Humpback</w:t>
            </w:r>
          </w:p>
        </w:tc>
        <w:tc>
          <w:tcPr>
            <w:tcW w:w="492" w:type="pct"/>
            <w:shd w:val="clear" w:color="auto" w:fill="FFFFFF" w:themeFill="background1"/>
            <w:hideMark/>
          </w:tcPr>
          <w:p w14:paraId="381622F7" w14:textId="77777777" w:rsidR="0060392D" w:rsidRPr="00B87B99" w:rsidRDefault="00B87B99"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87B99">
              <w:rPr>
                <w:rFonts w:ascii="Arial" w:hAnsi="Arial" w:cs="Arial"/>
                <w:color w:val="auto"/>
                <w:lang w:val="en"/>
              </w:rPr>
              <w:t>corrugated</w:t>
            </w:r>
          </w:p>
        </w:tc>
        <w:tc>
          <w:tcPr>
            <w:tcW w:w="463" w:type="pct"/>
            <w:shd w:val="clear" w:color="auto" w:fill="FFFFFF" w:themeFill="background1"/>
            <w:hideMark/>
          </w:tcPr>
          <w:p w14:paraId="444841C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Smooth</w:t>
            </w:r>
            <w:proofErr w:type="spellEnd"/>
          </w:p>
        </w:tc>
        <w:tc>
          <w:tcPr>
            <w:tcW w:w="476" w:type="pct"/>
            <w:shd w:val="clear" w:color="auto" w:fill="FFFFFF" w:themeFill="background1"/>
            <w:hideMark/>
          </w:tcPr>
          <w:p w14:paraId="230F9C2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20"/>
                <w:szCs w:val="20"/>
              </w:rPr>
            </w:pPr>
            <w:r w:rsidRPr="00CC5B6D">
              <w:rPr>
                <w:rFonts w:ascii="Arial" w:hAnsi="Arial" w:cs="Arial"/>
                <w:color w:val="auto"/>
                <w:sz w:val="20"/>
                <w:szCs w:val="20"/>
              </w:rPr>
              <w:t>White</w:t>
            </w:r>
          </w:p>
        </w:tc>
        <w:tc>
          <w:tcPr>
            <w:tcW w:w="585" w:type="pct"/>
            <w:shd w:val="clear" w:color="auto" w:fill="FFFFFF" w:themeFill="background1"/>
            <w:hideMark/>
          </w:tcPr>
          <w:p w14:paraId="28E539A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Translucent</w:t>
            </w:r>
            <w:proofErr w:type="spellEnd"/>
          </w:p>
        </w:tc>
        <w:tc>
          <w:tcPr>
            <w:tcW w:w="585" w:type="pct"/>
            <w:shd w:val="clear" w:color="auto" w:fill="FFFFFF" w:themeFill="background1"/>
            <w:hideMark/>
          </w:tcPr>
          <w:p w14:paraId="7CE0FD0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hideMark/>
          </w:tcPr>
          <w:p w14:paraId="5E57D51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0.3 </w:t>
            </w:r>
          </w:p>
        </w:tc>
      </w:tr>
      <w:tr w:rsidR="0060392D" w:rsidRPr="00CC5B6D" w14:paraId="20B86FA3"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DEA0A62"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A</w:t>
            </w:r>
            <w:r w:rsidRPr="00CC5B6D">
              <w:rPr>
                <w:rFonts w:ascii="Arial" w:hAnsi="Arial" w:cs="Arial"/>
                <w:color w:val="auto"/>
                <w:sz w:val="20"/>
                <w:szCs w:val="20"/>
                <w:vertAlign w:val="subscript"/>
              </w:rPr>
              <w:t>56</w:t>
            </w:r>
          </w:p>
        </w:tc>
        <w:tc>
          <w:tcPr>
            <w:tcW w:w="666" w:type="pct"/>
            <w:shd w:val="clear" w:color="auto" w:fill="FFFFFF" w:themeFill="background1"/>
            <w:hideMark/>
          </w:tcPr>
          <w:p w14:paraId="369D11D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Circular</w:t>
            </w:r>
            <w:proofErr w:type="spellEnd"/>
          </w:p>
        </w:tc>
        <w:tc>
          <w:tcPr>
            <w:tcW w:w="518" w:type="pct"/>
            <w:shd w:val="clear" w:color="auto" w:fill="FFFFFF" w:themeFill="background1"/>
            <w:hideMark/>
          </w:tcPr>
          <w:p w14:paraId="42C14BF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0C8B9EF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Regular</w:t>
            </w:r>
          </w:p>
        </w:tc>
        <w:tc>
          <w:tcPr>
            <w:tcW w:w="463" w:type="pct"/>
            <w:shd w:val="clear" w:color="auto" w:fill="FFFFFF" w:themeFill="background1"/>
            <w:hideMark/>
          </w:tcPr>
          <w:p w14:paraId="635F377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56DF84C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57F4C69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6474617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p>
        </w:tc>
        <w:tc>
          <w:tcPr>
            <w:tcW w:w="643" w:type="pct"/>
            <w:shd w:val="clear" w:color="auto" w:fill="FFFFFF" w:themeFill="background1"/>
            <w:hideMark/>
          </w:tcPr>
          <w:p w14:paraId="5FCB98F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0.3 </w:t>
            </w:r>
          </w:p>
        </w:tc>
      </w:tr>
      <w:tr w:rsidR="0060392D" w:rsidRPr="00CC5B6D" w14:paraId="7ED69F88"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5E9F7842"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A</w:t>
            </w:r>
            <w:r w:rsidRPr="00CC5B6D">
              <w:rPr>
                <w:rFonts w:ascii="Arial" w:hAnsi="Arial" w:cs="Arial"/>
                <w:color w:val="auto"/>
                <w:sz w:val="20"/>
                <w:szCs w:val="20"/>
                <w:vertAlign w:val="subscript"/>
              </w:rPr>
              <w:t>30</w:t>
            </w:r>
          </w:p>
        </w:tc>
        <w:tc>
          <w:tcPr>
            <w:tcW w:w="666" w:type="pct"/>
            <w:shd w:val="clear" w:color="auto" w:fill="FFFFFF" w:themeFill="background1"/>
            <w:hideMark/>
          </w:tcPr>
          <w:p w14:paraId="26D5771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66464B2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31BEE26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03014AB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639BFD2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724BEDF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65F4953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p>
        </w:tc>
        <w:tc>
          <w:tcPr>
            <w:tcW w:w="643" w:type="pct"/>
            <w:shd w:val="clear" w:color="auto" w:fill="FFFFFF" w:themeFill="background1"/>
            <w:hideMark/>
          </w:tcPr>
          <w:p w14:paraId="730E18B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47929FC6"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AB32510"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B</w:t>
            </w:r>
            <w:r w:rsidRPr="00CC5B6D">
              <w:rPr>
                <w:rFonts w:ascii="Arial" w:hAnsi="Arial" w:cs="Arial"/>
                <w:color w:val="auto"/>
                <w:sz w:val="20"/>
                <w:szCs w:val="20"/>
                <w:vertAlign w:val="subscript"/>
              </w:rPr>
              <w:t>1</w:t>
            </w:r>
          </w:p>
        </w:tc>
        <w:tc>
          <w:tcPr>
            <w:tcW w:w="666" w:type="pct"/>
            <w:shd w:val="clear" w:color="auto" w:fill="FFFFFF" w:themeFill="background1"/>
            <w:hideMark/>
          </w:tcPr>
          <w:p w14:paraId="15A185A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7090D292"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7EEB1DC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1CE1528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B28B22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3348691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BF3D9F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hideMark/>
          </w:tcPr>
          <w:p w14:paraId="54FEA1D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0.5 </w:t>
            </w:r>
          </w:p>
        </w:tc>
      </w:tr>
      <w:tr w:rsidR="0060392D" w:rsidRPr="00CC5B6D" w14:paraId="5E4AD67D"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5F084864"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B</w:t>
            </w:r>
            <w:r w:rsidRPr="00CC5B6D">
              <w:rPr>
                <w:rFonts w:ascii="Arial" w:hAnsi="Arial" w:cs="Arial"/>
                <w:color w:val="auto"/>
                <w:sz w:val="20"/>
                <w:szCs w:val="20"/>
                <w:vertAlign w:val="subscript"/>
              </w:rPr>
              <w:t>15</w:t>
            </w:r>
          </w:p>
        </w:tc>
        <w:tc>
          <w:tcPr>
            <w:tcW w:w="666" w:type="pct"/>
            <w:shd w:val="clear" w:color="auto" w:fill="FFFFFF" w:themeFill="background1"/>
            <w:hideMark/>
          </w:tcPr>
          <w:p w14:paraId="5BCE1FE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0DAA0F1A"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5011FE6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5D5AC5A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7E5EB0D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11B372B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2C448FF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5D53435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0.5</w:t>
            </w:r>
          </w:p>
        </w:tc>
      </w:tr>
      <w:tr w:rsidR="0060392D" w:rsidRPr="00CC5B6D" w14:paraId="29265854"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7813659A"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B</w:t>
            </w:r>
            <w:r w:rsidRPr="00CC5B6D">
              <w:rPr>
                <w:rFonts w:ascii="Arial" w:hAnsi="Arial" w:cs="Arial"/>
                <w:color w:val="auto"/>
                <w:sz w:val="20"/>
                <w:szCs w:val="20"/>
                <w:vertAlign w:val="subscript"/>
              </w:rPr>
              <w:t>30</w:t>
            </w:r>
          </w:p>
        </w:tc>
        <w:tc>
          <w:tcPr>
            <w:tcW w:w="666" w:type="pct"/>
            <w:shd w:val="clear" w:color="auto" w:fill="FFFFFF" w:themeFill="background1"/>
            <w:hideMark/>
          </w:tcPr>
          <w:p w14:paraId="1B2DD03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479A816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0D637D67"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3CCE8D3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5B0D5F8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2B16E6B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289D82B9"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3DACCC4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24A0AD12"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F174464"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Le</w:t>
            </w:r>
            <w:r w:rsidRPr="00CC5B6D">
              <w:rPr>
                <w:rFonts w:ascii="Arial" w:hAnsi="Arial" w:cs="Arial"/>
                <w:color w:val="auto"/>
                <w:sz w:val="20"/>
                <w:szCs w:val="20"/>
                <w:vertAlign w:val="subscript"/>
              </w:rPr>
              <w:t>18</w:t>
            </w:r>
          </w:p>
        </w:tc>
        <w:tc>
          <w:tcPr>
            <w:tcW w:w="666" w:type="pct"/>
            <w:shd w:val="clear" w:color="auto" w:fill="FFFFFF" w:themeFill="background1"/>
            <w:hideMark/>
          </w:tcPr>
          <w:p w14:paraId="7AA77AC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061F1FC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7313FC1F"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60BC2CB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E0D5C0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51912F3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49CC6E2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42AA919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4C04B7FB"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31C4323"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Le</w:t>
            </w:r>
            <w:r w:rsidRPr="00CC5B6D">
              <w:rPr>
                <w:rFonts w:ascii="Arial" w:hAnsi="Arial" w:cs="Arial"/>
                <w:color w:val="auto"/>
                <w:sz w:val="20"/>
                <w:szCs w:val="20"/>
                <w:vertAlign w:val="subscript"/>
              </w:rPr>
              <w:t>6</w:t>
            </w:r>
          </w:p>
        </w:tc>
        <w:tc>
          <w:tcPr>
            <w:tcW w:w="666" w:type="pct"/>
            <w:shd w:val="clear" w:color="auto" w:fill="FFFFFF" w:themeFill="background1"/>
            <w:hideMark/>
          </w:tcPr>
          <w:p w14:paraId="2E48670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2AA4BB0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0CA6D1D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76CCA241"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3799B9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0B51B83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9149B6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06998EB7"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58CCB5DC"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C12E62E"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Le</w:t>
            </w:r>
            <w:r w:rsidRPr="00CC5B6D">
              <w:rPr>
                <w:rFonts w:ascii="Arial" w:hAnsi="Arial" w:cs="Arial"/>
                <w:color w:val="auto"/>
                <w:sz w:val="20"/>
                <w:szCs w:val="20"/>
                <w:vertAlign w:val="subscript"/>
              </w:rPr>
              <w:t>13</w:t>
            </w:r>
          </w:p>
        </w:tc>
        <w:tc>
          <w:tcPr>
            <w:tcW w:w="666" w:type="pct"/>
            <w:shd w:val="clear" w:color="auto" w:fill="FFFFFF" w:themeFill="background1"/>
            <w:hideMark/>
          </w:tcPr>
          <w:p w14:paraId="2C15764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Circular</w:t>
            </w:r>
            <w:proofErr w:type="spellEnd"/>
          </w:p>
        </w:tc>
        <w:tc>
          <w:tcPr>
            <w:tcW w:w="518" w:type="pct"/>
            <w:shd w:val="clear" w:color="auto" w:fill="FFFFFF" w:themeFill="background1"/>
            <w:hideMark/>
          </w:tcPr>
          <w:p w14:paraId="4E67A6D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797925A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37A7634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B99216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2CA3D24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23C791F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3A368658"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0.3 </w:t>
            </w:r>
          </w:p>
        </w:tc>
      </w:tr>
      <w:tr w:rsidR="0060392D" w:rsidRPr="00CC5B6D" w14:paraId="3BC52195"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069953C"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T</w:t>
            </w:r>
            <w:r w:rsidRPr="00CC5B6D">
              <w:rPr>
                <w:rFonts w:ascii="Arial" w:hAnsi="Arial" w:cs="Arial"/>
                <w:color w:val="auto"/>
                <w:sz w:val="20"/>
                <w:szCs w:val="20"/>
                <w:vertAlign w:val="subscript"/>
              </w:rPr>
              <w:t>9</w:t>
            </w:r>
          </w:p>
        </w:tc>
        <w:tc>
          <w:tcPr>
            <w:tcW w:w="666" w:type="pct"/>
            <w:shd w:val="clear" w:color="auto" w:fill="FFFFFF" w:themeFill="background1"/>
            <w:hideMark/>
          </w:tcPr>
          <w:p w14:paraId="2D8EF03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Irrégulière</w:t>
            </w:r>
          </w:p>
        </w:tc>
        <w:tc>
          <w:tcPr>
            <w:tcW w:w="518" w:type="pct"/>
            <w:shd w:val="clear" w:color="auto" w:fill="FFFFFF" w:themeFill="background1"/>
            <w:hideMark/>
          </w:tcPr>
          <w:p w14:paraId="5FA3655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1A74C81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0D2D581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F98A772"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3E5C926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0068AED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4B09386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5D04FDB8"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14A61D69"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T</w:t>
            </w:r>
            <w:r w:rsidRPr="00CC5B6D">
              <w:rPr>
                <w:rFonts w:ascii="Arial" w:hAnsi="Arial" w:cs="Arial"/>
                <w:color w:val="auto"/>
                <w:sz w:val="20"/>
                <w:szCs w:val="20"/>
                <w:vertAlign w:val="subscript"/>
              </w:rPr>
              <w:t>6</w:t>
            </w:r>
          </w:p>
        </w:tc>
        <w:tc>
          <w:tcPr>
            <w:tcW w:w="666" w:type="pct"/>
            <w:shd w:val="clear" w:color="auto" w:fill="FFFFFF" w:themeFill="background1"/>
            <w:hideMark/>
          </w:tcPr>
          <w:p w14:paraId="43C2F52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2944836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Convex</w:t>
            </w:r>
            <w:proofErr w:type="spellEnd"/>
          </w:p>
        </w:tc>
        <w:tc>
          <w:tcPr>
            <w:tcW w:w="492" w:type="pct"/>
            <w:shd w:val="clear" w:color="auto" w:fill="FFFFFF" w:themeFill="background1"/>
            <w:hideMark/>
          </w:tcPr>
          <w:p w14:paraId="44711DB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428EE56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7F028E8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2022DE8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4BEF8AA"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5D5690F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0.1</w:t>
            </w:r>
          </w:p>
        </w:tc>
      </w:tr>
      <w:tr w:rsidR="0060392D" w:rsidRPr="00CC5B6D" w14:paraId="4A824CA7"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3866472"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T</w:t>
            </w:r>
            <w:r w:rsidRPr="00CC5B6D">
              <w:rPr>
                <w:rFonts w:ascii="Arial" w:hAnsi="Arial" w:cs="Arial"/>
                <w:color w:val="auto"/>
                <w:sz w:val="20"/>
                <w:szCs w:val="20"/>
                <w:vertAlign w:val="subscript"/>
              </w:rPr>
              <w:t>3</w:t>
            </w:r>
          </w:p>
        </w:tc>
        <w:tc>
          <w:tcPr>
            <w:tcW w:w="666" w:type="pct"/>
            <w:shd w:val="clear" w:color="auto" w:fill="FFFFFF" w:themeFill="background1"/>
            <w:hideMark/>
          </w:tcPr>
          <w:p w14:paraId="75C832C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1C5082B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Bossue</w:t>
            </w:r>
          </w:p>
        </w:tc>
        <w:tc>
          <w:tcPr>
            <w:tcW w:w="492" w:type="pct"/>
            <w:shd w:val="clear" w:color="auto" w:fill="FFFFFF" w:themeFill="background1"/>
            <w:hideMark/>
          </w:tcPr>
          <w:p w14:paraId="57B457F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Ondulé</w:t>
            </w:r>
          </w:p>
        </w:tc>
        <w:tc>
          <w:tcPr>
            <w:tcW w:w="463" w:type="pct"/>
            <w:shd w:val="clear" w:color="auto" w:fill="FFFFFF" w:themeFill="background1"/>
            <w:hideMark/>
          </w:tcPr>
          <w:p w14:paraId="3C9F674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4A49489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787274C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9F6479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582625B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0.6 </w:t>
            </w:r>
          </w:p>
        </w:tc>
      </w:tr>
      <w:tr w:rsidR="0060392D" w:rsidRPr="00CC5B6D" w14:paraId="21E32D1E"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03C374B8"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Ki</w:t>
            </w:r>
            <w:r w:rsidRPr="00CC5B6D">
              <w:rPr>
                <w:rFonts w:ascii="Arial" w:hAnsi="Arial" w:cs="Arial"/>
                <w:color w:val="auto"/>
                <w:sz w:val="20"/>
                <w:szCs w:val="20"/>
                <w:vertAlign w:val="subscript"/>
              </w:rPr>
              <w:t>1</w:t>
            </w:r>
          </w:p>
        </w:tc>
        <w:tc>
          <w:tcPr>
            <w:tcW w:w="666" w:type="pct"/>
            <w:shd w:val="clear" w:color="auto" w:fill="FFFFFF" w:themeFill="background1"/>
            <w:hideMark/>
          </w:tcPr>
          <w:p w14:paraId="7C616658"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3FA0445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0269A52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Curly</w:t>
            </w:r>
            <w:proofErr w:type="spellEnd"/>
          </w:p>
        </w:tc>
        <w:tc>
          <w:tcPr>
            <w:tcW w:w="463" w:type="pct"/>
            <w:shd w:val="clear" w:color="auto" w:fill="FFFFFF" w:themeFill="background1"/>
            <w:hideMark/>
          </w:tcPr>
          <w:p w14:paraId="29F0A45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FDCECF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297C281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1B1A91B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6555A68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34E5C31C"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23468CBA"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Ki</w:t>
            </w:r>
            <w:r w:rsidRPr="00CC5B6D">
              <w:rPr>
                <w:rFonts w:ascii="Arial" w:hAnsi="Arial" w:cs="Arial"/>
                <w:color w:val="auto"/>
                <w:sz w:val="20"/>
                <w:szCs w:val="20"/>
                <w:vertAlign w:val="subscript"/>
              </w:rPr>
              <w:t>6</w:t>
            </w:r>
          </w:p>
        </w:tc>
        <w:tc>
          <w:tcPr>
            <w:tcW w:w="666" w:type="pct"/>
            <w:shd w:val="clear" w:color="auto" w:fill="FFFFFF" w:themeFill="background1"/>
            <w:hideMark/>
          </w:tcPr>
          <w:p w14:paraId="6491713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3AB14D4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3EEE982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624EDCB7"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676313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7F4A2766"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AD664E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6DE9942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0.8 </w:t>
            </w:r>
          </w:p>
        </w:tc>
      </w:tr>
      <w:tr w:rsidR="0060392D" w:rsidRPr="00CC5B6D" w14:paraId="6E595AFA"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D7AD752"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Ki</w:t>
            </w:r>
            <w:r w:rsidRPr="00CC5B6D">
              <w:rPr>
                <w:rFonts w:ascii="Arial" w:hAnsi="Arial" w:cs="Arial"/>
                <w:color w:val="auto"/>
                <w:sz w:val="20"/>
                <w:szCs w:val="20"/>
                <w:vertAlign w:val="subscript"/>
              </w:rPr>
              <w:t>3</w:t>
            </w:r>
          </w:p>
        </w:tc>
        <w:tc>
          <w:tcPr>
            <w:tcW w:w="666" w:type="pct"/>
            <w:shd w:val="clear" w:color="auto" w:fill="FFFFFF" w:themeFill="background1"/>
            <w:hideMark/>
          </w:tcPr>
          <w:p w14:paraId="1CA34FF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403E7A4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37E6230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12DA9B96"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678F8D6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092F8B7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000559A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684D08D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0.2 </w:t>
            </w:r>
          </w:p>
        </w:tc>
      </w:tr>
      <w:tr w:rsidR="0060392D" w:rsidRPr="00CC5B6D" w14:paraId="7BB834EB"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750410F8"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w:t>
            </w:r>
            <w:r w:rsidRPr="00CC5B6D">
              <w:rPr>
                <w:rFonts w:ascii="Arial" w:hAnsi="Arial" w:cs="Arial"/>
                <w:color w:val="auto"/>
                <w:sz w:val="20"/>
                <w:szCs w:val="20"/>
                <w:vertAlign w:val="subscript"/>
              </w:rPr>
              <w:t>1</w:t>
            </w:r>
          </w:p>
        </w:tc>
        <w:tc>
          <w:tcPr>
            <w:tcW w:w="666" w:type="pct"/>
            <w:shd w:val="clear" w:color="auto" w:fill="FFFFFF" w:themeFill="background1"/>
            <w:hideMark/>
          </w:tcPr>
          <w:p w14:paraId="380BE65E"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3B9169C2"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Dish</w:t>
            </w:r>
            <w:proofErr w:type="spellEnd"/>
          </w:p>
        </w:tc>
        <w:tc>
          <w:tcPr>
            <w:tcW w:w="492" w:type="pct"/>
            <w:shd w:val="clear" w:color="auto" w:fill="FFFFFF" w:themeFill="background1"/>
            <w:hideMark/>
          </w:tcPr>
          <w:p w14:paraId="5493078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Lobé</w:t>
            </w:r>
          </w:p>
        </w:tc>
        <w:tc>
          <w:tcPr>
            <w:tcW w:w="463" w:type="pct"/>
            <w:shd w:val="clear" w:color="auto" w:fill="FFFFFF" w:themeFill="background1"/>
            <w:hideMark/>
          </w:tcPr>
          <w:p w14:paraId="2793930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637CC2C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449CF9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EAED37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73F43C3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0.8 </w:t>
            </w:r>
          </w:p>
        </w:tc>
      </w:tr>
      <w:tr w:rsidR="0060392D" w:rsidRPr="00CC5B6D" w14:paraId="1B592E67"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4D31B1F"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w:t>
            </w:r>
            <w:r w:rsidRPr="00CC5B6D">
              <w:rPr>
                <w:rFonts w:ascii="Arial" w:hAnsi="Arial" w:cs="Arial"/>
                <w:color w:val="auto"/>
                <w:sz w:val="20"/>
                <w:szCs w:val="20"/>
                <w:vertAlign w:val="subscript"/>
              </w:rPr>
              <w:t>2</w:t>
            </w:r>
          </w:p>
        </w:tc>
        <w:tc>
          <w:tcPr>
            <w:tcW w:w="666" w:type="pct"/>
            <w:shd w:val="clear" w:color="auto" w:fill="FFFFFF" w:themeFill="background1"/>
            <w:hideMark/>
          </w:tcPr>
          <w:p w14:paraId="11C468E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36FA1ED2"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347D2625"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402D3AB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2231B60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6820EB9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51FA8014"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Creamy</w:t>
            </w:r>
            <w:proofErr w:type="spellEnd"/>
          </w:p>
        </w:tc>
        <w:tc>
          <w:tcPr>
            <w:tcW w:w="643" w:type="pct"/>
            <w:shd w:val="clear" w:color="auto" w:fill="FFFFFF" w:themeFill="background1"/>
            <w:hideMark/>
          </w:tcPr>
          <w:p w14:paraId="12106E0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0.6 </w:t>
            </w:r>
          </w:p>
        </w:tc>
      </w:tr>
      <w:tr w:rsidR="0060392D" w:rsidRPr="00CC5B6D" w14:paraId="392264C6"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4755D991"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w:t>
            </w:r>
            <w:r w:rsidRPr="00CC5B6D">
              <w:rPr>
                <w:rFonts w:ascii="Arial" w:hAnsi="Arial" w:cs="Arial"/>
                <w:color w:val="auto"/>
                <w:sz w:val="20"/>
                <w:szCs w:val="20"/>
                <w:vertAlign w:val="subscript"/>
              </w:rPr>
              <w:t>15</w:t>
            </w:r>
          </w:p>
        </w:tc>
        <w:tc>
          <w:tcPr>
            <w:tcW w:w="666" w:type="pct"/>
            <w:shd w:val="clear" w:color="auto" w:fill="FFFFFF" w:themeFill="background1"/>
            <w:hideMark/>
          </w:tcPr>
          <w:p w14:paraId="438879B3"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Circular</w:t>
            </w:r>
            <w:proofErr w:type="spellEnd"/>
          </w:p>
        </w:tc>
        <w:tc>
          <w:tcPr>
            <w:tcW w:w="518" w:type="pct"/>
            <w:shd w:val="clear" w:color="auto" w:fill="FFFFFF" w:themeFill="background1"/>
            <w:hideMark/>
          </w:tcPr>
          <w:p w14:paraId="65B1A2B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6ABB31E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2A7616FA"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0F5C472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622307F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4F6B77F"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p>
        </w:tc>
        <w:tc>
          <w:tcPr>
            <w:tcW w:w="643" w:type="pct"/>
            <w:shd w:val="clear" w:color="auto" w:fill="FFFFFF" w:themeFill="background1"/>
            <w:hideMark/>
          </w:tcPr>
          <w:p w14:paraId="37EA78A0"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0.4 </w:t>
            </w:r>
          </w:p>
        </w:tc>
      </w:tr>
      <w:tr w:rsidR="0060392D" w:rsidRPr="00CC5B6D" w14:paraId="29F9BE5F" w14:textId="77777777" w:rsidTr="006919B8">
        <w:trPr>
          <w:gridAfter w:val="1"/>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7780C0D1"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KOM</w:t>
            </w:r>
            <w:r w:rsidRPr="00CC5B6D">
              <w:rPr>
                <w:rFonts w:ascii="Arial" w:hAnsi="Arial" w:cs="Arial"/>
                <w:color w:val="auto"/>
                <w:sz w:val="20"/>
                <w:szCs w:val="20"/>
                <w:vertAlign w:val="subscript"/>
              </w:rPr>
              <w:t>9</w:t>
            </w:r>
          </w:p>
        </w:tc>
        <w:tc>
          <w:tcPr>
            <w:tcW w:w="666" w:type="pct"/>
            <w:shd w:val="clear" w:color="auto" w:fill="FFFFFF" w:themeFill="background1"/>
            <w:hideMark/>
          </w:tcPr>
          <w:p w14:paraId="2171F74E"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Punctiform</w:t>
            </w:r>
            <w:proofErr w:type="spellEnd"/>
          </w:p>
        </w:tc>
        <w:tc>
          <w:tcPr>
            <w:tcW w:w="518" w:type="pct"/>
            <w:shd w:val="clear" w:color="auto" w:fill="FFFFFF" w:themeFill="background1"/>
            <w:hideMark/>
          </w:tcPr>
          <w:p w14:paraId="2C293C0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Convex</w:t>
            </w:r>
            <w:proofErr w:type="spellEnd"/>
          </w:p>
        </w:tc>
        <w:tc>
          <w:tcPr>
            <w:tcW w:w="492" w:type="pct"/>
            <w:shd w:val="clear" w:color="auto" w:fill="FFFFFF" w:themeFill="background1"/>
            <w:hideMark/>
          </w:tcPr>
          <w:p w14:paraId="44F0F0C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Regular</w:t>
            </w:r>
          </w:p>
        </w:tc>
        <w:tc>
          <w:tcPr>
            <w:tcW w:w="463" w:type="pct"/>
            <w:shd w:val="clear" w:color="auto" w:fill="FFFFFF" w:themeFill="background1"/>
            <w:hideMark/>
          </w:tcPr>
          <w:p w14:paraId="6A529F8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7EBF84B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1454406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F382927"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Creamy</w:t>
            </w:r>
            <w:proofErr w:type="spellEnd"/>
            <w:r w:rsidRPr="00CC5B6D">
              <w:rPr>
                <w:rFonts w:ascii="Arial" w:hAnsi="Arial" w:cs="Arial"/>
                <w:color w:val="auto"/>
                <w:sz w:val="20"/>
                <w:szCs w:val="20"/>
              </w:rPr>
              <w:t xml:space="preserve"> </w:t>
            </w:r>
          </w:p>
        </w:tc>
        <w:tc>
          <w:tcPr>
            <w:tcW w:w="643" w:type="pct"/>
            <w:shd w:val="clear" w:color="auto" w:fill="FFFFFF" w:themeFill="background1"/>
            <w:hideMark/>
          </w:tcPr>
          <w:p w14:paraId="288FA6AB"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0.1</w:t>
            </w:r>
          </w:p>
        </w:tc>
      </w:tr>
      <w:tr w:rsidR="0060392D" w:rsidRPr="00CC5B6D" w14:paraId="7257FCF2" w14:textId="77777777" w:rsidTr="006919B8">
        <w:trPr>
          <w:gridAfter w:val="1"/>
          <w:cnfStyle w:val="000000100000" w:firstRow="0" w:lastRow="0" w:firstColumn="0" w:lastColumn="0" w:oddVBand="0" w:evenVBand="0" w:oddHBand="1" w:evenHBand="0" w:firstRowFirstColumn="0" w:firstRowLastColumn="0" w:lastRowFirstColumn="0" w:lastRowLastColumn="0"/>
          <w:wAfter w:w="29" w:type="pct"/>
          <w:cantSplit/>
          <w:trHeight w:val="37"/>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6D090A97"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KOM</w:t>
            </w:r>
            <w:r w:rsidRPr="00CC5B6D">
              <w:rPr>
                <w:rFonts w:ascii="Arial" w:hAnsi="Arial" w:cs="Arial"/>
                <w:color w:val="auto"/>
                <w:sz w:val="20"/>
                <w:szCs w:val="20"/>
                <w:vertAlign w:val="subscript"/>
              </w:rPr>
              <w:t>1</w:t>
            </w:r>
          </w:p>
        </w:tc>
        <w:tc>
          <w:tcPr>
            <w:tcW w:w="666" w:type="pct"/>
            <w:shd w:val="clear" w:color="auto" w:fill="FFFFFF" w:themeFill="background1"/>
            <w:hideMark/>
          </w:tcPr>
          <w:p w14:paraId="0EE83905"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C5B6D">
              <w:rPr>
                <w:rFonts w:ascii="Arial" w:hAnsi="Arial" w:cs="Arial"/>
                <w:sz w:val="20"/>
                <w:szCs w:val="20"/>
              </w:rPr>
              <w:t>Irregular</w:t>
            </w:r>
            <w:proofErr w:type="spellEnd"/>
          </w:p>
        </w:tc>
        <w:tc>
          <w:tcPr>
            <w:tcW w:w="518" w:type="pct"/>
            <w:shd w:val="clear" w:color="auto" w:fill="FFFFFF" w:themeFill="background1"/>
            <w:hideMark/>
          </w:tcPr>
          <w:p w14:paraId="7DE03986" w14:textId="77777777" w:rsidR="0060392D" w:rsidRPr="00B87B99" w:rsidRDefault="00B87B99"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87B99">
              <w:rPr>
                <w:rFonts w:ascii="Arial" w:hAnsi="Arial" w:cs="Arial"/>
                <w:color w:val="auto"/>
                <w:lang w:val="en"/>
              </w:rPr>
              <w:t>Humpback</w:t>
            </w:r>
          </w:p>
        </w:tc>
        <w:tc>
          <w:tcPr>
            <w:tcW w:w="492" w:type="pct"/>
            <w:shd w:val="clear" w:color="auto" w:fill="FFFFFF" w:themeFill="background1"/>
            <w:hideMark/>
          </w:tcPr>
          <w:p w14:paraId="1E0BB92D" w14:textId="77777777" w:rsidR="0060392D" w:rsidRPr="00C50AEC"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50AEC">
              <w:rPr>
                <w:rFonts w:ascii="Arial" w:hAnsi="Arial" w:cs="Arial"/>
                <w:color w:val="auto"/>
                <w:sz w:val="20"/>
                <w:szCs w:val="20"/>
              </w:rPr>
              <w:t>Lob</w:t>
            </w:r>
            <w:r w:rsidR="00C50AEC" w:rsidRPr="00C50AEC">
              <w:rPr>
                <w:rFonts w:ascii="Arial" w:hAnsi="Arial" w:cs="Arial"/>
                <w:color w:val="auto"/>
                <w:sz w:val="20"/>
                <w:szCs w:val="20"/>
              </w:rPr>
              <w:t>e</w:t>
            </w:r>
          </w:p>
        </w:tc>
        <w:tc>
          <w:tcPr>
            <w:tcW w:w="463" w:type="pct"/>
            <w:shd w:val="clear" w:color="auto" w:fill="FFFFFF" w:themeFill="background1"/>
            <w:hideMark/>
          </w:tcPr>
          <w:p w14:paraId="42CBB19D"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B69ABB4"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3FECDFCC"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7D5272EB"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hideMark/>
          </w:tcPr>
          <w:p w14:paraId="5F0F8B18" w14:textId="77777777" w:rsidR="0060392D" w:rsidRPr="00CC5B6D" w:rsidRDefault="0060392D"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0.6</w:t>
            </w:r>
          </w:p>
        </w:tc>
      </w:tr>
      <w:tr w:rsidR="0060392D" w:rsidRPr="00CC5B6D" w14:paraId="2101B23F" w14:textId="77777777" w:rsidTr="006919B8">
        <w:trPr>
          <w:gridAfter w:val="1"/>
          <w:wAfter w:w="29" w:type="pct"/>
          <w:cantSplit/>
          <w:trHeight w:val="76"/>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hideMark/>
          </w:tcPr>
          <w:p w14:paraId="348FB8F7" w14:textId="77777777" w:rsidR="0060392D" w:rsidRPr="00CC5B6D" w:rsidRDefault="0060392D" w:rsidP="00985DDE">
            <w:pPr>
              <w:jc w:val="both"/>
              <w:rPr>
                <w:rFonts w:ascii="Arial" w:hAnsi="Arial" w:cs="Arial"/>
                <w:color w:val="auto"/>
                <w:sz w:val="20"/>
                <w:szCs w:val="20"/>
              </w:rPr>
            </w:pPr>
            <w:r w:rsidRPr="00CC5B6D">
              <w:rPr>
                <w:rFonts w:ascii="Arial" w:hAnsi="Arial" w:cs="Arial"/>
                <w:color w:val="auto"/>
                <w:sz w:val="20"/>
                <w:szCs w:val="20"/>
              </w:rPr>
              <w:t>KOM</w:t>
            </w:r>
            <w:r w:rsidRPr="00CC5B6D">
              <w:rPr>
                <w:rFonts w:ascii="Arial" w:hAnsi="Arial" w:cs="Arial"/>
                <w:color w:val="auto"/>
                <w:sz w:val="20"/>
                <w:szCs w:val="20"/>
                <w:vertAlign w:val="subscript"/>
              </w:rPr>
              <w:t>3</w:t>
            </w:r>
          </w:p>
        </w:tc>
        <w:tc>
          <w:tcPr>
            <w:tcW w:w="666" w:type="pct"/>
            <w:shd w:val="clear" w:color="auto" w:fill="FFFFFF" w:themeFill="background1"/>
            <w:hideMark/>
          </w:tcPr>
          <w:p w14:paraId="08B7A889"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C5B6D">
              <w:rPr>
                <w:rFonts w:ascii="Arial" w:hAnsi="Arial" w:cs="Arial"/>
                <w:sz w:val="20"/>
                <w:szCs w:val="20"/>
              </w:rPr>
              <w:t>Irregular</w:t>
            </w:r>
            <w:proofErr w:type="spellEnd"/>
          </w:p>
        </w:tc>
        <w:tc>
          <w:tcPr>
            <w:tcW w:w="518" w:type="pct"/>
            <w:shd w:val="clear" w:color="auto" w:fill="FFFFFF" w:themeFill="background1"/>
            <w:hideMark/>
          </w:tcPr>
          <w:p w14:paraId="08C94A38" w14:textId="77777777" w:rsidR="00B87B99" w:rsidRPr="00B87B99" w:rsidRDefault="00B87B99" w:rsidP="00B87B9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87B99">
              <w:rPr>
                <w:rFonts w:ascii="Arial" w:hAnsi="Arial" w:cs="Arial"/>
                <w:color w:val="auto"/>
                <w:lang w:val="en"/>
              </w:rPr>
              <w:t>Humpback</w:t>
            </w:r>
          </w:p>
          <w:p w14:paraId="2D30ED88" w14:textId="77777777" w:rsidR="0060392D" w:rsidRPr="00B87B99"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92" w:type="pct"/>
            <w:shd w:val="clear" w:color="auto" w:fill="FFFFFF" w:themeFill="background1"/>
            <w:hideMark/>
          </w:tcPr>
          <w:p w14:paraId="4915542C"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Lob</w:t>
            </w:r>
            <w:r w:rsidR="00C50AEC">
              <w:rPr>
                <w:rFonts w:ascii="Arial" w:hAnsi="Arial" w:cs="Arial"/>
                <w:color w:val="auto"/>
                <w:sz w:val="20"/>
                <w:szCs w:val="20"/>
              </w:rPr>
              <w:t>e</w:t>
            </w:r>
          </w:p>
        </w:tc>
        <w:tc>
          <w:tcPr>
            <w:tcW w:w="463" w:type="pct"/>
            <w:shd w:val="clear" w:color="auto" w:fill="FFFFFF" w:themeFill="background1"/>
            <w:hideMark/>
          </w:tcPr>
          <w:p w14:paraId="524AE6B0"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Smooth</w:t>
            </w:r>
            <w:proofErr w:type="spellEnd"/>
          </w:p>
        </w:tc>
        <w:tc>
          <w:tcPr>
            <w:tcW w:w="476" w:type="pct"/>
            <w:shd w:val="clear" w:color="auto" w:fill="FFFFFF" w:themeFill="background1"/>
            <w:hideMark/>
          </w:tcPr>
          <w:p w14:paraId="1E80CB7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sz w:val="20"/>
                <w:szCs w:val="20"/>
              </w:rPr>
              <w:t>White</w:t>
            </w:r>
          </w:p>
        </w:tc>
        <w:tc>
          <w:tcPr>
            <w:tcW w:w="585" w:type="pct"/>
            <w:shd w:val="clear" w:color="auto" w:fill="FFFFFF" w:themeFill="background1"/>
            <w:hideMark/>
          </w:tcPr>
          <w:p w14:paraId="4E09C8A1"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sz w:val="20"/>
                <w:szCs w:val="20"/>
              </w:rPr>
              <w:t>Translucent</w:t>
            </w:r>
            <w:proofErr w:type="spellEnd"/>
          </w:p>
        </w:tc>
        <w:tc>
          <w:tcPr>
            <w:tcW w:w="585" w:type="pct"/>
            <w:shd w:val="clear" w:color="auto" w:fill="FFFFFF" w:themeFill="background1"/>
            <w:hideMark/>
          </w:tcPr>
          <w:p w14:paraId="686297C3"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CC5B6D">
              <w:rPr>
                <w:rFonts w:ascii="Arial" w:hAnsi="Arial" w:cs="Arial"/>
                <w:color w:val="auto"/>
                <w:sz w:val="20"/>
                <w:szCs w:val="20"/>
              </w:rPr>
              <w:t>Mucosa</w:t>
            </w:r>
            <w:proofErr w:type="spellEnd"/>
          </w:p>
        </w:tc>
        <w:tc>
          <w:tcPr>
            <w:tcW w:w="643" w:type="pct"/>
            <w:shd w:val="clear" w:color="auto" w:fill="FFFFFF" w:themeFill="background1"/>
          </w:tcPr>
          <w:p w14:paraId="2964F46D" w14:textId="77777777" w:rsidR="0060392D" w:rsidRPr="00CC5B6D" w:rsidRDefault="0060392D"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CC5B6D">
              <w:rPr>
                <w:rFonts w:ascii="Arial" w:hAnsi="Arial" w:cs="Arial"/>
                <w:color w:val="auto"/>
                <w:sz w:val="20"/>
                <w:szCs w:val="20"/>
              </w:rPr>
              <w:t xml:space="preserve">0.5 </w:t>
            </w:r>
          </w:p>
        </w:tc>
      </w:tr>
      <w:bookmarkEnd w:id="8"/>
    </w:tbl>
    <w:p w14:paraId="591FDAA6" w14:textId="77777777" w:rsidR="0060392D" w:rsidRDefault="0060392D" w:rsidP="00441B6F">
      <w:pPr>
        <w:pStyle w:val="ConcHead"/>
        <w:spacing w:after="0"/>
        <w:jc w:val="both"/>
        <w:rPr>
          <w:rFonts w:ascii="Arial" w:hAnsi="Arial" w:cs="Arial"/>
        </w:rPr>
      </w:pPr>
    </w:p>
    <w:p w14:paraId="36140240" w14:textId="77777777" w:rsidR="0060392D" w:rsidRDefault="0060392D" w:rsidP="00441B6F">
      <w:pPr>
        <w:pStyle w:val="ConcHead"/>
        <w:spacing w:after="0"/>
        <w:jc w:val="both"/>
        <w:rPr>
          <w:rFonts w:ascii="Arial" w:hAnsi="Arial" w:cs="Arial"/>
        </w:rPr>
      </w:pPr>
    </w:p>
    <w:p w14:paraId="38A712F6" w14:textId="77777777" w:rsidR="0060392D" w:rsidRDefault="0060392D" w:rsidP="00441B6F">
      <w:pPr>
        <w:pStyle w:val="ConcHead"/>
        <w:spacing w:after="0"/>
        <w:jc w:val="both"/>
        <w:rPr>
          <w:rFonts w:ascii="Arial" w:hAnsi="Arial" w:cs="Arial"/>
        </w:rPr>
      </w:pPr>
    </w:p>
    <w:p w14:paraId="7C8F4CAB" w14:textId="77777777" w:rsidR="0060392D" w:rsidRDefault="0060392D" w:rsidP="00441B6F">
      <w:pPr>
        <w:pStyle w:val="ConcHead"/>
        <w:spacing w:after="0"/>
        <w:jc w:val="both"/>
        <w:rPr>
          <w:rFonts w:ascii="Arial" w:hAnsi="Arial" w:cs="Arial"/>
        </w:rPr>
      </w:pPr>
    </w:p>
    <w:p w14:paraId="207D2C24" w14:textId="77777777" w:rsidR="0060392D" w:rsidRDefault="0060392D" w:rsidP="00441B6F">
      <w:pPr>
        <w:pStyle w:val="ConcHead"/>
        <w:spacing w:after="0"/>
        <w:jc w:val="both"/>
        <w:rPr>
          <w:rFonts w:ascii="Arial" w:hAnsi="Arial" w:cs="Arial"/>
        </w:rPr>
      </w:pPr>
    </w:p>
    <w:p w14:paraId="7D1329D5" w14:textId="77777777" w:rsidR="0060392D" w:rsidRDefault="0060392D" w:rsidP="00441B6F">
      <w:pPr>
        <w:pStyle w:val="ConcHead"/>
        <w:spacing w:after="0"/>
        <w:jc w:val="both"/>
        <w:rPr>
          <w:rFonts w:ascii="Arial" w:hAnsi="Arial" w:cs="Arial"/>
        </w:rPr>
      </w:pPr>
    </w:p>
    <w:p w14:paraId="6338B887" w14:textId="77777777" w:rsidR="0060392D" w:rsidRDefault="0060392D" w:rsidP="00441B6F">
      <w:pPr>
        <w:pStyle w:val="ConcHead"/>
        <w:spacing w:after="0"/>
        <w:jc w:val="both"/>
        <w:rPr>
          <w:rFonts w:ascii="Arial" w:hAnsi="Arial" w:cs="Arial"/>
        </w:rPr>
      </w:pPr>
    </w:p>
    <w:p w14:paraId="120BFF51" w14:textId="77777777" w:rsidR="0060392D" w:rsidRDefault="0060392D" w:rsidP="00441B6F">
      <w:pPr>
        <w:pStyle w:val="ConcHead"/>
        <w:spacing w:after="0"/>
        <w:jc w:val="both"/>
        <w:rPr>
          <w:rFonts w:ascii="Arial" w:hAnsi="Arial" w:cs="Arial"/>
        </w:rPr>
      </w:pPr>
    </w:p>
    <w:p w14:paraId="714E8BF5" w14:textId="77777777" w:rsidR="0060392D" w:rsidRDefault="0060392D" w:rsidP="00441B6F">
      <w:pPr>
        <w:pStyle w:val="ConcHead"/>
        <w:spacing w:after="0"/>
        <w:jc w:val="both"/>
        <w:rPr>
          <w:rFonts w:ascii="Arial" w:hAnsi="Arial" w:cs="Arial"/>
        </w:rPr>
      </w:pPr>
    </w:p>
    <w:p w14:paraId="6D5C256B" w14:textId="77777777" w:rsidR="0060392D" w:rsidRDefault="0060392D" w:rsidP="00441B6F">
      <w:pPr>
        <w:pStyle w:val="ConcHead"/>
        <w:spacing w:after="0"/>
        <w:jc w:val="both"/>
        <w:rPr>
          <w:rFonts w:ascii="Arial" w:hAnsi="Arial" w:cs="Arial"/>
        </w:rPr>
      </w:pPr>
    </w:p>
    <w:p w14:paraId="03147DF9" w14:textId="77777777" w:rsidR="0060392D" w:rsidRDefault="0060392D" w:rsidP="00441B6F">
      <w:pPr>
        <w:pStyle w:val="ConcHead"/>
        <w:spacing w:after="0"/>
        <w:jc w:val="both"/>
        <w:rPr>
          <w:rFonts w:ascii="Arial" w:hAnsi="Arial" w:cs="Arial"/>
        </w:rPr>
        <w:sectPr w:rsidR="0060392D" w:rsidSect="00F02BE0">
          <w:pgSz w:w="15840" w:h="12240" w:orient="landscape"/>
          <w:pgMar w:top="2016" w:right="1440" w:bottom="2016" w:left="2016" w:header="720" w:footer="1123" w:gutter="0"/>
          <w:cols w:space="720"/>
          <w:docGrid w:linePitch="272"/>
        </w:sectPr>
      </w:pPr>
    </w:p>
    <w:p w14:paraId="443175ED" w14:textId="77777777" w:rsidR="00640DF0" w:rsidRPr="00640DF0" w:rsidRDefault="00640DF0" w:rsidP="00640DF0">
      <w:pPr>
        <w:jc w:val="both"/>
        <w:rPr>
          <w:rFonts w:ascii="Arial" w:hAnsi="Arial" w:cs="Arial"/>
          <w:color w:val="000000" w:themeColor="text1"/>
        </w:rPr>
      </w:pPr>
      <w:r w:rsidRPr="00640DF0">
        <w:rPr>
          <w:rFonts w:ascii="Arial" w:hAnsi="Arial" w:cs="Arial"/>
          <w:lang w:eastAsia="fr-BE"/>
        </w:rPr>
        <w:lastRenderedPageBreak/>
        <w:t xml:space="preserve">Morphological and biochemical characterization revealed that all isolates had </w:t>
      </w:r>
      <w:proofErr w:type="spellStart"/>
      <w:r w:rsidRPr="00640DF0">
        <w:rPr>
          <w:rFonts w:ascii="Arial" w:hAnsi="Arial" w:cs="Arial"/>
          <w:lang w:eastAsia="fr-BE"/>
        </w:rPr>
        <w:t>rhod</w:t>
      </w:r>
      <w:proofErr w:type="spellEnd"/>
      <w:r w:rsidRPr="00640DF0">
        <w:rPr>
          <w:rFonts w:ascii="Arial" w:hAnsi="Arial" w:cs="Arial"/>
          <w:lang w:eastAsia="fr-BE"/>
        </w:rPr>
        <w:t xml:space="preserve"> shape, 95.23% were motile, and 85.71% can utilize citrate. </w:t>
      </w:r>
      <w:r w:rsidRPr="00640DF0">
        <w:rPr>
          <w:rFonts w:ascii="Arial" w:hAnsi="Arial" w:cs="Arial"/>
        </w:rPr>
        <w:t xml:space="preserve">Many studies reported that mobility and citrate utilization </w:t>
      </w:r>
      <w:r w:rsidRPr="00640DF0">
        <w:rPr>
          <w:rFonts w:ascii="Arial" w:hAnsi="Arial" w:cs="Arial"/>
          <w:lang w:eastAsia="fr-BE"/>
        </w:rPr>
        <w:t xml:space="preserve">known to enhance competitive root colonization and persistence </w:t>
      </w:r>
      <w:r w:rsidRPr="00640DF0">
        <w:rPr>
          <w:rFonts w:ascii="Arial" w:hAnsi="Arial" w:cs="Arial"/>
        </w:rPr>
        <w:fldChar w:fldCharType="begin"/>
      </w:r>
      <w:r w:rsidRPr="00640DF0">
        <w:rPr>
          <w:rFonts w:ascii="Arial" w:hAnsi="Arial" w:cs="Arial"/>
        </w:rPr>
        <w:instrText xml:space="preserve"> ADDIN ZOTERO_ITEM CSL_CITATION {"citationID":"R6eBbr9H","properties":{"unsorted":true,"formattedCitation":"(Weisskopf et al., 2011; Turnbull et al., 2001)","plainCitation":"(Weisskopf et al., 2011; Turnbull et al., 2001)","noteIndex":0},"citationItems":[{"id":304,"uris":["http://zotero.org/users/5678157/items/PV4TTJ3M"],"itemData":{"id":304,"type":"article-journal","abstract":"The formation of cluster roots by plants represents a highly efficient strategy for acquisition of sparingly available phosphate. This particular root type is characterized by a densely branched structure and high exudation of organic acids and protons, which are likely to influence the resident bacterial community. Until now, the identity of the bacterial populations living in cluster roots has not been investigated. We applied cultivation-dependent and cultivation-independent methods to characterize the dominant bacterial genera inhabiting the growing cluster roots of white lupin. We observed a high relative abundance of Burkholderia species (up to 58% of all isolated strains and 44% of all retrieved 16S rRNA sequences) and a significant enrichment with increasing cluster root age. Most of the sequences retrieved clustered together with known plant- or fungus-associated Burkholderia species, while only one of 98 sequences was affiliated with the Burkholderia cepacia complex. In vitro assays revealed that Burkholderia strains were much more tolerant to low pH than non-Burkholderia strains. Moreover, many strains produced large amounts of siderophores and were able to utilize citrate and oxalate as carbon sources. These features seem to represent important traits for the successful colonization and maintenance of Burkholderia species in white lupin cluster roots.","container-title":"Applied and Environmental Microbiology","DOI":"10.1128/AEM.05845-11","ISSN":"0099-2240","issue":"21","journalAbbreviation":"Appl Environ Microbiol","note":"PMID: 21908626\nPMCID: PMC3209158","page":"7715-7720","source":"PubMed Central","title":"Burkholderia Species Are Major Inhabitants of White Lupin Cluster Roots</w:instrText>
      </w:r>
      <w:r w:rsidRPr="00640DF0">
        <w:rPr>
          <w:rFonts w:ascii="Cambria Math" w:hAnsi="Cambria Math" w:cs="Cambria Math"/>
        </w:rPr>
        <w:instrText>▿</w:instrText>
      </w:r>
      <w:r w:rsidRPr="00640DF0">
        <w:rPr>
          <w:rFonts w:ascii="Arial" w:hAnsi="Arial" w:cs="Arial"/>
        </w:rPr>
        <w:instrText xml:space="preserve">","volume":"77","author":[{"family":"Weisskopf","given":"Laure"},{"family":"Heller","given":"Stefanie"},{"family":"Eberl","given":"Leo"}],"issued":{"date-parts":[["2011",11]]}},"label":"page"},{"id":307,"uris":["http://zotero.org/users/5678157/items/G8LEVPNV"],"itemData":{"id":307,"type":"article-journal","container-title":"FEMS Microbiology Ecology","DOI":"10.1111/j.1574-6941.2001.tb00822.x","ISSN":"01686496, 15746941","issue":"1","language":"en","page":"21-31","source":"DOI.org (Crossref)","title":"The role of bacterial motility in the survival and spread of Pseudomonas fluorescens in soil and in the attachment and colonisation of wheat roots","volume":"36","author":[{"family":"Turnbull","given":"Gillian A."},{"family":"Morgan","given":"J.Alun W."},{"family":"Whipps","given":"John M."},{"family":"Saunders","given":"Jon R."}],"issued":{"date-parts":[["2001",6]]}},"label":"page"}],"schema":"https://github.com/citation-style-language/schema/raw/master/csl-citation.json"} </w:instrText>
      </w:r>
      <w:r w:rsidRPr="00640DF0">
        <w:rPr>
          <w:rFonts w:ascii="Arial" w:hAnsi="Arial" w:cs="Arial"/>
        </w:rPr>
        <w:fldChar w:fldCharType="separate"/>
      </w:r>
      <w:r w:rsidRPr="00640DF0">
        <w:rPr>
          <w:rFonts w:ascii="Arial" w:hAnsi="Arial" w:cs="Arial"/>
        </w:rPr>
        <w:t>(Weisskopf et al., 2011; Turnbull et al., 2001)</w:t>
      </w:r>
      <w:r w:rsidRPr="00640DF0">
        <w:rPr>
          <w:rFonts w:ascii="Arial" w:hAnsi="Arial" w:cs="Arial"/>
        </w:rPr>
        <w:fldChar w:fldCharType="end"/>
      </w:r>
      <w:r w:rsidRPr="00640DF0">
        <w:rPr>
          <w:rFonts w:ascii="Arial" w:hAnsi="Arial" w:cs="Arial"/>
          <w:lang w:eastAsia="fr-BE"/>
        </w:rPr>
        <w:t xml:space="preserve">. All strains were catalase-positive, indicating strong environmental and chemical stress tolerance </w:t>
      </w:r>
      <w:r w:rsidRPr="00640DF0">
        <w:rPr>
          <w:rFonts w:ascii="Arial" w:hAnsi="Arial" w:cs="Arial"/>
          <w:lang w:eastAsia="fr-BE"/>
        </w:rPr>
        <w:fldChar w:fldCharType="begin"/>
      </w:r>
      <w:r w:rsidRPr="00640DF0">
        <w:rPr>
          <w:rFonts w:ascii="Arial" w:hAnsi="Arial" w:cs="Arial"/>
          <w:lang w:eastAsia="fr-BE"/>
        </w:rPr>
        <w:instrText xml:space="preserve"> ADDIN ZOTERO_ITEM CSL_CITATION {"citationID":"Q3DwuG03","properties":{"formattedCitation":"(Jomova et al., 2024; Singh and Prasad, 2025)","plainCitation":"(Jomova et al., 2024; Singh and Prasad, 2025)","noteIndex":0},"citationItems":[{"id":426,"uris":["http://zotero.org/users/5678157/items/2ZEDG9WK"],"itemData":{"id":426,"type":"article-journal","abstract":"Abstract\n            \n              Reactive oxygen species (ROS) and reactive nitrogen species (RNS) are well recognized for playing a dual role, since they can be either deleterious or beneficial to biological systems. An imbalance between ROS production and elimination is termed oxidative stress, a critical factor and common denominator of many chronic diseases such as cancer, cardiovascular diseases, metabolic diseases, neurological disorders (Alzheimer’s and Parkinson’s diseases), and other disorders. To counteract the harmful effects of ROS, organisms have evolved a complex, three-line antioxidant defense system. The first-line defense mechanism is the most efficient and involves antioxidant enzymes such as superoxide dismutase (SOD), catalase (CAT), and glutathione peroxidase (GPx). This line of defense plays an irreplaceable role in the dismutation of superoxide radicals (O\n              2\n              ·−\n              ) and hydrogen peroxide (H\n              2\n              O\n              2\n              ). The removal of superoxide radicals by SOD prevents the formation of the much more damaging peroxynitrite ONOO\n              −\n              (O\n              2\n              ·−\n               + NO\n              ·\n               → ONOO\n              −\n              ) and maintains the physiologically relevant level of nitric oxide (NO\n              ·\n              ), an important molecule in neurotransmission, inflammation, and vasodilation. The second-line antioxidant defense pathway involves exogenous diet-derived small-molecule antioxidants. The third-line antioxidant defense is ensured by the repair or removal of oxidized proteins and other biomolecules by a variety of enzyme systems. This review briefly discusses the endogenous (mitochondria, NADPH, xanthine oxidase (XO), Fenton reaction) and exogenous (e.g., smoking, radiation, drugs, pollution) sources of ROS (superoxide radical, hydrogen peroxide, hydroxyl radical, peroxyl radical, hypochlorous acid, peroxynitrite). Attention has been given to the first-line antioxidant defense system provided by SOD, CAT, and GPx. The chemical and molecular mechanisms of antioxidant enzymes, enzyme-related diseases (cancer, cardiovascular, lung, metabolic, and neurological diseases), and the role of enzymes (e.g., GPx4) in cellular processes such as ferroptosis are discussed. Potential therapeutic applications of enzyme mimics and recent progress in metal-based (copper, iron, cobalt, molybdenum, cerium) and nonmetal (carbon)-based nanomaterials with enzyme-like activities (nanozymes) are also discussed. Moreover, attention has been given to the mechanisms of action of low-molecular-weight antioxidants (vitamin C (ascorbate), vitamin E (alpha-tocopherol), carotenoids (e.g., β-carotene, lycopene, lutein), flavonoids (e.g., quercetin, anthocyanins, epicatechin), and glutathione (GSH)), the activation of transcription factors such as Nrf2, and the protection against chronic diseases. Given that there is a discrepancy between preclinical and clinical studies, approaches that may result in greater pharmacological and clinical success of low-molecular-weight antioxidant therapies are also subject to discussion.","container-title":"Archives of Toxicology","DOI":"10.1007/s00204-024-03696-4","ISSN":"0340-5761, 1432-0738","issue":"5","journalAbbreviation":"Arch Toxicol","language":"en","page":"1323-1367","source":"DOI.org (Crossref)","title":"Several lines of antioxidant defense against oxidative stress: antioxidant enzymes, nanomaterials with multiple enzyme-mimicking activities, and low-molecular-weight antioxidants","title-short":"Several lines of antioxidant defense against oxidative stress","volume":"98","author":[{"family":"Jomova","given":"Klaudia"},{"family":"Alomar","given":"Suliman Y."},{"family":"Alwasel","given":"Saleh H."},{"family":"Nepovimova","given":"Eugenie"},{"family":"Kuca","given":"Kamil"},{"family":"Valko","given":"Marian"}],"issued":{"date-parts":[["2024",5]]}},"label":"page"},{"id":425,"uris":["http://zotero.org/users/5678157/items/PZI8E84D"],"itemData":{"id":425,"type":"article-journal","abstract":"Salinity is a major environmental stressor affecting crop productivity worldwide and a substantial portion of the agricultural ecosystem supporting cultivation of mustard (\n              Brassica juncea\n              L.) in Indian subcontinent is salinity stricken. However, plant growth promoting rhizobacteria has been noted to modulate salinity stress in plants through numerous direct and indirect mechanisms. Therefore, the present study was intended to determine the potential of a salt tolerant plant growth promoting rhizobacteria\n              Bacillus flexus\n              on alleviating the negative effects of salinity stress in mustard. The evaluation of germination percentage, growth parameters, and pigment content (chlorophyll and carotenoids) along with biochemical properties and antioxidant enzyme activities of mustard was studied by biopriming the seeds with\n              Bacillus flexus\n              both in absence and presence of salinity (100 mM NaCl) stress. The obtained results revealed a significant improvement in germination percentage and growth parameters (shoot length, root length, biomass and leaf area) of bioprimed mustard seedling both in presence and absence of salt stress. The biochemical properties such as pigment content, proline, total soluble protein, and total soluble sugar were found improved in bacterial treated seeds in comparison to control both in presence and absence of salinity stress. The percentage of electrolyte leakage and malondialdehyde (MDA) content was found decreased in bacterial treated plants under salinity induced condition as compared with non-treated plants. The antioxidant enzymes such as catalase (CAT), peroxidise (POX) and ascorbate peroxidise (APX) activities were found elevated in bacterial treated seeds in comparison to control both in presence and absence of salinity stress. The results obtained from the study revealed the protective and growth promoting abilities of\n              Bacillus flexus\n              against salinity stress. The bacterial strain used in the present study proved to be a promising candidate for improving mustard growth in soils challenged with salinity stress.","container-title":"Frontiers in Microbiology","DOI":"10.3389/fmicb.2025.1638366","ISSN":"1664-302X","journalAbbreviation":"Front. Microbiol.","page":"1638366","source":"DOI.org (Crossref)","title":"Mitigation of salinity induced negative impacts by salt tolerant plant growth promoting rhizobacteria Bacillus flexus in mustard (Brassica juncea L.)","volume":"16","author":[{"family":"Singh","given":"Anjali"},{"family":"Prasad","given":"Vishal"}],"issued":{"date-parts":[["2025",7,22]]}},"label":"page"}],"schema":"https://github.com/citation-style-language/schema/raw/master/csl-citation.json"} </w:instrText>
      </w:r>
      <w:r w:rsidRPr="00640DF0">
        <w:rPr>
          <w:rFonts w:ascii="Arial" w:hAnsi="Arial" w:cs="Arial"/>
          <w:lang w:eastAsia="fr-BE"/>
        </w:rPr>
        <w:fldChar w:fldCharType="separate"/>
      </w:r>
      <w:r w:rsidRPr="00640DF0">
        <w:rPr>
          <w:rFonts w:ascii="Arial" w:hAnsi="Arial" w:cs="Arial"/>
        </w:rPr>
        <w:t>(Jomova et al., 2024; Singh and Prasad, 2025)</w:t>
      </w:r>
      <w:r w:rsidRPr="00640DF0">
        <w:rPr>
          <w:rFonts w:ascii="Arial" w:hAnsi="Arial" w:cs="Arial"/>
          <w:lang w:eastAsia="fr-BE"/>
        </w:rPr>
        <w:fldChar w:fldCharType="end"/>
      </w:r>
      <w:r w:rsidRPr="00640DF0">
        <w:rPr>
          <w:rFonts w:ascii="Arial" w:hAnsi="Arial" w:cs="Arial"/>
          <w:lang w:eastAsia="fr-BE"/>
        </w:rPr>
        <w:t xml:space="preserve">. In fact, the activity of antioxidant enzymes such as catalase enables the plant to withstand salt stress </w:t>
      </w:r>
      <w:r w:rsidRPr="00640DF0">
        <w:rPr>
          <w:rFonts w:ascii="Arial" w:hAnsi="Arial" w:cs="Arial"/>
          <w:lang w:eastAsia="fr-BE"/>
        </w:rPr>
        <w:fldChar w:fldCharType="begin"/>
      </w:r>
      <w:r w:rsidRPr="00640DF0">
        <w:rPr>
          <w:rFonts w:ascii="Arial" w:hAnsi="Arial" w:cs="Arial"/>
          <w:lang w:eastAsia="fr-BE"/>
        </w:rPr>
        <w:instrText xml:space="preserve"> ADDIN ZOTERO_ITEM CSL_CITATION {"citationID":"2TNqH7Ig","properties":{"formattedCitation":"(Singh and Prasad, 2025)","plainCitation":"(Singh and Prasad, 2025)","noteIndex":0},"citationItems":[{"id":425,"uris":["http://zotero.org/users/5678157/items/PZI8E84D"],"itemData":{"id":425,"type":"article-journal","abstract":"Salinity is a major environmental stressor affecting crop productivity worldwide and a substantial portion of the agricultural ecosystem supporting cultivation of mustard (\n              Brassica juncea\n              L.) in Indian subcontinent is salinity stricken. However, plant growth promoting rhizobacteria has been noted to modulate salinity stress in plants through numerous direct and indirect mechanisms. Therefore, the present study was intended to determine the potential of a salt tolerant plant growth promoting rhizobacteria\n              Bacillus flexus\n              on alleviating the negative effects of salinity stress in mustard. The evaluation of germination percentage, growth parameters, and pigment content (chlorophyll and carotenoids) along with biochemical properties and antioxidant enzyme activities of mustard was studied by biopriming the seeds with\n              Bacillus flexus\n              both in absence and presence of salinity (100 mM NaCl) stress. The obtained results revealed a significant improvement in germination percentage and growth parameters (shoot length, root length, biomass and leaf area) of bioprimed mustard seedling both in presence and absence of salt stress. The biochemical properties such as pigment content, proline, total soluble protein, and total soluble sugar were found improved in bacterial treated seeds in comparison to control both in presence and absence of salinity stress. The percentage of electrolyte leakage and malondialdehyde (MDA) content was found decreased in bacterial treated plants under salinity induced condition as compared with non-treated plants. The antioxidant enzymes such as catalase (CAT), peroxidise (POX) and ascorbate peroxidise (APX) activities were found elevated in bacterial treated seeds in comparison to control both in presence and absence of salinity stress. The results obtained from the study revealed the protective and growth promoting abilities of\n              Bacillus flexus\n              against salinity stress. The bacterial strain used in the present study proved to be a promising candidate for improving mustard growth in soils challenged with salinity stress.","container-title":"Frontiers in Microbiology","DOI":"10.3389/fmicb.2025.1638366","ISSN":"1664-302X","journalAbbreviation":"Front. Microbiol.","page":"1638366","source":"DOI.org (Crossref)","title":"Mitigation of salinity induced negative impacts by salt tolerant plant growth promoting rhizobacteria Bacillus flexus in mustard (Brassica juncea L.)","volume":"16","author":[{"family":"Singh","given":"Anjali"},{"family":"Prasad","given":"Vishal"}],"issued":{"date-parts":[["2025",7,22]]}}}],"schema":"https://github.com/citation-style-language/schema/raw/master/csl-citation.json"} </w:instrText>
      </w:r>
      <w:r w:rsidRPr="00640DF0">
        <w:rPr>
          <w:rFonts w:ascii="Arial" w:hAnsi="Arial" w:cs="Arial"/>
          <w:lang w:eastAsia="fr-BE"/>
        </w:rPr>
        <w:fldChar w:fldCharType="separate"/>
      </w:r>
      <w:r w:rsidRPr="00640DF0">
        <w:rPr>
          <w:rFonts w:ascii="Arial" w:hAnsi="Arial" w:cs="Arial"/>
        </w:rPr>
        <w:t>(Singh and Prasad, 2025)</w:t>
      </w:r>
      <w:r w:rsidRPr="00640DF0">
        <w:rPr>
          <w:rFonts w:ascii="Arial" w:hAnsi="Arial" w:cs="Arial"/>
          <w:lang w:eastAsia="fr-BE"/>
        </w:rPr>
        <w:fldChar w:fldCharType="end"/>
      </w:r>
      <w:r w:rsidRPr="00640DF0">
        <w:rPr>
          <w:rFonts w:ascii="Arial" w:hAnsi="Arial" w:cs="Arial"/>
          <w:lang w:eastAsia="fr-BE"/>
        </w:rPr>
        <w:t>.</w:t>
      </w:r>
      <w:r w:rsidRPr="00640DF0">
        <w:rPr>
          <w:rFonts w:ascii="Arial" w:hAnsi="Arial" w:cs="Arial"/>
          <w:color w:val="000000" w:themeColor="text1"/>
        </w:rPr>
        <w:t xml:space="preserve"> </w:t>
      </w:r>
    </w:p>
    <w:p w14:paraId="3885CEFB" w14:textId="77777777" w:rsidR="00640DF0" w:rsidRDefault="00640DF0" w:rsidP="00640DF0">
      <w:pPr>
        <w:jc w:val="both"/>
        <w:rPr>
          <w:rFonts w:ascii="Arial" w:hAnsi="Arial" w:cs="Arial"/>
          <w:lang w:eastAsia="fr-BE"/>
        </w:rPr>
        <w:sectPr w:rsidR="00640DF0" w:rsidSect="00F02BE0">
          <w:pgSz w:w="12240" w:h="15840"/>
          <w:pgMar w:top="1440" w:right="2016" w:bottom="2016" w:left="2016" w:header="720" w:footer="1123" w:gutter="0"/>
          <w:cols w:space="720"/>
          <w:docGrid w:linePitch="272"/>
        </w:sectPr>
      </w:pPr>
      <w:r w:rsidRPr="00640DF0">
        <w:rPr>
          <w:rFonts w:ascii="Arial" w:hAnsi="Arial" w:cs="Arial"/>
        </w:rPr>
        <w:t xml:space="preserve">Based on morphological and biochemical characteristics, the ABIS software revealed that the selected isolates were affiliated with the genera </w:t>
      </w:r>
      <w:r w:rsidRPr="00640DF0">
        <w:rPr>
          <w:rFonts w:ascii="Arial" w:hAnsi="Arial" w:cs="Arial"/>
          <w:i/>
          <w:iCs/>
          <w:color w:val="000000" w:themeColor="text1"/>
        </w:rPr>
        <w:t>Pseudomonas</w:t>
      </w:r>
      <w:r w:rsidRPr="00640DF0">
        <w:rPr>
          <w:rFonts w:ascii="Arial" w:hAnsi="Arial" w:cs="Arial"/>
          <w:color w:val="000000" w:themeColor="text1"/>
        </w:rPr>
        <w:t xml:space="preserve"> (52.38 %), </w:t>
      </w:r>
      <w:r w:rsidRPr="00640DF0">
        <w:rPr>
          <w:rFonts w:ascii="Arial" w:hAnsi="Arial" w:cs="Arial"/>
          <w:i/>
          <w:iCs/>
          <w:color w:val="000000" w:themeColor="text1"/>
        </w:rPr>
        <w:t>Bacillus</w:t>
      </w:r>
      <w:r w:rsidRPr="00640DF0">
        <w:rPr>
          <w:rFonts w:ascii="Arial" w:hAnsi="Arial" w:cs="Arial"/>
          <w:color w:val="000000" w:themeColor="text1"/>
        </w:rPr>
        <w:t xml:space="preserve"> (28.57 %), and </w:t>
      </w:r>
      <w:r w:rsidRPr="00640DF0">
        <w:rPr>
          <w:rFonts w:ascii="Arial" w:hAnsi="Arial" w:cs="Arial"/>
          <w:i/>
          <w:iCs/>
          <w:color w:val="000000" w:themeColor="text1"/>
        </w:rPr>
        <w:t xml:space="preserve">Enterobacter </w:t>
      </w:r>
      <w:r w:rsidRPr="00640DF0">
        <w:rPr>
          <w:rFonts w:ascii="Arial" w:hAnsi="Arial" w:cs="Arial"/>
          <w:color w:val="000000" w:themeColor="text1"/>
        </w:rPr>
        <w:t xml:space="preserve">(19.05 %) </w:t>
      </w:r>
      <w:r w:rsidRPr="00640DF0">
        <w:rPr>
          <w:rFonts w:ascii="Arial" w:hAnsi="Arial" w:cs="Arial"/>
        </w:rPr>
        <w:t>(Table 3).</w:t>
      </w:r>
      <w:r w:rsidRPr="00640DF0">
        <w:rPr>
          <w:rFonts w:ascii="Arial" w:hAnsi="Arial" w:cs="Arial"/>
          <w:color w:val="000000" w:themeColor="text1"/>
        </w:rPr>
        <w:t xml:space="preserve"> </w:t>
      </w:r>
      <w:r w:rsidRPr="00640DF0">
        <w:rPr>
          <w:rFonts w:ascii="Arial" w:hAnsi="Arial" w:cs="Arial"/>
        </w:rPr>
        <w:t xml:space="preserve">This result is </w:t>
      </w:r>
      <w:r w:rsidRPr="00640DF0">
        <w:rPr>
          <w:rFonts w:ascii="Arial" w:hAnsi="Arial" w:cs="Arial"/>
          <w:lang w:eastAsia="fr-BE"/>
        </w:rPr>
        <w:t xml:space="preserve">consistent with previous reports identifying </w:t>
      </w:r>
      <w:r w:rsidRPr="00640DF0">
        <w:rPr>
          <w:rFonts w:ascii="Arial" w:hAnsi="Arial" w:cs="Arial"/>
          <w:i/>
          <w:iCs/>
          <w:lang w:eastAsia="fr-BE"/>
        </w:rPr>
        <w:t>Pseudomonas</w:t>
      </w:r>
      <w:r w:rsidRPr="00640DF0">
        <w:rPr>
          <w:rFonts w:ascii="Arial" w:hAnsi="Arial" w:cs="Arial"/>
          <w:lang w:eastAsia="fr-BE"/>
        </w:rPr>
        <w:t xml:space="preserve"> as a dominant genus in the tomato rhizosphere</w:t>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{"citationID":"HYQBjjbJ","properties":{"formattedCitation":"(Dong et al., 2019; Guerrieri et al., 2020; Tang et al., 2020)","plainCitation":"(Dong et al., 2019; Guerrieri et al., 2020; Tang et al., 2020)","noteIndex":0},"citationItems":[{"id":332,"uris":["http://zotero.org/users/5678157/items/JWX3MB88"],"itemData":{"id":332,"type":"article-journal","container-title":"PLOS ONE","DOI":"10.1371/journal.pone.0223847","ISSN":"1932-6203","issue":"11","journalAbbreviation":"PLoS ONE","language":"en","page":"e0223847","source":"DOI.org (Crossref)","title":"Bacterial communities in the rhizosphere, phyllosphere and endosphere of tomato plants","volume":"14","author":[{"family":"Dong","given":"Chun-Juan"},{"family":"Wang","given":"Ling-Ling"},{"family":"Li","given":"Qian"},{"family":"Shang","given":"Qing-Mao"}],"editor":[{"family":"Virolle","given":"Marie-Joelle"}],"issued":{"date-parts":[["2019",11,8]]}},"label":"page"},{"id":334,"uris":["http://zotero.org/users/5678157/items/EHGH28W8"],"itemData":{"id":334,"type":"article-journal","abstract":"Plant growth promoting rhizobacteria provide an innovative solution to address challenges in sustainable agro-ecosystems, improving plant growth as well as acting as agents of biocontrol. In this study autochthonous bacteria were isolated from the rhizosphere of processing tomato plants (Solanum lycopersicum L.) cultivated with conservation agriculture practices (i.e., reduced tillage and cover crops), and evaluated for both growth-promoting activities (PGPAs), and antagonistic potential against the phytopathogenic pest Sclerotinia sclerotiorum. Considering the several activities of PGPR, we decided to structure the screening with a hierarchic approach, starting from testing the capability of fixing nitrogen. The obtained bacteria were processed through the molecular typing technique rep-PCR (Repetitive Extragenic Palindromic) in order to discriminate microbial strains with the same profiles, and identified via 16S rDNA sequencing. Thirty-eight selected isolates were screened in vitro for different activities related to plant nutrition and plant growth regulation as well as for antifungal traits. Isolated bacteria were found to exhibit different efficiencies in indoleacetic acid production and siderophore production, phosphate solubilization and biocontrol activity against the widespread soil-borne plant pathogen S. sclerotiorum. All the 38 bacterial isolates showed at least one property tested. With a view to detect the suitable candidates to be developed as biofertilizers, the selected isolates were ranked by their potential ability to function as PGPR. Thus, consortium of native PGPR bacteria inoculants may represent a suitable solution to address the challenges in sustainable agriculture, to ensure crop yield and quality, lowering the application of chemicals input.","container-title":"Plants","DOI":"10.3390/plants9050668","ISSN":"2223-7747","issue":"5","language":"en","license":"http://creativecommons.org/licenses/by/3.0/","note":"publisher: Multidisciplinary Digital Publishing Institute","page":"668","source":"www.mdpi.com","title":"Isolation and Screening of Extracellular PGPR from the Rhizosphere of Tomato Plants after Long-Term Reduced Tillage and Cover Crops","volume":"9","author":[{"family":"Guerrieri","given":"Maria Chiara"},{"family":"Fanfoni","given":"Elisabetta"},{"family":"Fiorini","given":"Andrea"},{"family":"Trevisan","given":"Marco"},{"family":"Puglisi","given":"Edoardo"}],"issued":{"date-parts":[["2020",5]]}},"label":"page"},{"id":330,"uris":["http://zotero.org/users/5678157/items/4NCKUYMB"],"itemData":{"id":330,"type":"article-journal","abstract":"In the midst of the major soil degradation and erosion faced by tropical ecosystems, rehabilitated forests are being established to avoid the further deterioration of forest lands. In this context, cellulolytic, nitrogen-fixing (N-fixing), phosphate-solubilizing bacteria are very important functional groups in regulating the elemental cycle and plant nutrition, hence replenishing the nutrient content in forest soils. As is the case for other potential plant growth-promoting (PGP) rhizobacteria, these functional bacteria could have cross-functional abilities or beneficial traits that are essential for plants and can improve their growth. This study was conducted to isolate, identify, and characterize selected PGP properties of these three functional groups of bacteria from tropical rehabilitated forest soils at Universiti Putra Malaysia Bintulu Sarawak Campus, Malaysia. The bacteria were isolated based on their colonial growth on respective functional media, identified using both molecular and selected biochemical properties, and were assessed for their functional quantitative activities as well as PGP properties based on seed germination tests and indole-3-acetic acid (IAA) production. Out of the 15 identified bacterial isolates that exhibited beneficial phenotypic traits, a third belong to the genus Burkholderia and a fifth to Stenotrophomonas sp., with both genera consisting of members from two different functional groups. The results of the experiments confirm the multiple PGP traits of some selected bacterial isolates based on their respective high functional activities, root and shoot lengths, and seedling vigor improvements when bacterized on mung bean seeds, as well as significant IAA production. The results of this study suggest that these functional bacterial strains could potentially be included in bio-fertilizer formulations for crop growth on acid soils.","container-title":"Microorganisms","DOI":"10.3390/microorganisms8030442","ISSN":"2076-2607","issue":"3","language":"en","license":"http://creativecommons.org/licenses/by/3.0/","note":"publisher: Multidisciplinary Digital Publishing Institute","page":"442","source":"www.mdpi.com","title":"Potential PGPR Properties of Cellulolytic, Nitrogen-Fixing, Phosphate-Solubilizing Bacteria in Rehabilitated Tropical Forest Soil","volume":"8","author":[{"family":"Tang","given":"Amelia"},{"family":"Haruna","given":"Ahmed Osumanu"},{"family":"Majid","given":"Nik Muhamad Ab"},{"family":"Jalloh","given":"Mohamadu Boyie"}],"issued":{"date-parts":[["2020",3]]}},"label":"page"}],"schema":"https://github.com/citation-style-language/schema/raw/master/csl-citation.json"} </w:instrText>
      </w:r>
      <w:r w:rsidRPr="00640DF0">
        <w:rPr>
          <w:rFonts w:ascii="Arial" w:hAnsi="Arial" w:cs="Arial"/>
        </w:rPr>
        <w:fldChar w:fldCharType="separate"/>
      </w:r>
      <w:r w:rsidRPr="00640DF0">
        <w:rPr>
          <w:rFonts w:ascii="Arial" w:hAnsi="Arial" w:cs="Arial"/>
        </w:rPr>
        <w:t>(Dong et al., 2019; Guerrieri et al., 2020; Tang et al., 2020)</w:t>
      </w:r>
      <w:r w:rsidRPr="00640DF0">
        <w:rPr>
          <w:rFonts w:ascii="Arial" w:hAnsi="Arial" w:cs="Arial"/>
        </w:rPr>
        <w:fldChar w:fldCharType="end"/>
      </w:r>
      <w:r w:rsidRPr="00640DF0">
        <w:rPr>
          <w:rFonts w:ascii="Arial" w:hAnsi="Arial" w:cs="Arial"/>
        </w:rPr>
        <w:t xml:space="preserve">. The abundance of </w:t>
      </w:r>
      <w:r w:rsidRPr="00640DF0">
        <w:rPr>
          <w:rFonts w:ascii="Arial" w:hAnsi="Arial" w:cs="Arial"/>
          <w:lang w:eastAsia="fr-BE"/>
        </w:rPr>
        <w:t xml:space="preserve"> </w:t>
      </w:r>
      <w:r w:rsidRPr="00640DF0">
        <w:rPr>
          <w:rFonts w:ascii="Arial" w:hAnsi="Arial" w:cs="Arial"/>
          <w:i/>
          <w:iCs/>
          <w:lang w:eastAsia="fr-BE"/>
        </w:rPr>
        <w:t>Bacillus</w:t>
      </w:r>
      <w:r w:rsidRPr="00640DF0">
        <w:rPr>
          <w:rFonts w:ascii="Arial" w:hAnsi="Arial" w:cs="Arial"/>
          <w:lang w:eastAsia="fr-BE"/>
        </w:rPr>
        <w:t xml:space="preserve"> as a plant growth–promoting genus has also been documented</w:t>
      </w:r>
      <w:r w:rsidRPr="00640DF0">
        <w:rPr>
          <w:rFonts w:ascii="Arial" w:hAnsi="Arial" w:cs="Arial"/>
        </w:rPr>
        <w:t xml:space="preserve"> by </w:t>
      </w:r>
      <w:r w:rsidRPr="00640DF0">
        <w:rPr>
          <w:rFonts w:ascii="Arial" w:hAnsi="Arial" w:cs="Arial"/>
        </w:rPr>
        <w:fldChar w:fldCharType="begin"/>
      </w:r>
      <w:r w:rsidRPr="00640DF0">
        <w:rPr>
          <w:rFonts w:ascii="Arial" w:hAnsi="Arial" w:cs="Arial"/>
        </w:rPr>
        <w:instrText xml:space="preserve"> ADDIN ZOTERO_ITEM CSL_CITATION {"citationID":"6BaNqkBO","properties":{"formattedCitation":"(Kumar et al., 2011)","plainCitation":"(Kumar et al., 2011)","dontUpdate":true,"noteIndex":0},"citationItems":[{"id":324,"uris":["http://zotero.org/users/5678157/items/TPAMFCCC"],"itemData":{"id":324,"type":"chapter","abstract":"Gram-positive bacteria, in particular, members of group Bacillus, are among the best-studied experimental systems in bacteriology. Research, in Bacillus subtilis is remarkably diverse, including genetics, biochemistry, cell biology, and ecology, thus has an enormous impact on both basic and applied biology. Multiple species of Bacillus and Paenibacillus occur in the agricultural fields that can promote the crop health in different ways. Some of these species directly stimulate plant growth either through enhancement in acquisition of nutrients or through stimulation of host plant’s defense mechanisms prior to infection; other species can inhibit or suppress the populations of pathogenic microorganisms and/or pests. Although the distribution, diversity, and population dynamics of these two genera have been widely studied using a variety of techniques, much remains to be learned if we are to improve both basic studies of plant–microbe interactions and bacterial ecology, as well as the efforts to improve agricultural technologies. Biological control, using microorganisms to suppress plant disease, offers a powerful alternative to the use of synthetic chemicals. Many species of Bacillus and related forms are potential biological control agents against various pathogenic microbes. Their spore forming ability makes them an ideal candidate for developing efficient biopesticide products from technological point of view. Many isolates of Bacillus spp. have been developed as biocontrol agents (BCAs) of plant pests and pathogens. However, a greater understanding of their ecology including diversity, distribution, and physiology of this Gram-positive genus will be helpful for identification of new strains to be used as successful BCAs. Development of molecular and genomic tools offers new possibilities for improving the selection, characterization, and management of biological control including modifications of wild-type strains to improve their ability for controlling soilborne diseases.","container-title":"Bacteria in Agrobiology: Crop Ecosystems","event-place":"Berlin, Heidelberg","ISBN":"978-3-642-18357-7","language":"en","note":"DOI: 10.1007/978-3-642-18357-7_2","page":"37-59","publisher":"Springer","publisher-place":"Berlin, Heidelberg","source":"Springer Link","title":"Bacillus as PGPR in Crop Ecosystem","URL":"https://doi.org/10.1007/978-3-642-18357-7_2","author":[{"family":"Kumar","given":"Ankit"},{"family":"Prakash","given":"Anil"},{"family":"Johri","given":"B. N."}],"editor":[{"family":"Maheshwari","given":"Dinesh K."}],"accessed":{"date-parts":[["2025",10,10]]},"issued":{"date-parts":[["2011"]]}}}],"schema":"https://github.com/citation-style-language/schema/raw/master/csl-citation.json"} </w:instrText>
      </w:r>
      <w:r w:rsidRPr="00640DF0">
        <w:rPr>
          <w:rFonts w:ascii="Arial" w:hAnsi="Arial" w:cs="Arial"/>
        </w:rPr>
        <w:fldChar w:fldCharType="separate"/>
      </w:r>
      <w:r w:rsidRPr="00640DF0">
        <w:rPr>
          <w:rFonts w:ascii="Arial" w:hAnsi="Arial" w:cs="Arial"/>
        </w:rPr>
        <w:t>Kumar et al. (2011)</w:t>
      </w:r>
      <w:r w:rsidRPr="00640DF0">
        <w:rPr>
          <w:rFonts w:ascii="Arial" w:hAnsi="Arial" w:cs="Arial"/>
        </w:rPr>
        <w:fldChar w:fldCharType="end"/>
      </w:r>
      <w:r w:rsidRPr="00640DF0">
        <w:rPr>
          <w:rFonts w:ascii="Arial" w:hAnsi="Arial" w:cs="Arial"/>
        </w:rPr>
        <w:t xml:space="preserve">, followed by </w:t>
      </w:r>
      <w:r w:rsidRPr="00640DF0">
        <w:rPr>
          <w:rFonts w:ascii="Arial" w:hAnsi="Arial" w:cs="Arial"/>
          <w:i/>
          <w:iCs/>
        </w:rPr>
        <w:t>Enterobacter</w:t>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{"citationID":"AjPU1M51","properties":{"unsorted":true,"formattedCitation":"(Gray and Smith, 2005; Aarab et al., 2009)","plainCitation":"(Gray and Smith, 2005; Aarab et al., 2009)","noteIndex":0},"citationItems":[{"id":336,"uris":["http://zotero.org/users/5678157/items/4RG86KSR"],"itemData":{"id":336,"type":"article-journal","abstract":"Plant growth promoting bacteria (PGPR) associations range in degree of bacterial proximity to the root and intimacy of association. In general, these can be separated into extracellular PGPR (ePGPR), existing in the rhizosphere, on the rhizoplane or in the spaces between cells of the root cortex, and intracellular PGPR (iPGPR), which exist inside root cells, generally in specialized nodular structures. The latter includes rhizobia and Frankia species, both of which fix nitrogen in symbiosis with higher plants. There has been considerable development in understanding signaling mechanisms of rhizobia (iPGPR) during the establishment of the rhizobia–legume symbiosis, and this may serve as a model of knowledge regarding cross-talk and plant growth promoting mechanisms. We provide a detailed review of this process, including plant-to-bacteria signal molecules, followed by bacterial perception and consequent production of bacteria-to-plant signals. A history of PGPR discovery is also provided, indicating progress in understanding each of the PGPR groups. Recent advances in understanding plant growth responses to microbial signals are reviewed, along with the research areas that require attention. Based on new understandings of signaling mechanisms in the iPGPR (rhizobia) and recent findings with ePGPR we are able to speculate regarding general patterns of signaling in the ePGPR.","container-title":"Soil Biology and Biochemistry","DOI":"10.1016/j.soilbio.2004.08.030","ISSN":"0038-0717","issue":"3","journalAbbreviation":"Soil Biology and Biochemistry","page":"395-412","source":"ScienceDirect","title":"Intracellular and extracellular PGPR: commonalities and distinctions in the plant–bacterium signaling processes","title-short":"Intracellular and extracellular PGPR","volume":"37","author":[{"family":"Gray","given":"E. J."},{"family":"Smith","given":"D. L."}],"issued":{"date-parts":[["2005",3,1]]}},"label":"page"},{"id":339,"uris":["http://zotero.org/users/5678157/items/2HQLWQMR"],"itemData":{"id":339,"type":"article-journal","language":"fr","source":"Zotero","title":"Selection des isolats rhizobiens solubilisant le phosphate tricalcique : inoculation des graines du triticale (variete momtaz)","volume":"5","author":[{"family":"Aarab","given":"S"},{"family":"Laglaoui","given":"A"},{"family":"Bakkali","given":"M"},{"family":"Arakrak","given":"A"}],"issued":{"date-parts":[["2009"]]}},"label":"page"}],"schema":"https://github.com/citation-style-language/schema/raw/master/csl-citation.json"} </w:instrText>
      </w:r>
      <w:r w:rsidRPr="00640DF0">
        <w:rPr>
          <w:rFonts w:ascii="Arial" w:hAnsi="Arial" w:cs="Arial"/>
        </w:rPr>
        <w:fldChar w:fldCharType="separate"/>
      </w:r>
      <w:r w:rsidRPr="00640DF0">
        <w:rPr>
          <w:rFonts w:ascii="Arial" w:hAnsi="Arial" w:cs="Arial"/>
        </w:rPr>
        <w:t>(Gray and Smith, 2005; Aarab et al., 2009)</w:t>
      </w:r>
      <w:r w:rsidRPr="00640DF0">
        <w:rPr>
          <w:rFonts w:ascii="Arial" w:hAnsi="Arial" w:cs="Arial"/>
        </w:rPr>
        <w:fldChar w:fldCharType="end"/>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{"citationID":"tcMQcLLh","properties":{"formattedCitation":"(Orhan et al., 2006)","plainCitation":"(Orhan et al., 2006)","dontUpdate":true,"noteIndex":0},"citationItems":[{"id":340,"uris":["http://zotero.org/users/5678157/items/KGSFHGS7"],"itemData":{"id":340,"type":"article-journal","container-title":"Scientia horticulturae","issue":"1","note":"publisher: Elsevier","page":"38–43","source":"Google Scholar","title":"Effects of plant growth promoting rhizobacteria (PGPR) on yield, growth and nutrient contents in organically growing raspberry","volume":"111","author":[{"family":"Orhan","given":"Emine"},{"family":"Esitken","given":"Ahmet"},{"family":"Ercisli","given":"Sezai"},{"family":"Turan","given":"Metin"},{"family":"Sahin","given":"Fikrettin"}],"issued":{"date-parts":[["2006"]]}}}],"schema":"https://github.com/citation-style-language/schema/raw/master/csl-citation.json"} </w:instrText>
      </w:r>
      <w:r w:rsidRPr="00640DF0">
        <w:rPr>
          <w:rFonts w:ascii="Arial" w:hAnsi="Arial" w:cs="Arial"/>
        </w:rPr>
        <w:fldChar w:fldCharType="separate"/>
      </w:r>
      <w:r w:rsidRPr="00640DF0">
        <w:rPr>
          <w:rFonts w:ascii="Arial" w:hAnsi="Arial" w:cs="Arial"/>
        </w:rPr>
        <w:t>Orhan et al., (2006)</w:t>
      </w:r>
      <w:r w:rsidRPr="00640DF0">
        <w:rPr>
          <w:rFonts w:ascii="Arial" w:hAnsi="Arial" w:cs="Arial"/>
        </w:rPr>
        <w:fldChar w:fldCharType="end"/>
      </w:r>
      <w:r w:rsidRPr="00640DF0">
        <w:rPr>
          <w:rFonts w:ascii="Arial" w:hAnsi="Arial" w:cs="Arial"/>
        </w:rPr>
        <w:t xml:space="preserve"> reported that bacteria belonging to the </w:t>
      </w:r>
      <w:r w:rsidRPr="00640DF0">
        <w:rPr>
          <w:rFonts w:ascii="Arial" w:hAnsi="Arial" w:cs="Arial"/>
          <w:i/>
          <w:iCs/>
        </w:rPr>
        <w:t>Bacillus</w:t>
      </w:r>
      <w:r w:rsidRPr="00640DF0">
        <w:rPr>
          <w:rFonts w:ascii="Arial" w:hAnsi="Arial" w:cs="Arial"/>
        </w:rPr>
        <w:t xml:space="preserve"> genus  increased tomato yield significantly</w:t>
      </w:r>
      <w:r w:rsidRPr="00640DF0" w:rsidDel="00A44522">
        <w:rPr>
          <w:rFonts w:ascii="Arial" w:hAnsi="Arial" w:cs="Arial"/>
        </w:rPr>
        <w:t xml:space="preserve"> </w:t>
      </w:r>
      <w:r w:rsidRPr="00640DF0">
        <w:rPr>
          <w:rFonts w:ascii="Arial" w:hAnsi="Arial" w:cs="Arial"/>
        </w:rPr>
        <w:t xml:space="preserve">with 554.5 g/plant compared to the control treatment which yielded 414.1 g/plant. </w:t>
      </w:r>
      <w:r w:rsidRPr="00640DF0">
        <w:rPr>
          <w:rFonts w:ascii="Arial" w:hAnsi="Arial" w:cs="Arial"/>
        </w:rPr>
        <w:fldChar w:fldCharType="begin"/>
      </w:r>
      <w:r w:rsidRPr="00640DF0">
        <w:rPr>
          <w:rFonts w:ascii="Arial" w:hAnsi="Arial" w:cs="Arial"/>
        </w:rPr>
        <w:instrText xml:space="preserve"> ADDIN ZOTERO_ITEM CSL_CITATION {"citationID":"5iMA96oz","properties":{"formattedCitation":"(Bakki et al., 2024)","plainCitation":"(Bakki et al., 2024)","dontUpdate":true,"noteIndex":0},"citationItems":[{"id":342,"uris":["http://zotero.org/users/5678157/items/FG43MNXF"],"itemData":{"id":342,"type":"article-journal","abstract":"Nowadays, sustainable agriculture approaches are based on the use of biofertilizers and biopesticides. Tomato (\n              Solanum lycopersicum\n              L.) rhizosphere could provide rhizobacteria with biofertilizing and biopesticide properties. In this study, bacteria from the rhizosphere of tomato were evaluated\n              in vitro\n              for plant growth promotion (PGP) properties. Five\n              Pseudomonas\n              isolates (PsT-04c, PsT-94s, PsT-116, PsT-124, and PsT-130) and one\n              Bacillus\n              isolate (BaT-68s), with the highest ability to solubilize tricalcium phosphate (TCP) were selected for further molecular identification and characterization. Isolates showed phosphate solubilization up to 195.42 μg mL\n              −1\n              . All isolates showed phosphate solubilization by organic acid production. The six isolates improved seed germination and showed effective root colonization when tomato seeds were coated with isolates at 10\n              6\n              cfu g\n              −1\n              in axenic soil conditions. Furthermore, the selected isolates were tested for beneficial effects on tomato growth and nutrient status in greenhouse experiments with natural rock phosphate (RP). The results showed that inoculated tomato plants in the presence of RP have a higher shoot and root lengths and weights compared with the control. After 60 days, significant increases in plant Ca, Na, P, protein, and sugar contents were also observed in inoculated seedlings. In addition, inoculated tomato seedlings showed an increase in foliar chlorophyll a and b and total chlorophyll, while no significant changes were observed in chlorophyll fluorescence. In greenhouse, two\n              Pseudomonas\n              isolates, PsT-04c and PsT-130, showed ability to trigger induced systemic resistance in inoculated tomato seedlings when subsequently challenged by\n              Clavibacter michiganensis\n              subsp.\n              michiganensis\n              , the causal agent of tomato bacterial canker. High protection rate (75%) was concomitant to an increase in the resistance indicators: total soluble phenolic compounds, phenylalanine-ammonia lyase, and H\n              2\n              O\n              2\n              . The results strongly demonstrated the effectiveness of phosphate-solubilizing bacteria adapted to rhizosphere as biofertilizers for tomato crops and biopesticides by inducing systemic resistance to the causal agent of tomato bacterial canker disease.","container-title":"Frontiers in Microbiology","DOI":"10.3389/fmicb.2024.1289466","ISSN":"1664-302X","journalAbbreviation":"Front. Microbiol.","page":"1289466","source":"DOI.org (Crossref)","title":"Phosphate solubilizing Pseudomonas and Bacillus combined with rock phosphates promoting tomato growth and reducing bacterial canker disease","volume":"15","author":[{"family":"Bakki","given":"Mohamed"},{"family":"Banane","given":"Badra"},{"family":"Marhane","given":"Omaima"},{"family":"Esmaeel","given":"Qassim"},{"family":"Hatimi","given":"Abdelhakim"},{"family":"Barka","given":"Essaid Ait"},{"family":"Azim","given":"Khalid"},{"family":"Bouizgarne","given":"Brahim"}],"issued":{"date-parts":[["2024",5,3]]}}}],"schema":"https://github.com/citation-style-language/schema/raw/master/csl-citation.json"} </w:instrText>
      </w:r>
      <w:r w:rsidRPr="00640DF0">
        <w:rPr>
          <w:rFonts w:ascii="Arial" w:hAnsi="Arial" w:cs="Arial"/>
        </w:rPr>
        <w:fldChar w:fldCharType="separate"/>
      </w:r>
      <w:r w:rsidRPr="00640DF0">
        <w:rPr>
          <w:rFonts w:ascii="Arial" w:hAnsi="Arial" w:cs="Arial"/>
        </w:rPr>
        <w:t>Bakki et al., (2024)</w:t>
      </w:r>
      <w:r w:rsidRPr="00640DF0">
        <w:rPr>
          <w:rFonts w:ascii="Arial" w:hAnsi="Arial" w:cs="Arial"/>
        </w:rPr>
        <w:fldChar w:fldCharType="end"/>
      </w:r>
      <w:r w:rsidRPr="00640DF0">
        <w:rPr>
          <w:rFonts w:ascii="Arial" w:hAnsi="Arial" w:cs="Arial"/>
        </w:rPr>
        <w:t xml:space="preserve"> also reported that </w:t>
      </w:r>
      <w:r w:rsidRPr="00640DF0">
        <w:rPr>
          <w:rFonts w:ascii="Arial" w:hAnsi="Arial" w:cs="Arial"/>
          <w:i/>
          <w:iCs/>
        </w:rPr>
        <w:t>Pseudomonas</w:t>
      </w:r>
      <w:r w:rsidRPr="00640DF0">
        <w:rPr>
          <w:rFonts w:ascii="Arial" w:hAnsi="Arial" w:cs="Arial"/>
        </w:rPr>
        <w:t xml:space="preserve"> and </w:t>
      </w:r>
      <w:r w:rsidRPr="00640DF0">
        <w:rPr>
          <w:rFonts w:ascii="Arial" w:hAnsi="Arial" w:cs="Arial"/>
          <w:i/>
          <w:iCs/>
        </w:rPr>
        <w:t>Bacillus</w:t>
      </w:r>
      <w:r w:rsidRPr="00640DF0">
        <w:rPr>
          <w:rFonts w:ascii="Arial" w:hAnsi="Arial" w:cs="Arial"/>
        </w:rPr>
        <w:t xml:space="preserve"> genera improved </w:t>
      </w:r>
      <w:r w:rsidRPr="00640DF0">
        <w:rPr>
          <w:rFonts w:ascii="Arial" w:hAnsi="Arial" w:cs="Arial"/>
          <w:lang w:eastAsia="fr-BE"/>
        </w:rPr>
        <w:t xml:space="preserve">tomato  shoot and root growth </w:t>
      </w:r>
      <w:r w:rsidRPr="00640DF0">
        <w:rPr>
          <w:rFonts w:ascii="Arial" w:hAnsi="Arial" w:cs="Arial"/>
        </w:rPr>
        <w:t xml:space="preserve">. </w:t>
      </w:r>
      <w:r w:rsidRPr="00640DF0">
        <w:rPr>
          <w:rFonts w:ascii="Arial" w:hAnsi="Arial" w:cs="Arial"/>
        </w:rPr>
        <w:fldChar w:fldCharType="begin"/>
      </w:r>
      <w:r w:rsidRPr="00640DF0">
        <w:rPr>
          <w:rFonts w:ascii="Arial" w:hAnsi="Arial" w:cs="Arial"/>
        </w:rPr>
        <w:instrText xml:space="preserve"> ADDIN ZOTERO_ITEM CSL_CITATION {"citationID":"Ayw8aGI1","properties":{"formattedCitation":"(P\\uc0\\u233{}rez-Rodriguez et al., 2020)","plainCitation":"(Pérez-Rodriguez et al., 2020)","dontUpdate":true,"noteIndex":0},"citationItems":[{"id":344,"uris":["http://zotero.org/users/5678157/items/8ABP6ER5"],"itemData":{"id":344,"type":"article-journal","abstract":"In semiarid regions is important to use native strains best adapted to these environments to optimize plant-PGPR interaction. We aimed to isolate and characterize PGPR from roots and rhizosphere of a tomato crop, as well as studying the effect of its inoculation on tomato seedlings growth. We selected four strains considering their effectiveness of fixing nitrogen, solubilizing phosphate, producing siderophores and indole acetic acid. They belong to the genera Enterobacter, Pseudomonas, Cellulosimicrobium, and Ochrobactrum. In addition, we also analyzed the ability to solubilize Ca3(PO4)2, FePO4 and AlPO4 and the presence of one of the genes encoding the cofactor PQQ in their genome. Enterobacter 64S1 and Pseudomonas 42P4 showed the highest phosphorus solubilizing activity and presence of pqqE gene. Furthermore, in a tomato-based bioassay in speed-bed demonstrated that a sole inoculation at seedling stage with the strains increased dry weight of roots (49–88%) and shoots (39–55%), stem height (8–13%) and diameter (5–8%) and leaf area (22–31%) and were equal or even higher than fertilization treatment. Leaf nitrogen and chlorophyll levels were also increased (50–80% and 26–33%) compared to control. These results suggest that Enterobacter 64S1 and Pseudomonas 42P4 can be used as bio-inoculant in order to realize a nutrient integrated management.","container-title":"Scientific Reports","DOI":"10.1038/s41598-020-72507-4","ISSN":"2045-2322","issue":"1","journalAbbreviation":"Sci Rep","language":"en","license":"2020 The Author(s)","note":"publisher: Nature Publishing Group","page":"15642","source":"www.nature.com","title":"Native bacteria isolated from roots and rhizosphere of Solanum lycopersicum L. increase tomato seedling growth under a reduced fertilization regime","volume":"10","author":[{"family":"Pérez-Rodriguez","given":"María Micaela"},{"family":"Piccoli","given":"Patricia"},{"family":"Anzuay","given":"María Soledad"},{"family":"Baraldi","given":"Rita"},{"family":"Neri","given":"Luisa"},{"family":"Taurian","given":"Tania"},{"family":"Lobato Ureche","given":"Miguel Andrés"},{"family":"Segura","given":"Diana María"},{"family":"Cohen","given":"Ana Carmen"}],"issued":{"date-parts":[["2020",9,24]]}}}],"schema":"https://github.com/citation-style-language/schema/raw/master/csl-citation.json"} </w:instrText>
      </w:r>
      <w:r w:rsidRPr="00640DF0">
        <w:rPr>
          <w:rFonts w:ascii="Arial" w:hAnsi="Arial" w:cs="Arial"/>
        </w:rPr>
        <w:fldChar w:fldCharType="separate"/>
      </w:r>
      <w:r w:rsidRPr="00640DF0">
        <w:rPr>
          <w:rFonts w:ascii="Arial" w:hAnsi="Arial" w:cs="Arial"/>
        </w:rPr>
        <w:t>Pérez-Rodriguez et al., (2020)</w:t>
      </w:r>
      <w:r w:rsidRPr="00640DF0">
        <w:rPr>
          <w:rFonts w:ascii="Arial" w:hAnsi="Arial" w:cs="Arial"/>
        </w:rPr>
        <w:fldChar w:fldCharType="end"/>
      </w:r>
      <w:r w:rsidRPr="00640DF0">
        <w:rPr>
          <w:rFonts w:ascii="Arial" w:hAnsi="Arial" w:cs="Arial"/>
        </w:rPr>
        <w:t xml:space="preserve"> also reported that </w:t>
      </w:r>
      <w:r w:rsidRPr="00640DF0">
        <w:rPr>
          <w:rFonts w:ascii="Arial" w:hAnsi="Arial" w:cs="Arial"/>
          <w:i/>
          <w:iCs/>
        </w:rPr>
        <w:t>Enterobacter</w:t>
      </w:r>
      <w:r w:rsidRPr="00640DF0">
        <w:rPr>
          <w:rFonts w:ascii="Arial" w:hAnsi="Arial" w:cs="Arial"/>
        </w:rPr>
        <w:t xml:space="preserve"> can improve tomato stem height (8-13 %) and diameter (5-8 %), the roots dry weight (49-88 %), shoots (39-55 %), and leaf area (22-31 %). In order to</w:t>
      </w:r>
      <w:r w:rsidRPr="00640DF0">
        <w:rPr>
          <w:rFonts w:ascii="Arial" w:hAnsi="Arial" w:cs="Arial"/>
          <w:lang w:eastAsia="fr-BE"/>
        </w:rPr>
        <w:t xml:space="preserve"> ensure accurate taxonomic placement and safe biotechnological use, further identification using chemotaxonomic profiling </w:t>
      </w:r>
      <w:r w:rsidRPr="00640DF0">
        <w:rPr>
          <w:rFonts w:ascii="Arial" w:hAnsi="Arial" w:cs="Arial"/>
        </w:rPr>
        <w:t>(types of quinones, cellular fatty acid composition)</w:t>
      </w:r>
      <w:r w:rsidRPr="00640DF0">
        <w:rPr>
          <w:rFonts w:ascii="Arial" w:hAnsi="Arial" w:cs="Arial"/>
          <w:lang w:eastAsia="fr-BE"/>
        </w:rPr>
        <w:t>, DNA–DNA hybridization, whole-genome sequencing, and protein or lipid fingerprinting should be performed.</w:t>
      </w:r>
    </w:p>
    <w:p w14:paraId="0062416A" w14:textId="77777777" w:rsidR="00640DF0" w:rsidRPr="00523D7C" w:rsidRDefault="00640DF0" w:rsidP="00640DF0">
      <w:pPr>
        <w:spacing w:line="360" w:lineRule="auto"/>
        <w:jc w:val="both"/>
        <w:rPr>
          <w:rFonts w:ascii="Arial" w:hAnsi="Arial" w:cs="Arial"/>
          <w:b/>
          <w:bCs/>
        </w:rPr>
      </w:pPr>
      <w:r w:rsidRPr="00523D7C">
        <w:rPr>
          <w:rFonts w:ascii="Arial" w:hAnsi="Arial" w:cs="Arial"/>
          <w:b/>
          <w:bCs/>
        </w:rPr>
        <w:lastRenderedPageBreak/>
        <w:t>Table 3</w:t>
      </w:r>
      <w:r>
        <w:rPr>
          <w:rFonts w:ascii="Arial" w:hAnsi="Arial" w:cs="Arial"/>
          <w:b/>
          <w:bCs/>
        </w:rPr>
        <w:t>.</w:t>
      </w:r>
      <w:r w:rsidR="00B9163E">
        <w:rPr>
          <w:rFonts w:ascii="Arial" w:hAnsi="Arial" w:cs="Arial"/>
          <w:b/>
          <w:bCs/>
        </w:rPr>
        <w:t xml:space="preserve"> </w:t>
      </w:r>
      <w:r w:rsidRPr="00523D7C">
        <w:rPr>
          <w:rFonts w:ascii="Arial" w:hAnsi="Arial" w:cs="Arial"/>
          <w:b/>
          <w:bCs/>
        </w:rPr>
        <w:t>Partial identification of strains</w:t>
      </w:r>
    </w:p>
    <w:p w14:paraId="547424E5" w14:textId="77777777" w:rsidR="00640DF0" w:rsidRDefault="00640DF0" w:rsidP="00640DF0">
      <w:pPr>
        <w:jc w:val="both"/>
        <w:rPr>
          <w:rFonts w:ascii="Arial" w:hAnsi="Arial" w:cs="Arial"/>
          <w:lang w:eastAsia="fr-BE"/>
        </w:rPr>
      </w:pPr>
    </w:p>
    <w:tbl>
      <w:tblPr>
        <w:tblStyle w:val="ListTable6Colorful"/>
        <w:tblpPr w:leftFromText="141" w:rightFromText="141" w:vertAnchor="text" w:horzAnchor="margin" w:tblpY="106"/>
        <w:tblW w:w="5000" w:type="pct"/>
        <w:shd w:val="clear" w:color="auto" w:fill="FFFFFF" w:themeFill="background1"/>
        <w:tblLook w:val="04A0" w:firstRow="1" w:lastRow="0" w:firstColumn="1" w:lastColumn="0" w:noHBand="0" w:noVBand="1"/>
      </w:tblPr>
      <w:tblGrid>
        <w:gridCol w:w="916"/>
        <w:gridCol w:w="520"/>
        <w:gridCol w:w="466"/>
        <w:gridCol w:w="529"/>
        <w:gridCol w:w="540"/>
        <w:gridCol w:w="487"/>
        <w:gridCol w:w="591"/>
        <w:gridCol w:w="545"/>
        <w:gridCol w:w="560"/>
        <w:gridCol w:w="466"/>
        <w:gridCol w:w="456"/>
        <w:gridCol w:w="790"/>
        <w:gridCol w:w="425"/>
        <w:gridCol w:w="383"/>
        <w:gridCol w:w="466"/>
        <w:gridCol w:w="427"/>
        <w:gridCol w:w="707"/>
        <w:gridCol w:w="633"/>
        <w:gridCol w:w="1416"/>
        <w:gridCol w:w="1061"/>
      </w:tblGrid>
      <w:tr w:rsidR="00F64C5E" w:rsidRPr="00640DF0" w14:paraId="27BE1AA4" w14:textId="77777777" w:rsidTr="005F162A">
        <w:trPr>
          <w:cnfStyle w:val="100000000000" w:firstRow="1" w:lastRow="0" w:firstColumn="0" w:lastColumn="0" w:oddVBand="0" w:evenVBand="0" w:oddHBand="0" w:evenHBand="0" w:firstRowFirstColumn="0" w:firstRowLastColumn="0" w:lastRowFirstColumn="0" w:lastRowLastColumn="0"/>
          <w:cantSplit/>
          <w:trHeight w:val="136"/>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6B8578A" w14:textId="77777777" w:rsidR="00640DF0" w:rsidRPr="00640DF0" w:rsidRDefault="00640DF0" w:rsidP="00985DDE">
            <w:pPr>
              <w:jc w:val="both"/>
              <w:rPr>
                <w:rFonts w:ascii="Arial" w:hAnsi="Arial" w:cs="Arial"/>
                <w:sz w:val="20"/>
                <w:szCs w:val="20"/>
              </w:rPr>
            </w:pPr>
            <w:bookmarkStart w:id="9" w:name="_Hlk202352939"/>
            <w:proofErr w:type="spellStart"/>
            <w:r w:rsidRPr="00640DF0">
              <w:rPr>
                <w:rFonts w:ascii="Arial" w:hAnsi="Arial" w:cs="Arial"/>
                <w:sz w:val="20"/>
                <w:szCs w:val="20"/>
              </w:rPr>
              <w:t>Isolates</w:t>
            </w:r>
            <w:proofErr w:type="spellEnd"/>
          </w:p>
        </w:tc>
        <w:tc>
          <w:tcPr>
            <w:tcW w:w="195" w:type="pct"/>
            <w:shd w:val="clear" w:color="auto" w:fill="FFFFFF" w:themeFill="background1"/>
          </w:tcPr>
          <w:p w14:paraId="6902EBAC"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Cat</w:t>
            </w:r>
          </w:p>
        </w:tc>
        <w:tc>
          <w:tcPr>
            <w:tcW w:w="195" w:type="pct"/>
            <w:shd w:val="clear" w:color="auto" w:fill="FFFFFF" w:themeFill="background1"/>
          </w:tcPr>
          <w:p w14:paraId="30181B93"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Ox</w:t>
            </w:r>
          </w:p>
        </w:tc>
        <w:tc>
          <w:tcPr>
            <w:tcW w:w="195" w:type="pct"/>
            <w:shd w:val="clear" w:color="auto" w:fill="FFFFFF" w:themeFill="background1"/>
          </w:tcPr>
          <w:p w14:paraId="27E69412"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Glu</w:t>
            </w:r>
          </w:p>
        </w:tc>
        <w:tc>
          <w:tcPr>
            <w:tcW w:w="195" w:type="pct"/>
            <w:shd w:val="clear" w:color="auto" w:fill="FFFFFF" w:themeFill="background1"/>
          </w:tcPr>
          <w:p w14:paraId="53CB3CD2"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Lac</w:t>
            </w:r>
          </w:p>
        </w:tc>
        <w:tc>
          <w:tcPr>
            <w:tcW w:w="195" w:type="pct"/>
            <w:shd w:val="clear" w:color="auto" w:fill="FFFFFF" w:themeFill="background1"/>
          </w:tcPr>
          <w:p w14:paraId="36E92CAA"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Mb</w:t>
            </w:r>
          </w:p>
        </w:tc>
        <w:tc>
          <w:tcPr>
            <w:tcW w:w="214" w:type="pct"/>
            <w:shd w:val="clear" w:color="auto" w:fill="FFFFFF" w:themeFill="background1"/>
          </w:tcPr>
          <w:p w14:paraId="2A635093"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Man</w:t>
            </w:r>
          </w:p>
        </w:tc>
        <w:tc>
          <w:tcPr>
            <w:tcW w:w="175" w:type="pct"/>
            <w:shd w:val="clear" w:color="auto" w:fill="FFFFFF" w:themeFill="background1"/>
          </w:tcPr>
          <w:p w14:paraId="3F16D093"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H</w:t>
            </w:r>
            <w:r w:rsidRPr="00640DF0">
              <w:rPr>
                <w:rFonts w:ascii="Arial" w:hAnsi="Arial" w:cs="Arial"/>
                <w:sz w:val="20"/>
                <w:szCs w:val="20"/>
                <w:vertAlign w:val="subscript"/>
              </w:rPr>
              <w:t>2</w:t>
            </w:r>
            <w:r w:rsidRPr="00640DF0">
              <w:rPr>
                <w:rFonts w:ascii="Arial" w:hAnsi="Arial" w:cs="Arial"/>
                <w:sz w:val="20"/>
                <w:szCs w:val="20"/>
              </w:rPr>
              <w:t>S</w:t>
            </w:r>
          </w:p>
        </w:tc>
        <w:tc>
          <w:tcPr>
            <w:tcW w:w="201" w:type="pct"/>
            <w:shd w:val="clear" w:color="auto" w:fill="FFFFFF" w:themeFill="background1"/>
          </w:tcPr>
          <w:p w14:paraId="694C6194"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Gaz</w:t>
            </w:r>
          </w:p>
        </w:tc>
        <w:tc>
          <w:tcPr>
            <w:tcW w:w="169" w:type="pct"/>
            <w:shd w:val="clear" w:color="auto" w:fill="FFFFFF" w:themeFill="background1"/>
          </w:tcPr>
          <w:p w14:paraId="3248643A"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0DF0">
              <w:rPr>
                <w:rFonts w:ascii="Arial" w:hAnsi="Arial" w:cs="Arial"/>
                <w:sz w:val="20"/>
                <w:szCs w:val="20"/>
              </w:rPr>
              <w:t>Cit</w:t>
            </w:r>
            <w:proofErr w:type="spellEnd"/>
          </w:p>
        </w:tc>
        <w:tc>
          <w:tcPr>
            <w:tcW w:w="169" w:type="pct"/>
            <w:shd w:val="clear" w:color="auto" w:fill="FFFFFF" w:themeFill="background1"/>
          </w:tcPr>
          <w:p w14:paraId="1E39C968"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0DF0">
              <w:rPr>
                <w:rFonts w:ascii="Arial" w:hAnsi="Arial" w:cs="Arial"/>
                <w:sz w:val="20"/>
                <w:szCs w:val="20"/>
              </w:rPr>
              <w:t>Sp</w:t>
            </w:r>
            <w:proofErr w:type="spellEnd"/>
          </w:p>
        </w:tc>
        <w:tc>
          <w:tcPr>
            <w:tcW w:w="239" w:type="pct"/>
            <w:shd w:val="clear" w:color="auto" w:fill="FFFFFF" w:themeFill="background1"/>
          </w:tcPr>
          <w:p w14:paraId="29F0676F"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Forme</w:t>
            </w:r>
          </w:p>
        </w:tc>
        <w:tc>
          <w:tcPr>
            <w:tcW w:w="146" w:type="pct"/>
            <w:shd w:val="clear" w:color="auto" w:fill="FFFFFF" w:themeFill="background1"/>
          </w:tcPr>
          <w:p w14:paraId="06BCE033"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Ur</w:t>
            </w:r>
          </w:p>
        </w:tc>
        <w:tc>
          <w:tcPr>
            <w:tcW w:w="146" w:type="pct"/>
            <w:shd w:val="clear" w:color="auto" w:fill="FFFFFF" w:themeFill="background1"/>
          </w:tcPr>
          <w:p w14:paraId="16F1B3F6"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Id</w:t>
            </w:r>
          </w:p>
        </w:tc>
        <w:tc>
          <w:tcPr>
            <w:tcW w:w="146" w:type="pct"/>
            <w:shd w:val="clear" w:color="auto" w:fill="FFFFFF" w:themeFill="background1"/>
          </w:tcPr>
          <w:p w14:paraId="51919705"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640DF0">
              <w:rPr>
                <w:rFonts w:ascii="Arial" w:hAnsi="Arial" w:cs="Arial"/>
                <w:sz w:val="20"/>
                <w:szCs w:val="20"/>
              </w:rPr>
              <w:t>pH</w:t>
            </w:r>
            <w:proofErr w:type="gramEnd"/>
          </w:p>
        </w:tc>
        <w:tc>
          <w:tcPr>
            <w:tcW w:w="243" w:type="pct"/>
            <w:shd w:val="clear" w:color="auto" w:fill="FFFFFF" w:themeFill="background1"/>
          </w:tcPr>
          <w:p w14:paraId="595B6C90"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T °C</w:t>
            </w:r>
          </w:p>
        </w:tc>
        <w:tc>
          <w:tcPr>
            <w:tcW w:w="243" w:type="pct"/>
            <w:shd w:val="clear" w:color="auto" w:fill="FFFFFF" w:themeFill="background1"/>
          </w:tcPr>
          <w:p w14:paraId="2360B0AC"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Gram</w:t>
            </w:r>
          </w:p>
        </w:tc>
        <w:tc>
          <w:tcPr>
            <w:tcW w:w="243" w:type="pct"/>
            <w:shd w:val="clear" w:color="auto" w:fill="FFFFFF" w:themeFill="background1"/>
          </w:tcPr>
          <w:p w14:paraId="4F668096"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KOH</w:t>
            </w:r>
          </w:p>
        </w:tc>
        <w:tc>
          <w:tcPr>
            <w:tcW w:w="584" w:type="pct"/>
            <w:shd w:val="clear" w:color="auto" w:fill="FFFFFF" w:themeFill="background1"/>
          </w:tcPr>
          <w:p w14:paraId="2A5FECFC"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Identification of isolats</w:t>
            </w:r>
          </w:p>
        </w:tc>
        <w:tc>
          <w:tcPr>
            <w:tcW w:w="730" w:type="pct"/>
            <w:shd w:val="clear" w:color="auto" w:fill="FFFFFF" w:themeFill="background1"/>
          </w:tcPr>
          <w:p w14:paraId="3D134801" w14:textId="77777777" w:rsidR="00640DF0" w:rsidRPr="00640DF0" w:rsidRDefault="00640DF0" w:rsidP="00985DD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0DF0">
              <w:rPr>
                <w:rFonts w:ascii="Arial" w:hAnsi="Arial" w:cs="Arial"/>
                <w:sz w:val="20"/>
                <w:szCs w:val="20"/>
              </w:rPr>
              <w:t>Similarity</w:t>
            </w:r>
            <w:proofErr w:type="spellEnd"/>
          </w:p>
        </w:tc>
      </w:tr>
      <w:tr w:rsidR="00F64C5E" w:rsidRPr="00640DF0" w14:paraId="77FBBF1A"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310DBF8"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A</w:t>
            </w:r>
            <w:r w:rsidRPr="00640DF0">
              <w:rPr>
                <w:rFonts w:ascii="Arial" w:hAnsi="Arial" w:cs="Arial"/>
                <w:sz w:val="20"/>
                <w:szCs w:val="20"/>
                <w:vertAlign w:val="subscript"/>
              </w:rPr>
              <w:t>3</w:t>
            </w:r>
          </w:p>
        </w:tc>
        <w:tc>
          <w:tcPr>
            <w:tcW w:w="195" w:type="pct"/>
            <w:shd w:val="clear" w:color="auto" w:fill="FFFFFF" w:themeFill="background1"/>
          </w:tcPr>
          <w:p w14:paraId="78D3A37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A33EFE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587C77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4FAEEF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9ADC34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A2892C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1944B1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611186E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871F63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6FF2D5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67C280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4181C7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4C09A4A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28FD775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1ED785E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4D38546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050A74F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7D3706F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43142C7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lang w:eastAsia="fr-FR"/>
              </w:rPr>
            </w:pPr>
            <w:r w:rsidRPr="00640DF0">
              <w:rPr>
                <w:rFonts w:ascii="Arial" w:eastAsia="Times New Roman" w:hAnsi="Arial" w:cs="Arial"/>
                <w:color w:val="auto"/>
                <w:sz w:val="20"/>
                <w:szCs w:val="20"/>
                <w:lang w:eastAsia="fr-FR"/>
              </w:rPr>
              <w:t>99,10 %</w:t>
            </w:r>
          </w:p>
        </w:tc>
      </w:tr>
      <w:tr w:rsidR="00F64C5E" w:rsidRPr="00640DF0" w14:paraId="12DA59B5"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FDF46C7"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A</w:t>
            </w:r>
            <w:r w:rsidRPr="00640DF0">
              <w:rPr>
                <w:rFonts w:ascii="Arial" w:hAnsi="Arial" w:cs="Arial"/>
                <w:sz w:val="20"/>
                <w:szCs w:val="20"/>
                <w:vertAlign w:val="subscript"/>
              </w:rPr>
              <w:t>56</w:t>
            </w:r>
          </w:p>
        </w:tc>
        <w:tc>
          <w:tcPr>
            <w:tcW w:w="195" w:type="pct"/>
            <w:shd w:val="clear" w:color="auto" w:fill="FFFFFF" w:themeFill="background1"/>
          </w:tcPr>
          <w:p w14:paraId="03AAFD3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1C0CDF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CA981C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DE45FF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D43960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4DF3C9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232479F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96713E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27265D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9B9F7C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E63146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A12E3C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1B9F94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569CEF6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5D99681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613AF5C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DF3885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72C2628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264A7E4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90,80 %</w:t>
            </w:r>
          </w:p>
        </w:tc>
      </w:tr>
      <w:tr w:rsidR="00F64C5E" w:rsidRPr="00640DF0" w14:paraId="18F8B4EE"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DB04347"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A</w:t>
            </w:r>
            <w:r w:rsidRPr="00640DF0">
              <w:rPr>
                <w:rFonts w:ascii="Arial" w:hAnsi="Arial" w:cs="Arial"/>
                <w:sz w:val="20"/>
                <w:szCs w:val="20"/>
                <w:vertAlign w:val="subscript"/>
              </w:rPr>
              <w:t>30</w:t>
            </w:r>
          </w:p>
        </w:tc>
        <w:tc>
          <w:tcPr>
            <w:tcW w:w="195" w:type="pct"/>
            <w:shd w:val="clear" w:color="auto" w:fill="FFFFFF" w:themeFill="background1"/>
          </w:tcPr>
          <w:p w14:paraId="4E11E26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F2804B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D4A35F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304981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24AE0D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6DA0DDC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4F689F7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7BBB5ED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E32558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C087D8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CC386B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7413236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D42A81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137940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6C36E5A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1114FCF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6D39DD6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5FEFCFC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0E02B57A" w14:textId="77777777" w:rsidR="00640DF0" w:rsidRPr="00640DF0" w:rsidDel="00275677" w:rsidRDefault="00640DF0" w:rsidP="00985D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90,40 %</w:t>
            </w:r>
          </w:p>
        </w:tc>
      </w:tr>
      <w:tr w:rsidR="00F64C5E" w:rsidRPr="00640DF0" w14:paraId="3B264583" w14:textId="77777777" w:rsidTr="005F162A">
        <w:trPr>
          <w:trHeight w:val="217"/>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1841DD5D"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B</w:t>
            </w:r>
            <w:r w:rsidRPr="00640DF0">
              <w:rPr>
                <w:rFonts w:ascii="Arial" w:hAnsi="Arial" w:cs="Arial"/>
                <w:sz w:val="20"/>
                <w:szCs w:val="20"/>
                <w:vertAlign w:val="subscript"/>
              </w:rPr>
              <w:t>1</w:t>
            </w:r>
          </w:p>
        </w:tc>
        <w:tc>
          <w:tcPr>
            <w:tcW w:w="195" w:type="pct"/>
            <w:shd w:val="clear" w:color="auto" w:fill="FFFFFF" w:themeFill="background1"/>
          </w:tcPr>
          <w:p w14:paraId="31D5F68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85F664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EE42F7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2FF1CB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FFC680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712F911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48DDC9D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7F9516A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592941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348935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2487D8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2040AC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01EDF6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B6DFC4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657381D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1B49C7D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885352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29564C5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6EBBF15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12700EAA"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6458131"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B</w:t>
            </w:r>
            <w:r w:rsidRPr="00640DF0">
              <w:rPr>
                <w:rFonts w:ascii="Arial" w:hAnsi="Arial" w:cs="Arial"/>
                <w:sz w:val="20"/>
                <w:szCs w:val="20"/>
                <w:vertAlign w:val="subscript"/>
              </w:rPr>
              <w:t>15</w:t>
            </w:r>
          </w:p>
        </w:tc>
        <w:tc>
          <w:tcPr>
            <w:tcW w:w="195" w:type="pct"/>
            <w:shd w:val="clear" w:color="auto" w:fill="FFFFFF" w:themeFill="background1"/>
          </w:tcPr>
          <w:p w14:paraId="7379FD0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9ECF9A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331EB6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D20E50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1FEF4C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0D00EF0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7DEA1A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2EB7F4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F7E558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CA4FA1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601BCF9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5F903A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D0E891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1AE2C9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61F28D8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312B5B1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67534BC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018F5F9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7452400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64C5E" w:rsidRPr="00640DF0" w14:paraId="77B7E818"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6FEF49D3"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B</w:t>
            </w:r>
            <w:r w:rsidRPr="00640DF0">
              <w:rPr>
                <w:rFonts w:ascii="Arial" w:hAnsi="Arial" w:cs="Arial"/>
                <w:sz w:val="20"/>
                <w:szCs w:val="20"/>
                <w:vertAlign w:val="subscript"/>
              </w:rPr>
              <w:t>30</w:t>
            </w:r>
          </w:p>
        </w:tc>
        <w:tc>
          <w:tcPr>
            <w:tcW w:w="195" w:type="pct"/>
            <w:shd w:val="clear" w:color="auto" w:fill="FFFFFF" w:themeFill="background1"/>
          </w:tcPr>
          <w:p w14:paraId="49F01B1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B4C095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F0FFD9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3815F2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52C435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0E1F66B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65B3A68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809AB5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60012C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BDE6AF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EBB32F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E9E28E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4933E1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FC0F57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189556D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3430EE3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5430713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1749A7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515652E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02B52261"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654FE20B"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Le</w:t>
            </w:r>
            <w:r w:rsidRPr="00640DF0">
              <w:rPr>
                <w:rFonts w:ascii="Arial" w:hAnsi="Arial" w:cs="Arial"/>
                <w:sz w:val="20"/>
                <w:szCs w:val="20"/>
                <w:vertAlign w:val="subscript"/>
              </w:rPr>
              <w:t>18</w:t>
            </w:r>
          </w:p>
        </w:tc>
        <w:tc>
          <w:tcPr>
            <w:tcW w:w="195" w:type="pct"/>
            <w:shd w:val="clear" w:color="auto" w:fill="FFFFFF" w:themeFill="background1"/>
          </w:tcPr>
          <w:p w14:paraId="449FAD7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CCE968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C71B34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0F681E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BE26B1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1833019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7D1969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E8BCFD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4B0430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908C6B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0BC9D3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0EE84A6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07B423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3A6ED1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9</w:t>
            </w:r>
          </w:p>
        </w:tc>
        <w:tc>
          <w:tcPr>
            <w:tcW w:w="243" w:type="pct"/>
            <w:shd w:val="clear" w:color="auto" w:fill="FFFFFF" w:themeFill="background1"/>
          </w:tcPr>
          <w:p w14:paraId="05E1D03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42FE8D7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3A84D8A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577F0B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355B180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012B18E2"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79F49D4E"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Le</w:t>
            </w:r>
            <w:r w:rsidRPr="00640DF0">
              <w:rPr>
                <w:rFonts w:ascii="Arial" w:hAnsi="Arial" w:cs="Arial"/>
                <w:sz w:val="20"/>
                <w:szCs w:val="20"/>
                <w:vertAlign w:val="subscript"/>
              </w:rPr>
              <w:t>6</w:t>
            </w:r>
          </w:p>
        </w:tc>
        <w:tc>
          <w:tcPr>
            <w:tcW w:w="195" w:type="pct"/>
            <w:shd w:val="clear" w:color="auto" w:fill="FFFFFF" w:themeFill="background1"/>
          </w:tcPr>
          <w:p w14:paraId="3843B0C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7E17AD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0334F7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B7B961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F3ABE3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BA0ECA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57A26E0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0D63A2F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270905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35E179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BBB1E3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4823C0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346C17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C79175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7C827E3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3531C53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516703A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7804EEF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70517CB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1705DFEF"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6D664ED2"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Le</w:t>
            </w:r>
            <w:r w:rsidRPr="00640DF0">
              <w:rPr>
                <w:rFonts w:ascii="Arial" w:hAnsi="Arial" w:cs="Arial"/>
                <w:sz w:val="20"/>
                <w:szCs w:val="20"/>
                <w:vertAlign w:val="subscript"/>
              </w:rPr>
              <w:t>13</w:t>
            </w:r>
          </w:p>
        </w:tc>
        <w:tc>
          <w:tcPr>
            <w:tcW w:w="195" w:type="pct"/>
            <w:shd w:val="clear" w:color="auto" w:fill="FFFFFF" w:themeFill="background1"/>
          </w:tcPr>
          <w:p w14:paraId="08EABB6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02395F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03CE5C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B47838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18D4DB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44EA915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5D66AC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DCA582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6A4117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F3E67B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81D590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68EE40C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7390D0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2B6B35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360B07F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603D762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30E9DA4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668C80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4CCE079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7C7FCDB6"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76C9084"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T</w:t>
            </w:r>
            <w:r w:rsidRPr="00640DF0">
              <w:rPr>
                <w:rFonts w:ascii="Arial" w:hAnsi="Arial" w:cs="Arial"/>
                <w:sz w:val="20"/>
                <w:szCs w:val="20"/>
                <w:vertAlign w:val="subscript"/>
              </w:rPr>
              <w:t>9</w:t>
            </w:r>
          </w:p>
        </w:tc>
        <w:tc>
          <w:tcPr>
            <w:tcW w:w="195" w:type="pct"/>
            <w:shd w:val="clear" w:color="auto" w:fill="FFFFFF" w:themeFill="background1"/>
          </w:tcPr>
          <w:p w14:paraId="7AF0F6B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93681E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B21910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1C639F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CA9E8C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2D5421C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0FA01F4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0CDC3CF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81C5BB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2F8A42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7BF1A8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L</w:t>
            </w:r>
          </w:p>
        </w:tc>
        <w:tc>
          <w:tcPr>
            <w:tcW w:w="146" w:type="pct"/>
            <w:shd w:val="clear" w:color="auto" w:fill="FFFFFF" w:themeFill="background1"/>
          </w:tcPr>
          <w:p w14:paraId="09689DB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D76F03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6EB129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2334770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44</w:t>
            </w:r>
          </w:p>
        </w:tc>
        <w:tc>
          <w:tcPr>
            <w:tcW w:w="243" w:type="pct"/>
            <w:shd w:val="clear" w:color="auto" w:fill="FFFFFF" w:themeFill="background1"/>
          </w:tcPr>
          <w:p w14:paraId="2EC646E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079A776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4BE2F3A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5CA9E33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64938C00"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E03B98D"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T</w:t>
            </w:r>
            <w:r w:rsidRPr="00640DF0">
              <w:rPr>
                <w:rFonts w:ascii="Arial" w:hAnsi="Arial" w:cs="Arial"/>
                <w:sz w:val="20"/>
                <w:szCs w:val="20"/>
                <w:vertAlign w:val="subscript"/>
              </w:rPr>
              <w:t>6</w:t>
            </w:r>
          </w:p>
        </w:tc>
        <w:tc>
          <w:tcPr>
            <w:tcW w:w="195" w:type="pct"/>
            <w:shd w:val="clear" w:color="auto" w:fill="FFFFFF" w:themeFill="background1"/>
          </w:tcPr>
          <w:p w14:paraId="7FF2286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80574A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459E89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83CB73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C4E2C1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0DFF8B5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1F922A0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564289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E74EF1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705D3F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15A2BAC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1EE40F4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E2BE0D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45DE9E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01E3338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043CE8D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FBD19F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0499B00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1702E18D" w14:textId="77777777" w:rsidR="00640DF0" w:rsidRPr="00640DF0" w:rsidRDefault="00640DF0" w:rsidP="00985D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93,60 %</w:t>
            </w:r>
          </w:p>
        </w:tc>
      </w:tr>
      <w:tr w:rsidR="00F64C5E" w:rsidRPr="00640DF0" w14:paraId="5544397F"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B6EDB88"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T</w:t>
            </w:r>
            <w:r w:rsidRPr="00640DF0">
              <w:rPr>
                <w:rFonts w:ascii="Arial" w:hAnsi="Arial" w:cs="Arial"/>
                <w:sz w:val="20"/>
                <w:szCs w:val="20"/>
                <w:vertAlign w:val="subscript"/>
              </w:rPr>
              <w:t>3</w:t>
            </w:r>
          </w:p>
        </w:tc>
        <w:tc>
          <w:tcPr>
            <w:tcW w:w="195" w:type="pct"/>
            <w:shd w:val="clear" w:color="auto" w:fill="FFFFFF" w:themeFill="background1"/>
          </w:tcPr>
          <w:p w14:paraId="36E8A9B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6C41CB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C8D56C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5476ED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073A6F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5FDA07E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4A6F355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275F0CF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48089C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232D71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373270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73AC6FC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948653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96056B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6FEC3D0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54EDB0A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3D9F97D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2E9004E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6618821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0C4F453C" w14:textId="77777777" w:rsidTr="005F162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355EA85C" w14:textId="77777777" w:rsidR="00640DF0" w:rsidRPr="00640DF0" w:rsidRDefault="00640DF0" w:rsidP="00985DDE">
            <w:pPr>
              <w:jc w:val="both"/>
              <w:rPr>
                <w:rFonts w:ascii="Arial" w:hAnsi="Arial" w:cs="Arial"/>
                <w:sz w:val="20"/>
                <w:szCs w:val="20"/>
              </w:rPr>
            </w:pPr>
            <w:r w:rsidRPr="00640DF0">
              <w:rPr>
                <w:rFonts w:ascii="Arial" w:hAnsi="Arial" w:cs="Arial"/>
                <w:sz w:val="20"/>
                <w:szCs w:val="20"/>
              </w:rPr>
              <w:t>Ki</w:t>
            </w:r>
            <w:r w:rsidRPr="00640DF0">
              <w:rPr>
                <w:rFonts w:ascii="Arial" w:hAnsi="Arial" w:cs="Arial"/>
                <w:sz w:val="20"/>
                <w:szCs w:val="20"/>
                <w:vertAlign w:val="subscript"/>
              </w:rPr>
              <w:t>1</w:t>
            </w:r>
          </w:p>
        </w:tc>
        <w:tc>
          <w:tcPr>
            <w:tcW w:w="195" w:type="pct"/>
            <w:shd w:val="clear" w:color="auto" w:fill="FFFFFF" w:themeFill="background1"/>
          </w:tcPr>
          <w:p w14:paraId="0B6DA87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8E59FC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C302D8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F4F546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165F4D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6F6DEA5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66C4D5F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2851390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4F05824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163DB9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EEC557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1B96E09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632C31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473391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3361611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39D5E13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5D2D76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3432D04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1C6C92F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64EC2A06"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81FBC0D"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Ki</w:t>
            </w:r>
            <w:r w:rsidRPr="00640DF0">
              <w:rPr>
                <w:rFonts w:ascii="Arial" w:hAnsi="Arial" w:cs="Arial"/>
                <w:sz w:val="20"/>
                <w:szCs w:val="20"/>
                <w:vertAlign w:val="subscript"/>
              </w:rPr>
              <w:t>6</w:t>
            </w:r>
          </w:p>
        </w:tc>
        <w:tc>
          <w:tcPr>
            <w:tcW w:w="195" w:type="pct"/>
            <w:shd w:val="clear" w:color="auto" w:fill="FFFFFF" w:themeFill="background1"/>
          </w:tcPr>
          <w:p w14:paraId="547E33D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8976EE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486B62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F06403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DDA869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6369944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6469A68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4426813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438756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4FC900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782E9C2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2F28AFA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46E7515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33284ED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9</w:t>
            </w:r>
          </w:p>
        </w:tc>
        <w:tc>
          <w:tcPr>
            <w:tcW w:w="243" w:type="pct"/>
            <w:shd w:val="clear" w:color="auto" w:fill="FFFFFF" w:themeFill="background1"/>
          </w:tcPr>
          <w:p w14:paraId="2C6699C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772730A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3583499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08AA2F1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03DD896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99 %</w:t>
            </w:r>
          </w:p>
        </w:tc>
      </w:tr>
      <w:tr w:rsidR="00F64C5E" w:rsidRPr="00640DF0" w14:paraId="5674757B"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53151593"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lastRenderedPageBreak/>
              <w:t>Ki</w:t>
            </w:r>
            <w:r w:rsidRPr="00640DF0">
              <w:rPr>
                <w:rFonts w:ascii="Arial" w:hAnsi="Arial" w:cs="Arial"/>
                <w:sz w:val="20"/>
                <w:szCs w:val="20"/>
                <w:vertAlign w:val="subscript"/>
              </w:rPr>
              <w:t>3</w:t>
            </w:r>
          </w:p>
        </w:tc>
        <w:tc>
          <w:tcPr>
            <w:tcW w:w="195" w:type="pct"/>
            <w:shd w:val="clear" w:color="auto" w:fill="FFFFFF" w:themeFill="background1"/>
          </w:tcPr>
          <w:p w14:paraId="6AE989B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C55C94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216F29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5668B1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9F2B63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5F45330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7CC42FB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0D688AC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EA1C13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E7D9C7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3E954E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96A240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7F5677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C8F96F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0B9FBEA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0A60D6B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401B0FF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940418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611DFCB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64C5E" w:rsidRPr="00640DF0" w14:paraId="6A2790F9"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CCBE5B2"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w:t>
            </w:r>
            <w:r w:rsidRPr="00640DF0">
              <w:rPr>
                <w:rFonts w:ascii="Arial" w:hAnsi="Arial" w:cs="Arial"/>
                <w:sz w:val="20"/>
                <w:szCs w:val="20"/>
                <w:vertAlign w:val="subscript"/>
              </w:rPr>
              <w:t>1</w:t>
            </w:r>
          </w:p>
        </w:tc>
        <w:tc>
          <w:tcPr>
            <w:tcW w:w="195" w:type="pct"/>
            <w:shd w:val="clear" w:color="auto" w:fill="FFFFFF" w:themeFill="background1"/>
          </w:tcPr>
          <w:p w14:paraId="4537BAB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6033BF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4520A775"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0C511D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34A32E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008ED06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01DE0A9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E47F58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9A4133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5683547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074D423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39F2D72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3435E251"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 xml:space="preserve">-    </w:t>
            </w:r>
          </w:p>
        </w:tc>
        <w:tc>
          <w:tcPr>
            <w:tcW w:w="146" w:type="pct"/>
            <w:shd w:val="clear" w:color="auto" w:fill="FFFFFF" w:themeFill="background1"/>
          </w:tcPr>
          <w:p w14:paraId="123818C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0D1ADAC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5A484B1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27513F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008C7C99"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2894A91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64C5E" w:rsidRPr="00640DF0" w14:paraId="7A58F8BA"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0AF19FF3"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w:t>
            </w:r>
            <w:r w:rsidRPr="00640DF0">
              <w:rPr>
                <w:rFonts w:ascii="Arial" w:hAnsi="Arial" w:cs="Arial"/>
                <w:sz w:val="20"/>
                <w:szCs w:val="20"/>
                <w:vertAlign w:val="subscript"/>
              </w:rPr>
              <w:t>2</w:t>
            </w:r>
          </w:p>
        </w:tc>
        <w:tc>
          <w:tcPr>
            <w:tcW w:w="195" w:type="pct"/>
            <w:shd w:val="clear" w:color="auto" w:fill="FFFFFF" w:themeFill="background1"/>
          </w:tcPr>
          <w:p w14:paraId="7291F65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4A3F88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182A1E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B8AA1C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06CBD8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46B0143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6C0533C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1E9FA43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D6CC7A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133FF1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2CD589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5ACC66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E8FE85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21D20C3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122C0230"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3D5C9B3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4BC6F0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6BFBCFF5"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3665CC3C"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89,20 %</w:t>
            </w:r>
          </w:p>
        </w:tc>
      </w:tr>
      <w:tr w:rsidR="00F64C5E" w:rsidRPr="00640DF0" w14:paraId="440C3845"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24AFD18"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w:t>
            </w:r>
            <w:r w:rsidRPr="00640DF0">
              <w:rPr>
                <w:rFonts w:ascii="Arial" w:hAnsi="Arial" w:cs="Arial"/>
                <w:sz w:val="20"/>
                <w:szCs w:val="20"/>
                <w:vertAlign w:val="subscript"/>
              </w:rPr>
              <w:t>15</w:t>
            </w:r>
          </w:p>
        </w:tc>
        <w:tc>
          <w:tcPr>
            <w:tcW w:w="195" w:type="pct"/>
            <w:shd w:val="clear" w:color="auto" w:fill="FFFFFF" w:themeFill="background1"/>
          </w:tcPr>
          <w:p w14:paraId="51DC4F6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BDFA39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D9300D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2B94FC8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DA94DA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3315658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56E59030"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FD9639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11CE961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3D618C7C"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6257427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489EC69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E369C5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6018F35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383B8DB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30</w:t>
            </w:r>
          </w:p>
        </w:tc>
        <w:tc>
          <w:tcPr>
            <w:tcW w:w="243" w:type="pct"/>
            <w:shd w:val="clear" w:color="auto" w:fill="FFFFFF" w:themeFill="background1"/>
          </w:tcPr>
          <w:p w14:paraId="5FB7B7A2"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260CB71E"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50D9B7A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Bacillus</w:t>
            </w:r>
          </w:p>
        </w:tc>
        <w:tc>
          <w:tcPr>
            <w:tcW w:w="730" w:type="pct"/>
            <w:shd w:val="clear" w:color="auto" w:fill="FFFFFF" w:themeFill="background1"/>
          </w:tcPr>
          <w:p w14:paraId="4B66DBD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64C5E" w:rsidRPr="00640DF0" w14:paraId="4F694103" w14:textId="77777777" w:rsidTr="005F162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23D78A42"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KOM</w:t>
            </w:r>
            <w:r w:rsidRPr="00640DF0">
              <w:rPr>
                <w:rFonts w:ascii="Arial" w:hAnsi="Arial" w:cs="Arial"/>
                <w:sz w:val="20"/>
                <w:szCs w:val="20"/>
                <w:vertAlign w:val="subscript"/>
              </w:rPr>
              <w:t>9</w:t>
            </w:r>
          </w:p>
        </w:tc>
        <w:tc>
          <w:tcPr>
            <w:tcW w:w="195" w:type="pct"/>
            <w:shd w:val="clear" w:color="auto" w:fill="FFFFFF" w:themeFill="background1"/>
          </w:tcPr>
          <w:p w14:paraId="1EDFBBA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82DC51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5EEDCB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3AF90B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150C81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731969A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30F8290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3B4BC6B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5124E8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A5AEC1B"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5D208C97"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44BE735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595ACAE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B280ADE"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11</w:t>
            </w:r>
          </w:p>
        </w:tc>
        <w:tc>
          <w:tcPr>
            <w:tcW w:w="243" w:type="pct"/>
            <w:shd w:val="clear" w:color="auto" w:fill="FFFFFF" w:themeFill="background1"/>
          </w:tcPr>
          <w:p w14:paraId="1A35AA8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44</w:t>
            </w:r>
          </w:p>
        </w:tc>
        <w:tc>
          <w:tcPr>
            <w:tcW w:w="243" w:type="pct"/>
            <w:shd w:val="clear" w:color="auto" w:fill="FFFFFF" w:themeFill="background1"/>
          </w:tcPr>
          <w:p w14:paraId="17DC12F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70D0C60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44ADAA2"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Enterobacter</w:t>
            </w:r>
          </w:p>
        </w:tc>
        <w:tc>
          <w:tcPr>
            <w:tcW w:w="730" w:type="pct"/>
            <w:shd w:val="clear" w:color="auto" w:fill="FFFFFF" w:themeFill="background1"/>
          </w:tcPr>
          <w:p w14:paraId="16B240B6"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64C5E" w:rsidRPr="00640DF0" w14:paraId="099C4E81" w14:textId="77777777" w:rsidTr="005F162A">
        <w:trPr>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13EFE117"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KOM</w:t>
            </w:r>
            <w:r w:rsidRPr="00640DF0">
              <w:rPr>
                <w:rFonts w:ascii="Arial" w:hAnsi="Arial" w:cs="Arial"/>
                <w:sz w:val="20"/>
                <w:szCs w:val="20"/>
                <w:vertAlign w:val="subscript"/>
              </w:rPr>
              <w:t>1</w:t>
            </w:r>
          </w:p>
        </w:tc>
        <w:tc>
          <w:tcPr>
            <w:tcW w:w="195" w:type="pct"/>
            <w:shd w:val="clear" w:color="auto" w:fill="FFFFFF" w:themeFill="background1"/>
          </w:tcPr>
          <w:p w14:paraId="749AF06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7051FA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1A9BC56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4F0A668"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F2CC123"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72FA685A"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0B8242A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1F43C12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0556EA9D"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727347E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B9A2B9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B L</w:t>
            </w:r>
          </w:p>
        </w:tc>
        <w:tc>
          <w:tcPr>
            <w:tcW w:w="146" w:type="pct"/>
            <w:shd w:val="clear" w:color="auto" w:fill="FFFFFF" w:themeFill="background1"/>
          </w:tcPr>
          <w:p w14:paraId="7487A61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2FC60F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77214ABB"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8</w:t>
            </w:r>
          </w:p>
        </w:tc>
        <w:tc>
          <w:tcPr>
            <w:tcW w:w="243" w:type="pct"/>
            <w:shd w:val="clear" w:color="auto" w:fill="FFFFFF" w:themeFill="background1"/>
          </w:tcPr>
          <w:p w14:paraId="533CE80F"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44</w:t>
            </w:r>
          </w:p>
        </w:tc>
        <w:tc>
          <w:tcPr>
            <w:tcW w:w="243" w:type="pct"/>
            <w:shd w:val="clear" w:color="auto" w:fill="FFFFFF" w:themeFill="background1"/>
          </w:tcPr>
          <w:p w14:paraId="629F7884"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1ADF3D7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0145CC16"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6DB310E7" w14:textId="77777777" w:rsidR="00640DF0" w:rsidRPr="00640DF0" w:rsidRDefault="00640DF0" w:rsidP="00985DD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90,10 %</w:t>
            </w:r>
          </w:p>
        </w:tc>
      </w:tr>
      <w:tr w:rsidR="00F64C5E" w:rsidRPr="00640DF0" w14:paraId="26C83841" w14:textId="77777777" w:rsidTr="005F1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78" w:type="pct"/>
            <w:shd w:val="clear" w:color="auto" w:fill="FFFFFF" w:themeFill="background1"/>
          </w:tcPr>
          <w:p w14:paraId="4C7C6EF9" w14:textId="77777777" w:rsidR="00640DF0" w:rsidRPr="00640DF0" w:rsidRDefault="00640DF0" w:rsidP="00985DDE">
            <w:pPr>
              <w:jc w:val="both"/>
              <w:rPr>
                <w:rFonts w:ascii="Arial" w:hAnsi="Arial" w:cs="Arial"/>
                <w:b w:val="0"/>
                <w:bCs w:val="0"/>
                <w:sz w:val="20"/>
                <w:szCs w:val="20"/>
              </w:rPr>
            </w:pPr>
            <w:r w:rsidRPr="00640DF0">
              <w:rPr>
                <w:rFonts w:ascii="Arial" w:hAnsi="Arial" w:cs="Arial"/>
                <w:sz w:val="20"/>
                <w:szCs w:val="20"/>
              </w:rPr>
              <w:t>KOM</w:t>
            </w:r>
            <w:r w:rsidRPr="00640DF0">
              <w:rPr>
                <w:rFonts w:ascii="Arial" w:hAnsi="Arial" w:cs="Arial"/>
                <w:sz w:val="20"/>
                <w:szCs w:val="20"/>
                <w:vertAlign w:val="subscript"/>
              </w:rPr>
              <w:t>3</w:t>
            </w:r>
          </w:p>
        </w:tc>
        <w:tc>
          <w:tcPr>
            <w:tcW w:w="195" w:type="pct"/>
            <w:shd w:val="clear" w:color="auto" w:fill="FFFFFF" w:themeFill="background1"/>
          </w:tcPr>
          <w:p w14:paraId="5CBA249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6C19ADE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3031985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79AD18A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95" w:type="pct"/>
            <w:shd w:val="clear" w:color="auto" w:fill="FFFFFF" w:themeFill="background1"/>
          </w:tcPr>
          <w:p w14:paraId="009734C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14" w:type="pct"/>
            <w:shd w:val="clear" w:color="auto" w:fill="FFFFFF" w:themeFill="background1"/>
          </w:tcPr>
          <w:p w14:paraId="43D0910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75" w:type="pct"/>
            <w:shd w:val="clear" w:color="auto" w:fill="FFFFFF" w:themeFill="background1"/>
          </w:tcPr>
          <w:p w14:paraId="3358B879"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01" w:type="pct"/>
            <w:shd w:val="clear" w:color="auto" w:fill="FFFFFF" w:themeFill="background1"/>
          </w:tcPr>
          <w:p w14:paraId="6DA9D3B8"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272C2AE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69" w:type="pct"/>
            <w:shd w:val="clear" w:color="auto" w:fill="FFFFFF" w:themeFill="background1"/>
          </w:tcPr>
          <w:p w14:paraId="64770A3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39" w:type="pct"/>
            <w:shd w:val="clear" w:color="auto" w:fill="FFFFFF" w:themeFill="background1"/>
          </w:tcPr>
          <w:p w14:paraId="45D04E41"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B C</w:t>
            </w:r>
          </w:p>
        </w:tc>
        <w:tc>
          <w:tcPr>
            <w:tcW w:w="146" w:type="pct"/>
            <w:shd w:val="clear" w:color="auto" w:fill="FFFFFF" w:themeFill="background1"/>
          </w:tcPr>
          <w:p w14:paraId="6356DEC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16ACE62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146" w:type="pct"/>
            <w:shd w:val="clear" w:color="auto" w:fill="FFFFFF" w:themeFill="background1"/>
          </w:tcPr>
          <w:p w14:paraId="02068E63"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7</w:t>
            </w:r>
          </w:p>
        </w:tc>
        <w:tc>
          <w:tcPr>
            <w:tcW w:w="243" w:type="pct"/>
            <w:shd w:val="clear" w:color="auto" w:fill="FFFFFF" w:themeFill="background1"/>
          </w:tcPr>
          <w:p w14:paraId="5091171F"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37</w:t>
            </w:r>
          </w:p>
        </w:tc>
        <w:tc>
          <w:tcPr>
            <w:tcW w:w="243" w:type="pct"/>
            <w:shd w:val="clear" w:color="auto" w:fill="FFFFFF" w:themeFill="background1"/>
          </w:tcPr>
          <w:p w14:paraId="6930F214"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243" w:type="pct"/>
            <w:shd w:val="clear" w:color="auto" w:fill="FFFFFF" w:themeFill="background1"/>
          </w:tcPr>
          <w:p w14:paraId="15C3D6B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sz w:val="20"/>
                <w:szCs w:val="20"/>
              </w:rPr>
              <w:t>-</w:t>
            </w:r>
          </w:p>
        </w:tc>
        <w:tc>
          <w:tcPr>
            <w:tcW w:w="584" w:type="pct"/>
            <w:shd w:val="clear" w:color="auto" w:fill="FFFFFF" w:themeFill="background1"/>
          </w:tcPr>
          <w:p w14:paraId="1511D29A"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0DF0">
              <w:rPr>
                <w:rFonts w:ascii="Arial" w:hAnsi="Arial" w:cs="Arial"/>
                <w:i/>
                <w:iCs/>
                <w:sz w:val="20"/>
                <w:szCs w:val="20"/>
              </w:rPr>
              <w:t>Pseudomonas</w:t>
            </w:r>
          </w:p>
        </w:tc>
        <w:tc>
          <w:tcPr>
            <w:tcW w:w="730" w:type="pct"/>
            <w:shd w:val="clear" w:color="auto" w:fill="FFFFFF" w:themeFill="background1"/>
          </w:tcPr>
          <w:p w14:paraId="67C90B6D" w14:textId="77777777" w:rsidR="00640DF0" w:rsidRPr="00640DF0" w:rsidRDefault="00640DF0" w:rsidP="00985D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640DF0">
              <w:rPr>
                <w:rFonts w:ascii="Arial" w:eastAsia="Times New Roman" w:hAnsi="Arial" w:cs="Arial"/>
                <w:sz w:val="20"/>
                <w:szCs w:val="20"/>
                <w:lang w:eastAsia="fr-FR"/>
              </w:rPr>
              <w:t>99,10 %</w:t>
            </w:r>
          </w:p>
        </w:tc>
      </w:tr>
      <w:bookmarkEnd w:id="9"/>
    </w:tbl>
    <w:p w14:paraId="6A22DF6A" w14:textId="77777777" w:rsidR="00640DF0" w:rsidRDefault="00640DF0" w:rsidP="00640DF0">
      <w:pPr>
        <w:jc w:val="both"/>
        <w:rPr>
          <w:rFonts w:ascii="Arial" w:hAnsi="Arial" w:cs="Arial"/>
          <w:lang w:eastAsia="fr-BE"/>
        </w:rPr>
      </w:pPr>
    </w:p>
    <w:p w14:paraId="56E1E27D" w14:textId="77777777" w:rsidR="00640DF0" w:rsidRDefault="00640DF0" w:rsidP="00640DF0">
      <w:pPr>
        <w:jc w:val="both"/>
        <w:rPr>
          <w:rFonts w:ascii="Arial" w:hAnsi="Arial" w:cs="Arial"/>
          <w:lang w:eastAsia="fr-BE"/>
        </w:rPr>
      </w:pPr>
    </w:p>
    <w:p w14:paraId="32BAAE5A" w14:textId="77777777" w:rsidR="00640DF0" w:rsidRPr="005D5DD5" w:rsidRDefault="005D5DD5" w:rsidP="00640DF0">
      <w:pPr>
        <w:jc w:val="both"/>
        <w:rPr>
          <w:rFonts w:ascii="Arial" w:hAnsi="Arial" w:cs="Arial"/>
          <w:i/>
          <w:iCs/>
          <w:sz w:val="18"/>
          <w:szCs w:val="18"/>
          <w:lang w:eastAsia="fr-BE"/>
        </w:rPr>
      </w:pPr>
      <w:r w:rsidRPr="005D5DD5">
        <w:rPr>
          <w:rFonts w:ascii="Arial" w:hAnsi="Arial" w:cs="Arial"/>
          <w:i/>
          <w:iCs/>
          <w:sz w:val="18"/>
          <w:szCs w:val="18"/>
          <w:lang w:eastAsia="fr-BE"/>
        </w:rPr>
        <w:t>Cat:</w:t>
      </w:r>
      <w:r w:rsidR="002E38C4" w:rsidRPr="005D5DD5">
        <w:rPr>
          <w:rFonts w:ascii="Arial" w:hAnsi="Arial" w:cs="Arial"/>
          <w:i/>
          <w:iCs/>
          <w:sz w:val="18"/>
          <w:szCs w:val="18"/>
          <w:lang w:eastAsia="fr-BE"/>
        </w:rPr>
        <w:t xml:space="preserve"> </w:t>
      </w:r>
      <w:proofErr w:type="gramStart"/>
      <w:r w:rsidR="002E38C4" w:rsidRPr="005D5DD5">
        <w:rPr>
          <w:rFonts w:ascii="Arial" w:hAnsi="Arial" w:cs="Arial"/>
          <w:i/>
          <w:iCs/>
          <w:sz w:val="18"/>
          <w:szCs w:val="18"/>
          <w:lang w:eastAsia="fr-BE"/>
        </w:rPr>
        <w:t>catalase ;</w:t>
      </w:r>
      <w:proofErr w:type="gramEnd"/>
      <w:r w:rsidR="002E38C4" w:rsidRPr="005D5DD5">
        <w:rPr>
          <w:rFonts w:ascii="Arial" w:hAnsi="Arial" w:cs="Arial"/>
          <w:i/>
          <w:iCs/>
          <w:sz w:val="18"/>
          <w:szCs w:val="18"/>
          <w:lang w:eastAsia="fr-BE"/>
        </w:rPr>
        <w:t xml:space="preserve"> Ox : oxidase ; Glu : glucose ; Mb : </w:t>
      </w:r>
      <w:proofErr w:type="spellStart"/>
      <w:r w:rsidR="002E38C4" w:rsidRPr="005D5DD5">
        <w:rPr>
          <w:rFonts w:ascii="Arial" w:hAnsi="Arial" w:cs="Arial"/>
          <w:i/>
          <w:iCs/>
          <w:sz w:val="18"/>
          <w:szCs w:val="18"/>
          <w:lang w:eastAsia="fr-BE"/>
        </w:rPr>
        <w:t>mobilité</w:t>
      </w:r>
      <w:proofErr w:type="spellEnd"/>
      <w:r w:rsidR="002E38C4" w:rsidRPr="005D5DD5">
        <w:rPr>
          <w:rFonts w:ascii="Arial" w:hAnsi="Arial" w:cs="Arial"/>
          <w:i/>
          <w:iCs/>
          <w:sz w:val="18"/>
          <w:szCs w:val="18"/>
          <w:lang w:eastAsia="fr-BE"/>
        </w:rPr>
        <w:t xml:space="preserve"> ; Man : mannitol ; </w:t>
      </w:r>
      <w:proofErr w:type="spellStart"/>
      <w:r w:rsidR="002E38C4" w:rsidRPr="005D5DD5">
        <w:rPr>
          <w:rFonts w:ascii="Arial" w:hAnsi="Arial" w:cs="Arial"/>
          <w:i/>
          <w:iCs/>
          <w:sz w:val="18"/>
          <w:szCs w:val="18"/>
          <w:lang w:eastAsia="fr-BE"/>
        </w:rPr>
        <w:t>Cit</w:t>
      </w:r>
      <w:proofErr w:type="spellEnd"/>
      <w:r w:rsidR="002E38C4" w:rsidRPr="005D5DD5">
        <w:rPr>
          <w:rFonts w:ascii="Arial" w:hAnsi="Arial" w:cs="Arial"/>
          <w:i/>
          <w:iCs/>
          <w:sz w:val="18"/>
          <w:szCs w:val="18"/>
          <w:lang w:eastAsia="fr-BE"/>
        </w:rPr>
        <w:t xml:space="preserve">: citrate ; </w:t>
      </w:r>
      <w:proofErr w:type="spellStart"/>
      <w:r w:rsidR="002E38C4" w:rsidRPr="005D5DD5">
        <w:rPr>
          <w:rFonts w:ascii="Arial" w:hAnsi="Arial" w:cs="Arial"/>
          <w:i/>
          <w:iCs/>
          <w:sz w:val="18"/>
          <w:szCs w:val="18"/>
          <w:lang w:eastAsia="fr-BE"/>
        </w:rPr>
        <w:t>Sp</w:t>
      </w:r>
      <w:proofErr w:type="spellEnd"/>
      <w:r w:rsidR="002E38C4" w:rsidRPr="005D5DD5">
        <w:rPr>
          <w:rFonts w:ascii="Arial" w:hAnsi="Arial" w:cs="Arial"/>
          <w:i/>
          <w:iCs/>
          <w:sz w:val="18"/>
          <w:szCs w:val="18"/>
          <w:lang w:eastAsia="fr-BE"/>
        </w:rPr>
        <w:t xml:space="preserve"> : sporulation ; Ur : </w:t>
      </w:r>
      <w:proofErr w:type="spellStart"/>
      <w:r w:rsidR="002E38C4" w:rsidRPr="005D5DD5">
        <w:rPr>
          <w:rFonts w:ascii="Arial" w:hAnsi="Arial" w:cs="Arial"/>
          <w:i/>
          <w:iCs/>
          <w:sz w:val="18"/>
          <w:szCs w:val="18"/>
          <w:lang w:eastAsia="fr-BE"/>
        </w:rPr>
        <w:t>urée</w:t>
      </w:r>
      <w:proofErr w:type="spellEnd"/>
      <w:r w:rsidR="002E38C4" w:rsidRPr="005D5DD5">
        <w:rPr>
          <w:rFonts w:ascii="Arial" w:hAnsi="Arial" w:cs="Arial"/>
          <w:i/>
          <w:iCs/>
          <w:sz w:val="18"/>
          <w:szCs w:val="18"/>
          <w:lang w:eastAsia="fr-BE"/>
        </w:rPr>
        <w:t> ; BC : short bacillus; BL : long bacillus</w:t>
      </w:r>
    </w:p>
    <w:p w14:paraId="3EBF7D79" w14:textId="77777777" w:rsidR="00640DF0" w:rsidRDefault="00640DF0" w:rsidP="00640DF0">
      <w:pPr>
        <w:jc w:val="both"/>
        <w:rPr>
          <w:rFonts w:ascii="Arial" w:hAnsi="Arial" w:cs="Arial"/>
          <w:lang w:eastAsia="fr-BE"/>
        </w:rPr>
      </w:pPr>
    </w:p>
    <w:p w14:paraId="533D6F6F" w14:textId="77777777" w:rsidR="00640DF0" w:rsidRDefault="00640DF0" w:rsidP="00640DF0">
      <w:pPr>
        <w:jc w:val="both"/>
        <w:rPr>
          <w:rFonts w:ascii="Arial" w:hAnsi="Arial" w:cs="Arial"/>
          <w:lang w:eastAsia="fr-BE"/>
        </w:rPr>
      </w:pPr>
    </w:p>
    <w:p w14:paraId="76E8E56A" w14:textId="77777777" w:rsidR="00640DF0" w:rsidRDefault="00640DF0" w:rsidP="00640DF0">
      <w:pPr>
        <w:jc w:val="both"/>
        <w:rPr>
          <w:rFonts w:ascii="Arial" w:hAnsi="Arial" w:cs="Arial"/>
          <w:lang w:eastAsia="fr-BE"/>
        </w:rPr>
      </w:pPr>
    </w:p>
    <w:p w14:paraId="5FB60985" w14:textId="77777777" w:rsidR="00640DF0" w:rsidRDefault="00640DF0" w:rsidP="00640DF0">
      <w:pPr>
        <w:jc w:val="both"/>
        <w:rPr>
          <w:rFonts w:ascii="Arial" w:hAnsi="Arial" w:cs="Arial"/>
          <w:lang w:eastAsia="fr-BE"/>
        </w:rPr>
      </w:pPr>
    </w:p>
    <w:p w14:paraId="65981073" w14:textId="77777777" w:rsidR="00640DF0" w:rsidRDefault="00640DF0" w:rsidP="00640DF0">
      <w:pPr>
        <w:jc w:val="both"/>
        <w:rPr>
          <w:rFonts w:ascii="Arial" w:hAnsi="Arial" w:cs="Arial"/>
          <w:lang w:eastAsia="fr-BE"/>
        </w:rPr>
      </w:pPr>
    </w:p>
    <w:p w14:paraId="15BC0384" w14:textId="77777777" w:rsidR="00B9163E" w:rsidRDefault="00B9163E" w:rsidP="00640DF0">
      <w:pPr>
        <w:jc w:val="both"/>
        <w:rPr>
          <w:rFonts w:ascii="Arial" w:hAnsi="Arial" w:cs="Arial"/>
          <w:lang w:eastAsia="fr-BE"/>
        </w:rPr>
        <w:sectPr w:rsidR="00B9163E" w:rsidSect="00F02BE0">
          <w:pgSz w:w="15840" w:h="12240" w:orient="landscape"/>
          <w:pgMar w:top="2016" w:right="1440" w:bottom="2016" w:left="2016" w:header="720" w:footer="1123" w:gutter="0"/>
          <w:cols w:space="720"/>
          <w:docGrid w:linePitch="272"/>
        </w:sectPr>
      </w:pPr>
    </w:p>
    <w:p w14:paraId="68DF9C78" w14:textId="77777777" w:rsidR="00790ADA" w:rsidRPr="00FB3A86" w:rsidRDefault="00790ADA" w:rsidP="00441B6F">
      <w:pPr>
        <w:pStyle w:val="ConcHead"/>
        <w:spacing w:after="0"/>
        <w:jc w:val="both"/>
        <w:rPr>
          <w:rFonts w:ascii="Arial" w:hAnsi="Arial" w:cs="Arial"/>
        </w:rPr>
      </w:pPr>
    </w:p>
    <w:p w14:paraId="6582864D" w14:textId="77777777" w:rsidR="00B9163E" w:rsidRPr="006066F2" w:rsidRDefault="00B9163E" w:rsidP="00B9163E">
      <w:pPr>
        <w:pStyle w:val="ConcHead"/>
        <w:spacing w:after="0"/>
        <w:jc w:val="both"/>
        <w:rPr>
          <w:rFonts w:ascii="Arial" w:hAnsi="Arial" w:cs="Arial"/>
        </w:rPr>
      </w:pPr>
      <w:r w:rsidRPr="006066F2">
        <w:rPr>
          <w:rFonts w:ascii="Arial" w:hAnsi="Arial" w:cs="Arial"/>
        </w:rPr>
        <w:t>4. Conclusion</w:t>
      </w:r>
    </w:p>
    <w:p w14:paraId="5B672897" w14:textId="77777777" w:rsidR="00B9163E" w:rsidRPr="00523D7C" w:rsidRDefault="00B9163E" w:rsidP="00B9163E">
      <w:pPr>
        <w:jc w:val="both"/>
        <w:rPr>
          <w:rFonts w:ascii="Arial" w:hAnsi="Arial" w:cs="Arial"/>
          <w:b/>
          <w:bCs/>
        </w:rPr>
      </w:pPr>
      <w:r w:rsidRPr="00523D7C">
        <w:rPr>
          <w:rFonts w:ascii="Arial" w:hAnsi="Arial" w:cs="Arial"/>
        </w:rPr>
        <w:t xml:space="preserve">During the study, a total of 225 bacterial strains were isolated from the tomato rhizosphere among which 21 strains exhibited at least three different plant growth-promoting characteristics -such as nitrogen fixing indole acetic acid and ammonia production -were selected for further characterization.  The isolates belonged mainly to the genera </w:t>
      </w:r>
      <w:r w:rsidRPr="00523D7C">
        <w:rPr>
          <w:rFonts w:ascii="Arial" w:hAnsi="Arial" w:cs="Arial"/>
          <w:i/>
          <w:iCs/>
        </w:rPr>
        <w:t>Pseudomonas</w:t>
      </w:r>
      <w:r w:rsidRPr="00523D7C">
        <w:rPr>
          <w:rFonts w:ascii="Arial" w:hAnsi="Arial" w:cs="Arial"/>
        </w:rPr>
        <w:t xml:space="preserve">, </w:t>
      </w:r>
      <w:r w:rsidRPr="00523D7C">
        <w:rPr>
          <w:rFonts w:ascii="Arial" w:hAnsi="Arial" w:cs="Arial"/>
          <w:i/>
          <w:iCs/>
        </w:rPr>
        <w:t>Bacillus</w:t>
      </w:r>
      <w:r w:rsidRPr="00523D7C">
        <w:rPr>
          <w:rFonts w:ascii="Arial" w:hAnsi="Arial" w:cs="Arial"/>
        </w:rPr>
        <w:t xml:space="preserve">, and </w:t>
      </w:r>
      <w:r w:rsidRPr="00523D7C">
        <w:rPr>
          <w:rFonts w:ascii="Arial" w:hAnsi="Arial" w:cs="Arial"/>
          <w:i/>
          <w:iCs/>
        </w:rPr>
        <w:t>Enterobacter</w:t>
      </w:r>
      <w:r w:rsidRPr="00523D7C">
        <w:rPr>
          <w:rFonts w:ascii="Arial" w:hAnsi="Arial" w:cs="Arial"/>
        </w:rPr>
        <w:t>. Among the selected isolates, some isolates demonstrated phosphate solubilization, hydrogen cyanide production, and cellulase activity. Furthermore, these bacteria were able to improve the vigor index of two tomato varieties, demonstrating their potential for use as biofertilizers. Nonetheless, molecular identification of the isolates and validation through controlled pot and field experiments are required before developing effective biofertilizer formulations</w:t>
      </w:r>
    </w:p>
    <w:commentRangeEnd w:id="5"/>
    <w:p w14:paraId="1F8D02EC" w14:textId="77777777" w:rsidR="00B9163E" w:rsidRDefault="00F20448" w:rsidP="00B9163E">
      <w:pPr>
        <w:pStyle w:val="ReferHead"/>
        <w:spacing w:after="0"/>
        <w:jc w:val="both"/>
        <w:rPr>
          <w:rFonts w:ascii="Arial" w:hAnsi="Arial" w:cs="Arial"/>
          <w:bCs/>
        </w:rPr>
      </w:pPr>
      <w:r>
        <w:rPr>
          <w:rStyle w:val="CommentReference"/>
          <w:rFonts w:ascii="Times New Roman" w:hAnsi="Times New Roman"/>
          <w:b w:val="0"/>
          <w:caps w:val="0"/>
          <w:lang w:val="nb-NO" w:eastAsia="nb-NO"/>
        </w:rPr>
        <w:commentReference w:id="5"/>
      </w:r>
    </w:p>
    <w:p w14:paraId="7FB5D7F2" w14:textId="77777777" w:rsidR="00B9163E" w:rsidRDefault="00B9163E" w:rsidP="00B9163E">
      <w:pPr>
        <w:pStyle w:val="ReferHead"/>
        <w:spacing w:after="0"/>
        <w:jc w:val="both"/>
        <w:rPr>
          <w:rFonts w:ascii="Arial" w:hAnsi="Arial" w:cs="Arial"/>
          <w:bCs/>
        </w:rPr>
      </w:pPr>
    </w:p>
    <w:p w14:paraId="7E2A524D" w14:textId="77777777" w:rsidR="00B9163E" w:rsidRDefault="00B9163E" w:rsidP="00B9163E">
      <w:pPr>
        <w:pStyle w:val="ReferHead"/>
        <w:spacing w:after="0"/>
        <w:jc w:val="both"/>
        <w:rPr>
          <w:rFonts w:ascii="Arial" w:hAnsi="Arial" w:cs="Arial"/>
          <w:bCs/>
        </w:rPr>
      </w:pPr>
    </w:p>
    <w:p w14:paraId="38A449B0" w14:textId="77777777" w:rsidR="00B9163E" w:rsidRDefault="00B9163E" w:rsidP="00B9163E">
      <w:pPr>
        <w:pStyle w:val="ReferHead"/>
        <w:spacing w:after="0"/>
        <w:jc w:val="both"/>
        <w:rPr>
          <w:rFonts w:ascii="Arial" w:hAnsi="Arial" w:cs="Arial"/>
          <w:bCs/>
        </w:rPr>
      </w:pPr>
    </w:p>
    <w:p w14:paraId="11ABA634" w14:textId="77777777" w:rsidR="00B9163E" w:rsidRDefault="00B9163E" w:rsidP="00B9163E">
      <w:pPr>
        <w:pStyle w:val="ReferHead"/>
        <w:spacing w:after="0"/>
        <w:jc w:val="both"/>
        <w:rPr>
          <w:rFonts w:ascii="Arial" w:hAnsi="Arial" w:cs="Arial"/>
          <w:bCs/>
        </w:rPr>
      </w:pPr>
    </w:p>
    <w:p w14:paraId="0113D463" w14:textId="77777777" w:rsidR="00B9163E" w:rsidRDefault="00B9163E" w:rsidP="00B9163E">
      <w:pPr>
        <w:pStyle w:val="ReferHead"/>
        <w:spacing w:after="0"/>
        <w:jc w:val="both"/>
        <w:rPr>
          <w:rFonts w:ascii="Arial" w:hAnsi="Arial" w:cs="Arial"/>
          <w:bCs/>
        </w:rPr>
      </w:pPr>
    </w:p>
    <w:p w14:paraId="70C795FB" w14:textId="77777777" w:rsidR="00B9163E" w:rsidRDefault="00B9163E" w:rsidP="00B9163E">
      <w:pPr>
        <w:pStyle w:val="ReferHead"/>
        <w:spacing w:after="0"/>
        <w:jc w:val="both"/>
        <w:rPr>
          <w:rFonts w:ascii="Arial" w:hAnsi="Arial" w:cs="Arial"/>
        </w:rPr>
      </w:pPr>
    </w:p>
    <w:p w14:paraId="33D1AAFB" w14:textId="77777777" w:rsidR="00B9163E" w:rsidRDefault="00B9163E" w:rsidP="00B9163E">
      <w:pPr>
        <w:pStyle w:val="ReferHead"/>
        <w:spacing w:after="0"/>
        <w:jc w:val="both"/>
        <w:rPr>
          <w:rFonts w:ascii="Arial" w:hAnsi="Arial" w:cs="Arial"/>
        </w:rPr>
      </w:pPr>
    </w:p>
    <w:p w14:paraId="0D993AAD" w14:textId="77777777" w:rsidR="00860000" w:rsidRDefault="00860000" w:rsidP="00441B6F">
      <w:pPr>
        <w:pStyle w:val="ReferHead"/>
        <w:spacing w:after="0"/>
        <w:jc w:val="both"/>
        <w:rPr>
          <w:rFonts w:ascii="Arial" w:hAnsi="Arial" w:cs="Arial"/>
        </w:rPr>
      </w:pPr>
    </w:p>
    <w:p w14:paraId="4A6CAA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C2DA2E" w14:textId="77777777" w:rsidR="00790ADA" w:rsidRPr="00FB3A86" w:rsidRDefault="00790ADA" w:rsidP="00441B6F">
      <w:pPr>
        <w:pStyle w:val="ReferHead"/>
        <w:spacing w:after="0"/>
        <w:jc w:val="both"/>
        <w:rPr>
          <w:rFonts w:ascii="Arial" w:hAnsi="Arial" w:cs="Arial"/>
        </w:rPr>
      </w:pPr>
    </w:p>
    <w:p w14:paraId="5F38ED2D"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Lal, R. (2015). Restoring Soil Quality to Mitigate Soil Degradation. Sustainability, 7(5), 5875–5895. </w:t>
      </w:r>
      <w:hyperlink r:id="rId27" w:history="1">
        <w:r w:rsidRPr="00103F45">
          <w:rPr>
            <w:rStyle w:val="Hyperlink"/>
            <w:rFonts w:ascii="Arial" w:hAnsi="Arial" w:cs="Arial"/>
          </w:rPr>
          <w:t>https://doi.org/10.3390/su7055875</w:t>
        </w:r>
      </w:hyperlink>
    </w:p>
    <w:p w14:paraId="25EFC8B7" w14:textId="77777777" w:rsidR="004543F5" w:rsidRPr="001C4642" w:rsidRDefault="004543F5" w:rsidP="00C50DF6">
      <w:pPr>
        <w:pStyle w:val="Bibliography"/>
        <w:numPr>
          <w:ilvl w:val="0"/>
          <w:numId w:val="33"/>
        </w:numPr>
        <w:jc w:val="both"/>
        <w:rPr>
          <w:rFonts w:ascii="Arial" w:hAnsi="Arial" w:cs="Arial"/>
        </w:rPr>
      </w:pPr>
      <w:r w:rsidRPr="001C4642">
        <w:rPr>
          <w:rFonts w:ascii="Arial" w:hAnsi="Arial" w:cs="Arial"/>
        </w:rPr>
        <w:t>Bini, C., 2009. Soil: A precious natural resource, in: Conservation of Natural Resources. Nova Science, pp. 1–48.</w:t>
      </w:r>
    </w:p>
    <w:p w14:paraId="7AF3E77F" w14:textId="77777777" w:rsid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Lamb, D., Erskine, P. D., &amp; </w:t>
      </w:r>
      <w:proofErr w:type="spellStart"/>
      <w:r w:rsidRPr="00985DDE">
        <w:rPr>
          <w:rFonts w:ascii="Arial" w:hAnsi="Arial" w:cs="Arial"/>
          <w:lang w:val="fr-FR"/>
        </w:rPr>
        <w:t>Parrotta</w:t>
      </w:r>
      <w:proofErr w:type="spellEnd"/>
      <w:r w:rsidRPr="00985DDE">
        <w:rPr>
          <w:rFonts w:ascii="Arial" w:hAnsi="Arial" w:cs="Arial"/>
          <w:lang w:val="fr-FR"/>
        </w:rPr>
        <w:t xml:space="preserve">, J. A. (2005). </w:t>
      </w:r>
      <w:r w:rsidRPr="00985DDE">
        <w:rPr>
          <w:rFonts w:ascii="Arial" w:hAnsi="Arial" w:cs="Arial"/>
        </w:rPr>
        <w:t xml:space="preserve">Restoration of degraded tropical forest landscapes. Science, 310, 1628–1632. </w:t>
      </w:r>
      <w:hyperlink r:id="rId28" w:history="1">
        <w:r w:rsidRPr="00103F45">
          <w:rPr>
            <w:rStyle w:val="Hyperlink"/>
            <w:rFonts w:ascii="Arial" w:hAnsi="Arial" w:cs="Arial"/>
          </w:rPr>
          <w:t>https://doi.org/10.1126/science.1111773</w:t>
        </w:r>
      </w:hyperlink>
    </w:p>
    <w:p w14:paraId="7A04FD3A"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Herrero, M., Thornton, P. K., </w:t>
      </w:r>
      <w:proofErr w:type="spellStart"/>
      <w:r w:rsidRPr="00985DDE">
        <w:rPr>
          <w:rFonts w:ascii="Arial" w:hAnsi="Arial" w:cs="Arial"/>
        </w:rPr>
        <w:t>Notenbaert</w:t>
      </w:r>
      <w:proofErr w:type="spellEnd"/>
      <w:r w:rsidRPr="00985DDE">
        <w:rPr>
          <w:rFonts w:ascii="Arial" w:hAnsi="Arial" w:cs="Arial"/>
        </w:rPr>
        <w:t xml:space="preserve">, A. M., Wood, S., </w:t>
      </w:r>
      <w:proofErr w:type="spellStart"/>
      <w:r w:rsidRPr="00985DDE">
        <w:rPr>
          <w:rFonts w:ascii="Arial" w:hAnsi="Arial" w:cs="Arial"/>
        </w:rPr>
        <w:t>Msangi</w:t>
      </w:r>
      <w:proofErr w:type="spellEnd"/>
      <w:r w:rsidRPr="00985DDE">
        <w:rPr>
          <w:rFonts w:ascii="Arial" w:hAnsi="Arial" w:cs="Arial"/>
        </w:rPr>
        <w:t xml:space="preserve">, S., Freeman, H. A., Bossio, D., Dixon, J., Peters, M., van de </w:t>
      </w:r>
      <w:proofErr w:type="spellStart"/>
      <w:r w:rsidRPr="00985DDE">
        <w:rPr>
          <w:rFonts w:ascii="Arial" w:hAnsi="Arial" w:cs="Arial"/>
        </w:rPr>
        <w:t>Steeg</w:t>
      </w:r>
      <w:proofErr w:type="spellEnd"/>
      <w:r w:rsidRPr="00985DDE">
        <w:rPr>
          <w:rFonts w:ascii="Arial" w:hAnsi="Arial" w:cs="Arial"/>
        </w:rPr>
        <w:t xml:space="preserve">, J., </w:t>
      </w:r>
      <w:proofErr w:type="spellStart"/>
      <w:r w:rsidRPr="00985DDE">
        <w:rPr>
          <w:rFonts w:ascii="Arial" w:hAnsi="Arial" w:cs="Arial"/>
        </w:rPr>
        <w:t>Lynam</w:t>
      </w:r>
      <w:proofErr w:type="spellEnd"/>
      <w:r w:rsidRPr="00985DDE">
        <w:rPr>
          <w:rFonts w:ascii="Arial" w:hAnsi="Arial" w:cs="Arial"/>
        </w:rPr>
        <w:t xml:space="preserve">, J., Rao, P. P., Macmillan, S., Gerard, B., McDermott, J., </w:t>
      </w:r>
      <w:proofErr w:type="spellStart"/>
      <w:r w:rsidRPr="00985DDE">
        <w:rPr>
          <w:rFonts w:ascii="Arial" w:hAnsi="Arial" w:cs="Arial"/>
        </w:rPr>
        <w:t>Seré</w:t>
      </w:r>
      <w:proofErr w:type="spellEnd"/>
      <w:r w:rsidRPr="00985DDE">
        <w:rPr>
          <w:rFonts w:ascii="Arial" w:hAnsi="Arial" w:cs="Arial"/>
        </w:rPr>
        <w:t xml:space="preserve">, C., &amp; </w:t>
      </w:r>
      <w:proofErr w:type="spellStart"/>
      <w:r w:rsidRPr="00985DDE">
        <w:rPr>
          <w:rFonts w:ascii="Arial" w:hAnsi="Arial" w:cs="Arial"/>
        </w:rPr>
        <w:t>Rosegrant</w:t>
      </w:r>
      <w:proofErr w:type="spellEnd"/>
      <w:r w:rsidRPr="00985DDE">
        <w:rPr>
          <w:rFonts w:ascii="Arial" w:hAnsi="Arial" w:cs="Arial"/>
        </w:rPr>
        <w:t xml:space="preserve">, M. (2010). Smart investments in sustainable food production: Revisiting mixed crop-livestock systems. Science, 327(5967), 822–825. </w:t>
      </w:r>
      <w:hyperlink r:id="rId29" w:history="1">
        <w:r w:rsidRPr="00103F45">
          <w:rPr>
            <w:rStyle w:val="Hyperlink"/>
            <w:rFonts w:ascii="Arial" w:hAnsi="Arial" w:cs="Arial"/>
          </w:rPr>
          <w:t>https://doi.org/10.1126/science.1183725</w:t>
        </w:r>
      </w:hyperlink>
    </w:p>
    <w:p w14:paraId="2C739148"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Smith, P., </w:t>
      </w:r>
      <w:proofErr w:type="spellStart"/>
      <w:r w:rsidRPr="00985DDE">
        <w:rPr>
          <w:rFonts w:ascii="Arial" w:hAnsi="Arial" w:cs="Arial"/>
        </w:rPr>
        <w:t>Poch</w:t>
      </w:r>
      <w:proofErr w:type="spellEnd"/>
      <w:r w:rsidRPr="00985DDE">
        <w:rPr>
          <w:rFonts w:ascii="Arial" w:hAnsi="Arial" w:cs="Arial"/>
        </w:rPr>
        <w:t xml:space="preserve">, R. M., Lobb, D. A., Bhattacharyya, R., </w:t>
      </w:r>
      <w:proofErr w:type="spellStart"/>
      <w:r w:rsidRPr="00985DDE">
        <w:rPr>
          <w:rFonts w:ascii="Arial" w:hAnsi="Arial" w:cs="Arial"/>
        </w:rPr>
        <w:t>Alloush</w:t>
      </w:r>
      <w:proofErr w:type="spellEnd"/>
      <w:r w:rsidRPr="00985DDE">
        <w:rPr>
          <w:rFonts w:ascii="Arial" w:hAnsi="Arial" w:cs="Arial"/>
        </w:rPr>
        <w:t xml:space="preserve">, G., </w:t>
      </w:r>
      <w:proofErr w:type="spellStart"/>
      <w:r w:rsidRPr="00985DDE">
        <w:rPr>
          <w:rFonts w:ascii="Arial" w:hAnsi="Arial" w:cs="Arial"/>
        </w:rPr>
        <w:t>Eudoxie</w:t>
      </w:r>
      <w:proofErr w:type="spellEnd"/>
      <w:r w:rsidRPr="00985DDE">
        <w:rPr>
          <w:rFonts w:ascii="Arial" w:hAnsi="Arial" w:cs="Arial"/>
        </w:rPr>
        <w:t xml:space="preserve">, G. D., Anjos, L. H. C., Castellano, M., </w:t>
      </w:r>
      <w:proofErr w:type="spellStart"/>
      <w:r w:rsidRPr="00985DDE">
        <w:rPr>
          <w:rFonts w:ascii="Arial" w:hAnsi="Arial" w:cs="Arial"/>
        </w:rPr>
        <w:t>Ndzana</w:t>
      </w:r>
      <w:proofErr w:type="spellEnd"/>
      <w:r w:rsidRPr="00985DDE">
        <w:rPr>
          <w:rFonts w:ascii="Arial" w:hAnsi="Arial" w:cs="Arial"/>
        </w:rPr>
        <w:t xml:space="preserve">, G. M., </w:t>
      </w:r>
      <w:proofErr w:type="spellStart"/>
      <w:r w:rsidRPr="00985DDE">
        <w:rPr>
          <w:rFonts w:ascii="Arial" w:hAnsi="Arial" w:cs="Arial"/>
        </w:rPr>
        <w:t>Chenu</w:t>
      </w:r>
      <w:proofErr w:type="spellEnd"/>
      <w:r w:rsidRPr="00985DDE">
        <w:rPr>
          <w:rFonts w:ascii="Arial" w:hAnsi="Arial" w:cs="Arial"/>
        </w:rPr>
        <w:t xml:space="preserve">, C., Naidu, R., </w:t>
      </w:r>
      <w:proofErr w:type="spellStart"/>
      <w:r w:rsidRPr="00985DDE">
        <w:rPr>
          <w:rFonts w:ascii="Arial" w:hAnsi="Arial" w:cs="Arial"/>
        </w:rPr>
        <w:t>Vijayanathan</w:t>
      </w:r>
      <w:proofErr w:type="spellEnd"/>
      <w:r w:rsidRPr="00985DDE">
        <w:rPr>
          <w:rFonts w:ascii="Arial" w:hAnsi="Arial" w:cs="Arial"/>
        </w:rPr>
        <w:t xml:space="preserve">, J., </w:t>
      </w:r>
      <w:proofErr w:type="spellStart"/>
      <w:r w:rsidRPr="00985DDE">
        <w:rPr>
          <w:rFonts w:ascii="Arial" w:hAnsi="Arial" w:cs="Arial"/>
        </w:rPr>
        <w:t>Muscolo</w:t>
      </w:r>
      <w:proofErr w:type="spellEnd"/>
      <w:r w:rsidRPr="00985DDE">
        <w:rPr>
          <w:rFonts w:ascii="Arial" w:hAnsi="Arial" w:cs="Arial"/>
        </w:rPr>
        <w:t xml:space="preserve">, A. M., </w:t>
      </w:r>
      <w:proofErr w:type="spellStart"/>
      <w:r w:rsidRPr="00985DDE">
        <w:rPr>
          <w:rFonts w:ascii="Arial" w:hAnsi="Arial" w:cs="Arial"/>
        </w:rPr>
        <w:t>Studdert</w:t>
      </w:r>
      <w:proofErr w:type="spellEnd"/>
      <w:r w:rsidRPr="00985DDE">
        <w:rPr>
          <w:rFonts w:ascii="Arial" w:hAnsi="Arial" w:cs="Arial"/>
        </w:rPr>
        <w:t xml:space="preserve">, G. A., Eugenio, N. R., </w:t>
      </w:r>
      <w:proofErr w:type="spellStart"/>
      <w:r w:rsidRPr="00985DDE">
        <w:rPr>
          <w:rFonts w:ascii="Arial" w:hAnsi="Arial" w:cs="Arial"/>
        </w:rPr>
        <w:t>Calzolari</w:t>
      </w:r>
      <w:proofErr w:type="spellEnd"/>
      <w:r w:rsidRPr="00985DDE">
        <w:rPr>
          <w:rFonts w:ascii="Arial" w:hAnsi="Arial" w:cs="Arial"/>
        </w:rPr>
        <w:t xml:space="preserve">, M. C., </w:t>
      </w:r>
      <w:proofErr w:type="spellStart"/>
      <w:r w:rsidRPr="00985DDE">
        <w:rPr>
          <w:rFonts w:ascii="Arial" w:hAnsi="Arial" w:cs="Arial"/>
        </w:rPr>
        <w:t>Amuri</w:t>
      </w:r>
      <w:proofErr w:type="spellEnd"/>
      <w:r w:rsidRPr="00985DDE">
        <w:rPr>
          <w:rFonts w:ascii="Arial" w:hAnsi="Arial" w:cs="Arial"/>
        </w:rPr>
        <w:t xml:space="preserve">, N., &amp; Hallett, P. (2024). Status of the World’s Soils. Annual Review of Environment and Resources, 49, 73–104. </w:t>
      </w:r>
      <w:hyperlink r:id="rId30" w:history="1">
        <w:r w:rsidRPr="00103F45">
          <w:rPr>
            <w:rStyle w:val="Hyperlink"/>
            <w:rFonts w:ascii="Arial" w:hAnsi="Arial" w:cs="Arial"/>
          </w:rPr>
          <w:t>https://doi.org/10.1146/annurev-environ-030323-075629</w:t>
        </w:r>
      </w:hyperlink>
    </w:p>
    <w:p w14:paraId="689950B2"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Abebaw</w:t>
      </w:r>
      <w:proofErr w:type="spellEnd"/>
      <w:r w:rsidRPr="00985DDE">
        <w:rPr>
          <w:rFonts w:ascii="Arial" w:hAnsi="Arial" w:cs="Arial"/>
        </w:rPr>
        <w:t xml:space="preserve">, W. A. (2019). Review on Impacts of Land Degradation on Agricultural Production in Ethiopia. Journal of Resources Development and Management. </w:t>
      </w:r>
      <w:hyperlink r:id="rId31" w:history="1">
        <w:r w:rsidRPr="00103F45">
          <w:rPr>
            <w:rStyle w:val="Hyperlink"/>
            <w:rFonts w:ascii="Arial" w:hAnsi="Arial" w:cs="Arial"/>
          </w:rPr>
          <w:t>https://doi.org/10.7176/JRDM/57-03</w:t>
        </w:r>
      </w:hyperlink>
    </w:p>
    <w:p w14:paraId="5CB998D3"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Fausak, L. K., Bridson, N., Diaz-Osorio, F., Jassal, R. S., &amp; Lavkulich, L. M. (2024). Soil health – a perspective. Frontiers in Soil Science. </w:t>
      </w:r>
      <w:r w:rsidR="00A14075">
        <w:fldChar w:fldCharType="begin"/>
      </w:r>
      <w:r w:rsidR="00A14075">
        <w:instrText xml:space="preserve"> HYPERLINK "https://doi.org/10.3389/fsoil.2024.1462428" </w:instrText>
      </w:r>
      <w:r w:rsidR="00A14075">
        <w:fldChar w:fldCharType="separate"/>
      </w:r>
      <w:r w:rsidRPr="00103F45">
        <w:rPr>
          <w:rStyle w:val="Hyperlink"/>
          <w:rFonts w:ascii="Arial" w:hAnsi="Arial" w:cs="Arial"/>
          <w:lang w:val="pt-BR"/>
        </w:rPr>
        <w:t>https://doi.org/10.3389/fsoil.2024.1462428</w:t>
      </w:r>
      <w:r w:rsidR="00A14075">
        <w:rPr>
          <w:rStyle w:val="Hyperlink"/>
          <w:rFonts w:ascii="Arial" w:hAnsi="Arial" w:cs="Arial"/>
          <w:lang w:val="pt-BR"/>
        </w:rPr>
        <w:fldChar w:fldCharType="end"/>
      </w:r>
    </w:p>
    <w:p w14:paraId="5728C086"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Foley, J. A., </w:t>
      </w:r>
      <w:proofErr w:type="spellStart"/>
      <w:r w:rsidRPr="00985DDE">
        <w:rPr>
          <w:rFonts w:ascii="Arial" w:hAnsi="Arial" w:cs="Arial"/>
        </w:rPr>
        <w:t>DeFries</w:t>
      </w:r>
      <w:proofErr w:type="spellEnd"/>
      <w:r w:rsidRPr="00985DDE">
        <w:rPr>
          <w:rFonts w:ascii="Arial" w:hAnsi="Arial" w:cs="Arial"/>
        </w:rPr>
        <w:t xml:space="preserve">, R., Asner, G. P., Barford, C., </w:t>
      </w:r>
      <w:proofErr w:type="spellStart"/>
      <w:r w:rsidRPr="00985DDE">
        <w:rPr>
          <w:rFonts w:ascii="Arial" w:hAnsi="Arial" w:cs="Arial"/>
        </w:rPr>
        <w:t>Bonan</w:t>
      </w:r>
      <w:proofErr w:type="spellEnd"/>
      <w:r w:rsidRPr="00985DDE">
        <w:rPr>
          <w:rFonts w:ascii="Arial" w:hAnsi="Arial" w:cs="Arial"/>
        </w:rPr>
        <w:t xml:space="preserve">, G., Carpenter, S. R., Chapin, F. S., Coe, M. T., Daily, G. C., Gibbs, H. K., </w:t>
      </w:r>
      <w:proofErr w:type="spellStart"/>
      <w:r w:rsidRPr="00985DDE">
        <w:rPr>
          <w:rFonts w:ascii="Arial" w:hAnsi="Arial" w:cs="Arial"/>
        </w:rPr>
        <w:t>Helkowski</w:t>
      </w:r>
      <w:proofErr w:type="spellEnd"/>
      <w:r w:rsidRPr="00985DDE">
        <w:rPr>
          <w:rFonts w:ascii="Arial" w:hAnsi="Arial" w:cs="Arial"/>
        </w:rPr>
        <w:t xml:space="preserve">, J. H., Holloway, T., Howard, E. A., </w:t>
      </w:r>
      <w:proofErr w:type="spellStart"/>
      <w:r w:rsidRPr="00985DDE">
        <w:rPr>
          <w:rFonts w:ascii="Arial" w:hAnsi="Arial" w:cs="Arial"/>
        </w:rPr>
        <w:t>Kucharik</w:t>
      </w:r>
      <w:proofErr w:type="spellEnd"/>
      <w:r w:rsidRPr="00985DDE">
        <w:rPr>
          <w:rFonts w:ascii="Arial" w:hAnsi="Arial" w:cs="Arial"/>
        </w:rPr>
        <w:t xml:space="preserve">, C. J., </w:t>
      </w:r>
      <w:proofErr w:type="spellStart"/>
      <w:r w:rsidRPr="00985DDE">
        <w:rPr>
          <w:rFonts w:ascii="Arial" w:hAnsi="Arial" w:cs="Arial"/>
        </w:rPr>
        <w:t>Monfreda</w:t>
      </w:r>
      <w:proofErr w:type="spellEnd"/>
      <w:r w:rsidRPr="00985DDE">
        <w:rPr>
          <w:rFonts w:ascii="Arial" w:hAnsi="Arial" w:cs="Arial"/>
        </w:rPr>
        <w:t xml:space="preserve">, C., Patz, J. A., Prentice, I. C., </w:t>
      </w:r>
      <w:proofErr w:type="spellStart"/>
      <w:r w:rsidRPr="00985DDE">
        <w:rPr>
          <w:rFonts w:ascii="Arial" w:hAnsi="Arial" w:cs="Arial"/>
        </w:rPr>
        <w:t>Ramankutty</w:t>
      </w:r>
      <w:proofErr w:type="spellEnd"/>
      <w:r w:rsidRPr="00985DDE">
        <w:rPr>
          <w:rFonts w:ascii="Arial" w:hAnsi="Arial" w:cs="Arial"/>
        </w:rPr>
        <w:t xml:space="preserve">, N., &amp; Snyder, P. K. (2005). Global Consequences of Land Use. Science, 309(5734), 570–574. </w:t>
      </w:r>
      <w:hyperlink r:id="rId32" w:history="1">
        <w:r w:rsidRPr="00103F45">
          <w:rPr>
            <w:rStyle w:val="Hyperlink"/>
            <w:rFonts w:ascii="Arial" w:hAnsi="Arial" w:cs="Arial"/>
          </w:rPr>
          <w:t>https://doi.org/10.1126/science.1111772</w:t>
        </w:r>
      </w:hyperlink>
    </w:p>
    <w:p w14:paraId="516EC7C5"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Ojetayo</w:t>
      </w:r>
      <w:proofErr w:type="spellEnd"/>
      <w:r w:rsidRPr="00985DDE">
        <w:rPr>
          <w:rFonts w:ascii="Arial" w:hAnsi="Arial" w:cs="Arial"/>
        </w:rPr>
        <w:t xml:space="preserve">, A. E., </w:t>
      </w:r>
      <w:proofErr w:type="spellStart"/>
      <w:r w:rsidRPr="00985DDE">
        <w:rPr>
          <w:rFonts w:ascii="Arial" w:hAnsi="Arial" w:cs="Arial"/>
        </w:rPr>
        <w:t>Olaniyi</w:t>
      </w:r>
      <w:proofErr w:type="spellEnd"/>
      <w:r w:rsidRPr="00985DDE">
        <w:rPr>
          <w:rFonts w:ascii="Arial" w:hAnsi="Arial" w:cs="Arial"/>
        </w:rPr>
        <w:t xml:space="preserve">, J. O., </w:t>
      </w:r>
      <w:proofErr w:type="spellStart"/>
      <w:r w:rsidRPr="00985DDE">
        <w:rPr>
          <w:rFonts w:ascii="Arial" w:hAnsi="Arial" w:cs="Arial"/>
        </w:rPr>
        <w:t>Akanbi</w:t>
      </w:r>
      <w:proofErr w:type="spellEnd"/>
      <w:r w:rsidRPr="00985DDE">
        <w:rPr>
          <w:rFonts w:ascii="Arial" w:hAnsi="Arial" w:cs="Arial"/>
        </w:rPr>
        <w:t xml:space="preserve">, W. B., &amp; </w:t>
      </w:r>
      <w:proofErr w:type="spellStart"/>
      <w:r w:rsidRPr="00985DDE">
        <w:rPr>
          <w:rFonts w:ascii="Arial" w:hAnsi="Arial" w:cs="Arial"/>
        </w:rPr>
        <w:t>Olabiyi</w:t>
      </w:r>
      <w:proofErr w:type="spellEnd"/>
      <w:r w:rsidRPr="00985DDE">
        <w:rPr>
          <w:rFonts w:ascii="Arial" w:hAnsi="Arial" w:cs="Arial"/>
        </w:rPr>
        <w:t xml:space="preserve">, T. I. (2011). Effect of fertilizer types on nutritional quality of two cabbage varieties before and after storage. *Journal of Applied Biosciences*, *48*, 3322–3330. </w:t>
      </w:r>
      <w:hyperlink r:id="rId33" w:history="1">
        <w:r w:rsidRPr="00103F45">
          <w:rPr>
            <w:rStyle w:val="Hyperlink"/>
            <w:rFonts w:ascii="Arial" w:hAnsi="Arial" w:cs="Arial"/>
          </w:rPr>
          <w:t>http://www.elewa.org/JABS/</w:t>
        </w:r>
      </w:hyperlink>
    </w:p>
    <w:p w14:paraId="21F2AA68"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Jones, D. L., </w:t>
      </w:r>
      <w:proofErr w:type="spellStart"/>
      <w:r w:rsidRPr="00985DDE">
        <w:rPr>
          <w:rFonts w:ascii="Arial" w:hAnsi="Arial" w:cs="Arial"/>
        </w:rPr>
        <w:t>Clode</w:t>
      </w:r>
      <w:proofErr w:type="spellEnd"/>
      <w:r w:rsidRPr="00985DDE">
        <w:rPr>
          <w:rFonts w:ascii="Arial" w:hAnsi="Arial" w:cs="Arial"/>
        </w:rPr>
        <w:t xml:space="preserve">, P. L., Kilburn, M. R., Stockdale, E. A., &amp; Murphy, D. V. (2013). Competition between plant and bacterial cells at the microscale regulates the dynamics of nitrogen acquisition in wheat (Triticum </w:t>
      </w:r>
      <w:proofErr w:type="spellStart"/>
      <w:r w:rsidRPr="00985DDE">
        <w:rPr>
          <w:rFonts w:ascii="Arial" w:hAnsi="Arial" w:cs="Arial"/>
        </w:rPr>
        <w:t>aestivum</w:t>
      </w:r>
      <w:proofErr w:type="spellEnd"/>
      <w:r w:rsidRPr="00985DDE">
        <w:rPr>
          <w:rFonts w:ascii="Arial" w:hAnsi="Arial" w:cs="Arial"/>
        </w:rPr>
        <w:t xml:space="preserve">). New </w:t>
      </w:r>
      <w:proofErr w:type="spellStart"/>
      <w:r w:rsidRPr="00985DDE">
        <w:rPr>
          <w:rFonts w:ascii="Arial" w:hAnsi="Arial" w:cs="Arial"/>
        </w:rPr>
        <w:t>Phytologist</w:t>
      </w:r>
      <w:proofErr w:type="spellEnd"/>
      <w:r w:rsidRPr="00985DDE">
        <w:rPr>
          <w:rFonts w:ascii="Arial" w:hAnsi="Arial" w:cs="Arial"/>
        </w:rPr>
        <w:t xml:space="preserve">, 200(3), 796–807. </w:t>
      </w:r>
      <w:hyperlink r:id="rId34" w:history="1">
        <w:r w:rsidRPr="00103F45">
          <w:rPr>
            <w:rStyle w:val="Hyperlink"/>
            <w:rFonts w:ascii="Arial" w:hAnsi="Arial" w:cs="Arial"/>
          </w:rPr>
          <w:t>https://doi.org/10.1111/nph.12405</w:t>
        </w:r>
      </w:hyperlink>
    </w:p>
    <w:p w14:paraId="75802973" w14:textId="77777777" w:rsidR="00985DDE" w:rsidRPr="00985DDE" w:rsidRDefault="00985DDE" w:rsidP="00C50DF6">
      <w:pPr>
        <w:pStyle w:val="Bibliography"/>
        <w:numPr>
          <w:ilvl w:val="0"/>
          <w:numId w:val="33"/>
        </w:numPr>
        <w:jc w:val="both"/>
        <w:rPr>
          <w:rFonts w:ascii="Arial" w:hAnsi="Arial" w:cs="Arial"/>
        </w:rPr>
      </w:pPr>
      <w:r w:rsidRPr="00985DDE">
        <w:rPr>
          <w:lang w:val="pt-BR"/>
        </w:rPr>
        <w:t xml:space="preserve">Konfe, Z., Zonou, B., &amp; Hien, E. (2019). </w:t>
      </w:r>
      <w:r w:rsidRPr="00985DDE">
        <w:rPr>
          <w:lang w:val="fr-FR"/>
        </w:rPr>
        <w:t xml:space="preserve">Influence d’intrants innovants sur les propriétés du sol et la production de tomate (Solanum </w:t>
      </w:r>
      <w:proofErr w:type="spellStart"/>
      <w:r w:rsidRPr="00985DDE">
        <w:rPr>
          <w:lang w:val="fr-FR"/>
        </w:rPr>
        <w:t>lycopersicum</w:t>
      </w:r>
      <w:proofErr w:type="spellEnd"/>
      <w:r w:rsidRPr="00985DDE">
        <w:rPr>
          <w:lang w:val="fr-FR"/>
        </w:rPr>
        <w:t xml:space="preserve"> L.) et d’aubergine (Solanum </w:t>
      </w:r>
      <w:proofErr w:type="spellStart"/>
      <w:r w:rsidRPr="00985DDE">
        <w:rPr>
          <w:lang w:val="fr-FR"/>
        </w:rPr>
        <w:t>melongena</w:t>
      </w:r>
      <w:proofErr w:type="spellEnd"/>
      <w:r w:rsidRPr="00985DDE">
        <w:rPr>
          <w:lang w:val="fr-FR"/>
        </w:rPr>
        <w:t xml:space="preserve"> L.) sur un sol ferrugineux tropical en zone soudano-sahélienne au Burkina Faso. </w:t>
      </w:r>
      <w:r w:rsidRPr="00985DDE">
        <w:rPr>
          <w:lang w:val="en-IN"/>
        </w:rPr>
        <w:t xml:space="preserve">International Journal of Biological and Chemical Sciences, 13(4), 2129–2146. </w:t>
      </w:r>
      <w:hyperlink r:id="rId35" w:history="1">
        <w:r w:rsidRPr="00103F45">
          <w:rPr>
            <w:rStyle w:val="Hyperlink"/>
            <w:lang w:val="en-IN"/>
          </w:rPr>
          <w:t>https://doi.org/10.4314/ijbcs.v13i4.20</w:t>
        </w:r>
      </w:hyperlink>
    </w:p>
    <w:p w14:paraId="50C32088" w14:textId="77777777" w:rsid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Coulibaly, P. J., Sawadogo, J., Bambara, Y. A. I., Ouédraogo, W. B. M., Legma, J. B., &amp; Compaoré, E. (2021). </w:t>
      </w:r>
      <w:r w:rsidRPr="00985DDE">
        <w:rPr>
          <w:rFonts w:ascii="Arial" w:hAnsi="Arial" w:cs="Arial"/>
        </w:rPr>
        <w:t xml:space="preserve">Effect of Bio-Fertilizers on Tomato (Solanum </w:t>
      </w:r>
      <w:proofErr w:type="spellStart"/>
      <w:r w:rsidRPr="00985DDE">
        <w:rPr>
          <w:rFonts w:ascii="Arial" w:hAnsi="Arial" w:cs="Arial"/>
        </w:rPr>
        <w:t>Lycopersicum</w:t>
      </w:r>
      <w:proofErr w:type="spellEnd"/>
      <w:r w:rsidRPr="00985DDE">
        <w:rPr>
          <w:rFonts w:ascii="Arial" w:hAnsi="Arial" w:cs="Arial"/>
        </w:rPr>
        <w:t xml:space="preserve">) Production and on Soil </w:t>
      </w:r>
      <w:proofErr w:type="spellStart"/>
      <w:r w:rsidRPr="00985DDE">
        <w:rPr>
          <w:rFonts w:ascii="Arial" w:hAnsi="Arial" w:cs="Arial"/>
        </w:rPr>
        <w:t>Physico</w:t>
      </w:r>
      <w:proofErr w:type="spellEnd"/>
      <w:r w:rsidRPr="00985DDE">
        <w:rPr>
          <w:rFonts w:ascii="Arial" w:hAnsi="Arial" w:cs="Arial"/>
        </w:rPr>
        <w:t xml:space="preserve">-Chemical Properties </w:t>
      </w:r>
      <w:proofErr w:type="gramStart"/>
      <w:r w:rsidRPr="00985DDE">
        <w:rPr>
          <w:rFonts w:ascii="Arial" w:hAnsi="Arial" w:cs="Arial"/>
        </w:rPr>
        <w:t>In</w:t>
      </w:r>
      <w:proofErr w:type="gramEnd"/>
      <w:r w:rsidRPr="00985DDE">
        <w:rPr>
          <w:rFonts w:ascii="Arial" w:hAnsi="Arial" w:cs="Arial"/>
        </w:rPr>
        <w:t xml:space="preserve"> Sudan Area of Burkina Faso. Current Agriculture Research Journal, 9(1), 43-53. </w:t>
      </w:r>
      <w:hyperlink r:id="rId36" w:history="1">
        <w:r w:rsidRPr="00103F45">
          <w:rPr>
            <w:rStyle w:val="Hyperlink"/>
            <w:rFonts w:ascii="Arial" w:hAnsi="Arial" w:cs="Arial"/>
          </w:rPr>
          <w:t>https://doi.org/10.12944/CARJ.9.1.06</w:t>
        </w:r>
      </w:hyperlink>
    </w:p>
    <w:p w14:paraId="68C3CFB4" w14:textId="77777777" w:rsid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Sawadogo, J., Coulibaly, P. J. D., Traore, B., </w:t>
      </w:r>
      <w:proofErr w:type="spellStart"/>
      <w:r w:rsidRPr="00985DDE">
        <w:rPr>
          <w:rFonts w:ascii="Arial" w:hAnsi="Arial" w:cs="Arial"/>
          <w:lang w:val="fr-FR"/>
        </w:rPr>
        <w:t>Bassole</w:t>
      </w:r>
      <w:proofErr w:type="spellEnd"/>
      <w:r w:rsidRPr="00985DDE">
        <w:rPr>
          <w:rFonts w:ascii="Arial" w:hAnsi="Arial" w:cs="Arial"/>
          <w:lang w:val="fr-FR"/>
        </w:rPr>
        <w:t xml:space="preserve">, M. S. D., </w:t>
      </w:r>
      <w:proofErr w:type="spellStart"/>
      <w:r w:rsidRPr="00985DDE">
        <w:rPr>
          <w:rFonts w:ascii="Arial" w:hAnsi="Arial" w:cs="Arial"/>
          <w:lang w:val="fr-FR"/>
        </w:rPr>
        <w:t>Savadogo</w:t>
      </w:r>
      <w:proofErr w:type="spellEnd"/>
      <w:r w:rsidRPr="00985DDE">
        <w:rPr>
          <w:rFonts w:ascii="Arial" w:hAnsi="Arial" w:cs="Arial"/>
          <w:lang w:val="fr-FR"/>
        </w:rPr>
        <w:t xml:space="preserve">, C. A., &amp; </w:t>
      </w:r>
      <w:proofErr w:type="spellStart"/>
      <w:r w:rsidRPr="00985DDE">
        <w:rPr>
          <w:rFonts w:ascii="Arial" w:hAnsi="Arial" w:cs="Arial"/>
          <w:lang w:val="fr-FR"/>
        </w:rPr>
        <w:t>Legma</w:t>
      </w:r>
      <w:proofErr w:type="spellEnd"/>
      <w:r w:rsidRPr="00985DDE">
        <w:rPr>
          <w:rFonts w:ascii="Arial" w:hAnsi="Arial" w:cs="Arial"/>
          <w:lang w:val="fr-FR"/>
        </w:rPr>
        <w:t xml:space="preserve">, J. B. (2021). Effets des fertilisants biologiques sur la productivité de la tomate en zone semi-aride du Burkina Faso. </w:t>
      </w:r>
      <w:r w:rsidRPr="00985DDE">
        <w:rPr>
          <w:rFonts w:ascii="Arial" w:hAnsi="Arial" w:cs="Arial"/>
        </w:rPr>
        <w:t xml:space="preserve">Journal of Applied Biosciences, 167, 17375–17390. </w:t>
      </w:r>
      <w:hyperlink r:id="rId37" w:history="1">
        <w:r w:rsidRPr="00103F45">
          <w:rPr>
            <w:rStyle w:val="Hyperlink"/>
            <w:rFonts w:ascii="Arial" w:hAnsi="Arial" w:cs="Arial"/>
          </w:rPr>
          <w:t>https://doi.org/10.35759/JABs.167.8</w:t>
        </w:r>
      </w:hyperlink>
    </w:p>
    <w:p w14:paraId="3B04257A"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lastRenderedPageBreak/>
        <w:t>Moustaine</w:t>
      </w:r>
      <w:proofErr w:type="spellEnd"/>
      <w:r w:rsidRPr="00985DDE">
        <w:rPr>
          <w:rFonts w:ascii="Arial" w:hAnsi="Arial" w:cs="Arial"/>
        </w:rPr>
        <w:t xml:space="preserve">, M., </w:t>
      </w:r>
      <w:proofErr w:type="spellStart"/>
      <w:r w:rsidRPr="00985DDE">
        <w:rPr>
          <w:rFonts w:ascii="Arial" w:hAnsi="Arial" w:cs="Arial"/>
        </w:rPr>
        <w:t>Elkahkahi</w:t>
      </w:r>
      <w:proofErr w:type="spellEnd"/>
      <w:r w:rsidRPr="00985DDE">
        <w:rPr>
          <w:rFonts w:ascii="Arial" w:hAnsi="Arial" w:cs="Arial"/>
        </w:rPr>
        <w:t xml:space="preserve">, R., </w:t>
      </w:r>
      <w:proofErr w:type="spellStart"/>
      <w:r w:rsidRPr="00985DDE">
        <w:rPr>
          <w:rFonts w:ascii="Arial" w:hAnsi="Arial" w:cs="Arial"/>
        </w:rPr>
        <w:t>Benbouazza</w:t>
      </w:r>
      <w:proofErr w:type="spellEnd"/>
      <w:r w:rsidRPr="00985DDE">
        <w:rPr>
          <w:rFonts w:ascii="Arial" w:hAnsi="Arial" w:cs="Arial"/>
        </w:rPr>
        <w:t xml:space="preserve">, A., </w:t>
      </w:r>
      <w:proofErr w:type="spellStart"/>
      <w:r w:rsidRPr="00985DDE">
        <w:rPr>
          <w:rFonts w:ascii="Arial" w:hAnsi="Arial" w:cs="Arial"/>
        </w:rPr>
        <w:t>Benkirane</w:t>
      </w:r>
      <w:proofErr w:type="spellEnd"/>
      <w:r w:rsidRPr="00985DDE">
        <w:rPr>
          <w:rFonts w:ascii="Arial" w:hAnsi="Arial" w:cs="Arial"/>
        </w:rPr>
        <w:t xml:space="preserve">, R., &amp; </w:t>
      </w:r>
      <w:proofErr w:type="spellStart"/>
      <w:r w:rsidRPr="00985DDE">
        <w:rPr>
          <w:rFonts w:ascii="Arial" w:hAnsi="Arial" w:cs="Arial"/>
        </w:rPr>
        <w:t>Achbani</w:t>
      </w:r>
      <w:proofErr w:type="spellEnd"/>
      <w:r w:rsidRPr="00985DDE">
        <w:rPr>
          <w:rFonts w:ascii="Arial" w:hAnsi="Arial" w:cs="Arial"/>
        </w:rPr>
        <w:t xml:space="preserve">, E. H. (2017). Effect of plant growth promoting rhizobacterial (PGPR) inoculation on growth in tomato (Solanum </w:t>
      </w:r>
      <w:proofErr w:type="spellStart"/>
      <w:r w:rsidRPr="00985DDE">
        <w:rPr>
          <w:rFonts w:ascii="Arial" w:hAnsi="Arial" w:cs="Arial"/>
        </w:rPr>
        <w:t>Lycopersicum</w:t>
      </w:r>
      <w:proofErr w:type="spellEnd"/>
      <w:r w:rsidRPr="00985DDE">
        <w:rPr>
          <w:rFonts w:ascii="Arial" w:hAnsi="Arial" w:cs="Arial"/>
        </w:rPr>
        <w:t xml:space="preserve"> L.) and characterization for direct PGP abilities in Morocco. International Journal of Environment, Agriculture and Biotechnology, 2(2), 590–596. </w:t>
      </w:r>
      <w:hyperlink r:id="rId38" w:history="1">
        <w:r w:rsidRPr="00103F45">
          <w:rPr>
            <w:rStyle w:val="Hyperlink"/>
            <w:rFonts w:ascii="Arial" w:hAnsi="Arial" w:cs="Arial"/>
          </w:rPr>
          <w:t>https://doi.org/10.22161/ijeab/2.2.5</w:t>
        </w:r>
      </w:hyperlink>
    </w:p>
    <w:p w14:paraId="291E812E"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Hariprasad, P., Venkateswaran, G., &amp; Niranjana, S.R. (2014). </w:t>
      </w:r>
      <w:r w:rsidRPr="00985DDE">
        <w:rPr>
          <w:rFonts w:ascii="Arial" w:hAnsi="Arial" w:cs="Arial"/>
          <w:lang w:val="en-IN"/>
        </w:rPr>
        <w:t xml:space="preserve">Diversity of cultivable rhizobacteria across tomato growing regions of Karnataka. Biological Control. </w:t>
      </w:r>
      <w:hyperlink r:id="rId39" w:history="1">
        <w:r w:rsidRPr="00103F45">
          <w:rPr>
            <w:rStyle w:val="Hyperlink"/>
            <w:rFonts w:ascii="Arial" w:hAnsi="Arial" w:cs="Arial"/>
            <w:lang w:val="en-IN"/>
          </w:rPr>
          <w:t>https://doi.org/10.1016/j.biocontrol.2014.01.012</w:t>
        </w:r>
      </w:hyperlink>
    </w:p>
    <w:p w14:paraId="124E7C9C"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El </w:t>
      </w:r>
      <w:proofErr w:type="spellStart"/>
      <w:r w:rsidRPr="00985DDE">
        <w:rPr>
          <w:rFonts w:ascii="Arial" w:hAnsi="Arial" w:cs="Arial"/>
        </w:rPr>
        <w:t>Hjouji</w:t>
      </w:r>
      <w:proofErr w:type="spellEnd"/>
      <w:r w:rsidRPr="00985DDE">
        <w:rPr>
          <w:rFonts w:ascii="Arial" w:hAnsi="Arial" w:cs="Arial"/>
        </w:rPr>
        <w:t xml:space="preserve">, H., </w:t>
      </w:r>
      <w:proofErr w:type="spellStart"/>
      <w:r w:rsidRPr="00985DDE">
        <w:rPr>
          <w:rFonts w:ascii="Arial" w:hAnsi="Arial" w:cs="Arial"/>
        </w:rPr>
        <w:t>Qessaoui</w:t>
      </w:r>
      <w:proofErr w:type="spellEnd"/>
      <w:r w:rsidRPr="00985DDE">
        <w:rPr>
          <w:rFonts w:ascii="Arial" w:hAnsi="Arial" w:cs="Arial"/>
        </w:rPr>
        <w:t xml:space="preserve">, R., </w:t>
      </w:r>
      <w:proofErr w:type="spellStart"/>
      <w:r w:rsidRPr="00985DDE">
        <w:rPr>
          <w:rFonts w:ascii="Arial" w:hAnsi="Arial" w:cs="Arial"/>
        </w:rPr>
        <w:t>Chafiki</w:t>
      </w:r>
      <w:proofErr w:type="spellEnd"/>
      <w:r w:rsidRPr="00985DDE">
        <w:rPr>
          <w:rFonts w:ascii="Arial" w:hAnsi="Arial" w:cs="Arial"/>
        </w:rPr>
        <w:t xml:space="preserve">, S., </w:t>
      </w:r>
      <w:proofErr w:type="spellStart"/>
      <w:r w:rsidRPr="00985DDE">
        <w:rPr>
          <w:rFonts w:ascii="Arial" w:hAnsi="Arial" w:cs="Arial"/>
        </w:rPr>
        <w:t>Mayad</w:t>
      </w:r>
      <w:proofErr w:type="spellEnd"/>
      <w:r w:rsidRPr="00985DDE">
        <w:rPr>
          <w:rFonts w:ascii="Arial" w:hAnsi="Arial" w:cs="Arial"/>
        </w:rPr>
        <w:t xml:space="preserve">, E. H., </w:t>
      </w:r>
      <w:proofErr w:type="spellStart"/>
      <w:r w:rsidRPr="00985DDE">
        <w:rPr>
          <w:rFonts w:ascii="Arial" w:hAnsi="Arial" w:cs="Arial"/>
        </w:rPr>
        <w:t>Houmairi</w:t>
      </w:r>
      <w:proofErr w:type="spellEnd"/>
      <w:r w:rsidRPr="00985DDE">
        <w:rPr>
          <w:rFonts w:ascii="Arial" w:hAnsi="Arial" w:cs="Arial"/>
        </w:rPr>
        <w:t xml:space="preserve">, H., Dari, K., </w:t>
      </w:r>
      <w:proofErr w:type="spellStart"/>
      <w:r w:rsidRPr="00985DDE">
        <w:rPr>
          <w:rFonts w:ascii="Arial" w:hAnsi="Arial" w:cs="Arial"/>
        </w:rPr>
        <w:t>Bencharki</w:t>
      </w:r>
      <w:proofErr w:type="spellEnd"/>
      <w:r w:rsidRPr="00985DDE">
        <w:rPr>
          <w:rFonts w:ascii="Arial" w:hAnsi="Arial" w:cs="Arial"/>
        </w:rPr>
        <w:t xml:space="preserve">, B., &amp; </w:t>
      </w:r>
      <w:proofErr w:type="spellStart"/>
      <w:r w:rsidRPr="00985DDE">
        <w:rPr>
          <w:rFonts w:ascii="Arial" w:hAnsi="Arial" w:cs="Arial"/>
        </w:rPr>
        <w:t>Aassila</w:t>
      </w:r>
      <w:proofErr w:type="spellEnd"/>
      <w:r w:rsidRPr="00985DDE">
        <w:rPr>
          <w:rFonts w:ascii="Arial" w:hAnsi="Arial" w:cs="Arial"/>
        </w:rPr>
        <w:t xml:space="preserve">, H. (2025). Enhancement of Tomato Growth Through Rhizobacteria and Biocontrol of Associated Diseases. Life, 15(7), 997. </w:t>
      </w:r>
      <w:hyperlink r:id="rId40" w:history="1">
        <w:r w:rsidRPr="00103F45">
          <w:rPr>
            <w:rStyle w:val="Hyperlink"/>
            <w:rFonts w:ascii="Arial" w:hAnsi="Arial" w:cs="Arial"/>
          </w:rPr>
          <w:t>https://doi.org/10.3390/life15070997</w:t>
        </w:r>
      </w:hyperlink>
    </w:p>
    <w:p w14:paraId="680F174E"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Joseph, B., Patra, R. R., &amp; Lawrence, R. (2007). Characterization of plant growth promoting rhizobacteria associated with chickpea (</w:t>
      </w:r>
      <w:proofErr w:type="spellStart"/>
      <w:r w:rsidRPr="00985DDE">
        <w:rPr>
          <w:rFonts w:ascii="Arial" w:hAnsi="Arial" w:cs="Arial"/>
        </w:rPr>
        <w:t>Cicer</w:t>
      </w:r>
      <w:proofErr w:type="spellEnd"/>
      <w:r w:rsidRPr="00985DDE">
        <w:rPr>
          <w:rFonts w:ascii="Arial" w:hAnsi="Arial" w:cs="Arial"/>
        </w:rPr>
        <w:t xml:space="preserve"> arietinum L.). International Journal of Plant Production, 1(2), 141-152. </w:t>
      </w:r>
      <w:hyperlink r:id="rId41" w:history="1">
        <w:r w:rsidRPr="00103F45">
          <w:rPr>
            <w:rStyle w:val="Hyperlink"/>
            <w:rFonts w:ascii="Arial" w:hAnsi="Arial" w:cs="Arial"/>
          </w:rPr>
          <w:t>https://doi.org/10.22069/ijpp.2012.532</w:t>
        </w:r>
      </w:hyperlink>
    </w:p>
    <w:p w14:paraId="25FDF2BD"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Kalam, S., Basu, A., &amp; Podile, A. R. (2020). </w:t>
      </w:r>
      <w:r w:rsidRPr="00985DDE">
        <w:rPr>
          <w:rFonts w:ascii="Arial" w:hAnsi="Arial" w:cs="Arial"/>
          <w:lang w:val="en-IN"/>
        </w:rPr>
        <w:t xml:space="preserve">Functional and molecular characterization of plant growth promoting Bacillus isolates from tomato rhizosphere. </w:t>
      </w:r>
      <w:proofErr w:type="spellStart"/>
      <w:r w:rsidRPr="00985DDE">
        <w:rPr>
          <w:rFonts w:ascii="Arial" w:hAnsi="Arial" w:cs="Arial"/>
          <w:lang w:val="en-IN"/>
        </w:rPr>
        <w:t>Heliyon</w:t>
      </w:r>
      <w:proofErr w:type="spellEnd"/>
      <w:r w:rsidRPr="00985DDE">
        <w:rPr>
          <w:rFonts w:ascii="Arial" w:hAnsi="Arial" w:cs="Arial"/>
          <w:lang w:val="en-IN"/>
        </w:rPr>
        <w:t xml:space="preserve">, 6(8), e04734. </w:t>
      </w:r>
      <w:hyperlink r:id="rId42" w:history="1">
        <w:r w:rsidRPr="00103F45">
          <w:rPr>
            <w:rStyle w:val="Hyperlink"/>
            <w:rFonts w:ascii="Arial" w:hAnsi="Arial" w:cs="Arial"/>
            <w:lang w:val="en-IN"/>
          </w:rPr>
          <w:t>https://doi.org/10.1016/j.heliyon.2020.e04734</w:t>
        </w:r>
      </w:hyperlink>
    </w:p>
    <w:p w14:paraId="1A56099D"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Bakki</w:t>
      </w:r>
      <w:proofErr w:type="spellEnd"/>
      <w:r w:rsidRPr="00985DDE">
        <w:rPr>
          <w:rFonts w:ascii="Arial" w:hAnsi="Arial" w:cs="Arial"/>
        </w:rPr>
        <w:t xml:space="preserve">, M., </w:t>
      </w:r>
      <w:proofErr w:type="spellStart"/>
      <w:r w:rsidRPr="00985DDE">
        <w:rPr>
          <w:rFonts w:ascii="Arial" w:hAnsi="Arial" w:cs="Arial"/>
        </w:rPr>
        <w:t>Banane</w:t>
      </w:r>
      <w:proofErr w:type="spellEnd"/>
      <w:r w:rsidRPr="00985DDE">
        <w:rPr>
          <w:rFonts w:ascii="Arial" w:hAnsi="Arial" w:cs="Arial"/>
        </w:rPr>
        <w:t xml:space="preserve">, B., </w:t>
      </w:r>
      <w:proofErr w:type="spellStart"/>
      <w:r w:rsidRPr="00985DDE">
        <w:rPr>
          <w:rFonts w:ascii="Arial" w:hAnsi="Arial" w:cs="Arial"/>
        </w:rPr>
        <w:t>Marhane</w:t>
      </w:r>
      <w:proofErr w:type="spellEnd"/>
      <w:r w:rsidRPr="00985DDE">
        <w:rPr>
          <w:rFonts w:ascii="Arial" w:hAnsi="Arial" w:cs="Arial"/>
        </w:rPr>
        <w:t xml:space="preserve">, O., </w:t>
      </w:r>
      <w:proofErr w:type="spellStart"/>
      <w:r w:rsidRPr="00985DDE">
        <w:rPr>
          <w:rFonts w:ascii="Arial" w:hAnsi="Arial" w:cs="Arial"/>
        </w:rPr>
        <w:t>Esmaeel</w:t>
      </w:r>
      <w:proofErr w:type="spellEnd"/>
      <w:r w:rsidRPr="00985DDE">
        <w:rPr>
          <w:rFonts w:ascii="Arial" w:hAnsi="Arial" w:cs="Arial"/>
        </w:rPr>
        <w:t xml:space="preserve">, Q., </w:t>
      </w:r>
      <w:proofErr w:type="spellStart"/>
      <w:r w:rsidRPr="00985DDE">
        <w:rPr>
          <w:rFonts w:ascii="Arial" w:hAnsi="Arial" w:cs="Arial"/>
        </w:rPr>
        <w:t>Hatimi</w:t>
      </w:r>
      <w:proofErr w:type="spellEnd"/>
      <w:r w:rsidRPr="00985DDE">
        <w:rPr>
          <w:rFonts w:ascii="Arial" w:hAnsi="Arial" w:cs="Arial"/>
        </w:rPr>
        <w:t xml:space="preserve">, A., </w:t>
      </w:r>
      <w:proofErr w:type="spellStart"/>
      <w:r w:rsidRPr="00985DDE">
        <w:rPr>
          <w:rFonts w:ascii="Arial" w:hAnsi="Arial" w:cs="Arial"/>
        </w:rPr>
        <w:t>Barka</w:t>
      </w:r>
      <w:proofErr w:type="spellEnd"/>
      <w:r w:rsidRPr="00985DDE">
        <w:rPr>
          <w:rFonts w:ascii="Arial" w:hAnsi="Arial" w:cs="Arial"/>
        </w:rPr>
        <w:t xml:space="preserve">, E.A., Azim, K., &amp; </w:t>
      </w:r>
      <w:proofErr w:type="spellStart"/>
      <w:r w:rsidRPr="00985DDE">
        <w:rPr>
          <w:rFonts w:ascii="Arial" w:hAnsi="Arial" w:cs="Arial"/>
        </w:rPr>
        <w:t>Bouizgarne</w:t>
      </w:r>
      <w:proofErr w:type="spellEnd"/>
      <w:r w:rsidRPr="00985DDE">
        <w:rPr>
          <w:rFonts w:ascii="Arial" w:hAnsi="Arial" w:cs="Arial"/>
        </w:rPr>
        <w:t xml:space="preserve">, B. (2024). Phosphate solubilizing Pseudomonas and Bacillus combined with rock phosphates promoting tomato growth and reducing bacterial canker disease. *Frontiers in Microbiology*, *15*, 1289466. </w:t>
      </w:r>
      <w:hyperlink r:id="rId43" w:history="1">
        <w:r w:rsidRPr="00103F45">
          <w:rPr>
            <w:rStyle w:val="Hyperlink"/>
            <w:rFonts w:ascii="Arial" w:hAnsi="Arial" w:cs="Arial"/>
          </w:rPr>
          <w:t>https://doi.org/10.3389/fmicb.2024.1289466</w:t>
        </w:r>
      </w:hyperlink>
    </w:p>
    <w:p w14:paraId="71BB946A"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Goswami, S. K., Kashyap, A. S., Kumar, R., Gujjar, R. S., Singh, A., &amp; Manzar, N. (2023). Harnessing </w:t>
      </w:r>
      <w:proofErr w:type="spellStart"/>
      <w:r w:rsidRPr="00985DDE">
        <w:rPr>
          <w:rFonts w:ascii="Arial" w:hAnsi="Arial" w:cs="Arial"/>
        </w:rPr>
        <w:t>rhizospheric</w:t>
      </w:r>
      <w:proofErr w:type="spellEnd"/>
      <w:r w:rsidRPr="00985DDE">
        <w:rPr>
          <w:rFonts w:ascii="Arial" w:hAnsi="Arial" w:cs="Arial"/>
        </w:rPr>
        <w:t xml:space="preserve"> microbes for eco-friendly and sustainable crop production in saline environments. Current Microbiology, 81(1), 14. </w:t>
      </w:r>
      <w:hyperlink r:id="rId44" w:history="1">
        <w:r w:rsidRPr="00103F45">
          <w:rPr>
            <w:rStyle w:val="Hyperlink"/>
            <w:rFonts w:ascii="Arial" w:hAnsi="Arial" w:cs="Arial"/>
          </w:rPr>
          <w:t>https://doi.org/10.1007/s00284-023-03538-z</w:t>
        </w:r>
      </w:hyperlink>
    </w:p>
    <w:p w14:paraId="4439922E" w14:textId="77777777"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Esitken</w:t>
      </w:r>
      <w:proofErr w:type="spellEnd"/>
      <w:r w:rsidRPr="001C4642">
        <w:rPr>
          <w:rFonts w:ascii="Arial" w:hAnsi="Arial" w:cs="Arial"/>
        </w:rPr>
        <w:t xml:space="preserve">, A., </w:t>
      </w:r>
      <w:proofErr w:type="spellStart"/>
      <w:r w:rsidRPr="001C4642">
        <w:rPr>
          <w:rFonts w:ascii="Arial" w:hAnsi="Arial" w:cs="Arial"/>
        </w:rPr>
        <w:t>Ercisli</w:t>
      </w:r>
      <w:proofErr w:type="spellEnd"/>
      <w:r w:rsidRPr="001C4642">
        <w:rPr>
          <w:rFonts w:ascii="Arial" w:hAnsi="Arial" w:cs="Arial"/>
        </w:rPr>
        <w:t xml:space="preserve">, S., </w:t>
      </w:r>
      <w:proofErr w:type="spellStart"/>
      <w:r w:rsidRPr="001C4642">
        <w:rPr>
          <w:rFonts w:ascii="Arial" w:hAnsi="Arial" w:cs="Arial"/>
        </w:rPr>
        <w:t>Karlidag</w:t>
      </w:r>
      <w:proofErr w:type="spellEnd"/>
      <w:r w:rsidRPr="001C4642">
        <w:rPr>
          <w:rFonts w:ascii="Arial" w:hAnsi="Arial" w:cs="Arial"/>
        </w:rPr>
        <w:t xml:space="preserve">, H., </w:t>
      </w:r>
      <w:proofErr w:type="spellStart"/>
      <w:r w:rsidRPr="001C4642">
        <w:rPr>
          <w:rFonts w:ascii="Arial" w:hAnsi="Arial" w:cs="Arial"/>
        </w:rPr>
        <w:t>Sahin</w:t>
      </w:r>
      <w:proofErr w:type="spellEnd"/>
      <w:r w:rsidRPr="001C4642">
        <w:rPr>
          <w:rFonts w:ascii="Arial" w:hAnsi="Arial" w:cs="Arial"/>
        </w:rPr>
        <w:t>, F., 2005. Potential use of plant growth promoting rhizobacteria (PGPR) in organic apricot production.</w:t>
      </w:r>
    </w:p>
    <w:p w14:paraId="6FA9C94C"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Savci</w:t>
      </w:r>
      <w:proofErr w:type="spellEnd"/>
      <w:r w:rsidRPr="00985DDE">
        <w:rPr>
          <w:rFonts w:ascii="Arial" w:hAnsi="Arial" w:cs="Arial"/>
        </w:rPr>
        <w:t xml:space="preserve">, S. (2012). An agricultural pollutant: Chemical fertilizer. International Journal of Environmental Science and Development, 3(1), 73-80. </w:t>
      </w:r>
      <w:hyperlink r:id="rId45" w:history="1">
        <w:r w:rsidRPr="00103F45">
          <w:rPr>
            <w:rStyle w:val="Hyperlink"/>
            <w:rFonts w:ascii="Arial" w:hAnsi="Arial" w:cs="Arial"/>
          </w:rPr>
          <w:t>https://doi.org/10.7763/IJESD.2012.V3.191</w:t>
        </w:r>
      </w:hyperlink>
    </w:p>
    <w:p w14:paraId="5F9C599A"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Chabbi</w:t>
      </w:r>
      <w:proofErr w:type="spellEnd"/>
      <w:r w:rsidRPr="00985DDE">
        <w:rPr>
          <w:rFonts w:ascii="Arial" w:hAnsi="Arial" w:cs="Arial"/>
        </w:rPr>
        <w:t xml:space="preserve">, N., </w:t>
      </w:r>
      <w:proofErr w:type="spellStart"/>
      <w:r w:rsidRPr="00985DDE">
        <w:rPr>
          <w:rFonts w:ascii="Arial" w:hAnsi="Arial" w:cs="Arial"/>
        </w:rPr>
        <w:t>Chafiki</w:t>
      </w:r>
      <w:proofErr w:type="spellEnd"/>
      <w:r w:rsidRPr="00985DDE">
        <w:rPr>
          <w:rFonts w:ascii="Arial" w:hAnsi="Arial" w:cs="Arial"/>
        </w:rPr>
        <w:t xml:space="preserve">, S., </w:t>
      </w:r>
      <w:proofErr w:type="spellStart"/>
      <w:r w:rsidRPr="00985DDE">
        <w:rPr>
          <w:rFonts w:ascii="Arial" w:hAnsi="Arial" w:cs="Arial"/>
        </w:rPr>
        <w:t>Telmoudi</w:t>
      </w:r>
      <w:proofErr w:type="spellEnd"/>
      <w:r w:rsidRPr="00985DDE">
        <w:rPr>
          <w:rFonts w:ascii="Arial" w:hAnsi="Arial" w:cs="Arial"/>
        </w:rPr>
        <w:t xml:space="preserve">, M., </w:t>
      </w:r>
      <w:proofErr w:type="spellStart"/>
      <w:r w:rsidRPr="00985DDE">
        <w:rPr>
          <w:rFonts w:ascii="Arial" w:hAnsi="Arial" w:cs="Arial"/>
        </w:rPr>
        <w:t>Labbassi</w:t>
      </w:r>
      <w:proofErr w:type="spellEnd"/>
      <w:r w:rsidRPr="00985DDE">
        <w:rPr>
          <w:rFonts w:ascii="Arial" w:hAnsi="Arial" w:cs="Arial"/>
        </w:rPr>
        <w:t xml:space="preserve">, S., </w:t>
      </w:r>
      <w:proofErr w:type="spellStart"/>
      <w:r w:rsidRPr="00985DDE">
        <w:rPr>
          <w:rFonts w:ascii="Arial" w:hAnsi="Arial" w:cs="Arial"/>
        </w:rPr>
        <w:t>Bouharroud</w:t>
      </w:r>
      <w:proofErr w:type="spellEnd"/>
      <w:r w:rsidRPr="00985DDE">
        <w:rPr>
          <w:rFonts w:ascii="Arial" w:hAnsi="Arial" w:cs="Arial"/>
        </w:rPr>
        <w:t xml:space="preserve">, R., </w:t>
      </w:r>
      <w:proofErr w:type="spellStart"/>
      <w:r w:rsidRPr="00985DDE">
        <w:rPr>
          <w:rFonts w:ascii="Arial" w:hAnsi="Arial" w:cs="Arial"/>
        </w:rPr>
        <w:t>Tahiri</w:t>
      </w:r>
      <w:proofErr w:type="spellEnd"/>
      <w:r w:rsidRPr="00985DDE">
        <w:rPr>
          <w:rFonts w:ascii="Arial" w:hAnsi="Arial" w:cs="Arial"/>
        </w:rPr>
        <w:t xml:space="preserve">, A., </w:t>
      </w:r>
      <w:proofErr w:type="spellStart"/>
      <w:r w:rsidRPr="00985DDE">
        <w:rPr>
          <w:rFonts w:ascii="Arial" w:hAnsi="Arial" w:cs="Arial"/>
        </w:rPr>
        <w:t>Mentag</w:t>
      </w:r>
      <w:proofErr w:type="spellEnd"/>
      <w:r w:rsidRPr="00985DDE">
        <w:rPr>
          <w:rFonts w:ascii="Arial" w:hAnsi="Arial" w:cs="Arial"/>
        </w:rPr>
        <w:t xml:space="preserve">, R., El </w:t>
      </w:r>
      <w:proofErr w:type="spellStart"/>
      <w:r w:rsidRPr="00985DDE">
        <w:rPr>
          <w:rFonts w:ascii="Arial" w:hAnsi="Arial" w:cs="Arial"/>
        </w:rPr>
        <w:t>Amri</w:t>
      </w:r>
      <w:proofErr w:type="spellEnd"/>
      <w:r w:rsidRPr="00985DDE">
        <w:rPr>
          <w:rFonts w:ascii="Arial" w:hAnsi="Arial" w:cs="Arial"/>
        </w:rPr>
        <w:t xml:space="preserve">, M., </w:t>
      </w:r>
      <w:proofErr w:type="spellStart"/>
      <w:r w:rsidRPr="00985DDE">
        <w:rPr>
          <w:rFonts w:ascii="Arial" w:hAnsi="Arial" w:cs="Arial"/>
        </w:rPr>
        <w:t>Bendiab</w:t>
      </w:r>
      <w:proofErr w:type="spellEnd"/>
      <w:r w:rsidRPr="00985DDE">
        <w:rPr>
          <w:rFonts w:ascii="Arial" w:hAnsi="Arial" w:cs="Arial"/>
        </w:rPr>
        <w:t xml:space="preserve">, K., </w:t>
      </w:r>
      <w:proofErr w:type="spellStart"/>
      <w:r w:rsidRPr="00985DDE">
        <w:rPr>
          <w:rFonts w:ascii="Arial" w:hAnsi="Arial" w:cs="Arial"/>
        </w:rPr>
        <w:t>Hsissou</w:t>
      </w:r>
      <w:proofErr w:type="spellEnd"/>
      <w:r w:rsidRPr="00985DDE">
        <w:rPr>
          <w:rFonts w:ascii="Arial" w:hAnsi="Arial" w:cs="Arial"/>
        </w:rPr>
        <w:t xml:space="preserve">, D., </w:t>
      </w:r>
      <w:proofErr w:type="spellStart"/>
      <w:r w:rsidRPr="00985DDE">
        <w:rPr>
          <w:rFonts w:ascii="Arial" w:hAnsi="Arial" w:cs="Arial"/>
        </w:rPr>
        <w:t>Mimouni</w:t>
      </w:r>
      <w:proofErr w:type="spellEnd"/>
      <w:r w:rsidRPr="00985DDE">
        <w:rPr>
          <w:rFonts w:ascii="Arial" w:hAnsi="Arial" w:cs="Arial"/>
        </w:rPr>
        <w:t xml:space="preserve">, A., </w:t>
      </w:r>
      <w:proofErr w:type="spellStart"/>
      <w:r w:rsidRPr="00985DDE">
        <w:rPr>
          <w:rFonts w:ascii="Arial" w:hAnsi="Arial" w:cs="Arial"/>
        </w:rPr>
        <w:t>Ait</w:t>
      </w:r>
      <w:proofErr w:type="spellEnd"/>
      <w:r w:rsidRPr="00985DDE">
        <w:rPr>
          <w:rFonts w:ascii="Arial" w:hAnsi="Arial" w:cs="Arial"/>
        </w:rPr>
        <w:t xml:space="preserve"> </w:t>
      </w:r>
      <w:proofErr w:type="spellStart"/>
      <w:r w:rsidRPr="00985DDE">
        <w:rPr>
          <w:rFonts w:ascii="Arial" w:hAnsi="Arial" w:cs="Arial"/>
        </w:rPr>
        <w:t>Aabd</w:t>
      </w:r>
      <w:proofErr w:type="spellEnd"/>
      <w:r w:rsidRPr="00985DDE">
        <w:rPr>
          <w:rFonts w:ascii="Arial" w:hAnsi="Arial" w:cs="Arial"/>
        </w:rPr>
        <w:t xml:space="preserve">, N., &amp; </w:t>
      </w:r>
      <w:proofErr w:type="spellStart"/>
      <w:r w:rsidRPr="00985DDE">
        <w:rPr>
          <w:rFonts w:ascii="Arial" w:hAnsi="Arial" w:cs="Arial"/>
        </w:rPr>
        <w:t>Qessaoui</w:t>
      </w:r>
      <w:proofErr w:type="spellEnd"/>
      <w:r w:rsidRPr="00985DDE">
        <w:rPr>
          <w:rFonts w:ascii="Arial" w:hAnsi="Arial" w:cs="Arial"/>
        </w:rPr>
        <w:t xml:space="preserve">, R. (2024). Plant-Growth-Promoting Rhizobacteria Improve Seeds Germination and Growth of </w:t>
      </w:r>
      <w:proofErr w:type="spellStart"/>
      <w:r w:rsidRPr="00985DDE">
        <w:rPr>
          <w:rFonts w:ascii="Arial" w:hAnsi="Arial" w:cs="Arial"/>
        </w:rPr>
        <w:t>Argania</w:t>
      </w:r>
      <w:proofErr w:type="spellEnd"/>
      <w:r w:rsidRPr="00985DDE">
        <w:rPr>
          <w:rFonts w:ascii="Arial" w:hAnsi="Arial" w:cs="Arial"/>
        </w:rPr>
        <w:t xml:space="preserve"> spinosa. Plants, 13(15), 2025. </w:t>
      </w:r>
      <w:hyperlink r:id="rId46" w:history="1">
        <w:r w:rsidRPr="00103F45">
          <w:rPr>
            <w:rStyle w:val="Hyperlink"/>
            <w:rFonts w:ascii="Arial" w:hAnsi="Arial" w:cs="Arial"/>
          </w:rPr>
          <w:t>https://doi.org/10.3390/plants13152025</w:t>
        </w:r>
      </w:hyperlink>
    </w:p>
    <w:p w14:paraId="0C263F7E"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Qessaoui</w:t>
      </w:r>
      <w:proofErr w:type="spellEnd"/>
      <w:r w:rsidRPr="00985DDE">
        <w:rPr>
          <w:rFonts w:ascii="Arial" w:hAnsi="Arial" w:cs="Arial"/>
        </w:rPr>
        <w:t xml:space="preserve">, R., </w:t>
      </w:r>
      <w:proofErr w:type="spellStart"/>
      <w:r w:rsidRPr="00985DDE">
        <w:rPr>
          <w:rFonts w:ascii="Arial" w:hAnsi="Arial" w:cs="Arial"/>
        </w:rPr>
        <w:t>Bouharroud</w:t>
      </w:r>
      <w:proofErr w:type="spellEnd"/>
      <w:r w:rsidRPr="00985DDE">
        <w:rPr>
          <w:rFonts w:ascii="Arial" w:hAnsi="Arial" w:cs="Arial"/>
        </w:rPr>
        <w:t xml:space="preserve">, R., Furze, J. N., El </w:t>
      </w:r>
      <w:proofErr w:type="spellStart"/>
      <w:r w:rsidRPr="00985DDE">
        <w:rPr>
          <w:rFonts w:ascii="Arial" w:hAnsi="Arial" w:cs="Arial"/>
        </w:rPr>
        <w:t>Aalaoui</w:t>
      </w:r>
      <w:proofErr w:type="spellEnd"/>
      <w:r w:rsidRPr="00985DDE">
        <w:rPr>
          <w:rFonts w:ascii="Arial" w:hAnsi="Arial" w:cs="Arial"/>
        </w:rPr>
        <w:t xml:space="preserve">, M., </w:t>
      </w:r>
      <w:proofErr w:type="spellStart"/>
      <w:r w:rsidRPr="00985DDE">
        <w:rPr>
          <w:rFonts w:ascii="Arial" w:hAnsi="Arial" w:cs="Arial"/>
        </w:rPr>
        <w:t>Akroud</w:t>
      </w:r>
      <w:proofErr w:type="spellEnd"/>
      <w:r w:rsidRPr="00985DDE">
        <w:rPr>
          <w:rFonts w:ascii="Arial" w:hAnsi="Arial" w:cs="Arial"/>
        </w:rPr>
        <w:t xml:space="preserve">, H., </w:t>
      </w:r>
      <w:proofErr w:type="spellStart"/>
      <w:r w:rsidRPr="00985DDE">
        <w:rPr>
          <w:rFonts w:ascii="Arial" w:hAnsi="Arial" w:cs="Arial"/>
        </w:rPr>
        <w:t>Amarraque</w:t>
      </w:r>
      <w:proofErr w:type="spellEnd"/>
      <w:r w:rsidRPr="00985DDE">
        <w:rPr>
          <w:rFonts w:ascii="Arial" w:hAnsi="Arial" w:cs="Arial"/>
        </w:rPr>
        <w:t xml:space="preserve">, A., Van </w:t>
      </w:r>
      <w:proofErr w:type="spellStart"/>
      <w:r w:rsidRPr="00985DDE">
        <w:rPr>
          <w:rFonts w:ascii="Arial" w:hAnsi="Arial" w:cs="Arial"/>
        </w:rPr>
        <w:t>Vaerenbergh</w:t>
      </w:r>
      <w:proofErr w:type="spellEnd"/>
      <w:r w:rsidRPr="00985DDE">
        <w:rPr>
          <w:rFonts w:ascii="Arial" w:hAnsi="Arial" w:cs="Arial"/>
        </w:rPr>
        <w:t xml:space="preserve">, J., </w:t>
      </w:r>
      <w:proofErr w:type="spellStart"/>
      <w:r w:rsidRPr="00985DDE">
        <w:rPr>
          <w:rFonts w:ascii="Arial" w:hAnsi="Arial" w:cs="Arial"/>
        </w:rPr>
        <w:t>Tahzima</w:t>
      </w:r>
      <w:proofErr w:type="spellEnd"/>
      <w:r w:rsidRPr="00985DDE">
        <w:rPr>
          <w:rFonts w:ascii="Arial" w:hAnsi="Arial" w:cs="Arial"/>
        </w:rPr>
        <w:t xml:space="preserve">, R., </w:t>
      </w:r>
      <w:proofErr w:type="spellStart"/>
      <w:r w:rsidRPr="00985DDE">
        <w:rPr>
          <w:rFonts w:ascii="Arial" w:hAnsi="Arial" w:cs="Arial"/>
        </w:rPr>
        <w:t>Mayad</w:t>
      </w:r>
      <w:proofErr w:type="spellEnd"/>
      <w:r w:rsidRPr="00985DDE">
        <w:rPr>
          <w:rFonts w:ascii="Arial" w:hAnsi="Arial" w:cs="Arial"/>
        </w:rPr>
        <w:t xml:space="preserve">, E. H., &amp; </w:t>
      </w:r>
      <w:proofErr w:type="spellStart"/>
      <w:r w:rsidRPr="00985DDE">
        <w:rPr>
          <w:rFonts w:ascii="Arial" w:hAnsi="Arial" w:cs="Arial"/>
        </w:rPr>
        <w:t>Chebli</w:t>
      </w:r>
      <w:proofErr w:type="spellEnd"/>
      <w:r w:rsidRPr="00985DDE">
        <w:rPr>
          <w:rFonts w:ascii="Arial" w:hAnsi="Arial" w:cs="Arial"/>
        </w:rPr>
        <w:t xml:space="preserve">, B. (2019). Applications of New Rhizobacteria Pseudomonas Isolates in Agroecology via Fundamental Processes Complementing Plant Growth. Scientific Reports, 9(1), 12832. </w:t>
      </w:r>
      <w:hyperlink r:id="rId47" w:history="1">
        <w:r w:rsidRPr="00103F45">
          <w:rPr>
            <w:rStyle w:val="Hyperlink"/>
            <w:rFonts w:ascii="Arial" w:hAnsi="Arial" w:cs="Arial"/>
          </w:rPr>
          <w:t>https://doi.org/10.1038/s41598-019-49216-8</w:t>
        </w:r>
      </w:hyperlink>
    </w:p>
    <w:p w14:paraId="325E7062"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Rahmoune</w:t>
      </w:r>
      <w:proofErr w:type="spellEnd"/>
      <w:r w:rsidRPr="00985DDE">
        <w:rPr>
          <w:rFonts w:ascii="Arial" w:hAnsi="Arial" w:cs="Arial"/>
        </w:rPr>
        <w:t xml:space="preserve">, B., </w:t>
      </w:r>
      <w:proofErr w:type="spellStart"/>
      <w:r w:rsidRPr="00985DDE">
        <w:rPr>
          <w:rFonts w:ascii="Arial" w:hAnsi="Arial" w:cs="Arial"/>
        </w:rPr>
        <w:t>Morsli</w:t>
      </w:r>
      <w:proofErr w:type="spellEnd"/>
      <w:r w:rsidRPr="00985DDE">
        <w:rPr>
          <w:rFonts w:ascii="Arial" w:hAnsi="Arial" w:cs="Arial"/>
        </w:rPr>
        <w:t xml:space="preserve">, A., </w:t>
      </w:r>
      <w:proofErr w:type="spellStart"/>
      <w:r w:rsidRPr="00985DDE">
        <w:rPr>
          <w:rFonts w:ascii="Arial" w:hAnsi="Arial" w:cs="Arial"/>
        </w:rPr>
        <w:t>Khelifi-Slaoui</w:t>
      </w:r>
      <w:proofErr w:type="spellEnd"/>
      <w:r w:rsidRPr="00985DDE">
        <w:rPr>
          <w:rFonts w:ascii="Arial" w:hAnsi="Arial" w:cs="Arial"/>
        </w:rPr>
        <w:t xml:space="preserve">, M., </w:t>
      </w:r>
      <w:proofErr w:type="spellStart"/>
      <w:r w:rsidRPr="00985DDE">
        <w:rPr>
          <w:rFonts w:ascii="Arial" w:hAnsi="Arial" w:cs="Arial"/>
        </w:rPr>
        <w:t>Khelifi</w:t>
      </w:r>
      <w:proofErr w:type="spellEnd"/>
      <w:r w:rsidRPr="00985DDE">
        <w:rPr>
          <w:rFonts w:ascii="Arial" w:hAnsi="Arial" w:cs="Arial"/>
        </w:rPr>
        <w:t xml:space="preserve">, L., </w:t>
      </w:r>
      <w:proofErr w:type="spellStart"/>
      <w:r w:rsidRPr="00985DDE">
        <w:rPr>
          <w:rFonts w:ascii="Arial" w:hAnsi="Arial" w:cs="Arial"/>
        </w:rPr>
        <w:t>Strueh</w:t>
      </w:r>
      <w:proofErr w:type="spellEnd"/>
      <w:r w:rsidRPr="00985DDE">
        <w:rPr>
          <w:rFonts w:ascii="Arial" w:hAnsi="Arial" w:cs="Arial"/>
        </w:rPr>
        <w:t xml:space="preserve">, A., </w:t>
      </w:r>
      <w:proofErr w:type="spellStart"/>
      <w:r w:rsidRPr="00985DDE">
        <w:rPr>
          <w:rFonts w:ascii="Arial" w:hAnsi="Arial" w:cs="Arial"/>
        </w:rPr>
        <w:t>Erban</w:t>
      </w:r>
      <w:proofErr w:type="spellEnd"/>
      <w:r w:rsidRPr="00985DDE">
        <w:rPr>
          <w:rFonts w:ascii="Arial" w:hAnsi="Arial" w:cs="Arial"/>
        </w:rPr>
        <w:t xml:space="preserve">, A., </w:t>
      </w:r>
      <w:proofErr w:type="spellStart"/>
      <w:r w:rsidRPr="00985DDE">
        <w:rPr>
          <w:rFonts w:ascii="Arial" w:hAnsi="Arial" w:cs="Arial"/>
        </w:rPr>
        <w:t>Kopka</w:t>
      </w:r>
      <w:proofErr w:type="spellEnd"/>
      <w:r w:rsidRPr="00985DDE">
        <w:rPr>
          <w:rFonts w:ascii="Arial" w:hAnsi="Arial" w:cs="Arial"/>
        </w:rPr>
        <w:t xml:space="preserve">, J., </w:t>
      </w:r>
      <w:proofErr w:type="spellStart"/>
      <w:r w:rsidRPr="00985DDE">
        <w:rPr>
          <w:rFonts w:ascii="Arial" w:hAnsi="Arial" w:cs="Arial"/>
        </w:rPr>
        <w:t>Prell</w:t>
      </w:r>
      <w:proofErr w:type="spellEnd"/>
      <w:r w:rsidRPr="00985DDE">
        <w:rPr>
          <w:rFonts w:ascii="Arial" w:hAnsi="Arial" w:cs="Arial"/>
        </w:rPr>
        <w:t xml:space="preserve">, J., &amp; Van </w:t>
      </w:r>
      <w:proofErr w:type="spellStart"/>
      <w:r w:rsidRPr="00985DDE">
        <w:rPr>
          <w:rFonts w:ascii="Arial" w:hAnsi="Arial" w:cs="Arial"/>
        </w:rPr>
        <w:t>Dongen</w:t>
      </w:r>
      <w:proofErr w:type="spellEnd"/>
      <w:r w:rsidRPr="00985DDE">
        <w:rPr>
          <w:rFonts w:ascii="Arial" w:hAnsi="Arial" w:cs="Arial"/>
        </w:rPr>
        <w:t xml:space="preserve">, J. T. (2017). Isolation and characterization of three new PGPR and their effects on the growth of Arabidopsis and Datura plants. Journal of Plant Interactions, 12(1), 1–6. </w:t>
      </w:r>
      <w:hyperlink r:id="rId48" w:history="1">
        <w:r w:rsidRPr="00103F45">
          <w:rPr>
            <w:rStyle w:val="Hyperlink"/>
            <w:rFonts w:ascii="Arial" w:hAnsi="Arial" w:cs="Arial"/>
          </w:rPr>
          <w:t>https://doi.org/10.1080/17429145.2016.1269215</w:t>
        </w:r>
      </w:hyperlink>
    </w:p>
    <w:p w14:paraId="6C0A2E80"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Waqas, M., Khan, A. L., </w:t>
      </w:r>
      <w:proofErr w:type="spellStart"/>
      <w:r w:rsidRPr="00985DDE">
        <w:rPr>
          <w:rFonts w:ascii="Arial" w:hAnsi="Arial" w:cs="Arial"/>
        </w:rPr>
        <w:t>Hamayun</w:t>
      </w:r>
      <w:proofErr w:type="spellEnd"/>
      <w:r w:rsidRPr="00985DDE">
        <w:rPr>
          <w:rFonts w:ascii="Arial" w:hAnsi="Arial" w:cs="Arial"/>
        </w:rPr>
        <w:t xml:space="preserve">, M., Shahzad, R., Kang, S.-M., Kim, J.-G., &amp; Lee, I.-J. (2015). Endophytic fungi promote plant growth and mitigate the adverse effects of stem rot: an example of Penicillium </w:t>
      </w:r>
      <w:proofErr w:type="spellStart"/>
      <w:r w:rsidRPr="00985DDE">
        <w:rPr>
          <w:rFonts w:ascii="Arial" w:hAnsi="Arial" w:cs="Arial"/>
        </w:rPr>
        <w:t>citrinum</w:t>
      </w:r>
      <w:proofErr w:type="spellEnd"/>
      <w:r w:rsidRPr="00985DDE">
        <w:rPr>
          <w:rFonts w:ascii="Arial" w:hAnsi="Arial" w:cs="Arial"/>
        </w:rPr>
        <w:t xml:space="preserve"> and Aspergillus </w:t>
      </w:r>
      <w:proofErr w:type="spellStart"/>
      <w:r w:rsidRPr="00985DDE">
        <w:rPr>
          <w:rFonts w:ascii="Arial" w:hAnsi="Arial" w:cs="Arial"/>
        </w:rPr>
        <w:t>terreus</w:t>
      </w:r>
      <w:proofErr w:type="spellEnd"/>
      <w:r w:rsidRPr="00985DDE">
        <w:rPr>
          <w:rFonts w:ascii="Arial" w:hAnsi="Arial" w:cs="Arial"/>
        </w:rPr>
        <w:t xml:space="preserve">. Journal of Plant Interactions, 10(1), 280–287. </w:t>
      </w:r>
      <w:hyperlink r:id="rId49" w:history="1">
        <w:r w:rsidRPr="00103F45">
          <w:rPr>
            <w:rStyle w:val="Hyperlink"/>
            <w:rFonts w:ascii="Arial" w:hAnsi="Arial" w:cs="Arial"/>
          </w:rPr>
          <w:t>https://doi.org/10.1080/17429145.2015.1079743g</w:t>
        </w:r>
      </w:hyperlink>
    </w:p>
    <w:p w14:paraId="5DA6C89A"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Loganathan, M., Garg, R., </w:t>
      </w:r>
      <w:proofErr w:type="spellStart"/>
      <w:r w:rsidRPr="00985DDE">
        <w:rPr>
          <w:rFonts w:ascii="Arial" w:hAnsi="Arial" w:cs="Arial"/>
        </w:rPr>
        <w:t>Venkataravanappa</w:t>
      </w:r>
      <w:proofErr w:type="spellEnd"/>
      <w:r w:rsidRPr="00985DDE">
        <w:rPr>
          <w:rFonts w:ascii="Arial" w:hAnsi="Arial" w:cs="Arial"/>
        </w:rPr>
        <w:t xml:space="preserve">, V., </w:t>
      </w:r>
      <w:proofErr w:type="spellStart"/>
      <w:r w:rsidRPr="00985DDE">
        <w:rPr>
          <w:rFonts w:ascii="Arial" w:hAnsi="Arial" w:cs="Arial"/>
        </w:rPr>
        <w:t>Saha</w:t>
      </w:r>
      <w:proofErr w:type="spellEnd"/>
      <w:r w:rsidRPr="00985DDE">
        <w:rPr>
          <w:rFonts w:ascii="Arial" w:hAnsi="Arial" w:cs="Arial"/>
        </w:rPr>
        <w:t xml:space="preserve">, S., &amp; Rai, A. B. (2014). Plant growth promoting rhizobacteria (PGPR) induces resistance against Fusarium wilt and improves lycopene content and texture in tomato. African Journal of Microbiology Research, 8(11), 1105–1111. </w:t>
      </w:r>
      <w:hyperlink r:id="rId50" w:history="1">
        <w:r w:rsidRPr="00103F45">
          <w:rPr>
            <w:rStyle w:val="Hyperlink"/>
            <w:rFonts w:ascii="Arial" w:hAnsi="Arial" w:cs="Arial"/>
          </w:rPr>
          <w:t>https://doi.org/10.5897/AJMR2013.5653</w:t>
        </w:r>
      </w:hyperlink>
    </w:p>
    <w:p w14:paraId="626AAF8F" w14:textId="77777777" w:rsidR="00985DDE" w:rsidRPr="00985DDE" w:rsidRDefault="00985DDE" w:rsidP="00C50DF6">
      <w:pPr>
        <w:pStyle w:val="Bibliography"/>
        <w:numPr>
          <w:ilvl w:val="0"/>
          <w:numId w:val="33"/>
        </w:numPr>
        <w:jc w:val="both"/>
        <w:rPr>
          <w:rFonts w:ascii="Arial" w:hAnsi="Arial" w:cs="Arial"/>
          <w:lang w:val="fr-FR"/>
        </w:rPr>
      </w:pPr>
      <w:proofErr w:type="spellStart"/>
      <w:r w:rsidRPr="00985DDE">
        <w:rPr>
          <w:rFonts w:ascii="Arial" w:hAnsi="Arial" w:cs="Arial"/>
        </w:rPr>
        <w:t>Cotrufo</w:t>
      </w:r>
      <w:proofErr w:type="spellEnd"/>
      <w:r w:rsidRPr="00985DDE">
        <w:rPr>
          <w:rFonts w:ascii="Arial" w:hAnsi="Arial" w:cs="Arial"/>
        </w:rPr>
        <w:t xml:space="preserve">, M. F., &amp; Lavallee, J. M. (2022). Soil organic matter formation, persistence, and functioning: A synthesis of current understanding to inform its conservation and regeneration. Advances in Agronomy, 172, 1–66. </w:t>
      </w:r>
      <w:hyperlink r:id="rId51" w:history="1">
        <w:r w:rsidRPr="00103F45">
          <w:rPr>
            <w:rStyle w:val="Hyperlink"/>
            <w:rFonts w:ascii="Arial" w:hAnsi="Arial" w:cs="Arial"/>
          </w:rPr>
          <w:t>https://doi.org/10.1016/bs.agron.2021.11.002</w:t>
        </w:r>
      </w:hyperlink>
    </w:p>
    <w:p w14:paraId="31DDE534"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Karambiri, B. L. C. N., &amp; Gansaonre, R. N. (2023). </w:t>
      </w:r>
      <w:r w:rsidRPr="00985DDE">
        <w:rPr>
          <w:rFonts w:ascii="Arial" w:hAnsi="Arial" w:cs="Arial"/>
          <w:lang w:val="fr-FR"/>
        </w:rPr>
        <w:t xml:space="preserve">Variabilité Spatio-Temporelle de la Pluviométrie dans les Zones Soudaniennes, Soudano-Sahélienne et </w:t>
      </w:r>
      <w:proofErr w:type="spellStart"/>
      <w:r w:rsidRPr="00985DDE">
        <w:rPr>
          <w:rFonts w:ascii="Arial" w:hAnsi="Arial" w:cs="Arial"/>
          <w:lang w:val="fr-FR"/>
        </w:rPr>
        <w:t>Sahélenne</w:t>
      </w:r>
      <w:proofErr w:type="spellEnd"/>
      <w:r w:rsidRPr="00985DDE">
        <w:rPr>
          <w:rFonts w:ascii="Arial" w:hAnsi="Arial" w:cs="Arial"/>
          <w:lang w:val="fr-FR"/>
        </w:rPr>
        <w:t xml:space="preserve"> du Burkina Faso. ESI </w:t>
      </w:r>
      <w:proofErr w:type="spellStart"/>
      <w:r w:rsidRPr="00985DDE">
        <w:rPr>
          <w:rFonts w:ascii="Arial" w:hAnsi="Arial" w:cs="Arial"/>
          <w:lang w:val="fr-FR"/>
        </w:rPr>
        <w:t>Preprints</w:t>
      </w:r>
      <w:proofErr w:type="spellEnd"/>
      <w:r w:rsidRPr="00985DDE">
        <w:rPr>
          <w:rFonts w:ascii="Arial" w:hAnsi="Arial" w:cs="Arial"/>
          <w:lang w:val="fr-FR"/>
        </w:rPr>
        <w:t xml:space="preserve"> (</w:t>
      </w:r>
      <w:proofErr w:type="spellStart"/>
      <w:r w:rsidRPr="00985DDE">
        <w:rPr>
          <w:rFonts w:ascii="Arial" w:hAnsi="Arial" w:cs="Arial"/>
          <w:lang w:val="fr-FR"/>
        </w:rPr>
        <w:t>European</w:t>
      </w:r>
      <w:proofErr w:type="spellEnd"/>
      <w:r w:rsidRPr="00985DDE">
        <w:rPr>
          <w:rFonts w:ascii="Arial" w:hAnsi="Arial" w:cs="Arial"/>
          <w:lang w:val="fr-FR"/>
        </w:rPr>
        <w:t xml:space="preserve"> Scientific Journal, ESJ). </w:t>
      </w:r>
      <w:hyperlink r:id="rId52" w:history="1">
        <w:r w:rsidRPr="00103F45">
          <w:rPr>
            <w:rStyle w:val="Hyperlink"/>
            <w:rFonts w:ascii="Arial" w:hAnsi="Arial" w:cs="Arial"/>
            <w:lang w:val="fr-FR"/>
          </w:rPr>
          <w:t>https://doi.org/10.19044/esipreprint.3.2023.p1</w:t>
        </w:r>
      </w:hyperlink>
    </w:p>
    <w:p w14:paraId="28AED715"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Koussihouèdé</w:t>
      </w:r>
      <w:proofErr w:type="spellEnd"/>
      <w:r w:rsidRPr="00985DDE">
        <w:rPr>
          <w:rFonts w:ascii="Arial" w:hAnsi="Arial" w:cs="Arial"/>
        </w:rPr>
        <w:t xml:space="preserve">, F. E. N., </w:t>
      </w:r>
      <w:proofErr w:type="spellStart"/>
      <w:r w:rsidRPr="00985DDE">
        <w:rPr>
          <w:rFonts w:ascii="Arial" w:hAnsi="Arial" w:cs="Arial"/>
        </w:rPr>
        <w:t>Falola</w:t>
      </w:r>
      <w:proofErr w:type="spellEnd"/>
      <w:r w:rsidRPr="00985DDE">
        <w:rPr>
          <w:rFonts w:ascii="Arial" w:hAnsi="Arial" w:cs="Arial"/>
        </w:rPr>
        <w:t xml:space="preserve">, J.-M., </w:t>
      </w:r>
      <w:proofErr w:type="spellStart"/>
      <w:r w:rsidRPr="00985DDE">
        <w:rPr>
          <w:rFonts w:ascii="Arial" w:hAnsi="Arial" w:cs="Arial"/>
        </w:rPr>
        <w:t>Lawani</w:t>
      </w:r>
      <w:proofErr w:type="spellEnd"/>
      <w:r w:rsidRPr="00985DDE">
        <w:rPr>
          <w:rFonts w:ascii="Arial" w:hAnsi="Arial" w:cs="Arial"/>
        </w:rPr>
        <w:t xml:space="preserve">, M. M., </w:t>
      </w:r>
      <w:proofErr w:type="spellStart"/>
      <w:r w:rsidRPr="00985DDE">
        <w:rPr>
          <w:rFonts w:ascii="Arial" w:hAnsi="Arial" w:cs="Arial"/>
        </w:rPr>
        <w:t>Gouthon</w:t>
      </w:r>
      <w:proofErr w:type="spellEnd"/>
      <w:r w:rsidRPr="00985DDE">
        <w:rPr>
          <w:rFonts w:ascii="Arial" w:hAnsi="Arial" w:cs="Arial"/>
        </w:rPr>
        <w:t xml:space="preserve">, P., </w:t>
      </w:r>
      <w:proofErr w:type="spellStart"/>
      <w:r w:rsidRPr="00985DDE">
        <w:rPr>
          <w:rFonts w:ascii="Arial" w:hAnsi="Arial" w:cs="Arial"/>
        </w:rPr>
        <w:t>Avossevou</w:t>
      </w:r>
      <w:proofErr w:type="spellEnd"/>
      <w:r w:rsidRPr="00985DDE">
        <w:rPr>
          <w:rFonts w:ascii="Arial" w:hAnsi="Arial" w:cs="Arial"/>
        </w:rPr>
        <w:t xml:space="preserve">, Y. G., &amp; </w:t>
      </w:r>
      <w:proofErr w:type="spellStart"/>
      <w:r w:rsidRPr="00985DDE">
        <w:rPr>
          <w:rFonts w:ascii="Arial" w:hAnsi="Arial" w:cs="Arial"/>
        </w:rPr>
        <w:t>Lawani</w:t>
      </w:r>
      <w:proofErr w:type="spellEnd"/>
      <w:r w:rsidRPr="00985DDE">
        <w:rPr>
          <w:rFonts w:ascii="Arial" w:hAnsi="Arial" w:cs="Arial"/>
        </w:rPr>
        <w:t xml:space="preserve">, S. (2015). Wearing High Heel Shoes During Gait: Kinematics Impact and Determination of Comfort Height. American Journal of Life Sciences, 3(2), 56-61. </w:t>
      </w:r>
      <w:hyperlink r:id="rId53" w:history="1">
        <w:r w:rsidRPr="00103F45">
          <w:rPr>
            <w:rStyle w:val="Hyperlink"/>
            <w:rFonts w:ascii="Arial" w:hAnsi="Arial" w:cs="Arial"/>
          </w:rPr>
          <w:t>https://doi.org/10.11648/j.ajls.20150302.11</w:t>
        </w:r>
      </w:hyperlink>
    </w:p>
    <w:p w14:paraId="567DF647"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Barillot</w:t>
      </w:r>
      <w:proofErr w:type="spellEnd"/>
      <w:r w:rsidRPr="00985DDE">
        <w:rPr>
          <w:rFonts w:ascii="Arial" w:hAnsi="Arial" w:cs="Arial"/>
        </w:rPr>
        <w:t xml:space="preserve">, C. D. C., </w:t>
      </w:r>
      <w:proofErr w:type="spellStart"/>
      <w:r w:rsidRPr="00985DDE">
        <w:rPr>
          <w:rFonts w:ascii="Arial" w:hAnsi="Arial" w:cs="Arial"/>
        </w:rPr>
        <w:t>Sarde</w:t>
      </w:r>
      <w:proofErr w:type="spellEnd"/>
      <w:r w:rsidRPr="00985DDE">
        <w:rPr>
          <w:rFonts w:ascii="Arial" w:hAnsi="Arial" w:cs="Arial"/>
        </w:rPr>
        <w:t xml:space="preserve">, C.-O., Bert, V., </w:t>
      </w:r>
      <w:proofErr w:type="spellStart"/>
      <w:r w:rsidRPr="00985DDE">
        <w:rPr>
          <w:rFonts w:ascii="Arial" w:hAnsi="Arial" w:cs="Arial"/>
        </w:rPr>
        <w:t>Tarnaud</w:t>
      </w:r>
      <w:proofErr w:type="spellEnd"/>
      <w:r w:rsidRPr="00985DDE">
        <w:rPr>
          <w:rFonts w:ascii="Arial" w:hAnsi="Arial" w:cs="Arial"/>
        </w:rPr>
        <w:t xml:space="preserve">, E., &amp; Cochet, N. (2013). A standardized method for the sampling of rhizosphere and </w:t>
      </w:r>
      <w:proofErr w:type="spellStart"/>
      <w:r w:rsidRPr="00985DDE">
        <w:rPr>
          <w:rFonts w:ascii="Arial" w:hAnsi="Arial" w:cs="Arial"/>
        </w:rPr>
        <w:t>rhizoplan</w:t>
      </w:r>
      <w:proofErr w:type="spellEnd"/>
      <w:r w:rsidRPr="00985DDE">
        <w:rPr>
          <w:rFonts w:ascii="Arial" w:hAnsi="Arial" w:cs="Arial"/>
        </w:rPr>
        <w:t xml:space="preserve"> soil bacteria associated to </w:t>
      </w:r>
      <w:proofErr w:type="gramStart"/>
      <w:r w:rsidRPr="00985DDE">
        <w:rPr>
          <w:rFonts w:ascii="Arial" w:hAnsi="Arial" w:cs="Arial"/>
        </w:rPr>
        <w:t>a</w:t>
      </w:r>
      <w:proofErr w:type="gramEnd"/>
      <w:r w:rsidRPr="00985DDE">
        <w:rPr>
          <w:rFonts w:ascii="Arial" w:hAnsi="Arial" w:cs="Arial"/>
        </w:rPr>
        <w:t xml:space="preserve"> herbaceous root system. Annals of Microbiology, 63, 471–476. </w:t>
      </w:r>
      <w:hyperlink r:id="rId54" w:history="1">
        <w:r w:rsidRPr="00103F45">
          <w:rPr>
            <w:rStyle w:val="Hyperlink"/>
            <w:rFonts w:ascii="Arial" w:hAnsi="Arial" w:cs="Arial"/>
          </w:rPr>
          <w:t>https://doi.org/10.1007/s13213-012-0491-y</w:t>
        </w:r>
      </w:hyperlink>
    </w:p>
    <w:p w14:paraId="395DDDBB" w14:textId="77777777" w:rsidR="004543F5" w:rsidRPr="001C4642" w:rsidRDefault="004543F5" w:rsidP="00C50DF6">
      <w:pPr>
        <w:pStyle w:val="Bibliography"/>
        <w:numPr>
          <w:ilvl w:val="0"/>
          <w:numId w:val="33"/>
        </w:numPr>
        <w:jc w:val="both"/>
        <w:rPr>
          <w:rFonts w:ascii="Arial" w:hAnsi="Arial" w:cs="Arial"/>
        </w:rPr>
      </w:pPr>
      <w:r w:rsidRPr="00985DDE">
        <w:rPr>
          <w:rFonts w:ascii="Arial" w:hAnsi="Arial" w:cs="Arial"/>
          <w:lang w:val="fr-FR"/>
        </w:rPr>
        <w:t xml:space="preserve">Lalande, R., Bissonnette, N., </w:t>
      </w:r>
      <w:proofErr w:type="spellStart"/>
      <w:r w:rsidRPr="00985DDE">
        <w:rPr>
          <w:rFonts w:ascii="Arial" w:hAnsi="Arial" w:cs="Arial"/>
          <w:lang w:val="fr-FR"/>
        </w:rPr>
        <w:t>Coutlée</w:t>
      </w:r>
      <w:proofErr w:type="spellEnd"/>
      <w:r w:rsidRPr="00985DDE">
        <w:rPr>
          <w:rFonts w:ascii="Arial" w:hAnsi="Arial" w:cs="Arial"/>
          <w:lang w:val="fr-FR"/>
        </w:rPr>
        <w:t xml:space="preserve">, D., </w:t>
      </w:r>
      <w:proofErr w:type="spellStart"/>
      <w:r w:rsidRPr="00985DDE">
        <w:rPr>
          <w:rFonts w:ascii="Arial" w:hAnsi="Arial" w:cs="Arial"/>
          <w:lang w:val="fr-FR"/>
        </w:rPr>
        <w:t>Antoun</w:t>
      </w:r>
      <w:proofErr w:type="spellEnd"/>
      <w:r w:rsidRPr="00985DDE">
        <w:rPr>
          <w:rFonts w:ascii="Arial" w:hAnsi="Arial" w:cs="Arial"/>
          <w:lang w:val="fr-FR"/>
        </w:rPr>
        <w:t xml:space="preserve">, H., 1989. </w:t>
      </w:r>
      <w:r w:rsidRPr="001C4642">
        <w:rPr>
          <w:rFonts w:ascii="Arial" w:hAnsi="Arial" w:cs="Arial"/>
        </w:rPr>
        <w:t>Identification of rhizobacteria from maize and determination of their plant-growth promoting potential. Plant Soil 115, 7–11. https://doi.org/10.1007/BF02220688</w:t>
      </w:r>
    </w:p>
    <w:p w14:paraId="611023E7"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fr-FR"/>
        </w:rPr>
        <w:t xml:space="preserve">Giroux, L. (2015). Caractérisation de </w:t>
      </w:r>
      <w:proofErr w:type="spellStart"/>
      <w:r w:rsidRPr="00985DDE">
        <w:rPr>
          <w:rFonts w:ascii="Arial" w:hAnsi="Arial" w:cs="Arial"/>
          <w:lang w:val="fr-FR"/>
        </w:rPr>
        <w:t>rhizobactéries</w:t>
      </w:r>
      <w:proofErr w:type="spellEnd"/>
      <w:r w:rsidRPr="00985DDE">
        <w:rPr>
          <w:rFonts w:ascii="Arial" w:hAnsi="Arial" w:cs="Arial"/>
          <w:lang w:val="fr-FR"/>
        </w:rPr>
        <w:t xml:space="preserve"> du groupe des Bacillus bénéfiques à la croissance de la tomate (Mémoire de maîtrise). Université du Québec à Trois-Rivières. </w:t>
      </w:r>
      <w:hyperlink r:id="rId55" w:history="1">
        <w:r w:rsidRPr="00103F45">
          <w:rPr>
            <w:rStyle w:val="Hyperlink"/>
            <w:rFonts w:ascii="Arial" w:hAnsi="Arial" w:cs="Arial"/>
            <w:lang w:val="fr-FR"/>
          </w:rPr>
          <w:t>https://depot-e.uqtr.ca/id/eprint/8449</w:t>
        </w:r>
      </w:hyperlink>
    </w:p>
    <w:p w14:paraId="433E2E02" w14:textId="77777777" w:rsidR="004543F5" w:rsidRPr="001C4642" w:rsidRDefault="004543F5" w:rsidP="00C50DF6">
      <w:pPr>
        <w:pStyle w:val="Bibliography"/>
        <w:numPr>
          <w:ilvl w:val="0"/>
          <w:numId w:val="33"/>
        </w:numPr>
        <w:jc w:val="both"/>
        <w:rPr>
          <w:rFonts w:ascii="Arial" w:hAnsi="Arial" w:cs="Arial"/>
        </w:rPr>
      </w:pPr>
      <w:r w:rsidRPr="00985DDE">
        <w:rPr>
          <w:rFonts w:ascii="Arial" w:hAnsi="Arial" w:cs="Arial"/>
          <w:lang w:val="en-IN"/>
        </w:rPr>
        <w:t xml:space="preserve">Cappuccino, J.C., Sherman, N., 1992. </w:t>
      </w:r>
      <w:r w:rsidRPr="001C4642">
        <w:rPr>
          <w:rFonts w:ascii="Arial" w:hAnsi="Arial" w:cs="Arial"/>
        </w:rPr>
        <w:t>In: Microbiology: A Laboratory Manual, third ed. Benjamin/cummings Pub. Co., New York, pp. 125–179.</w:t>
      </w:r>
    </w:p>
    <w:p w14:paraId="4377DB71"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lastRenderedPageBreak/>
        <w:t>Deshwal</w:t>
      </w:r>
      <w:proofErr w:type="spellEnd"/>
      <w:r w:rsidRPr="00985DDE">
        <w:rPr>
          <w:rFonts w:ascii="Arial" w:hAnsi="Arial" w:cs="Arial"/>
        </w:rPr>
        <w:t xml:space="preserve">, V. K., &amp; Kumar, P. (2013). Production of plant growth promoting substance by Pseudomonads. *J. Acad. Ind. Res.*, *2*(4), 221–225. </w:t>
      </w:r>
      <w:hyperlink r:id="rId56" w:history="1">
        <w:r w:rsidRPr="00103F45">
          <w:rPr>
            <w:rStyle w:val="Hyperlink"/>
            <w:rFonts w:ascii="Arial" w:hAnsi="Arial" w:cs="Arial"/>
          </w:rPr>
          <w:t>https://www.researchgate.net/publication/280920000_Production_of_Plant_growth_promoting_substance_by_Pseudomonads</w:t>
        </w:r>
      </w:hyperlink>
    </w:p>
    <w:p w14:paraId="682A5A49"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Ambrosini, A., &amp; Passaglia, L. M. P. (2017). </w:t>
      </w:r>
      <w:r w:rsidRPr="00985DDE">
        <w:rPr>
          <w:rFonts w:ascii="Arial" w:hAnsi="Arial" w:cs="Arial"/>
          <w:lang w:val="en-IN"/>
        </w:rPr>
        <w:t xml:space="preserve">Plant Growth–Promoting Bacteria (PGPB): Isolation and Screening of PGP Activities. Current Protocols in Plant Biology, 2(3), 190–209. </w:t>
      </w:r>
      <w:hyperlink r:id="rId57" w:history="1">
        <w:r w:rsidRPr="00103F45">
          <w:rPr>
            <w:rStyle w:val="Hyperlink"/>
            <w:rFonts w:ascii="Arial" w:hAnsi="Arial" w:cs="Arial"/>
            <w:lang w:val="en-IN"/>
          </w:rPr>
          <w:t>https://doi.org/10.1002/pb.20054</w:t>
        </w:r>
      </w:hyperlink>
    </w:p>
    <w:p w14:paraId="3BD6935D" w14:textId="77777777" w:rsidR="00985DDE" w:rsidRPr="00985DDE" w:rsidRDefault="00985DDE" w:rsidP="00C50DF6">
      <w:pPr>
        <w:pStyle w:val="ListParagraph"/>
        <w:numPr>
          <w:ilvl w:val="0"/>
          <w:numId w:val="33"/>
        </w:numPr>
        <w:spacing w:after="160"/>
        <w:jc w:val="both"/>
        <w:rPr>
          <w:rFonts w:ascii="Arial" w:hAnsi="Arial" w:cs="Arial"/>
        </w:rPr>
      </w:pPr>
      <w:proofErr w:type="spellStart"/>
      <w:r w:rsidRPr="00985DDE">
        <w:rPr>
          <w:rFonts w:ascii="Arial" w:hAnsi="Arial" w:cs="Arial"/>
        </w:rPr>
        <w:t>Lorck</w:t>
      </w:r>
      <w:proofErr w:type="spellEnd"/>
      <w:r w:rsidRPr="00985DDE">
        <w:rPr>
          <w:rFonts w:ascii="Arial" w:hAnsi="Arial" w:cs="Arial"/>
        </w:rPr>
        <w:t xml:space="preserve">, H. (1948). Production of hydrocyanic acid by bacteria. </w:t>
      </w:r>
      <w:r w:rsidRPr="00985DDE">
        <w:rPr>
          <w:rFonts w:ascii="Arial" w:hAnsi="Arial" w:cs="Arial"/>
          <w:lang w:val="pt-BR"/>
        </w:rPr>
        <w:t xml:space="preserve">Physiologia Plantarum, 1, 142–146. </w:t>
      </w:r>
      <w:r w:rsidR="00A14075">
        <w:fldChar w:fldCharType="begin"/>
      </w:r>
      <w:r w:rsidR="00A14075">
        <w:instrText xml:space="preserve"> HYPERLINK "https://doi.org/10.1111/j.1399-3054.1948.tb07118.x" </w:instrText>
      </w:r>
      <w:r w:rsidR="00A14075">
        <w:fldChar w:fldCharType="separate"/>
      </w:r>
      <w:r w:rsidRPr="00103F45">
        <w:rPr>
          <w:rStyle w:val="Hyperlink"/>
          <w:rFonts w:ascii="Arial" w:hAnsi="Arial" w:cs="Arial"/>
          <w:lang w:val="pt-BR"/>
        </w:rPr>
        <w:t>https://doi.org/10.1111/j.1399-3054.1948.tb07118.x</w:t>
      </w:r>
      <w:r w:rsidR="00A14075">
        <w:rPr>
          <w:rStyle w:val="Hyperlink"/>
          <w:rFonts w:ascii="Arial" w:hAnsi="Arial" w:cs="Arial"/>
          <w:lang w:val="pt-BR"/>
        </w:rPr>
        <w:fldChar w:fldCharType="end"/>
      </w:r>
    </w:p>
    <w:p w14:paraId="31E01F64" w14:textId="77777777" w:rsidR="004543F5" w:rsidRPr="001C4642" w:rsidRDefault="004543F5" w:rsidP="00C50DF6">
      <w:pPr>
        <w:pStyle w:val="ListParagraph"/>
        <w:numPr>
          <w:ilvl w:val="0"/>
          <w:numId w:val="33"/>
        </w:numPr>
        <w:spacing w:after="160"/>
        <w:jc w:val="both"/>
        <w:rPr>
          <w:rFonts w:ascii="Arial" w:hAnsi="Arial" w:cs="Arial"/>
        </w:rPr>
      </w:pPr>
      <w:r w:rsidRPr="00985DDE">
        <w:rPr>
          <w:rFonts w:ascii="Arial" w:hAnsi="Arial" w:cs="Arial"/>
          <w:lang w:val="en-IN"/>
        </w:rPr>
        <w:t xml:space="preserve">Bhatt, P.V., Vyas, B.R.M., 2014. </w:t>
      </w:r>
      <w:r w:rsidRPr="001C4642">
        <w:rPr>
          <w:rFonts w:ascii="Arial" w:hAnsi="Arial" w:cs="Arial"/>
        </w:rPr>
        <w:t xml:space="preserve">Screening and characterization of plant growth and health promoting rhizobacteria. Int. J. </w:t>
      </w:r>
      <w:proofErr w:type="spellStart"/>
      <w:r w:rsidRPr="001C4642">
        <w:rPr>
          <w:rFonts w:ascii="Arial" w:hAnsi="Arial" w:cs="Arial"/>
        </w:rPr>
        <w:t>Curr</w:t>
      </w:r>
      <w:proofErr w:type="spellEnd"/>
      <w:r w:rsidRPr="001C4642">
        <w:rPr>
          <w:rFonts w:ascii="Arial" w:hAnsi="Arial" w:cs="Arial"/>
        </w:rPr>
        <w:t>. Microbiol. Appl. Sci. 3, 139–155.</w:t>
      </w:r>
    </w:p>
    <w:p w14:paraId="7E21198A"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Konappa</w:t>
      </w:r>
      <w:proofErr w:type="spellEnd"/>
      <w:r w:rsidRPr="00985DDE">
        <w:rPr>
          <w:rFonts w:ascii="Arial" w:hAnsi="Arial" w:cs="Arial"/>
        </w:rPr>
        <w:t xml:space="preserve">, N., Krishnamurthy, S., </w:t>
      </w:r>
      <w:proofErr w:type="spellStart"/>
      <w:r w:rsidRPr="00985DDE">
        <w:rPr>
          <w:rFonts w:ascii="Arial" w:hAnsi="Arial" w:cs="Arial"/>
        </w:rPr>
        <w:t>Arakere</w:t>
      </w:r>
      <w:proofErr w:type="spellEnd"/>
      <w:r w:rsidRPr="00985DDE">
        <w:rPr>
          <w:rFonts w:ascii="Arial" w:hAnsi="Arial" w:cs="Arial"/>
        </w:rPr>
        <w:t xml:space="preserve">, U. C., </w:t>
      </w:r>
      <w:proofErr w:type="spellStart"/>
      <w:r w:rsidRPr="00985DDE">
        <w:rPr>
          <w:rFonts w:ascii="Arial" w:hAnsi="Arial" w:cs="Arial"/>
        </w:rPr>
        <w:t>Chowdappa</w:t>
      </w:r>
      <w:proofErr w:type="spellEnd"/>
      <w:r w:rsidRPr="00985DDE">
        <w:rPr>
          <w:rFonts w:ascii="Arial" w:hAnsi="Arial" w:cs="Arial"/>
        </w:rPr>
        <w:t xml:space="preserve">, S., &amp; </w:t>
      </w:r>
      <w:proofErr w:type="spellStart"/>
      <w:r w:rsidRPr="00985DDE">
        <w:rPr>
          <w:rFonts w:ascii="Arial" w:hAnsi="Arial" w:cs="Arial"/>
        </w:rPr>
        <w:t>Ramachandrappa</w:t>
      </w:r>
      <w:proofErr w:type="spellEnd"/>
      <w:r w:rsidRPr="00985DDE">
        <w:rPr>
          <w:rFonts w:ascii="Arial" w:hAnsi="Arial" w:cs="Arial"/>
        </w:rPr>
        <w:t xml:space="preserve">, N. S. (2020). Efficacy of indigenous plant growth-promoting rhizobacteria and Trichoderma strains in eliciting resistance against bacterial wilt in a tomato. Egypt. J. Biol. Pest Control, 30, 106. </w:t>
      </w:r>
      <w:hyperlink r:id="rId58" w:history="1">
        <w:r w:rsidRPr="00103F45">
          <w:rPr>
            <w:rStyle w:val="Hyperlink"/>
            <w:rFonts w:ascii="Arial" w:hAnsi="Arial" w:cs="Arial"/>
          </w:rPr>
          <w:t>https://doi.org/10.1186/s41938-020-00303-3</w:t>
        </w:r>
      </w:hyperlink>
    </w:p>
    <w:p w14:paraId="56DDB7A5"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Naureen</w:t>
      </w:r>
      <w:proofErr w:type="spellEnd"/>
      <w:r w:rsidRPr="00985DDE">
        <w:rPr>
          <w:rFonts w:ascii="Arial" w:hAnsi="Arial" w:cs="Arial"/>
        </w:rPr>
        <w:t xml:space="preserve">, Z., Rehman, N. U., Hussain, H., Hussain, J., Gilani, S. A., Al </w:t>
      </w:r>
      <w:proofErr w:type="spellStart"/>
      <w:r w:rsidRPr="00985DDE">
        <w:rPr>
          <w:rFonts w:ascii="Arial" w:hAnsi="Arial" w:cs="Arial"/>
        </w:rPr>
        <w:t>Housni</w:t>
      </w:r>
      <w:proofErr w:type="spellEnd"/>
      <w:r w:rsidRPr="00985DDE">
        <w:rPr>
          <w:rFonts w:ascii="Arial" w:hAnsi="Arial" w:cs="Arial"/>
        </w:rPr>
        <w:t xml:space="preserve">, S. K., </w:t>
      </w:r>
      <w:proofErr w:type="spellStart"/>
      <w:r w:rsidRPr="00985DDE">
        <w:rPr>
          <w:rFonts w:ascii="Arial" w:hAnsi="Arial" w:cs="Arial"/>
        </w:rPr>
        <w:t>Mabood</w:t>
      </w:r>
      <w:proofErr w:type="spellEnd"/>
      <w:r w:rsidRPr="00985DDE">
        <w:rPr>
          <w:rFonts w:ascii="Arial" w:hAnsi="Arial" w:cs="Arial"/>
        </w:rPr>
        <w:t xml:space="preserve">, F., Khan, A. L., Farooq, S., Abbas, G., &amp; </w:t>
      </w:r>
      <w:proofErr w:type="spellStart"/>
      <w:r w:rsidRPr="00985DDE">
        <w:rPr>
          <w:rFonts w:ascii="Arial" w:hAnsi="Arial" w:cs="Arial"/>
        </w:rPr>
        <w:t>Harrasi</w:t>
      </w:r>
      <w:proofErr w:type="spellEnd"/>
      <w:r w:rsidRPr="00985DDE">
        <w:rPr>
          <w:rFonts w:ascii="Arial" w:hAnsi="Arial" w:cs="Arial"/>
        </w:rPr>
        <w:t xml:space="preserve">, A. A. (2017). Exploring the Potentials of </w:t>
      </w:r>
      <w:proofErr w:type="spellStart"/>
      <w:r w:rsidRPr="00985DDE">
        <w:rPr>
          <w:rFonts w:ascii="Arial" w:hAnsi="Arial" w:cs="Arial"/>
        </w:rPr>
        <w:t>Lysinibacillus</w:t>
      </w:r>
      <w:proofErr w:type="spellEnd"/>
      <w:r w:rsidRPr="00985DDE">
        <w:rPr>
          <w:rFonts w:ascii="Arial" w:hAnsi="Arial" w:cs="Arial"/>
        </w:rPr>
        <w:t xml:space="preserve"> </w:t>
      </w:r>
      <w:proofErr w:type="spellStart"/>
      <w:r w:rsidRPr="00985DDE">
        <w:rPr>
          <w:rFonts w:ascii="Arial" w:hAnsi="Arial" w:cs="Arial"/>
        </w:rPr>
        <w:t>sphaericus</w:t>
      </w:r>
      <w:proofErr w:type="spellEnd"/>
      <w:r w:rsidRPr="00985DDE">
        <w:rPr>
          <w:rFonts w:ascii="Arial" w:hAnsi="Arial" w:cs="Arial"/>
        </w:rPr>
        <w:t xml:space="preserve"> ZA9 for Plant Growth Promotion and Biocontrol Activities against Phytopathogenic Fungi. Frontiers in Microbiology, 8. </w:t>
      </w:r>
      <w:hyperlink r:id="rId59" w:history="1">
        <w:r w:rsidRPr="00103F45">
          <w:rPr>
            <w:rStyle w:val="Hyperlink"/>
            <w:rFonts w:ascii="Arial" w:hAnsi="Arial" w:cs="Arial"/>
          </w:rPr>
          <w:t>https://doi.org/10.3389/fmicb.2017.01477</w:t>
        </w:r>
      </w:hyperlink>
    </w:p>
    <w:p w14:paraId="12DB202B"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Islam, S., Akanda, A. M., Prova, A., Islam, M. T., &amp; Hossain, M. M. (2016). </w:t>
      </w:r>
      <w:r w:rsidRPr="00985DDE">
        <w:rPr>
          <w:rFonts w:ascii="Arial" w:hAnsi="Arial" w:cs="Arial"/>
          <w:lang w:val="en-IN"/>
        </w:rPr>
        <w:t xml:space="preserve">Isolation and Identification of Plant Growth Promoting Rhizobacteria from Cucumber Rhizosphere and Their Effect on Plant Growth Promotion and Disease Suppression. Frontiers in Microbiology. </w:t>
      </w:r>
      <w:hyperlink r:id="rId60" w:history="1">
        <w:r w:rsidRPr="00103F45">
          <w:rPr>
            <w:rStyle w:val="Hyperlink"/>
            <w:rFonts w:ascii="Arial" w:hAnsi="Arial" w:cs="Arial"/>
            <w:lang w:val="en-IN"/>
          </w:rPr>
          <w:t>https://doi.org/10.3389/fmicb.2015.01360</w:t>
        </w:r>
      </w:hyperlink>
    </w:p>
    <w:p w14:paraId="7B6DC252" w14:textId="77777777" w:rsidR="00985DDE" w:rsidRPr="00985DDE" w:rsidRDefault="00985DDE" w:rsidP="00C50DF6">
      <w:pPr>
        <w:pStyle w:val="Bibliography"/>
        <w:numPr>
          <w:ilvl w:val="0"/>
          <w:numId w:val="33"/>
        </w:numPr>
        <w:jc w:val="both"/>
        <w:rPr>
          <w:rFonts w:ascii="Arial" w:hAnsi="Arial" w:cs="Arial"/>
        </w:rPr>
      </w:pPr>
      <w:r w:rsidRPr="00985DDE">
        <w:rPr>
          <w:rFonts w:ascii="Arial" w:hAnsi="Arial" w:cs="Arial"/>
          <w:lang w:val="pt-BR"/>
        </w:rPr>
        <w:t xml:space="preserve">Narendra Babu, A., Jogaiah, S., Ito, S., Kestur Nagaraj, A., &amp; Tran, L.-S.P. (2015). </w:t>
      </w:r>
      <w:r w:rsidRPr="00985DDE">
        <w:rPr>
          <w:rFonts w:ascii="Arial" w:hAnsi="Arial" w:cs="Arial"/>
          <w:lang w:val="en-IN"/>
        </w:rPr>
        <w:t xml:space="preserve">Improvement of growth, fruit weight and early blight disease protection of tomato plants by rhizosphere bacteria is correlated with their beneficial traits and induced biosynthesis of antioxidant peroxidase and polyphenol oxidase. Plant Science, 231, 62–73. </w:t>
      </w:r>
      <w:hyperlink r:id="rId61" w:history="1">
        <w:r w:rsidRPr="00103F45">
          <w:rPr>
            <w:rStyle w:val="Hyperlink"/>
            <w:rFonts w:ascii="Arial" w:hAnsi="Arial" w:cs="Arial"/>
            <w:lang w:val="en-IN"/>
          </w:rPr>
          <w:t>https://doi.org/10.1016/j.plantsci.2014.11.006</w:t>
        </w:r>
      </w:hyperlink>
    </w:p>
    <w:p w14:paraId="3CC4C68A"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Ahad</w:t>
      </w:r>
      <w:proofErr w:type="spellEnd"/>
      <w:r w:rsidRPr="00985DDE">
        <w:rPr>
          <w:rFonts w:ascii="Arial" w:hAnsi="Arial" w:cs="Arial"/>
        </w:rPr>
        <w:t xml:space="preserve">, A., Akhtar, N., </w:t>
      </w:r>
      <w:proofErr w:type="spellStart"/>
      <w:r w:rsidRPr="00985DDE">
        <w:rPr>
          <w:rFonts w:ascii="Arial" w:hAnsi="Arial" w:cs="Arial"/>
        </w:rPr>
        <w:t>Vasmatkar</w:t>
      </w:r>
      <w:proofErr w:type="spellEnd"/>
      <w:r w:rsidRPr="00985DDE">
        <w:rPr>
          <w:rFonts w:ascii="Arial" w:hAnsi="Arial" w:cs="Arial"/>
        </w:rPr>
        <w:t xml:space="preserve">, P., &amp; </w:t>
      </w:r>
      <w:proofErr w:type="spellStart"/>
      <w:r w:rsidRPr="00985DDE">
        <w:rPr>
          <w:rFonts w:ascii="Arial" w:hAnsi="Arial" w:cs="Arial"/>
        </w:rPr>
        <w:t>Baral</w:t>
      </w:r>
      <w:proofErr w:type="spellEnd"/>
      <w:r w:rsidRPr="00985DDE">
        <w:rPr>
          <w:rFonts w:ascii="Arial" w:hAnsi="Arial" w:cs="Arial"/>
        </w:rPr>
        <w:t xml:space="preserve">, P. (2014). Biochemical Characterization and Molecular Fingerprinting of Plant Growth Promoting Rhizobacteria. International Journal of Agriculture, Environment &amp; Biotechnology, 7(3), 491-498. </w:t>
      </w:r>
      <w:hyperlink r:id="rId62" w:history="1">
        <w:r w:rsidRPr="00103F45">
          <w:rPr>
            <w:rStyle w:val="Hyperlink"/>
            <w:rFonts w:ascii="Arial" w:hAnsi="Arial" w:cs="Arial"/>
          </w:rPr>
          <w:t>https://doi.org/10.5958/2230-732X.2014.01353.9</w:t>
        </w:r>
      </w:hyperlink>
    </w:p>
    <w:p w14:paraId="6401749F" w14:textId="77777777" w:rsidR="00985DDE" w:rsidRDefault="00985DDE" w:rsidP="00C50DF6">
      <w:pPr>
        <w:pStyle w:val="Bibliography"/>
        <w:numPr>
          <w:ilvl w:val="0"/>
          <w:numId w:val="33"/>
        </w:numPr>
        <w:jc w:val="both"/>
        <w:rPr>
          <w:rFonts w:ascii="Arial" w:hAnsi="Arial" w:cs="Arial"/>
        </w:rPr>
      </w:pPr>
      <w:r w:rsidRPr="00985DDE">
        <w:rPr>
          <w:rFonts w:ascii="Arial" w:hAnsi="Arial" w:cs="Arial"/>
        </w:rPr>
        <w:t xml:space="preserve">Tazi, S., </w:t>
      </w:r>
      <w:proofErr w:type="spellStart"/>
      <w:r w:rsidRPr="00985DDE">
        <w:rPr>
          <w:rFonts w:ascii="Arial" w:hAnsi="Arial" w:cs="Arial"/>
        </w:rPr>
        <w:t>Raissouni</w:t>
      </w:r>
      <w:proofErr w:type="spellEnd"/>
      <w:r w:rsidRPr="00985DDE">
        <w:rPr>
          <w:rFonts w:ascii="Arial" w:hAnsi="Arial" w:cs="Arial"/>
        </w:rPr>
        <w:t xml:space="preserve">, I., </w:t>
      </w:r>
      <w:proofErr w:type="spellStart"/>
      <w:r w:rsidRPr="00985DDE">
        <w:rPr>
          <w:rFonts w:ascii="Arial" w:hAnsi="Arial" w:cs="Arial"/>
        </w:rPr>
        <w:t>Chaoukat</w:t>
      </w:r>
      <w:proofErr w:type="spellEnd"/>
      <w:r w:rsidRPr="00985DDE">
        <w:rPr>
          <w:rFonts w:ascii="Arial" w:hAnsi="Arial" w:cs="Arial"/>
        </w:rPr>
        <w:t xml:space="preserve">, F., </w:t>
      </w:r>
      <w:proofErr w:type="spellStart"/>
      <w:r w:rsidRPr="00985DDE">
        <w:rPr>
          <w:rFonts w:ascii="Arial" w:hAnsi="Arial" w:cs="Arial"/>
        </w:rPr>
        <w:t>Bouchta</w:t>
      </w:r>
      <w:proofErr w:type="spellEnd"/>
      <w:r w:rsidRPr="00985DDE">
        <w:rPr>
          <w:rFonts w:ascii="Arial" w:hAnsi="Arial" w:cs="Arial"/>
        </w:rPr>
        <w:t xml:space="preserve">, D., </w:t>
      </w:r>
      <w:proofErr w:type="spellStart"/>
      <w:r w:rsidRPr="00985DDE">
        <w:rPr>
          <w:rFonts w:ascii="Arial" w:hAnsi="Arial" w:cs="Arial"/>
        </w:rPr>
        <w:t>Dahdouh</w:t>
      </w:r>
      <w:proofErr w:type="spellEnd"/>
      <w:r w:rsidRPr="00985DDE">
        <w:rPr>
          <w:rFonts w:ascii="Arial" w:hAnsi="Arial" w:cs="Arial"/>
        </w:rPr>
        <w:t xml:space="preserve">, A., </w:t>
      </w:r>
      <w:proofErr w:type="spellStart"/>
      <w:r w:rsidRPr="00985DDE">
        <w:rPr>
          <w:rFonts w:ascii="Arial" w:hAnsi="Arial" w:cs="Arial"/>
        </w:rPr>
        <w:t>Elkhamlichi</w:t>
      </w:r>
      <w:proofErr w:type="spellEnd"/>
      <w:r w:rsidRPr="00985DDE">
        <w:rPr>
          <w:rFonts w:ascii="Arial" w:hAnsi="Arial" w:cs="Arial"/>
        </w:rPr>
        <w:t xml:space="preserve">, R., &amp; </w:t>
      </w:r>
      <w:proofErr w:type="spellStart"/>
      <w:r w:rsidRPr="00985DDE">
        <w:rPr>
          <w:rFonts w:ascii="Arial" w:hAnsi="Arial" w:cs="Arial"/>
        </w:rPr>
        <w:t>Douhri</w:t>
      </w:r>
      <w:proofErr w:type="spellEnd"/>
      <w:r w:rsidRPr="00985DDE">
        <w:rPr>
          <w:rFonts w:ascii="Arial" w:hAnsi="Arial" w:cs="Arial"/>
        </w:rPr>
        <w:t xml:space="preserve">, H. (2016). </w:t>
      </w:r>
      <w:proofErr w:type="spellStart"/>
      <w:r w:rsidRPr="00985DDE">
        <w:rPr>
          <w:rFonts w:ascii="Arial" w:hAnsi="Arial" w:cs="Arial"/>
        </w:rPr>
        <w:t>L’effet</w:t>
      </w:r>
      <w:proofErr w:type="spellEnd"/>
      <w:r w:rsidRPr="00985DDE">
        <w:rPr>
          <w:rFonts w:ascii="Arial" w:hAnsi="Arial" w:cs="Arial"/>
        </w:rPr>
        <w:t xml:space="preserve"> </w:t>
      </w:r>
      <w:proofErr w:type="spellStart"/>
      <w:r w:rsidRPr="00985DDE">
        <w:rPr>
          <w:rFonts w:ascii="Arial" w:hAnsi="Arial" w:cs="Arial"/>
        </w:rPr>
        <w:t>Inhibiteur</w:t>
      </w:r>
      <w:proofErr w:type="spellEnd"/>
      <w:r w:rsidRPr="00985DDE">
        <w:rPr>
          <w:rFonts w:ascii="Arial" w:hAnsi="Arial" w:cs="Arial"/>
        </w:rPr>
        <w:t xml:space="preserve"> </w:t>
      </w:r>
      <w:proofErr w:type="spellStart"/>
      <w:r w:rsidRPr="00985DDE">
        <w:rPr>
          <w:rFonts w:ascii="Arial" w:hAnsi="Arial" w:cs="Arial"/>
        </w:rPr>
        <w:t>d’Eugénol</w:t>
      </w:r>
      <w:proofErr w:type="spellEnd"/>
      <w:r w:rsidRPr="00985DDE">
        <w:rPr>
          <w:rFonts w:ascii="Arial" w:hAnsi="Arial" w:cs="Arial"/>
        </w:rPr>
        <w:t xml:space="preserve"> sur la corrosion du </w:t>
      </w:r>
      <w:proofErr w:type="spellStart"/>
      <w:r w:rsidRPr="00985DDE">
        <w:rPr>
          <w:rFonts w:ascii="Arial" w:hAnsi="Arial" w:cs="Arial"/>
        </w:rPr>
        <w:t>Laiton</w:t>
      </w:r>
      <w:proofErr w:type="spellEnd"/>
      <w:r w:rsidRPr="00985DDE">
        <w:rPr>
          <w:rFonts w:ascii="Arial" w:hAnsi="Arial" w:cs="Arial"/>
        </w:rPr>
        <w:t xml:space="preserve"> dans NaCl 3% (The Inhibition effect of Brass corrosion in NaCl 3% by Eugenol). *Journal of Materials and Environmental Science*, *7*(5), 1642-1652. </w:t>
      </w:r>
      <w:hyperlink r:id="rId63" w:history="1">
        <w:r w:rsidRPr="00103F45">
          <w:rPr>
            <w:rStyle w:val="Hyperlink"/>
            <w:rFonts w:ascii="Arial" w:hAnsi="Arial" w:cs="Arial"/>
          </w:rPr>
          <w:t>http://www.jmaterenvironsci.com/vol7n5/JMES-V7I5-1642-1652.pdf</w:t>
        </w:r>
      </w:hyperlink>
    </w:p>
    <w:p w14:paraId="26E3E575" w14:textId="77777777" w:rsidR="00985DDE" w:rsidRDefault="00985DDE" w:rsidP="00C50DF6">
      <w:pPr>
        <w:pStyle w:val="Bibliography"/>
        <w:numPr>
          <w:ilvl w:val="0"/>
          <w:numId w:val="33"/>
        </w:numPr>
        <w:jc w:val="both"/>
        <w:rPr>
          <w:rFonts w:ascii="Arial" w:hAnsi="Arial" w:cs="Arial"/>
        </w:rPr>
      </w:pPr>
      <w:proofErr w:type="spellStart"/>
      <w:r w:rsidRPr="00985DDE">
        <w:rPr>
          <w:rFonts w:ascii="Arial" w:hAnsi="Arial" w:cs="Arial"/>
        </w:rPr>
        <w:t>Mollah</w:t>
      </w:r>
      <w:proofErr w:type="spellEnd"/>
      <w:r w:rsidRPr="00985DDE">
        <w:rPr>
          <w:rFonts w:ascii="Arial" w:hAnsi="Arial" w:cs="Arial"/>
        </w:rPr>
        <w:t xml:space="preserve">, A., </w:t>
      </w:r>
      <w:proofErr w:type="spellStart"/>
      <w:r w:rsidRPr="00985DDE">
        <w:rPr>
          <w:rFonts w:ascii="Arial" w:hAnsi="Arial" w:cs="Arial"/>
        </w:rPr>
        <w:t>Purnama</w:t>
      </w:r>
      <w:proofErr w:type="spellEnd"/>
      <w:r w:rsidRPr="00985DDE">
        <w:rPr>
          <w:rFonts w:ascii="Arial" w:hAnsi="Arial" w:cs="Arial"/>
        </w:rPr>
        <w:t xml:space="preserve">, I. R. Y., </w:t>
      </w:r>
      <w:proofErr w:type="spellStart"/>
      <w:r w:rsidRPr="00985DDE">
        <w:rPr>
          <w:rFonts w:ascii="Arial" w:hAnsi="Arial" w:cs="Arial"/>
        </w:rPr>
        <w:t>Bahrun</w:t>
      </w:r>
      <w:proofErr w:type="spellEnd"/>
      <w:r w:rsidRPr="00985DDE">
        <w:rPr>
          <w:rFonts w:ascii="Arial" w:hAnsi="Arial" w:cs="Arial"/>
        </w:rPr>
        <w:t xml:space="preserve">, A. H., </w:t>
      </w:r>
      <w:proofErr w:type="spellStart"/>
      <w:r w:rsidRPr="00985DDE">
        <w:rPr>
          <w:rFonts w:ascii="Arial" w:hAnsi="Arial" w:cs="Arial"/>
        </w:rPr>
        <w:t>Syaiful</w:t>
      </w:r>
      <w:proofErr w:type="spellEnd"/>
      <w:r w:rsidRPr="00985DDE">
        <w:rPr>
          <w:rFonts w:ascii="Arial" w:hAnsi="Arial" w:cs="Arial"/>
        </w:rPr>
        <w:t xml:space="preserve">, S. A., </w:t>
      </w:r>
      <w:proofErr w:type="spellStart"/>
      <w:r w:rsidRPr="00985DDE">
        <w:rPr>
          <w:rFonts w:ascii="Arial" w:hAnsi="Arial" w:cs="Arial"/>
        </w:rPr>
        <w:t>Yassi</w:t>
      </w:r>
      <w:proofErr w:type="spellEnd"/>
      <w:r w:rsidRPr="00985DDE">
        <w:rPr>
          <w:rFonts w:ascii="Arial" w:hAnsi="Arial" w:cs="Arial"/>
        </w:rPr>
        <w:t xml:space="preserve">, A., &amp; Ridwan, I. (2020). Potency of Plant Growth Promoting Rhizobacteria (PGPR) in </w:t>
      </w:r>
      <w:proofErr w:type="spellStart"/>
      <w:r w:rsidRPr="00985DDE">
        <w:rPr>
          <w:rFonts w:ascii="Arial" w:hAnsi="Arial" w:cs="Arial"/>
        </w:rPr>
        <w:t>Ipomea</w:t>
      </w:r>
      <w:proofErr w:type="spellEnd"/>
      <w:r w:rsidRPr="00985DDE">
        <w:rPr>
          <w:rFonts w:ascii="Arial" w:hAnsi="Arial" w:cs="Arial"/>
        </w:rPr>
        <w:t xml:space="preserve"> pes-</w:t>
      </w:r>
      <w:proofErr w:type="spellStart"/>
      <w:r w:rsidRPr="00985DDE">
        <w:rPr>
          <w:rFonts w:ascii="Arial" w:hAnsi="Arial" w:cs="Arial"/>
        </w:rPr>
        <w:t>caprae</w:t>
      </w:r>
      <w:proofErr w:type="spellEnd"/>
      <w:r w:rsidRPr="00985DDE">
        <w:rPr>
          <w:rFonts w:ascii="Arial" w:hAnsi="Arial" w:cs="Arial"/>
        </w:rPr>
        <w:t xml:space="preserve"> roots: Initial microscopic and macroscopic identification on South Sulawesi’s coastal resources. IOP Conference Series: Earth and Environmental Science, 575(1), 012117. </w:t>
      </w:r>
      <w:hyperlink r:id="rId64" w:history="1">
        <w:r w:rsidRPr="00103F45">
          <w:rPr>
            <w:rStyle w:val="Hyperlink"/>
            <w:rFonts w:ascii="Arial" w:hAnsi="Arial" w:cs="Arial"/>
          </w:rPr>
          <w:t>https://doi.org/10.1088/1755-1315/575/1/012117</w:t>
        </w:r>
      </w:hyperlink>
    </w:p>
    <w:p w14:paraId="0FE69059" w14:textId="77777777" w:rsidR="004543F5" w:rsidRPr="001C4642" w:rsidRDefault="004543F5" w:rsidP="00C50DF6">
      <w:pPr>
        <w:pStyle w:val="Bibliography"/>
        <w:numPr>
          <w:ilvl w:val="0"/>
          <w:numId w:val="33"/>
        </w:numPr>
        <w:jc w:val="both"/>
        <w:rPr>
          <w:rFonts w:ascii="Arial" w:hAnsi="Arial" w:cs="Arial"/>
        </w:rPr>
      </w:pPr>
      <w:proofErr w:type="spellStart"/>
      <w:r w:rsidRPr="00985DDE">
        <w:rPr>
          <w:rFonts w:ascii="Arial" w:hAnsi="Arial" w:cs="Arial"/>
          <w:lang w:val="fr-FR"/>
        </w:rPr>
        <w:t>Leyral</w:t>
      </w:r>
      <w:proofErr w:type="spellEnd"/>
      <w:r w:rsidRPr="00985DDE">
        <w:rPr>
          <w:rFonts w:ascii="Arial" w:hAnsi="Arial" w:cs="Arial"/>
          <w:lang w:val="fr-FR"/>
        </w:rPr>
        <w:t xml:space="preserve">, G., </w:t>
      </w:r>
      <w:proofErr w:type="spellStart"/>
      <w:r w:rsidRPr="00985DDE">
        <w:rPr>
          <w:rFonts w:ascii="Arial" w:hAnsi="Arial" w:cs="Arial"/>
          <w:lang w:val="fr-FR"/>
        </w:rPr>
        <w:t>Vierling</w:t>
      </w:r>
      <w:proofErr w:type="spellEnd"/>
      <w:r w:rsidRPr="00985DDE">
        <w:rPr>
          <w:rFonts w:ascii="Arial" w:hAnsi="Arial" w:cs="Arial"/>
          <w:lang w:val="fr-FR"/>
        </w:rPr>
        <w:t xml:space="preserve">, E., </w:t>
      </w:r>
      <w:proofErr w:type="spellStart"/>
      <w:r w:rsidRPr="00985DDE">
        <w:rPr>
          <w:rFonts w:ascii="Arial" w:hAnsi="Arial" w:cs="Arial"/>
          <w:lang w:val="fr-FR"/>
        </w:rPr>
        <w:t>Figarella</w:t>
      </w:r>
      <w:proofErr w:type="spellEnd"/>
      <w:r w:rsidRPr="00985DDE">
        <w:rPr>
          <w:rFonts w:ascii="Arial" w:hAnsi="Arial" w:cs="Arial"/>
          <w:lang w:val="fr-FR"/>
        </w:rPr>
        <w:t xml:space="preserve">, J., </w:t>
      </w:r>
      <w:proofErr w:type="spellStart"/>
      <w:r w:rsidRPr="00985DDE">
        <w:rPr>
          <w:rFonts w:ascii="Arial" w:hAnsi="Arial" w:cs="Arial"/>
          <w:lang w:val="fr-FR"/>
        </w:rPr>
        <w:t>Zonsain</w:t>
      </w:r>
      <w:proofErr w:type="spellEnd"/>
      <w:r w:rsidRPr="00985DDE">
        <w:rPr>
          <w:rFonts w:ascii="Arial" w:hAnsi="Arial" w:cs="Arial"/>
          <w:lang w:val="fr-FR"/>
        </w:rPr>
        <w:t xml:space="preserve">, F., 1997. Microbiologie et toxicologie des </w:t>
      </w:r>
      <w:proofErr w:type="gramStart"/>
      <w:r w:rsidRPr="00985DDE">
        <w:rPr>
          <w:rFonts w:ascii="Arial" w:hAnsi="Arial" w:cs="Arial"/>
          <w:lang w:val="fr-FR"/>
        </w:rPr>
        <w:t>aliments:</w:t>
      </w:r>
      <w:proofErr w:type="gramEnd"/>
      <w:r w:rsidRPr="00985DDE">
        <w:rPr>
          <w:rFonts w:ascii="Arial" w:hAnsi="Arial" w:cs="Arial"/>
          <w:lang w:val="fr-FR"/>
        </w:rPr>
        <w:t xml:space="preserve"> hygiène et sécurité alimentaires. </w:t>
      </w:r>
      <w:proofErr w:type="spellStart"/>
      <w:r w:rsidRPr="001C4642">
        <w:rPr>
          <w:rFonts w:ascii="Arial" w:hAnsi="Arial" w:cs="Arial"/>
        </w:rPr>
        <w:t>Doin</w:t>
      </w:r>
      <w:proofErr w:type="spellEnd"/>
      <w:r w:rsidRPr="001C4642">
        <w:rPr>
          <w:rFonts w:ascii="Arial" w:hAnsi="Arial" w:cs="Arial"/>
        </w:rPr>
        <w:t>.</w:t>
      </w:r>
    </w:p>
    <w:p w14:paraId="1B3C6DD1" w14:textId="77777777" w:rsidR="00986F8D" w:rsidRPr="00986F8D" w:rsidRDefault="00986F8D" w:rsidP="00C50DF6">
      <w:pPr>
        <w:pStyle w:val="Bibliography"/>
        <w:numPr>
          <w:ilvl w:val="0"/>
          <w:numId w:val="33"/>
        </w:numPr>
        <w:jc w:val="both"/>
        <w:rPr>
          <w:rFonts w:ascii="Arial" w:hAnsi="Arial" w:cs="Arial"/>
        </w:rPr>
      </w:pPr>
      <w:proofErr w:type="spellStart"/>
      <w:r w:rsidRPr="00986F8D">
        <w:rPr>
          <w:rFonts w:ascii="Arial" w:hAnsi="Arial" w:cs="Arial"/>
          <w:lang w:val="fr-FR"/>
        </w:rPr>
        <w:t>Lounis</w:t>
      </w:r>
      <w:proofErr w:type="spellEnd"/>
      <w:r w:rsidRPr="00986F8D">
        <w:rPr>
          <w:rFonts w:ascii="Arial" w:hAnsi="Arial" w:cs="Arial"/>
          <w:lang w:val="fr-FR"/>
        </w:rPr>
        <w:t xml:space="preserve">, N., &amp; Mansouri, K. (2022). Etude de l'antagonisme in Planta de deux souches de Pseudomonas </w:t>
      </w:r>
      <w:proofErr w:type="spellStart"/>
      <w:r w:rsidRPr="00986F8D">
        <w:rPr>
          <w:rFonts w:ascii="Arial" w:hAnsi="Arial" w:cs="Arial"/>
          <w:lang w:val="fr-FR"/>
        </w:rPr>
        <w:t>spp</w:t>
      </w:r>
      <w:proofErr w:type="spellEnd"/>
      <w:r w:rsidRPr="00986F8D">
        <w:rPr>
          <w:rFonts w:ascii="Arial" w:hAnsi="Arial" w:cs="Arial"/>
          <w:lang w:val="fr-FR"/>
        </w:rPr>
        <w:t xml:space="preserve">. Fluorescents vis-à-vis de Fusarium </w:t>
      </w:r>
      <w:proofErr w:type="spellStart"/>
      <w:r w:rsidRPr="00986F8D">
        <w:rPr>
          <w:rFonts w:ascii="Arial" w:hAnsi="Arial" w:cs="Arial"/>
          <w:lang w:val="fr-FR"/>
        </w:rPr>
        <w:t>oxysporum</w:t>
      </w:r>
      <w:proofErr w:type="spellEnd"/>
      <w:r w:rsidRPr="00986F8D">
        <w:rPr>
          <w:rFonts w:ascii="Arial" w:hAnsi="Arial" w:cs="Arial"/>
          <w:lang w:val="fr-FR"/>
        </w:rPr>
        <w:t xml:space="preserve"> </w:t>
      </w:r>
      <w:proofErr w:type="spellStart"/>
      <w:r w:rsidRPr="00986F8D">
        <w:rPr>
          <w:rFonts w:ascii="Arial" w:hAnsi="Arial" w:cs="Arial"/>
          <w:lang w:val="fr-FR"/>
        </w:rPr>
        <w:t>f.sp</w:t>
      </w:r>
      <w:proofErr w:type="spellEnd"/>
      <w:r w:rsidRPr="00986F8D">
        <w:rPr>
          <w:rFonts w:ascii="Arial" w:hAnsi="Arial" w:cs="Arial"/>
          <w:lang w:val="fr-FR"/>
        </w:rPr>
        <w:t xml:space="preserve">. </w:t>
      </w:r>
      <w:proofErr w:type="spellStart"/>
      <w:proofErr w:type="gramStart"/>
      <w:r w:rsidRPr="00986F8D">
        <w:rPr>
          <w:rFonts w:ascii="Arial" w:hAnsi="Arial" w:cs="Arial"/>
          <w:lang w:val="fr-FR"/>
        </w:rPr>
        <w:t>lycopersici</w:t>
      </w:r>
      <w:proofErr w:type="spellEnd"/>
      <w:proofErr w:type="gramEnd"/>
      <w:r w:rsidRPr="00986F8D">
        <w:rPr>
          <w:rFonts w:ascii="Arial" w:hAnsi="Arial" w:cs="Arial"/>
          <w:lang w:val="fr-FR"/>
        </w:rPr>
        <w:t xml:space="preserve"> (</w:t>
      </w:r>
      <w:proofErr w:type="spellStart"/>
      <w:r w:rsidRPr="00986F8D">
        <w:rPr>
          <w:rFonts w:ascii="Arial" w:hAnsi="Arial" w:cs="Arial"/>
          <w:lang w:val="fr-FR"/>
        </w:rPr>
        <w:t>Master's</w:t>
      </w:r>
      <w:proofErr w:type="spellEnd"/>
      <w:r w:rsidRPr="00986F8D">
        <w:rPr>
          <w:rFonts w:ascii="Arial" w:hAnsi="Arial" w:cs="Arial"/>
          <w:lang w:val="fr-FR"/>
        </w:rPr>
        <w:t xml:space="preserve"> </w:t>
      </w:r>
      <w:proofErr w:type="spellStart"/>
      <w:r w:rsidRPr="00986F8D">
        <w:rPr>
          <w:rFonts w:ascii="Arial" w:hAnsi="Arial" w:cs="Arial"/>
          <w:lang w:val="fr-FR"/>
        </w:rPr>
        <w:t>Thesis</w:t>
      </w:r>
      <w:proofErr w:type="spellEnd"/>
      <w:r w:rsidRPr="00986F8D">
        <w:rPr>
          <w:rFonts w:ascii="Arial" w:hAnsi="Arial" w:cs="Arial"/>
          <w:lang w:val="fr-FR"/>
        </w:rPr>
        <w:t xml:space="preserve">). Université Mouloud Mammeri. </w:t>
      </w:r>
      <w:hyperlink r:id="rId65" w:history="1">
        <w:r w:rsidRPr="00103F45">
          <w:rPr>
            <w:rStyle w:val="Hyperlink"/>
            <w:rFonts w:ascii="Arial" w:hAnsi="Arial" w:cs="Arial"/>
            <w:lang w:val="fr-FR"/>
          </w:rPr>
          <w:t>https://dspace.ummto.dz/handle/ummto/22813</w:t>
        </w:r>
      </w:hyperlink>
    </w:p>
    <w:p w14:paraId="784DA957" w14:textId="77777777" w:rsidR="004543F5" w:rsidRPr="001C4642" w:rsidRDefault="004543F5" w:rsidP="00C50DF6">
      <w:pPr>
        <w:pStyle w:val="Bibliography"/>
        <w:numPr>
          <w:ilvl w:val="0"/>
          <w:numId w:val="33"/>
        </w:numPr>
        <w:jc w:val="both"/>
        <w:rPr>
          <w:rFonts w:ascii="Arial" w:hAnsi="Arial" w:cs="Arial"/>
        </w:rPr>
      </w:pPr>
      <w:proofErr w:type="spellStart"/>
      <w:r w:rsidRPr="00985DDE">
        <w:rPr>
          <w:rFonts w:ascii="Arial" w:hAnsi="Arial" w:cs="Arial"/>
          <w:lang w:val="fr-FR"/>
        </w:rPr>
        <w:t>Gardan</w:t>
      </w:r>
      <w:proofErr w:type="spellEnd"/>
      <w:r w:rsidRPr="00985DDE">
        <w:rPr>
          <w:rFonts w:ascii="Arial" w:hAnsi="Arial" w:cs="Arial"/>
          <w:lang w:val="fr-FR"/>
        </w:rPr>
        <w:t xml:space="preserve">, L., </w:t>
      </w:r>
      <w:proofErr w:type="spellStart"/>
      <w:r w:rsidRPr="00985DDE">
        <w:rPr>
          <w:rFonts w:ascii="Arial" w:hAnsi="Arial" w:cs="Arial"/>
          <w:lang w:val="fr-FR"/>
        </w:rPr>
        <w:t>Luisetti</w:t>
      </w:r>
      <w:proofErr w:type="spellEnd"/>
      <w:r w:rsidRPr="00985DDE">
        <w:rPr>
          <w:rFonts w:ascii="Arial" w:hAnsi="Arial" w:cs="Arial"/>
          <w:lang w:val="fr-FR"/>
        </w:rPr>
        <w:t xml:space="preserve">, G., 1981. Méthode d’isolement et identification des </w:t>
      </w:r>
      <w:proofErr w:type="gramStart"/>
      <w:r w:rsidRPr="00985DDE">
        <w:rPr>
          <w:rFonts w:ascii="Arial" w:hAnsi="Arial" w:cs="Arial"/>
          <w:lang w:val="fr-FR"/>
        </w:rPr>
        <w:t>bactéries  phytopathogènes</w:t>
      </w:r>
      <w:proofErr w:type="gramEnd"/>
      <w:r w:rsidRPr="00985DDE">
        <w:rPr>
          <w:rFonts w:ascii="Arial" w:hAnsi="Arial" w:cs="Arial"/>
          <w:lang w:val="fr-FR"/>
        </w:rPr>
        <w:t xml:space="preserve">. </w:t>
      </w:r>
      <w:r w:rsidRPr="001C4642">
        <w:rPr>
          <w:rFonts w:ascii="Arial" w:hAnsi="Arial" w:cs="Arial"/>
        </w:rPr>
        <w:t xml:space="preserve">Station de </w:t>
      </w:r>
      <w:proofErr w:type="spellStart"/>
      <w:r w:rsidRPr="001C4642">
        <w:rPr>
          <w:rFonts w:ascii="Arial" w:hAnsi="Arial" w:cs="Arial"/>
        </w:rPr>
        <w:t>Pathologie</w:t>
      </w:r>
      <w:proofErr w:type="spellEnd"/>
      <w:r w:rsidRPr="001C4642">
        <w:rPr>
          <w:rFonts w:ascii="Arial" w:hAnsi="Arial" w:cs="Arial"/>
        </w:rPr>
        <w:t xml:space="preserve"> INRA.</w:t>
      </w:r>
    </w:p>
    <w:p w14:paraId="56665435" w14:textId="77777777" w:rsidR="00986F8D" w:rsidRPr="00986F8D" w:rsidRDefault="00986F8D" w:rsidP="00C50DF6">
      <w:pPr>
        <w:pStyle w:val="Bibliography"/>
        <w:numPr>
          <w:ilvl w:val="0"/>
          <w:numId w:val="33"/>
        </w:numPr>
        <w:jc w:val="both"/>
        <w:rPr>
          <w:rFonts w:ascii="Arial" w:hAnsi="Arial" w:cs="Arial"/>
        </w:rPr>
      </w:pPr>
      <w:proofErr w:type="spellStart"/>
      <w:r w:rsidRPr="00986F8D">
        <w:rPr>
          <w:rFonts w:ascii="Arial" w:hAnsi="Arial" w:cs="Arial"/>
          <w:lang w:val="fr-FR"/>
        </w:rPr>
        <w:t>Hamidechi</w:t>
      </w:r>
      <w:proofErr w:type="spellEnd"/>
      <w:r w:rsidRPr="00986F8D">
        <w:rPr>
          <w:rFonts w:ascii="Arial" w:hAnsi="Arial" w:cs="Arial"/>
          <w:lang w:val="fr-FR"/>
        </w:rPr>
        <w:t xml:space="preserve">, M. A., &amp; </w:t>
      </w:r>
      <w:proofErr w:type="spellStart"/>
      <w:r w:rsidRPr="00986F8D">
        <w:rPr>
          <w:rFonts w:ascii="Arial" w:hAnsi="Arial" w:cs="Arial"/>
          <w:lang w:val="fr-FR"/>
        </w:rPr>
        <w:t>Meziani</w:t>
      </w:r>
      <w:proofErr w:type="spellEnd"/>
      <w:r w:rsidRPr="00986F8D">
        <w:rPr>
          <w:rFonts w:ascii="Arial" w:hAnsi="Arial" w:cs="Arial"/>
          <w:lang w:val="fr-FR"/>
        </w:rPr>
        <w:t xml:space="preserve">, M. (2011). Contribution du diagnostic biochimique </w:t>
      </w:r>
      <w:proofErr w:type="spellStart"/>
      <w:r w:rsidRPr="00986F8D">
        <w:rPr>
          <w:rFonts w:ascii="Arial" w:hAnsi="Arial" w:cs="Arial"/>
          <w:lang w:val="fr-FR"/>
        </w:rPr>
        <w:t>bacterien</w:t>
      </w:r>
      <w:proofErr w:type="spellEnd"/>
      <w:r w:rsidRPr="00986F8D">
        <w:rPr>
          <w:rFonts w:ascii="Arial" w:hAnsi="Arial" w:cs="Arial"/>
          <w:lang w:val="fr-FR"/>
        </w:rPr>
        <w:t xml:space="preserve"> dans l’</w:t>
      </w:r>
      <w:proofErr w:type="spellStart"/>
      <w:r w:rsidRPr="00986F8D">
        <w:rPr>
          <w:rFonts w:ascii="Arial" w:hAnsi="Arial" w:cs="Arial"/>
          <w:lang w:val="fr-FR"/>
        </w:rPr>
        <w:t>etablissement</w:t>
      </w:r>
      <w:proofErr w:type="spellEnd"/>
      <w:r w:rsidRPr="00986F8D">
        <w:rPr>
          <w:rFonts w:ascii="Arial" w:hAnsi="Arial" w:cs="Arial"/>
          <w:lang w:val="fr-FR"/>
        </w:rPr>
        <w:t xml:space="preserve"> des parentes </w:t>
      </w:r>
      <w:proofErr w:type="spellStart"/>
      <w:r w:rsidRPr="00986F8D">
        <w:rPr>
          <w:rFonts w:ascii="Arial" w:hAnsi="Arial" w:cs="Arial"/>
          <w:lang w:val="fr-FR"/>
        </w:rPr>
        <w:t>phylogenetiques</w:t>
      </w:r>
      <w:proofErr w:type="spellEnd"/>
      <w:r w:rsidRPr="00986F8D">
        <w:rPr>
          <w:rFonts w:ascii="Arial" w:hAnsi="Arial" w:cs="Arial"/>
          <w:lang w:val="fr-FR"/>
        </w:rPr>
        <w:t xml:space="preserve"> : cas des </w:t>
      </w:r>
      <w:proofErr w:type="spellStart"/>
      <w:r w:rsidRPr="00986F8D">
        <w:rPr>
          <w:rFonts w:ascii="Arial" w:hAnsi="Arial" w:cs="Arial"/>
          <w:lang w:val="fr-FR"/>
        </w:rPr>
        <w:t>Enterobacteriaceae</w:t>
      </w:r>
      <w:proofErr w:type="spellEnd"/>
      <w:r w:rsidRPr="00986F8D">
        <w:rPr>
          <w:rFonts w:ascii="Arial" w:hAnsi="Arial" w:cs="Arial"/>
          <w:lang w:val="fr-FR"/>
        </w:rPr>
        <w:t xml:space="preserve"> et Pseudomonas </w:t>
      </w:r>
      <w:proofErr w:type="spellStart"/>
      <w:r w:rsidRPr="00986F8D">
        <w:rPr>
          <w:rFonts w:ascii="Arial" w:hAnsi="Arial" w:cs="Arial"/>
          <w:lang w:val="fr-FR"/>
        </w:rPr>
        <w:t>sp</w:t>
      </w:r>
      <w:proofErr w:type="spellEnd"/>
      <w:r w:rsidRPr="00986F8D">
        <w:rPr>
          <w:rFonts w:ascii="Arial" w:hAnsi="Arial" w:cs="Arial"/>
          <w:lang w:val="fr-FR"/>
        </w:rPr>
        <w:t>. *Sciences &amp; Technologie. C, Biotechnologies*, *34*(</w:t>
      </w:r>
      <w:proofErr w:type="spellStart"/>
      <w:r w:rsidRPr="00986F8D">
        <w:rPr>
          <w:rFonts w:ascii="Arial" w:hAnsi="Arial" w:cs="Arial"/>
          <w:lang w:val="fr-FR"/>
        </w:rPr>
        <w:t>December</w:t>
      </w:r>
      <w:proofErr w:type="spellEnd"/>
      <w:r w:rsidRPr="00986F8D">
        <w:rPr>
          <w:rFonts w:ascii="Arial" w:hAnsi="Arial" w:cs="Arial"/>
          <w:lang w:val="fr-FR"/>
        </w:rPr>
        <w:t xml:space="preserve">), 24–31. </w:t>
      </w:r>
      <w:hyperlink r:id="rId66" w:history="1">
        <w:r w:rsidRPr="00103F45">
          <w:rPr>
            <w:rStyle w:val="Hyperlink"/>
            <w:rFonts w:ascii="Arial" w:hAnsi="Arial" w:cs="Arial"/>
            <w:lang w:val="fr-FR"/>
          </w:rPr>
          <w:t>https://www.asjp.cerist.dz/en/article/10000</w:t>
        </w:r>
      </w:hyperlink>
    </w:p>
    <w:p w14:paraId="2EB95AC8" w14:textId="77777777" w:rsidR="00986F8D" w:rsidRDefault="00986F8D" w:rsidP="00C50DF6">
      <w:pPr>
        <w:pStyle w:val="Bibliography"/>
        <w:numPr>
          <w:ilvl w:val="0"/>
          <w:numId w:val="33"/>
        </w:numPr>
        <w:jc w:val="both"/>
        <w:rPr>
          <w:rFonts w:ascii="Arial" w:hAnsi="Arial" w:cs="Arial"/>
        </w:rPr>
      </w:pPr>
      <w:r w:rsidRPr="00986F8D">
        <w:rPr>
          <w:rFonts w:ascii="Arial" w:hAnsi="Arial" w:cs="Arial"/>
          <w:lang w:val="pt-BR"/>
        </w:rPr>
        <w:t xml:space="preserve">Panda, M. K., Sahu, M. K., &amp; Tayung, K. (2013). </w:t>
      </w:r>
      <w:r w:rsidRPr="00986F8D">
        <w:rPr>
          <w:rFonts w:ascii="Arial" w:hAnsi="Arial" w:cs="Arial"/>
        </w:rPr>
        <w:t xml:space="preserve">Isolation and characterization of a thermophilic Bacillus sp. with protease activity isolated from hot spring of </w:t>
      </w:r>
      <w:proofErr w:type="spellStart"/>
      <w:r w:rsidRPr="00986F8D">
        <w:rPr>
          <w:rFonts w:ascii="Arial" w:hAnsi="Arial" w:cs="Arial"/>
        </w:rPr>
        <w:t>Tarabalo</w:t>
      </w:r>
      <w:proofErr w:type="spellEnd"/>
      <w:r w:rsidRPr="00986F8D">
        <w:rPr>
          <w:rFonts w:ascii="Arial" w:hAnsi="Arial" w:cs="Arial"/>
        </w:rPr>
        <w:t xml:space="preserve">, Odisha, India. Iranian Journal of Microbiology, 5(2), 159–165. </w:t>
      </w:r>
      <w:hyperlink r:id="rId67" w:history="1">
        <w:r w:rsidRPr="00103F45">
          <w:rPr>
            <w:rStyle w:val="Hyperlink"/>
            <w:rFonts w:ascii="Arial" w:hAnsi="Arial" w:cs="Arial"/>
          </w:rPr>
          <w:t>https://ijm.tums.ac.ir/index.php/ijm/article/view/159</w:t>
        </w:r>
      </w:hyperlink>
    </w:p>
    <w:p w14:paraId="17DC8938" w14:textId="7777777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Darsa</w:t>
      </w:r>
      <w:proofErr w:type="spellEnd"/>
      <w:r w:rsidRPr="00C50DF6">
        <w:rPr>
          <w:rFonts w:ascii="Arial" w:hAnsi="Arial" w:cs="Arial"/>
        </w:rPr>
        <w:t xml:space="preserve">, K. V., </w:t>
      </w:r>
      <w:proofErr w:type="spellStart"/>
      <w:r w:rsidRPr="00C50DF6">
        <w:rPr>
          <w:rFonts w:ascii="Arial" w:hAnsi="Arial" w:cs="Arial"/>
        </w:rPr>
        <w:t>Thatheyus</w:t>
      </w:r>
      <w:proofErr w:type="spellEnd"/>
      <w:r w:rsidRPr="00C50DF6">
        <w:rPr>
          <w:rFonts w:ascii="Arial" w:hAnsi="Arial" w:cs="Arial"/>
        </w:rPr>
        <w:t xml:space="preserve">, A. J., &amp; Ramya, D. (2014). Biodegradation of Petroleum Compound Using the Bacterium Bacillus subtilis. </w:t>
      </w:r>
      <w:r w:rsidRPr="00C50DF6">
        <w:rPr>
          <w:rFonts w:ascii="Arial" w:hAnsi="Arial" w:cs="Arial"/>
          <w:lang w:val="fr-FR"/>
        </w:rPr>
        <w:t xml:space="preserve">Science International, 2, 20–25. </w:t>
      </w:r>
      <w:hyperlink r:id="rId68" w:history="1">
        <w:r w:rsidRPr="00103F45">
          <w:rPr>
            <w:rStyle w:val="Hyperlink"/>
            <w:rFonts w:ascii="Arial" w:hAnsi="Arial" w:cs="Arial"/>
            <w:lang w:val="fr-FR"/>
          </w:rPr>
          <w:t>https://doi.org/10.17311/sciintl.2014.20.25</w:t>
        </w:r>
      </w:hyperlink>
    </w:p>
    <w:p w14:paraId="0288E5AA" w14:textId="77777777"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fr-FR"/>
        </w:rPr>
        <w:t>Cherif-</w:t>
      </w:r>
      <w:proofErr w:type="spellStart"/>
      <w:r w:rsidRPr="00C50DF6">
        <w:rPr>
          <w:rFonts w:ascii="Arial" w:hAnsi="Arial" w:cs="Arial"/>
          <w:lang w:val="fr-FR"/>
        </w:rPr>
        <w:t>Silini</w:t>
      </w:r>
      <w:proofErr w:type="spellEnd"/>
      <w:r w:rsidRPr="00C50DF6">
        <w:rPr>
          <w:rFonts w:ascii="Arial" w:hAnsi="Arial" w:cs="Arial"/>
          <w:lang w:val="fr-FR"/>
        </w:rPr>
        <w:t xml:space="preserve">, H., </w:t>
      </w:r>
      <w:proofErr w:type="spellStart"/>
      <w:r w:rsidRPr="00C50DF6">
        <w:rPr>
          <w:rFonts w:ascii="Arial" w:hAnsi="Arial" w:cs="Arial"/>
          <w:lang w:val="fr-FR"/>
        </w:rPr>
        <w:t>Silini</w:t>
      </w:r>
      <w:proofErr w:type="spellEnd"/>
      <w:r w:rsidRPr="00C50DF6">
        <w:rPr>
          <w:rFonts w:ascii="Arial" w:hAnsi="Arial" w:cs="Arial"/>
          <w:lang w:val="fr-FR"/>
        </w:rPr>
        <w:t xml:space="preserve">, A., Yahiaoui, B., </w:t>
      </w:r>
      <w:proofErr w:type="spellStart"/>
      <w:r w:rsidRPr="00C50DF6">
        <w:rPr>
          <w:rFonts w:ascii="Arial" w:hAnsi="Arial" w:cs="Arial"/>
          <w:lang w:val="fr-FR"/>
        </w:rPr>
        <w:t>Ouzari</w:t>
      </w:r>
      <w:proofErr w:type="spellEnd"/>
      <w:r w:rsidRPr="00C50DF6">
        <w:rPr>
          <w:rFonts w:ascii="Arial" w:hAnsi="Arial" w:cs="Arial"/>
          <w:lang w:val="fr-FR"/>
        </w:rPr>
        <w:t xml:space="preserve">, I., &amp; </w:t>
      </w:r>
      <w:proofErr w:type="spellStart"/>
      <w:r w:rsidRPr="00C50DF6">
        <w:rPr>
          <w:rFonts w:ascii="Arial" w:hAnsi="Arial" w:cs="Arial"/>
          <w:lang w:val="fr-FR"/>
        </w:rPr>
        <w:t>Boudabous</w:t>
      </w:r>
      <w:proofErr w:type="spellEnd"/>
      <w:r w:rsidRPr="00C50DF6">
        <w:rPr>
          <w:rFonts w:ascii="Arial" w:hAnsi="Arial" w:cs="Arial"/>
          <w:lang w:val="fr-FR"/>
        </w:rPr>
        <w:t xml:space="preserve">, A. (2016). </w:t>
      </w:r>
      <w:r w:rsidRPr="00C50DF6">
        <w:rPr>
          <w:rFonts w:ascii="Arial" w:hAnsi="Arial" w:cs="Arial"/>
          <w:lang w:val="en-IN"/>
        </w:rPr>
        <w:t xml:space="preserve">Phylogenetic and plant-growth-promoting characteristics of Bacillus isolated from the wheat rhizosphere. Annals of Microbiology, 66, 1087–1097. </w:t>
      </w:r>
      <w:hyperlink r:id="rId69" w:history="1">
        <w:r w:rsidRPr="00103F45">
          <w:rPr>
            <w:rStyle w:val="Hyperlink"/>
            <w:rFonts w:ascii="Arial" w:hAnsi="Arial" w:cs="Arial"/>
            <w:lang w:val="en-IN"/>
          </w:rPr>
          <w:t>https://doi.org/10.1007/s13213-016-1194-6</w:t>
        </w:r>
      </w:hyperlink>
    </w:p>
    <w:p w14:paraId="58DF66B3" w14:textId="77777777"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Ulbrich</w:t>
      </w:r>
      <w:proofErr w:type="spellEnd"/>
      <w:r w:rsidRPr="001C4642">
        <w:rPr>
          <w:rFonts w:ascii="Arial" w:hAnsi="Arial" w:cs="Arial"/>
        </w:rPr>
        <w:t>, T.C., Rivas-</w:t>
      </w:r>
      <w:proofErr w:type="spellStart"/>
      <w:r w:rsidRPr="001C4642">
        <w:rPr>
          <w:rFonts w:ascii="Arial" w:hAnsi="Arial" w:cs="Arial"/>
        </w:rPr>
        <w:t>Ubach</w:t>
      </w:r>
      <w:proofErr w:type="spellEnd"/>
      <w:r w:rsidRPr="001C4642">
        <w:rPr>
          <w:rFonts w:ascii="Arial" w:hAnsi="Arial" w:cs="Arial"/>
        </w:rPr>
        <w:t xml:space="preserve">, A., </w:t>
      </w:r>
      <w:proofErr w:type="spellStart"/>
      <w:r w:rsidRPr="001C4642">
        <w:rPr>
          <w:rFonts w:ascii="Arial" w:hAnsi="Arial" w:cs="Arial"/>
        </w:rPr>
        <w:t>Tiemann</w:t>
      </w:r>
      <w:proofErr w:type="spellEnd"/>
      <w:r w:rsidRPr="001C4642">
        <w:rPr>
          <w:rFonts w:ascii="Arial" w:hAnsi="Arial" w:cs="Arial"/>
        </w:rPr>
        <w:t xml:space="preserve">, L.K., Friesen, M.L., Evans, S.E., 2022. Plant root exudates and rhizosphere bacterial communities shift with neighbor context. Soil Biol. </w:t>
      </w:r>
      <w:proofErr w:type="spellStart"/>
      <w:r w:rsidRPr="001C4642">
        <w:rPr>
          <w:rFonts w:ascii="Arial" w:hAnsi="Arial" w:cs="Arial"/>
        </w:rPr>
        <w:t>Biochem</w:t>
      </w:r>
      <w:proofErr w:type="spellEnd"/>
      <w:r w:rsidRPr="001C4642">
        <w:rPr>
          <w:rFonts w:ascii="Arial" w:hAnsi="Arial" w:cs="Arial"/>
        </w:rPr>
        <w:t>. 172, 108753. https://doi.org/10.1016/j.soilbio.2022.108753</w:t>
      </w:r>
    </w:p>
    <w:p w14:paraId="0D73C6DC" w14:textId="77777777"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Alahmad</w:t>
      </w:r>
      <w:proofErr w:type="spellEnd"/>
      <w:r w:rsidRPr="00C50DF6">
        <w:rPr>
          <w:rFonts w:ascii="Arial" w:hAnsi="Arial" w:cs="Arial"/>
        </w:rPr>
        <w:t xml:space="preserve">, A., </w:t>
      </w:r>
      <w:proofErr w:type="spellStart"/>
      <w:r w:rsidRPr="00C50DF6">
        <w:rPr>
          <w:rFonts w:ascii="Arial" w:hAnsi="Arial" w:cs="Arial"/>
        </w:rPr>
        <w:t>Harir</w:t>
      </w:r>
      <w:proofErr w:type="spellEnd"/>
      <w:r w:rsidRPr="00C50DF6">
        <w:rPr>
          <w:rFonts w:ascii="Arial" w:hAnsi="Arial" w:cs="Arial"/>
        </w:rPr>
        <w:t xml:space="preserve">, M., </w:t>
      </w:r>
      <w:proofErr w:type="spellStart"/>
      <w:r w:rsidRPr="00C50DF6">
        <w:rPr>
          <w:rFonts w:ascii="Arial" w:hAnsi="Arial" w:cs="Arial"/>
        </w:rPr>
        <w:t>Fochesato</w:t>
      </w:r>
      <w:proofErr w:type="spellEnd"/>
      <w:r w:rsidRPr="00C50DF6">
        <w:rPr>
          <w:rFonts w:ascii="Arial" w:hAnsi="Arial" w:cs="Arial"/>
        </w:rPr>
        <w:t xml:space="preserve">, S., </w:t>
      </w:r>
      <w:proofErr w:type="spellStart"/>
      <w:r w:rsidRPr="00C50DF6">
        <w:rPr>
          <w:rFonts w:ascii="Arial" w:hAnsi="Arial" w:cs="Arial"/>
        </w:rPr>
        <w:t>Tulumello</w:t>
      </w:r>
      <w:proofErr w:type="spellEnd"/>
      <w:r w:rsidRPr="00C50DF6">
        <w:rPr>
          <w:rFonts w:ascii="Arial" w:hAnsi="Arial" w:cs="Arial"/>
        </w:rPr>
        <w:t xml:space="preserve">, J., Walker, A., Barakat, M., </w:t>
      </w:r>
      <w:proofErr w:type="spellStart"/>
      <w:r w:rsidRPr="00C50DF6">
        <w:rPr>
          <w:rFonts w:ascii="Arial" w:hAnsi="Arial" w:cs="Arial"/>
        </w:rPr>
        <w:t>Ndour</w:t>
      </w:r>
      <w:proofErr w:type="spellEnd"/>
      <w:r w:rsidRPr="00C50DF6">
        <w:rPr>
          <w:rFonts w:ascii="Arial" w:hAnsi="Arial" w:cs="Arial"/>
        </w:rPr>
        <w:t xml:space="preserve">, P. M. S., Schmitt-Kopplin, P., </w:t>
      </w:r>
      <w:proofErr w:type="spellStart"/>
      <w:r w:rsidRPr="00C50DF6">
        <w:rPr>
          <w:rFonts w:ascii="Arial" w:hAnsi="Arial" w:cs="Arial"/>
        </w:rPr>
        <w:t>Cournac</w:t>
      </w:r>
      <w:proofErr w:type="spellEnd"/>
      <w:r w:rsidRPr="00C50DF6">
        <w:rPr>
          <w:rFonts w:ascii="Arial" w:hAnsi="Arial" w:cs="Arial"/>
        </w:rPr>
        <w:t xml:space="preserve">, L., </w:t>
      </w:r>
      <w:proofErr w:type="spellStart"/>
      <w:r w:rsidRPr="00C50DF6">
        <w:rPr>
          <w:rFonts w:ascii="Arial" w:hAnsi="Arial" w:cs="Arial"/>
        </w:rPr>
        <w:t>Laplaze</w:t>
      </w:r>
      <w:proofErr w:type="spellEnd"/>
      <w:r w:rsidRPr="00C50DF6">
        <w:rPr>
          <w:rFonts w:ascii="Arial" w:hAnsi="Arial" w:cs="Arial"/>
        </w:rPr>
        <w:t xml:space="preserve">, L., </w:t>
      </w:r>
      <w:proofErr w:type="spellStart"/>
      <w:r w:rsidRPr="00C50DF6">
        <w:rPr>
          <w:rFonts w:ascii="Arial" w:hAnsi="Arial" w:cs="Arial"/>
        </w:rPr>
        <w:t>Heulin</w:t>
      </w:r>
      <w:proofErr w:type="spellEnd"/>
      <w:r w:rsidRPr="00C50DF6">
        <w:rPr>
          <w:rFonts w:ascii="Arial" w:hAnsi="Arial" w:cs="Arial"/>
        </w:rPr>
        <w:t xml:space="preserve">, T., &amp; </w:t>
      </w:r>
      <w:proofErr w:type="spellStart"/>
      <w:r w:rsidRPr="00C50DF6">
        <w:rPr>
          <w:rFonts w:ascii="Arial" w:hAnsi="Arial" w:cs="Arial"/>
        </w:rPr>
        <w:t>Achouak</w:t>
      </w:r>
      <w:proofErr w:type="spellEnd"/>
      <w:r w:rsidRPr="00C50DF6">
        <w:rPr>
          <w:rFonts w:ascii="Arial" w:hAnsi="Arial" w:cs="Arial"/>
        </w:rPr>
        <w:t xml:space="preserve">, W. (2024). Unraveling the interplay between root exudates, </w:t>
      </w:r>
      <w:r w:rsidRPr="00C50DF6">
        <w:rPr>
          <w:rFonts w:ascii="Arial" w:hAnsi="Arial" w:cs="Arial"/>
        </w:rPr>
        <w:lastRenderedPageBreak/>
        <w:t xml:space="preserve">microbiota, and </w:t>
      </w:r>
      <w:proofErr w:type="spellStart"/>
      <w:r w:rsidRPr="00C50DF6">
        <w:rPr>
          <w:rFonts w:ascii="Arial" w:hAnsi="Arial" w:cs="Arial"/>
        </w:rPr>
        <w:t>rhizosheath</w:t>
      </w:r>
      <w:proofErr w:type="spellEnd"/>
      <w:r w:rsidRPr="00C50DF6">
        <w:rPr>
          <w:rFonts w:ascii="Arial" w:hAnsi="Arial" w:cs="Arial"/>
        </w:rPr>
        <w:t xml:space="preserve"> formation in pearl millet. Microbiome, 12(1), 1. </w:t>
      </w:r>
      <w:hyperlink r:id="rId70" w:history="1">
        <w:r w:rsidRPr="00103F45">
          <w:rPr>
            <w:rStyle w:val="Hyperlink"/>
            <w:rFonts w:ascii="Arial" w:hAnsi="Arial" w:cs="Arial"/>
          </w:rPr>
          <w:t>https://doi.org/10.1186/s40168-023-01727-3</w:t>
        </w:r>
      </w:hyperlink>
    </w:p>
    <w:p w14:paraId="2DA0AAA2" w14:textId="77777777" w:rsidR="004543F5" w:rsidRPr="001C4642" w:rsidRDefault="004543F5" w:rsidP="00C50DF6">
      <w:pPr>
        <w:pStyle w:val="Bibliography"/>
        <w:numPr>
          <w:ilvl w:val="0"/>
          <w:numId w:val="33"/>
        </w:numPr>
        <w:jc w:val="both"/>
        <w:rPr>
          <w:rFonts w:ascii="Arial" w:hAnsi="Arial" w:cs="Arial"/>
        </w:rPr>
      </w:pPr>
      <w:proofErr w:type="spellStart"/>
      <w:r w:rsidRPr="001C4642">
        <w:rPr>
          <w:rFonts w:ascii="Arial" w:hAnsi="Arial" w:cs="Arial"/>
        </w:rPr>
        <w:t>Aouane</w:t>
      </w:r>
      <w:proofErr w:type="spellEnd"/>
      <w:r w:rsidRPr="001C4642">
        <w:rPr>
          <w:rFonts w:ascii="Arial" w:hAnsi="Arial" w:cs="Arial"/>
        </w:rPr>
        <w:t xml:space="preserve">, M., </w:t>
      </w:r>
      <w:proofErr w:type="spellStart"/>
      <w:r w:rsidRPr="001C4642">
        <w:rPr>
          <w:rFonts w:ascii="Arial" w:hAnsi="Arial" w:cs="Arial"/>
        </w:rPr>
        <w:t>Hamani</w:t>
      </w:r>
      <w:proofErr w:type="spellEnd"/>
      <w:r w:rsidRPr="001C4642">
        <w:rPr>
          <w:rFonts w:ascii="Arial" w:hAnsi="Arial" w:cs="Arial"/>
        </w:rPr>
        <w:t xml:space="preserve">, H., 2017. Etude des PGPR “Plant Growth Promoting Rhizobacteria” des </w:t>
      </w:r>
      <w:proofErr w:type="spellStart"/>
      <w:r w:rsidRPr="001C4642">
        <w:rPr>
          <w:rFonts w:ascii="Arial" w:hAnsi="Arial" w:cs="Arial"/>
        </w:rPr>
        <w:t>plantes</w:t>
      </w:r>
      <w:proofErr w:type="spellEnd"/>
      <w:r w:rsidRPr="001C4642">
        <w:rPr>
          <w:rFonts w:ascii="Arial" w:hAnsi="Arial" w:cs="Arial"/>
        </w:rPr>
        <w:t xml:space="preserve"> </w:t>
      </w:r>
      <w:proofErr w:type="spellStart"/>
      <w:r w:rsidRPr="001C4642">
        <w:rPr>
          <w:rFonts w:ascii="Arial" w:hAnsi="Arial" w:cs="Arial"/>
        </w:rPr>
        <w:t>actinorhiziennes</w:t>
      </w:r>
      <w:proofErr w:type="spellEnd"/>
      <w:r w:rsidRPr="001C4642">
        <w:rPr>
          <w:rFonts w:ascii="Arial" w:hAnsi="Arial" w:cs="Arial"/>
        </w:rPr>
        <w:t xml:space="preserve">: </w:t>
      </w:r>
      <w:proofErr w:type="spellStart"/>
      <w:r w:rsidRPr="001C4642">
        <w:rPr>
          <w:rFonts w:ascii="Arial" w:hAnsi="Arial" w:cs="Arial"/>
        </w:rPr>
        <w:t>cas</w:t>
      </w:r>
      <w:proofErr w:type="spellEnd"/>
      <w:r w:rsidRPr="001C4642">
        <w:rPr>
          <w:rFonts w:ascii="Arial" w:hAnsi="Arial" w:cs="Arial"/>
        </w:rPr>
        <w:t xml:space="preserve"> de Casuarina </w:t>
      </w:r>
      <w:proofErr w:type="spellStart"/>
      <w:r w:rsidRPr="001C4642">
        <w:rPr>
          <w:rFonts w:ascii="Arial" w:hAnsi="Arial" w:cs="Arial"/>
        </w:rPr>
        <w:t>equisetifolia</w:t>
      </w:r>
      <w:proofErr w:type="spellEnd"/>
      <w:r w:rsidRPr="001C4642">
        <w:rPr>
          <w:rFonts w:ascii="Arial" w:hAnsi="Arial" w:cs="Arial"/>
        </w:rPr>
        <w:t xml:space="preserve"> et </w:t>
      </w:r>
      <w:proofErr w:type="spellStart"/>
      <w:r w:rsidRPr="001C4642">
        <w:rPr>
          <w:rFonts w:ascii="Arial" w:hAnsi="Arial" w:cs="Arial"/>
        </w:rPr>
        <w:t>d’Elaeagnusangustifolia</w:t>
      </w:r>
      <w:proofErr w:type="spellEnd"/>
      <w:r w:rsidRPr="001C4642">
        <w:rPr>
          <w:rFonts w:ascii="Arial" w:hAnsi="Arial" w:cs="Arial"/>
        </w:rPr>
        <w:t xml:space="preserve">. Memoire Master </w:t>
      </w:r>
      <w:proofErr w:type="spellStart"/>
      <w:r w:rsidRPr="001C4642">
        <w:rPr>
          <w:rFonts w:ascii="Arial" w:hAnsi="Arial" w:cs="Arial"/>
        </w:rPr>
        <w:t>En</w:t>
      </w:r>
      <w:proofErr w:type="spellEnd"/>
      <w:r w:rsidRPr="001C4642">
        <w:rPr>
          <w:rFonts w:ascii="Arial" w:hAnsi="Arial" w:cs="Arial"/>
        </w:rPr>
        <w:t xml:space="preserve"> Sci. Univ. Frères </w:t>
      </w:r>
      <w:proofErr w:type="spellStart"/>
      <w:r w:rsidRPr="001C4642">
        <w:rPr>
          <w:rFonts w:ascii="Arial" w:hAnsi="Arial" w:cs="Arial"/>
        </w:rPr>
        <w:t>Mentouri</w:t>
      </w:r>
      <w:proofErr w:type="spellEnd"/>
      <w:r w:rsidRPr="001C4642">
        <w:rPr>
          <w:rFonts w:ascii="Arial" w:hAnsi="Arial" w:cs="Arial"/>
        </w:rPr>
        <w:t xml:space="preserve"> Constantine.</w:t>
      </w:r>
    </w:p>
    <w:p w14:paraId="07BED1FC"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Tang, A., Haruna, A. O., Majid, N. M. A., &amp; Jalloh, M. B. (2020). Potential PGPR Properties of Cellulolytic, Nitrogen-Fixing, Phosphate-Solubilizing Bacteria in Rehabilitated Tropical Forest Soil. Microorganisms, 8(3), 442. </w:t>
      </w:r>
      <w:hyperlink r:id="rId71" w:history="1">
        <w:r w:rsidRPr="00103F45">
          <w:rPr>
            <w:rStyle w:val="Hyperlink"/>
            <w:rFonts w:ascii="Arial" w:hAnsi="Arial" w:cs="Arial"/>
          </w:rPr>
          <w:t>https://doi.org/10.3390/microorganisms8030442</w:t>
        </w:r>
      </w:hyperlink>
    </w:p>
    <w:p w14:paraId="3E8A6ED0" w14:textId="77777777"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Philippot</w:t>
      </w:r>
      <w:proofErr w:type="spellEnd"/>
      <w:r w:rsidRPr="00C50DF6">
        <w:rPr>
          <w:rFonts w:ascii="Arial" w:hAnsi="Arial" w:cs="Arial"/>
        </w:rPr>
        <w:t xml:space="preserve">, L., </w:t>
      </w:r>
      <w:proofErr w:type="spellStart"/>
      <w:r w:rsidRPr="00C50DF6">
        <w:rPr>
          <w:rFonts w:ascii="Arial" w:hAnsi="Arial" w:cs="Arial"/>
        </w:rPr>
        <w:t>Raaijmakers</w:t>
      </w:r>
      <w:proofErr w:type="spellEnd"/>
      <w:r w:rsidRPr="00C50DF6">
        <w:rPr>
          <w:rFonts w:ascii="Arial" w:hAnsi="Arial" w:cs="Arial"/>
        </w:rPr>
        <w:t xml:space="preserve">, J. M., </w:t>
      </w:r>
      <w:proofErr w:type="spellStart"/>
      <w:r w:rsidRPr="00C50DF6">
        <w:rPr>
          <w:rFonts w:ascii="Arial" w:hAnsi="Arial" w:cs="Arial"/>
        </w:rPr>
        <w:t>Lemanceau</w:t>
      </w:r>
      <w:proofErr w:type="spellEnd"/>
      <w:r w:rsidRPr="00C50DF6">
        <w:rPr>
          <w:rFonts w:ascii="Arial" w:hAnsi="Arial" w:cs="Arial"/>
        </w:rPr>
        <w:t xml:space="preserve">, P., &amp; Van Der </w:t>
      </w:r>
      <w:proofErr w:type="spellStart"/>
      <w:r w:rsidRPr="00C50DF6">
        <w:rPr>
          <w:rFonts w:ascii="Arial" w:hAnsi="Arial" w:cs="Arial"/>
        </w:rPr>
        <w:t>Putten</w:t>
      </w:r>
      <w:proofErr w:type="spellEnd"/>
      <w:r w:rsidRPr="00C50DF6">
        <w:rPr>
          <w:rFonts w:ascii="Arial" w:hAnsi="Arial" w:cs="Arial"/>
        </w:rPr>
        <w:t xml:space="preserve">, W. H. (2013). Going back to the roots: the microbial ecology of the rhizosphere. Nature Reviews Microbiology, 11(11), 789–799. </w:t>
      </w:r>
      <w:hyperlink r:id="rId72" w:history="1">
        <w:r w:rsidRPr="00103F45">
          <w:rPr>
            <w:rStyle w:val="Hyperlink"/>
            <w:rFonts w:ascii="Arial" w:hAnsi="Arial" w:cs="Arial"/>
          </w:rPr>
          <w:t>https://doi.org/10.1038/nrmicro3109</w:t>
        </w:r>
      </w:hyperlink>
    </w:p>
    <w:p w14:paraId="5FC9F93A"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Kenneth, O. C., </w:t>
      </w:r>
      <w:proofErr w:type="spellStart"/>
      <w:r w:rsidRPr="00C50DF6">
        <w:rPr>
          <w:rFonts w:ascii="Arial" w:hAnsi="Arial" w:cs="Arial"/>
        </w:rPr>
        <w:t>Nwadibe</w:t>
      </w:r>
      <w:proofErr w:type="spellEnd"/>
      <w:r w:rsidRPr="00C50DF6">
        <w:rPr>
          <w:rFonts w:ascii="Arial" w:hAnsi="Arial" w:cs="Arial"/>
        </w:rPr>
        <w:t xml:space="preserve">, E. C., Kalu, A. U., &amp; </w:t>
      </w:r>
      <w:proofErr w:type="spellStart"/>
      <w:r w:rsidRPr="00C50DF6">
        <w:rPr>
          <w:rFonts w:ascii="Arial" w:hAnsi="Arial" w:cs="Arial"/>
        </w:rPr>
        <w:t>Unah</w:t>
      </w:r>
      <w:proofErr w:type="spellEnd"/>
      <w:r w:rsidRPr="00C50DF6">
        <w:rPr>
          <w:rFonts w:ascii="Arial" w:hAnsi="Arial" w:cs="Arial"/>
        </w:rPr>
        <w:t xml:space="preserve">, U. V. (2019). Plant Growth Promoting Rhizobacteria (PGPR): A Novel Agent for Sustainable Food Production. American Journal of Agricultural and Biological Sciences, 14(1), 35-54. </w:t>
      </w:r>
      <w:hyperlink r:id="rId73" w:history="1">
        <w:r w:rsidRPr="00103F45">
          <w:rPr>
            <w:rStyle w:val="Hyperlink"/>
            <w:rFonts w:ascii="Arial" w:hAnsi="Arial" w:cs="Arial"/>
          </w:rPr>
          <w:t>https://doi.org/10.3844/ajabssp.2019.35.54</w:t>
        </w:r>
      </w:hyperlink>
    </w:p>
    <w:p w14:paraId="626B13D7" w14:textId="77777777"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Vaikuntapu, P. R., Dutta, S., Samudrala, R. B., Rao, V. R. V. N., Kalam, S., &amp; Podile, A. R. (2014). </w:t>
      </w:r>
      <w:r w:rsidRPr="00C50DF6">
        <w:rPr>
          <w:rFonts w:ascii="Arial" w:hAnsi="Arial" w:cs="Arial"/>
        </w:rPr>
        <w:t xml:space="preserve">Preferential Promotion of </w:t>
      </w:r>
      <w:proofErr w:type="spellStart"/>
      <w:r w:rsidRPr="00C50DF6">
        <w:rPr>
          <w:rFonts w:ascii="Arial" w:hAnsi="Arial" w:cs="Arial"/>
        </w:rPr>
        <w:t>Lycopersicon</w:t>
      </w:r>
      <w:proofErr w:type="spellEnd"/>
      <w:r w:rsidRPr="00C50DF6">
        <w:rPr>
          <w:rFonts w:ascii="Arial" w:hAnsi="Arial" w:cs="Arial"/>
        </w:rPr>
        <w:t xml:space="preserve"> </w:t>
      </w:r>
      <w:proofErr w:type="spellStart"/>
      <w:r w:rsidRPr="00C50DF6">
        <w:rPr>
          <w:rFonts w:ascii="Arial" w:hAnsi="Arial" w:cs="Arial"/>
        </w:rPr>
        <w:t>esculentum</w:t>
      </w:r>
      <w:proofErr w:type="spellEnd"/>
      <w:r w:rsidRPr="00C50DF6">
        <w:rPr>
          <w:rFonts w:ascii="Arial" w:hAnsi="Arial" w:cs="Arial"/>
        </w:rPr>
        <w:t xml:space="preserve"> (Tomato) Growth by Plant Growth Promoting Bacteria Associated with Tomato. </w:t>
      </w:r>
      <w:r w:rsidRPr="00C50DF6">
        <w:rPr>
          <w:rFonts w:ascii="Arial" w:hAnsi="Arial" w:cs="Arial"/>
          <w:lang w:val="pt-BR"/>
        </w:rPr>
        <w:t xml:space="preserve">Indian J. Microbiol. </w:t>
      </w:r>
      <w:r w:rsidR="00A14075">
        <w:fldChar w:fldCharType="begin"/>
      </w:r>
      <w:r w:rsidR="00A14075">
        <w:instrText xml:space="preserve"> HYPERLINK "https://doi.org/10.1007/s12088-014-0470-z" </w:instrText>
      </w:r>
      <w:r w:rsidR="00A14075">
        <w:fldChar w:fldCharType="separate"/>
      </w:r>
      <w:r w:rsidRPr="00103F45">
        <w:rPr>
          <w:rStyle w:val="Hyperlink"/>
          <w:rFonts w:ascii="Arial" w:hAnsi="Arial" w:cs="Arial"/>
          <w:lang w:val="pt-BR"/>
        </w:rPr>
        <w:t>https://doi.org/10.1007/s12088-014-0470-z</w:t>
      </w:r>
      <w:r w:rsidR="00A14075">
        <w:rPr>
          <w:rStyle w:val="Hyperlink"/>
          <w:rFonts w:ascii="Arial" w:hAnsi="Arial" w:cs="Arial"/>
          <w:lang w:val="pt-BR"/>
        </w:rPr>
        <w:fldChar w:fldCharType="end"/>
      </w:r>
    </w:p>
    <w:p w14:paraId="40E4FCEA" w14:textId="77777777"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Smulders, L., Benítez, E., Moreno, B., López-García, Á., Pozo, M. J., Ferrero, V., de la Peña, E., &amp; Alcalá Herrera, R. (2021). </w:t>
      </w:r>
      <w:r w:rsidRPr="00C50DF6">
        <w:rPr>
          <w:rFonts w:ascii="Arial" w:hAnsi="Arial" w:cs="Arial"/>
          <w:lang w:val="en-IN"/>
        </w:rPr>
        <w:t xml:space="preserve">Tomato domestication affects potential functional molecular pathways of root-associated soil bacteria. Plants, 10(9), 1942. </w:t>
      </w:r>
      <w:hyperlink r:id="rId74" w:history="1">
        <w:r w:rsidRPr="00103F45">
          <w:rPr>
            <w:rStyle w:val="Hyperlink"/>
            <w:rFonts w:ascii="Arial" w:hAnsi="Arial" w:cs="Arial"/>
            <w:lang w:val="en-IN"/>
          </w:rPr>
          <w:t>https://doi.org/10.3390/plants10091942</w:t>
        </w:r>
      </w:hyperlink>
    </w:p>
    <w:p w14:paraId="2BC786BC" w14:textId="77777777"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Carrillo, A. E., Li, C. Y., &amp; Bashan, Y. (2002). </w:t>
      </w:r>
      <w:r w:rsidRPr="00C50DF6">
        <w:rPr>
          <w:rFonts w:ascii="Arial" w:hAnsi="Arial" w:cs="Arial"/>
        </w:rPr>
        <w:t xml:space="preserve">Increased acidification in the rhizosphere of cactus seedlings induced by </w:t>
      </w:r>
      <w:proofErr w:type="spellStart"/>
      <w:r w:rsidRPr="00C50DF6">
        <w:rPr>
          <w:rFonts w:ascii="Arial" w:hAnsi="Arial" w:cs="Arial"/>
        </w:rPr>
        <w:t>Azospirillum</w:t>
      </w:r>
      <w:proofErr w:type="spellEnd"/>
      <w:r w:rsidRPr="00C50DF6">
        <w:rPr>
          <w:rFonts w:ascii="Arial" w:hAnsi="Arial" w:cs="Arial"/>
        </w:rPr>
        <w:t xml:space="preserve"> </w:t>
      </w:r>
      <w:proofErr w:type="spellStart"/>
      <w:r w:rsidRPr="00C50DF6">
        <w:rPr>
          <w:rFonts w:ascii="Arial" w:hAnsi="Arial" w:cs="Arial"/>
        </w:rPr>
        <w:t>brasilense</w:t>
      </w:r>
      <w:proofErr w:type="spellEnd"/>
      <w:r w:rsidRPr="00C50DF6">
        <w:rPr>
          <w:rFonts w:ascii="Arial" w:hAnsi="Arial" w:cs="Arial"/>
        </w:rPr>
        <w:t xml:space="preserve">. </w:t>
      </w:r>
      <w:proofErr w:type="spellStart"/>
      <w:r w:rsidRPr="00C50DF6">
        <w:rPr>
          <w:rFonts w:ascii="Arial" w:hAnsi="Arial" w:cs="Arial"/>
        </w:rPr>
        <w:t>Naturwissenschaften</w:t>
      </w:r>
      <w:proofErr w:type="spellEnd"/>
      <w:r w:rsidRPr="00C50DF6">
        <w:rPr>
          <w:rFonts w:ascii="Arial" w:hAnsi="Arial" w:cs="Arial"/>
        </w:rPr>
        <w:t xml:space="preserve">, 89(9), 428–432. </w:t>
      </w:r>
      <w:hyperlink r:id="rId75" w:history="1">
        <w:r w:rsidRPr="00103F45">
          <w:rPr>
            <w:rStyle w:val="Hyperlink"/>
            <w:rFonts w:ascii="Arial" w:hAnsi="Arial" w:cs="Arial"/>
          </w:rPr>
          <w:t>https://doi.org/10.1007/s00114-002-0347-6</w:t>
        </w:r>
      </w:hyperlink>
    </w:p>
    <w:p w14:paraId="20889917"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Khalid, A., Arshad, M., &amp; </w:t>
      </w:r>
      <w:proofErr w:type="spellStart"/>
      <w:r w:rsidRPr="00C50DF6">
        <w:rPr>
          <w:rFonts w:ascii="Arial" w:hAnsi="Arial" w:cs="Arial"/>
        </w:rPr>
        <w:t>Zahir</w:t>
      </w:r>
      <w:proofErr w:type="spellEnd"/>
      <w:r w:rsidRPr="00C50DF6">
        <w:rPr>
          <w:rFonts w:ascii="Arial" w:hAnsi="Arial" w:cs="Arial"/>
        </w:rPr>
        <w:t>, Z. A. (2004). Screening plant growth</w:t>
      </w:r>
      <w:r w:rsidRPr="00C50DF6">
        <w:rPr>
          <w:rFonts w:ascii="Cambria Math" w:hAnsi="Cambria Math" w:cs="Cambria Math"/>
        </w:rPr>
        <w:t>‐</w:t>
      </w:r>
      <w:r w:rsidRPr="00C50DF6">
        <w:rPr>
          <w:rFonts w:ascii="Arial" w:hAnsi="Arial" w:cs="Arial"/>
        </w:rPr>
        <w:t xml:space="preserve">promoting rhizobacteria for improving growth and yield of wheat. Journal of Applied Microbiology, 96(3), 473–480. </w:t>
      </w:r>
      <w:hyperlink r:id="rId76" w:history="1">
        <w:r w:rsidRPr="00103F45">
          <w:rPr>
            <w:rStyle w:val="Hyperlink"/>
            <w:rFonts w:ascii="Arial" w:hAnsi="Arial" w:cs="Arial"/>
          </w:rPr>
          <w:t>https://doi.org/10.1046/j.1365-2672.2003.02161.x</w:t>
        </w:r>
      </w:hyperlink>
    </w:p>
    <w:p w14:paraId="3365C313" w14:textId="77777777"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Karuppiah</w:t>
      </w:r>
      <w:proofErr w:type="spellEnd"/>
      <w:r w:rsidRPr="00C50DF6">
        <w:rPr>
          <w:rFonts w:ascii="Arial" w:hAnsi="Arial" w:cs="Arial"/>
        </w:rPr>
        <w:t xml:space="preserve">, P., &amp; Rajaram, S. (2011). Exploring the potential of chromium reducing Bacillus sp. and their plant growth promoting activities. Journal of Microbiology Research, 1, 17–23. </w:t>
      </w:r>
      <w:hyperlink r:id="rId77" w:history="1">
        <w:r w:rsidRPr="00103F45">
          <w:rPr>
            <w:rStyle w:val="Hyperlink"/>
            <w:rFonts w:ascii="Arial" w:hAnsi="Arial" w:cs="Arial"/>
          </w:rPr>
          <w:t>https://doi.org/10.5923/j.microbiology.2011.003</w:t>
        </w:r>
      </w:hyperlink>
    </w:p>
    <w:p w14:paraId="61F980D3"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Kumar, A., Prakash, A., &amp; Johri, B. N. (2011). Bacillus as PGPR in Crop Ecosystem. In D. K. Maheshwari (Ed.), Bacteria in Agrobiology: Crop Ecosystems (pp. 37–59). Springer. </w:t>
      </w:r>
      <w:hyperlink r:id="rId78" w:history="1">
        <w:r w:rsidRPr="00103F45">
          <w:rPr>
            <w:rStyle w:val="Hyperlink"/>
            <w:rFonts w:ascii="Arial" w:hAnsi="Arial" w:cs="Arial"/>
          </w:rPr>
          <w:t>https://doi.org/10.1007/978-3-642-18357-7_2</w:t>
        </w:r>
      </w:hyperlink>
    </w:p>
    <w:p w14:paraId="3BCFFF16" w14:textId="77777777"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Meena, V. S., Maurya, B. R., Verma, J. P., Aeron, A., A., Kim, K., &amp; Bajpai, V. K. (2015). </w:t>
      </w:r>
      <w:r w:rsidRPr="00C50DF6">
        <w:rPr>
          <w:rFonts w:ascii="Arial" w:hAnsi="Arial" w:cs="Arial"/>
        </w:rPr>
        <w:t xml:space="preserve">Potassium solubilizing rhizobacteria (KSR): Isolation, identification, and K-release dynamics from waste mica. Ecological Engineering, 81, 340–347. </w:t>
      </w:r>
      <w:hyperlink r:id="rId79" w:history="1">
        <w:r w:rsidRPr="00103F45">
          <w:rPr>
            <w:rStyle w:val="Hyperlink"/>
            <w:rFonts w:ascii="Arial" w:hAnsi="Arial" w:cs="Arial"/>
          </w:rPr>
          <w:t>https://doi.org/10.1016/j.ecoleng.2015.04.065</w:t>
        </w:r>
      </w:hyperlink>
    </w:p>
    <w:p w14:paraId="3579C011" w14:textId="77777777" w:rsidR="004543F5" w:rsidRPr="001C4642" w:rsidRDefault="004543F5" w:rsidP="00C50DF6">
      <w:pPr>
        <w:pStyle w:val="Bibliography"/>
        <w:numPr>
          <w:ilvl w:val="0"/>
          <w:numId w:val="33"/>
        </w:numPr>
        <w:jc w:val="both"/>
        <w:rPr>
          <w:rFonts w:ascii="Arial" w:hAnsi="Arial" w:cs="Arial"/>
        </w:rPr>
      </w:pPr>
      <w:proofErr w:type="spellStart"/>
      <w:r w:rsidRPr="00C50DF6">
        <w:rPr>
          <w:rFonts w:ascii="Arial" w:hAnsi="Arial" w:cs="Arial"/>
          <w:lang w:val="en-IN"/>
        </w:rPr>
        <w:t>Bakha</w:t>
      </w:r>
      <w:proofErr w:type="spellEnd"/>
      <w:r w:rsidRPr="00C50DF6">
        <w:rPr>
          <w:rFonts w:ascii="Arial" w:hAnsi="Arial" w:cs="Arial"/>
          <w:lang w:val="en-IN"/>
        </w:rPr>
        <w:t xml:space="preserve">, S., </w:t>
      </w:r>
      <w:proofErr w:type="spellStart"/>
      <w:r w:rsidRPr="00C50DF6">
        <w:rPr>
          <w:rFonts w:ascii="Arial" w:hAnsi="Arial" w:cs="Arial"/>
          <w:lang w:val="en-IN"/>
        </w:rPr>
        <w:t>Ameur</w:t>
      </w:r>
      <w:proofErr w:type="spellEnd"/>
      <w:r w:rsidRPr="00C50DF6">
        <w:rPr>
          <w:rFonts w:ascii="Arial" w:hAnsi="Arial" w:cs="Arial"/>
          <w:lang w:val="en-IN"/>
        </w:rPr>
        <w:t xml:space="preserve">, D., 2023. </w:t>
      </w:r>
      <w:r w:rsidRPr="00985DDE">
        <w:rPr>
          <w:rFonts w:ascii="Arial" w:hAnsi="Arial" w:cs="Arial"/>
          <w:lang w:val="fr-FR"/>
        </w:rPr>
        <w:t xml:space="preserve">Contribution à l’étude du </w:t>
      </w:r>
      <w:proofErr w:type="spellStart"/>
      <w:r w:rsidRPr="00985DDE">
        <w:rPr>
          <w:rFonts w:ascii="Arial" w:hAnsi="Arial" w:cs="Arial"/>
          <w:lang w:val="fr-FR"/>
        </w:rPr>
        <w:t>rhizobactéries</w:t>
      </w:r>
      <w:proofErr w:type="spellEnd"/>
      <w:r w:rsidRPr="00985DDE">
        <w:rPr>
          <w:rFonts w:ascii="Arial" w:hAnsi="Arial" w:cs="Arial"/>
          <w:lang w:val="fr-FR"/>
        </w:rPr>
        <w:t xml:space="preserve"> du haricot (</w:t>
      </w:r>
      <w:proofErr w:type="spellStart"/>
      <w:r w:rsidRPr="00985DDE">
        <w:rPr>
          <w:rFonts w:ascii="Arial" w:hAnsi="Arial" w:cs="Arial"/>
          <w:lang w:val="fr-FR"/>
        </w:rPr>
        <w:t>Phaseolus</w:t>
      </w:r>
      <w:proofErr w:type="spellEnd"/>
      <w:r w:rsidRPr="00985DDE">
        <w:rPr>
          <w:rFonts w:ascii="Arial" w:hAnsi="Arial" w:cs="Arial"/>
          <w:lang w:val="fr-FR"/>
        </w:rPr>
        <w:t xml:space="preserve"> vulgaris L.). </w:t>
      </w:r>
      <w:proofErr w:type="spellStart"/>
      <w:r w:rsidRPr="001C4642">
        <w:rPr>
          <w:rFonts w:ascii="Arial" w:hAnsi="Arial" w:cs="Arial"/>
        </w:rPr>
        <w:t>Université</w:t>
      </w:r>
      <w:proofErr w:type="spellEnd"/>
      <w:r w:rsidRPr="001C4642">
        <w:rPr>
          <w:rFonts w:ascii="Arial" w:hAnsi="Arial" w:cs="Arial"/>
        </w:rPr>
        <w:t xml:space="preserve"> Amar </w:t>
      </w:r>
      <w:proofErr w:type="spellStart"/>
      <w:r w:rsidRPr="001C4642">
        <w:rPr>
          <w:rFonts w:ascii="Arial" w:hAnsi="Arial" w:cs="Arial"/>
        </w:rPr>
        <w:t>Telidji</w:t>
      </w:r>
      <w:proofErr w:type="spellEnd"/>
      <w:r w:rsidRPr="001C4642">
        <w:rPr>
          <w:rFonts w:ascii="Arial" w:hAnsi="Arial" w:cs="Arial"/>
        </w:rPr>
        <w:t xml:space="preserve"> - </w:t>
      </w:r>
      <w:proofErr w:type="spellStart"/>
      <w:r w:rsidRPr="001C4642">
        <w:rPr>
          <w:rFonts w:ascii="Arial" w:hAnsi="Arial" w:cs="Arial"/>
        </w:rPr>
        <w:t>Département</w:t>
      </w:r>
      <w:proofErr w:type="spellEnd"/>
      <w:r w:rsidRPr="001C4642">
        <w:rPr>
          <w:rFonts w:ascii="Arial" w:hAnsi="Arial" w:cs="Arial"/>
        </w:rPr>
        <w:t xml:space="preserve"> </w:t>
      </w:r>
      <w:proofErr w:type="spellStart"/>
      <w:r w:rsidRPr="001C4642">
        <w:rPr>
          <w:rFonts w:ascii="Arial" w:hAnsi="Arial" w:cs="Arial"/>
        </w:rPr>
        <w:t>d’agronomie</w:t>
      </w:r>
      <w:proofErr w:type="spellEnd"/>
      <w:r w:rsidRPr="001C4642">
        <w:rPr>
          <w:rFonts w:ascii="Arial" w:hAnsi="Arial" w:cs="Arial"/>
        </w:rPr>
        <w:t xml:space="preserve">, </w:t>
      </w:r>
      <w:proofErr w:type="spellStart"/>
      <w:r w:rsidRPr="001C4642">
        <w:rPr>
          <w:rFonts w:ascii="Arial" w:hAnsi="Arial" w:cs="Arial"/>
        </w:rPr>
        <w:t>Laghouat</w:t>
      </w:r>
      <w:proofErr w:type="spellEnd"/>
      <w:r w:rsidRPr="001C4642">
        <w:rPr>
          <w:rFonts w:ascii="Arial" w:hAnsi="Arial" w:cs="Arial"/>
        </w:rPr>
        <w:t>.</w:t>
      </w:r>
    </w:p>
    <w:p w14:paraId="1ACA142F" w14:textId="77777777" w:rsidR="00C50DF6" w:rsidRPr="00C50DF6" w:rsidRDefault="00C50DF6" w:rsidP="00C50DF6">
      <w:pPr>
        <w:pStyle w:val="Bibliography"/>
        <w:numPr>
          <w:ilvl w:val="0"/>
          <w:numId w:val="33"/>
        </w:numPr>
        <w:jc w:val="both"/>
        <w:rPr>
          <w:rFonts w:ascii="Arial" w:hAnsi="Arial" w:cs="Arial"/>
          <w:lang w:val="fr-FR"/>
        </w:rPr>
      </w:pPr>
      <w:proofErr w:type="spellStart"/>
      <w:r w:rsidRPr="00C50DF6">
        <w:rPr>
          <w:rFonts w:ascii="Arial" w:hAnsi="Arial" w:cs="Arial"/>
        </w:rPr>
        <w:t>Aarab</w:t>
      </w:r>
      <w:proofErr w:type="spellEnd"/>
      <w:r w:rsidRPr="00C50DF6">
        <w:rPr>
          <w:rFonts w:ascii="Arial" w:hAnsi="Arial" w:cs="Arial"/>
        </w:rPr>
        <w:t xml:space="preserve">, S., </w:t>
      </w:r>
      <w:proofErr w:type="spellStart"/>
      <w:r w:rsidRPr="00C50DF6">
        <w:rPr>
          <w:rFonts w:ascii="Arial" w:hAnsi="Arial" w:cs="Arial"/>
        </w:rPr>
        <w:t>Laglaoui</w:t>
      </w:r>
      <w:proofErr w:type="spellEnd"/>
      <w:r w:rsidRPr="00C50DF6">
        <w:rPr>
          <w:rFonts w:ascii="Arial" w:hAnsi="Arial" w:cs="Arial"/>
        </w:rPr>
        <w:t xml:space="preserve">, A., </w:t>
      </w:r>
      <w:proofErr w:type="spellStart"/>
      <w:r w:rsidRPr="00C50DF6">
        <w:rPr>
          <w:rFonts w:ascii="Arial" w:hAnsi="Arial" w:cs="Arial"/>
        </w:rPr>
        <w:t>Bakkali</w:t>
      </w:r>
      <w:proofErr w:type="spellEnd"/>
      <w:r w:rsidRPr="00C50DF6">
        <w:rPr>
          <w:rFonts w:ascii="Arial" w:hAnsi="Arial" w:cs="Arial"/>
        </w:rPr>
        <w:t xml:space="preserve">, M., &amp; </w:t>
      </w:r>
      <w:proofErr w:type="spellStart"/>
      <w:r w:rsidRPr="00C50DF6">
        <w:rPr>
          <w:rFonts w:ascii="Arial" w:hAnsi="Arial" w:cs="Arial"/>
        </w:rPr>
        <w:t>Arakrak</w:t>
      </w:r>
      <w:proofErr w:type="spellEnd"/>
      <w:r w:rsidRPr="00C50DF6">
        <w:rPr>
          <w:rFonts w:ascii="Arial" w:hAnsi="Arial" w:cs="Arial"/>
        </w:rPr>
        <w:t xml:space="preserve">, A. (2009). </w:t>
      </w:r>
      <w:proofErr w:type="spellStart"/>
      <w:r w:rsidRPr="00C50DF6">
        <w:rPr>
          <w:rFonts w:ascii="Arial" w:hAnsi="Arial" w:cs="Arial"/>
          <w:lang w:val="fr-FR"/>
        </w:rPr>
        <w:t>Selection</w:t>
      </w:r>
      <w:proofErr w:type="spellEnd"/>
      <w:r w:rsidRPr="00C50DF6">
        <w:rPr>
          <w:rFonts w:ascii="Arial" w:hAnsi="Arial" w:cs="Arial"/>
          <w:lang w:val="fr-FR"/>
        </w:rPr>
        <w:t xml:space="preserve"> des isolats </w:t>
      </w:r>
      <w:proofErr w:type="spellStart"/>
      <w:r w:rsidRPr="00C50DF6">
        <w:rPr>
          <w:rFonts w:ascii="Arial" w:hAnsi="Arial" w:cs="Arial"/>
          <w:lang w:val="fr-FR"/>
        </w:rPr>
        <w:t>rhizobiens</w:t>
      </w:r>
      <w:proofErr w:type="spellEnd"/>
      <w:r w:rsidRPr="00C50DF6">
        <w:rPr>
          <w:rFonts w:ascii="Arial" w:hAnsi="Arial" w:cs="Arial"/>
          <w:lang w:val="fr-FR"/>
        </w:rPr>
        <w:t xml:space="preserve"> solubilisant le phosphate tricalcique : inoculation des graines du triticale (</w:t>
      </w:r>
      <w:proofErr w:type="spellStart"/>
      <w:r w:rsidRPr="00C50DF6">
        <w:rPr>
          <w:rFonts w:ascii="Arial" w:hAnsi="Arial" w:cs="Arial"/>
          <w:lang w:val="fr-FR"/>
        </w:rPr>
        <w:t>variete</w:t>
      </w:r>
      <w:proofErr w:type="spellEnd"/>
      <w:r w:rsidRPr="00C50DF6">
        <w:rPr>
          <w:rFonts w:ascii="Arial" w:hAnsi="Arial" w:cs="Arial"/>
          <w:lang w:val="fr-FR"/>
        </w:rPr>
        <w:t xml:space="preserve"> </w:t>
      </w:r>
      <w:proofErr w:type="spellStart"/>
      <w:r w:rsidRPr="00C50DF6">
        <w:rPr>
          <w:rFonts w:ascii="Arial" w:hAnsi="Arial" w:cs="Arial"/>
          <w:lang w:val="fr-FR"/>
        </w:rPr>
        <w:t>momtaz</w:t>
      </w:r>
      <w:proofErr w:type="spellEnd"/>
      <w:r w:rsidRPr="00C50DF6">
        <w:rPr>
          <w:rFonts w:ascii="Arial" w:hAnsi="Arial" w:cs="Arial"/>
          <w:lang w:val="fr-FR"/>
        </w:rPr>
        <w:t xml:space="preserve">). *COVAPHOS III*, *5*, 147-152. </w:t>
      </w:r>
      <w:hyperlink r:id="rId80" w:history="1">
        <w:r w:rsidRPr="00103F45">
          <w:rPr>
            <w:rStyle w:val="Hyperlink"/>
            <w:rFonts w:ascii="Arial" w:hAnsi="Arial" w:cs="Arial"/>
            <w:lang w:val="fr-FR"/>
          </w:rPr>
          <w:t>https://www.researchgate.net/publication/280919000_SELECTION_DES_ISOLATS_RHIZOBIENS_SOLUBILISANT_LE_PHOSPHATE_TRICALCIQUE_INOCULATION_DES_GRAINES_DU_TRITICALE_VARIETE_MOMTAZ</w:t>
        </w:r>
      </w:hyperlink>
    </w:p>
    <w:p w14:paraId="557517E7" w14:textId="7777777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en-IN"/>
        </w:rPr>
        <w:t>Khoso</w:t>
      </w:r>
      <w:proofErr w:type="spellEnd"/>
      <w:r w:rsidRPr="00C50DF6">
        <w:rPr>
          <w:rFonts w:ascii="Arial" w:hAnsi="Arial" w:cs="Arial"/>
          <w:lang w:val="en-IN"/>
        </w:rPr>
        <w:t xml:space="preserve">, M. A., </w:t>
      </w:r>
      <w:proofErr w:type="spellStart"/>
      <w:r w:rsidRPr="00C50DF6">
        <w:rPr>
          <w:rFonts w:ascii="Arial" w:hAnsi="Arial" w:cs="Arial"/>
          <w:lang w:val="en-IN"/>
        </w:rPr>
        <w:t>Wagan</w:t>
      </w:r>
      <w:proofErr w:type="spellEnd"/>
      <w:r w:rsidRPr="00C50DF6">
        <w:rPr>
          <w:rFonts w:ascii="Arial" w:hAnsi="Arial" w:cs="Arial"/>
          <w:lang w:val="en-IN"/>
        </w:rPr>
        <w:t xml:space="preserve">, S., </w:t>
      </w:r>
      <w:proofErr w:type="spellStart"/>
      <w:r w:rsidRPr="00C50DF6">
        <w:rPr>
          <w:rFonts w:ascii="Arial" w:hAnsi="Arial" w:cs="Arial"/>
          <w:lang w:val="en-IN"/>
        </w:rPr>
        <w:t>Alam</w:t>
      </w:r>
      <w:proofErr w:type="spellEnd"/>
      <w:r w:rsidRPr="00C50DF6">
        <w:rPr>
          <w:rFonts w:ascii="Arial" w:hAnsi="Arial" w:cs="Arial"/>
          <w:lang w:val="en-IN"/>
        </w:rPr>
        <w:t xml:space="preserve">, I., Hussain, A., Ali, Q., </w:t>
      </w:r>
      <w:proofErr w:type="spellStart"/>
      <w:r w:rsidRPr="00C50DF6">
        <w:rPr>
          <w:rFonts w:ascii="Arial" w:hAnsi="Arial" w:cs="Arial"/>
          <w:lang w:val="en-IN"/>
        </w:rPr>
        <w:t>Saha</w:t>
      </w:r>
      <w:proofErr w:type="spellEnd"/>
      <w:r w:rsidRPr="00C50DF6">
        <w:rPr>
          <w:rFonts w:ascii="Arial" w:hAnsi="Arial" w:cs="Arial"/>
          <w:lang w:val="en-IN"/>
        </w:rPr>
        <w:t xml:space="preserve">, S., Poudel, T. R., </w:t>
      </w:r>
      <w:proofErr w:type="spellStart"/>
      <w:r w:rsidRPr="00C50DF6">
        <w:rPr>
          <w:rFonts w:ascii="Arial" w:hAnsi="Arial" w:cs="Arial"/>
          <w:lang w:val="en-IN"/>
        </w:rPr>
        <w:t>Manghwar</w:t>
      </w:r>
      <w:proofErr w:type="spellEnd"/>
      <w:r w:rsidRPr="00C50DF6">
        <w:rPr>
          <w:rFonts w:ascii="Arial" w:hAnsi="Arial" w:cs="Arial"/>
          <w:lang w:val="en-IN"/>
        </w:rPr>
        <w:t xml:space="preserve">, H., &amp; Liu, F. (2024). Impact of plant growth-promoting rhizobacteria (PGPR) on plant nutrition and root characteristics: Current perspective. Plant Stress, 11, 100341. </w:t>
      </w:r>
      <w:hyperlink r:id="rId81" w:history="1">
        <w:r w:rsidRPr="00103F45">
          <w:rPr>
            <w:rStyle w:val="Hyperlink"/>
            <w:rFonts w:ascii="Arial" w:hAnsi="Arial" w:cs="Arial"/>
            <w:lang w:val="en-IN"/>
          </w:rPr>
          <w:t>https://doi.org/10.1016/j.stress.2023.100341</w:t>
        </w:r>
      </w:hyperlink>
    </w:p>
    <w:p w14:paraId="0822E80A"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Finch-Savage, W. E., &amp; </w:t>
      </w:r>
      <w:proofErr w:type="spellStart"/>
      <w:r w:rsidRPr="00C50DF6">
        <w:rPr>
          <w:rFonts w:ascii="Arial" w:hAnsi="Arial" w:cs="Arial"/>
        </w:rPr>
        <w:t>Bassel</w:t>
      </w:r>
      <w:proofErr w:type="spellEnd"/>
      <w:r w:rsidRPr="00C50DF6">
        <w:rPr>
          <w:rFonts w:ascii="Arial" w:hAnsi="Arial" w:cs="Arial"/>
        </w:rPr>
        <w:t xml:space="preserve">, G. W. (2016). Seed </w:t>
      </w:r>
      <w:proofErr w:type="spellStart"/>
      <w:r w:rsidRPr="00C50DF6">
        <w:rPr>
          <w:rFonts w:ascii="Arial" w:hAnsi="Arial" w:cs="Arial"/>
        </w:rPr>
        <w:t>vigour</w:t>
      </w:r>
      <w:proofErr w:type="spellEnd"/>
      <w:r w:rsidRPr="00C50DF6">
        <w:rPr>
          <w:rFonts w:ascii="Arial" w:hAnsi="Arial" w:cs="Arial"/>
        </w:rPr>
        <w:t xml:space="preserve"> and crop establishment: extending performance beyond adaptation. Journal of Experimental Botany, 67(3), 567–591. </w:t>
      </w:r>
      <w:hyperlink r:id="rId82" w:history="1">
        <w:r w:rsidRPr="00103F45">
          <w:rPr>
            <w:rStyle w:val="Hyperlink"/>
            <w:rFonts w:ascii="Arial" w:hAnsi="Arial" w:cs="Arial"/>
          </w:rPr>
          <w:t>https://doi.org/10.1093/jxb/erv490</w:t>
        </w:r>
      </w:hyperlink>
    </w:p>
    <w:p w14:paraId="3E2C896C" w14:textId="77777777" w:rsid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Almaghrabi, O. A., Massoud, S. I., &amp; Abdelmoneim, T. S. (2013). </w:t>
      </w:r>
      <w:r w:rsidRPr="00C50DF6">
        <w:rPr>
          <w:rFonts w:ascii="Arial" w:hAnsi="Arial" w:cs="Arial"/>
        </w:rPr>
        <w:t xml:space="preserve">Influence of inoculation with plant growth promoting rhizobacteria (PGPR) on tomato plant growth and nematode reproduction under greenhouse conditions. Saudi Journal of Biological Sciences, 20(1), 57–61. </w:t>
      </w:r>
      <w:hyperlink r:id="rId83" w:history="1">
        <w:r w:rsidRPr="00103F45">
          <w:rPr>
            <w:rStyle w:val="Hyperlink"/>
            <w:rFonts w:ascii="Arial" w:hAnsi="Arial" w:cs="Arial"/>
          </w:rPr>
          <w:t>https://doi.org/10.1016/j.sjbs.2012.10.004</w:t>
        </w:r>
      </w:hyperlink>
    </w:p>
    <w:p w14:paraId="4DA0BA24"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Singh, V. K., Singh, A. K., Singh, P. P., &amp; Kumar, A. (2018). Interaction of plant growth promoting bacteria with tomato under abiotic stress: A review. Agriculture, Ecosystems &amp; Environment, 267, 129–140. </w:t>
      </w:r>
      <w:hyperlink r:id="rId84" w:history="1">
        <w:r w:rsidRPr="00103F45">
          <w:rPr>
            <w:rStyle w:val="Hyperlink"/>
            <w:rFonts w:ascii="Arial" w:hAnsi="Arial" w:cs="Arial"/>
          </w:rPr>
          <w:t>https://doi.org/10.1016/j.agee.2018.08.020</w:t>
        </w:r>
      </w:hyperlink>
    </w:p>
    <w:p w14:paraId="2A11E2FA" w14:textId="77777777" w:rsidR="00C50DF6" w:rsidRDefault="00C50DF6" w:rsidP="00C50DF6">
      <w:pPr>
        <w:pStyle w:val="ListParagraph"/>
        <w:numPr>
          <w:ilvl w:val="0"/>
          <w:numId w:val="33"/>
        </w:numPr>
        <w:spacing w:after="160"/>
        <w:jc w:val="both"/>
        <w:rPr>
          <w:rFonts w:ascii="Arial" w:hAnsi="Arial" w:cs="Arial"/>
        </w:rPr>
      </w:pPr>
      <w:proofErr w:type="spellStart"/>
      <w:r w:rsidRPr="00C50DF6">
        <w:rPr>
          <w:rFonts w:ascii="Arial" w:hAnsi="Arial" w:cs="Arial"/>
        </w:rPr>
        <w:t>Suslow</w:t>
      </w:r>
      <w:proofErr w:type="spellEnd"/>
      <w:r w:rsidRPr="00C50DF6">
        <w:rPr>
          <w:rFonts w:ascii="Arial" w:hAnsi="Arial" w:cs="Arial"/>
        </w:rPr>
        <w:t xml:space="preserve">, T. V., &amp; </w:t>
      </w:r>
      <w:proofErr w:type="spellStart"/>
      <w:r w:rsidRPr="00C50DF6">
        <w:rPr>
          <w:rFonts w:ascii="Arial" w:hAnsi="Arial" w:cs="Arial"/>
        </w:rPr>
        <w:t>Schroth</w:t>
      </w:r>
      <w:proofErr w:type="spellEnd"/>
      <w:r w:rsidRPr="00C50DF6">
        <w:rPr>
          <w:rFonts w:ascii="Arial" w:hAnsi="Arial" w:cs="Arial"/>
        </w:rPr>
        <w:t xml:space="preserve">, M. N. (1982). Role of deleterious rhizobacteria as minor pathogens in reducing crop growth. Phytopathology, 72, 111–115. </w:t>
      </w:r>
      <w:hyperlink r:id="rId85" w:history="1">
        <w:r w:rsidRPr="00103F45">
          <w:rPr>
            <w:rStyle w:val="Hyperlink"/>
            <w:rFonts w:ascii="Arial" w:hAnsi="Arial" w:cs="Arial"/>
          </w:rPr>
          <w:t>https://doi.org/10.1094/Phyto-72-111</w:t>
        </w:r>
      </w:hyperlink>
    </w:p>
    <w:p w14:paraId="0B3D59E1" w14:textId="7777777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en-IN"/>
        </w:rPr>
        <w:t>Chieb</w:t>
      </w:r>
      <w:proofErr w:type="spellEnd"/>
      <w:r w:rsidRPr="00C50DF6">
        <w:rPr>
          <w:rFonts w:ascii="Arial" w:hAnsi="Arial" w:cs="Arial"/>
          <w:lang w:val="en-IN"/>
        </w:rPr>
        <w:t xml:space="preserve">, M., &amp; </w:t>
      </w:r>
      <w:proofErr w:type="spellStart"/>
      <w:r w:rsidRPr="00C50DF6">
        <w:rPr>
          <w:rFonts w:ascii="Arial" w:hAnsi="Arial" w:cs="Arial"/>
          <w:lang w:val="en-IN"/>
        </w:rPr>
        <w:t>Gachomo</w:t>
      </w:r>
      <w:proofErr w:type="spellEnd"/>
      <w:r w:rsidRPr="00C50DF6">
        <w:rPr>
          <w:rFonts w:ascii="Arial" w:hAnsi="Arial" w:cs="Arial"/>
          <w:lang w:val="en-IN"/>
        </w:rPr>
        <w:t xml:space="preserve">, E. W. (2023). The role of plant growth promoting rhizobacteria in plant drought stress responses. BMC Plant Biology, 23(1), 407. </w:t>
      </w:r>
      <w:hyperlink r:id="rId86" w:history="1">
        <w:r w:rsidRPr="00103F45">
          <w:rPr>
            <w:rStyle w:val="Hyperlink"/>
            <w:rFonts w:ascii="Arial" w:hAnsi="Arial" w:cs="Arial"/>
            <w:lang w:val="en-IN"/>
          </w:rPr>
          <w:t>https://doi.org/10.1186/s12870-023-04403-8</w:t>
        </w:r>
      </w:hyperlink>
    </w:p>
    <w:p w14:paraId="4BADC409" w14:textId="7777777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fr-FR"/>
        </w:rPr>
        <w:t>Larbaoui-dahoumane</w:t>
      </w:r>
      <w:proofErr w:type="spellEnd"/>
      <w:r w:rsidRPr="00C50DF6">
        <w:rPr>
          <w:rFonts w:ascii="Arial" w:hAnsi="Arial" w:cs="Arial"/>
          <w:lang w:val="fr-FR"/>
        </w:rPr>
        <w:t xml:space="preserve">, A., &amp; </w:t>
      </w:r>
      <w:proofErr w:type="spellStart"/>
      <w:r w:rsidRPr="00C50DF6">
        <w:rPr>
          <w:rFonts w:ascii="Arial" w:hAnsi="Arial" w:cs="Arial"/>
          <w:lang w:val="fr-FR"/>
        </w:rPr>
        <w:t>Benchabane</w:t>
      </w:r>
      <w:proofErr w:type="spellEnd"/>
      <w:r w:rsidRPr="00C50DF6">
        <w:rPr>
          <w:rFonts w:ascii="Arial" w:hAnsi="Arial" w:cs="Arial"/>
          <w:lang w:val="fr-FR"/>
        </w:rPr>
        <w:t xml:space="preserve">, M. (2023). Effet des souches de pseudomonas </w:t>
      </w:r>
      <w:proofErr w:type="spellStart"/>
      <w:r w:rsidRPr="00C50DF6">
        <w:rPr>
          <w:rFonts w:ascii="Arial" w:hAnsi="Arial" w:cs="Arial"/>
          <w:lang w:val="fr-FR"/>
        </w:rPr>
        <w:t>spp</w:t>
      </w:r>
      <w:proofErr w:type="spellEnd"/>
      <w:r w:rsidRPr="00C50DF6">
        <w:rPr>
          <w:rFonts w:ascii="Arial" w:hAnsi="Arial" w:cs="Arial"/>
          <w:lang w:val="fr-FR"/>
        </w:rPr>
        <w:t xml:space="preserve">. Fluorescents sur la germination du </w:t>
      </w:r>
      <w:proofErr w:type="spellStart"/>
      <w:r w:rsidRPr="00C50DF6">
        <w:rPr>
          <w:rFonts w:ascii="Arial" w:hAnsi="Arial" w:cs="Arial"/>
          <w:lang w:val="fr-FR"/>
        </w:rPr>
        <w:t>cedre</w:t>
      </w:r>
      <w:proofErr w:type="spellEnd"/>
      <w:r w:rsidRPr="00C50DF6">
        <w:rPr>
          <w:rFonts w:ascii="Arial" w:hAnsi="Arial" w:cs="Arial"/>
          <w:lang w:val="fr-FR"/>
        </w:rPr>
        <w:t xml:space="preserve"> (</w:t>
      </w:r>
      <w:proofErr w:type="spellStart"/>
      <w:r w:rsidRPr="00C50DF6">
        <w:rPr>
          <w:rFonts w:ascii="Arial" w:hAnsi="Arial" w:cs="Arial"/>
          <w:lang w:val="fr-FR"/>
        </w:rPr>
        <w:t>cedrus</w:t>
      </w:r>
      <w:proofErr w:type="spellEnd"/>
      <w:r w:rsidRPr="00C50DF6">
        <w:rPr>
          <w:rFonts w:ascii="Arial" w:hAnsi="Arial" w:cs="Arial"/>
          <w:lang w:val="fr-FR"/>
        </w:rPr>
        <w:t xml:space="preserve"> </w:t>
      </w:r>
      <w:proofErr w:type="spellStart"/>
      <w:r w:rsidRPr="00C50DF6">
        <w:rPr>
          <w:rFonts w:ascii="Arial" w:hAnsi="Arial" w:cs="Arial"/>
          <w:lang w:val="fr-FR"/>
        </w:rPr>
        <w:t>atlantica</w:t>
      </w:r>
      <w:proofErr w:type="spellEnd"/>
      <w:r w:rsidRPr="00C50DF6">
        <w:rPr>
          <w:rFonts w:ascii="Arial" w:hAnsi="Arial" w:cs="Arial"/>
          <w:lang w:val="fr-FR"/>
        </w:rPr>
        <w:t xml:space="preserve"> </w:t>
      </w:r>
      <w:proofErr w:type="spellStart"/>
      <w:r w:rsidRPr="00C50DF6">
        <w:rPr>
          <w:rFonts w:ascii="Arial" w:hAnsi="Arial" w:cs="Arial"/>
          <w:lang w:val="fr-FR"/>
        </w:rPr>
        <w:t>manetti</w:t>
      </w:r>
      <w:proofErr w:type="spellEnd"/>
      <w:r w:rsidRPr="00C50DF6">
        <w:rPr>
          <w:rFonts w:ascii="Arial" w:hAnsi="Arial" w:cs="Arial"/>
          <w:lang w:val="fr-FR"/>
        </w:rPr>
        <w:t xml:space="preserve">) et d’une </w:t>
      </w:r>
      <w:proofErr w:type="spellStart"/>
      <w:r w:rsidRPr="00C50DF6">
        <w:rPr>
          <w:rFonts w:ascii="Arial" w:hAnsi="Arial" w:cs="Arial"/>
          <w:lang w:val="fr-FR"/>
        </w:rPr>
        <w:t>legumineuse</w:t>
      </w:r>
      <w:proofErr w:type="spellEnd"/>
      <w:r w:rsidRPr="00C50DF6">
        <w:rPr>
          <w:rFonts w:ascii="Arial" w:hAnsi="Arial" w:cs="Arial"/>
          <w:lang w:val="fr-FR"/>
        </w:rPr>
        <w:t xml:space="preserve"> (acacia nilotica). *</w:t>
      </w:r>
      <w:proofErr w:type="spellStart"/>
      <w:r w:rsidRPr="00C50DF6">
        <w:rPr>
          <w:rFonts w:ascii="Arial" w:hAnsi="Arial" w:cs="Arial"/>
          <w:lang w:val="fr-FR"/>
        </w:rPr>
        <w:t>Agrobiologia</w:t>
      </w:r>
      <w:proofErr w:type="spellEnd"/>
      <w:r w:rsidRPr="00C50DF6">
        <w:rPr>
          <w:rFonts w:ascii="Arial" w:hAnsi="Arial" w:cs="Arial"/>
          <w:lang w:val="fr-FR"/>
        </w:rPr>
        <w:t xml:space="preserve">*, *13*, 3373–3383. </w:t>
      </w:r>
      <w:hyperlink r:id="rId87" w:history="1">
        <w:r w:rsidRPr="00103F45">
          <w:rPr>
            <w:rStyle w:val="Hyperlink"/>
            <w:rFonts w:ascii="Arial" w:hAnsi="Arial" w:cs="Arial"/>
            <w:lang w:val="fr-FR"/>
          </w:rPr>
          <w:t>https://www.asjp.cerist.dz/en/article/230000</w:t>
        </w:r>
      </w:hyperlink>
    </w:p>
    <w:p w14:paraId="6446690E"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Weisskopf, L., Heller, S., &amp; </w:t>
      </w:r>
      <w:proofErr w:type="spellStart"/>
      <w:r w:rsidRPr="00C50DF6">
        <w:rPr>
          <w:rFonts w:ascii="Arial" w:hAnsi="Arial" w:cs="Arial"/>
        </w:rPr>
        <w:t>Eberl</w:t>
      </w:r>
      <w:proofErr w:type="spellEnd"/>
      <w:r w:rsidRPr="00C50DF6">
        <w:rPr>
          <w:rFonts w:ascii="Arial" w:hAnsi="Arial" w:cs="Arial"/>
        </w:rPr>
        <w:t xml:space="preserve">, L. (2011). </w:t>
      </w:r>
      <w:proofErr w:type="spellStart"/>
      <w:r w:rsidRPr="00C50DF6">
        <w:rPr>
          <w:rFonts w:ascii="Arial" w:hAnsi="Arial" w:cs="Arial"/>
        </w:rPr>
        <w:t>Burkholderia</w:t>
      </w:r>
      <w:proofErr w:type="spellEnd"/>
      <w:r w:rsidRPr="00C50DF6">
        <w:rPr>
          <w:rFonts w:ascii="Arial" w:hAnsi="Arial" w:cs="Arial"/>
        </w:rPr>
        <w:t xml:space="preserve"> species are major inhabitants of white lupin cluster roots. Applied and Environmental Microbiology, 77(21), 7715–7720. </w:t>
      </w:r>
      <w:hyperlink r:id="rId88" w:history="1">
        <w:r w:rsidRPr="00103F45">
          <w:rPr>
            <w:rStyle w:val="Hyperlink"/>
            <w:rFonts w:ascii="Arial" w:hAnsi="Arial" w:cs="Arial"/>
          </w:rPr>
          <w:t>https://doi.org/10.1128/AEM.05845-11</w:t>
        </w:r>
      </w:hyperlink>
    </w:p>
    <w:p w14:paraId="7C392B7A"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lastRenderedPageBreak/>
        <w:t xml:space="preserve">Turnbull, G. A., Morgan, J. A. W., </w:t>
      </w:r>
      <w:proofErr w:type="spellStart"/>
      <w:r w:rsidRPr="00C50DF6">
        <w:rPr>
          <w:rFonts w:ascii="Arial" w:hAnsi="Arial" w:cs="Arial"/>
        </w:rPr>
        <w:t>Whipps</w:t>
      </w:r>
      <w:proofErr w:type="spellEnd"/>
      <w:r w:rsidRPr="00C50DF6">
        <w:rPr>
          <w:rFonts w:ascii="Arial" w:hAnsi="Arial" w:cs="Arial"/>
        </w:rPr>
        <w:t xml:space="preserve">, J. M., &amp; Saunders, J. R. (2001). The role of bacterial motility in the survival and spread of Pseudomonas fluorescens in soil and in the attachment and </w:t>
      </w:r>
      <w:proofErr w:type="spellStart"/>
      <w:r w:rsidRPr="00C50DF6">
        <w:rPr>
          <w:rFonts w:ascii="Arial" w:hAnsi="Arial" w:cs="Arial"/>
        </w:rPr>
        <w:t>colonisation</w:t>
      </w:r>
      <w:proofErr w:type="spellEnd"/>
      <w:r w:rsidRPr="00C50DF6">
        <w:rPr>
          <w:rFonts w:ascii="Arial" w:hAnsi="Arial" w:cs="Arial"/>
        </w:rPr>
        <w:t xml:space="preserve"> of wheat roots. FEMS Microbiology Ecology, 36(1), 21–31. </w:t>
      </w:r>
      <w:hyperlink r:id="rId89" w:history="1">
        <w:r w:rsidRPr="00103F45">
          <w:rPr>
            <w:rStyle w:val="Hyperlink"/>
            <w:rFonts w:ascii="Arial" w:hAnsi="Arial" w:cs="Arial"/>
          </w:rPr>
          <w:t>https://doi.org/10.1111/j.1574-6941.2001.tb00822.x</w:t>
        </w:r>
      </w:hyperlink>
    </w:p>
    <w:p w14:paraId="3845EF04" w14:textId="77777777" w:rsidR="00C50DF6" w:rsidRPr="00C50DF6" w:rsidRDefault="00C50DF6" w:rsidP="00C50DF6">
      <w:pPr>
        <w:pStyle w:val="Bibliography"/>
        <w:numPr>
          <w:ilvl w:val="0"/>
          <w:numId w:val="33"/>
        </w:numPr>
        <w:jc w:val="both"/>
        <w:rPr>
          <w:rFonts w:ascii="Arial" w:hAnsi="Arial" w:cs="Arial"/>
        </w:rPr>
      </w:pPr>
      <w:r w:rsidRPr="00C50DF6">
        <w:rPr>
          <w:rFonts w:ascii="Arial" w:hAnsi="Arial" w:cs="Arial"/>
          <w:lang w:val="pt-BR"/>
        </w:rPr>
        <w:t xml:space="preserve">Jomova, K., Alomar, S. Y., Alwasel, S. H., Nepovimova, E., Kuca, K., &amp; Valko, M. (2024). </w:t>
      </w:r>
      <w:r w:rsidRPr="00C50DF6">
        <w:rPr>
          <w:rFonts w:ascii="Arial" w:hAnsi="Arial" w:cs="Arial"/>
          <w:lang w:val="en-IN"/>
        </w:rPr>
        <w:t xml:space="preserve">Several lines of antioxidant </w:t>
      </w:r>
      <w:proofErr w:type="spellStart"/>
      <w:r w:rsidRPr="00C50DF6">
        <w:rPr>
          <w:rFonts w:ascii="Arial" w:hAnsi="Arial" w:cs="Arial"/>
          <w:lang w:val="en-IN"/>
        </w:rPr>
        <w:t>defense</w:t>
      </w:r>
      <w:proofErr w:type="spellEnd"/>
      <w:r w:rsidRPr="00C50DF6">
        <w:rPr>
          <w:rFonts w:ascii="Arial" w:hAnsi="Arial" w:cs="Arial"/>
          <w:lang w:val="en-IN"/>
        </w:rPr>
        <w:t xml:space="preserve"> against oxidative stress: antioxidant enzymes, nanomaterials with multiple enzyme-mimicking activities, and low-molecular-weight antioxidants. Archives of Toxicology, 98(5), 1323–1367. </w:t>
      </w:r>
      <w:hyperlink r:id="rId90" w:history="1">
        <w:r w:rsidRPr="00103F45">
          <w:rPr>
            <w:rStyle w:val="Hyperlink"/>
            <w:rFonts w:ascii="Arial" w:hAnsi="Arial" w:cs="Arial"/>
            <w:lang w:val="en-IN"/>
          </w:rPr>
          <w:t>https://doi.org/10.1007/s00204-024-03696-4</w:t>
        </w:r>
      </w:hyperlink>
    </w:p>
    <w:p w14:paraId="6DEF447E"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Singh, A., &amp; Prasad, V. (2025). Mitigation of salinity induced negative impacts by salt tolerant plant growth promoting rhizobacteria Bacillus flexus in mustard (Brassica </w:t>
      </w:r>
      <w:proofErr w:type="spellStart"/>
      <w:r w:rsidRPr="00C50DF6">
        <w:rPr>
          <w:rFonts w:ascii="Arial" w:hAnsi="Arial" w:cs="Arial"/>
        </w:rPr>
        <w:t>juncea</w:t>
      </w:r>
      <w:proofErr w:type="spellEnd"/>
      <w:r w:rsidRPr="00C50DF6">
        <w:rPr>
          <w:rFonts w:ascii="Arial" w:hAnsi="Arial" w:cs="Arial"/>
        </w:rPr>
        <w:t xml:space="preserve"> L.). Frontiers in Microbiology. </w:t>
      </w:r>
      <w:hyperlink r:id="rId91" w:history="1">
        <w:r w:rsidRPr="00103F45">
          <w:rPr>
            <w:rStyle w:val="Hyperlink"/>
            <w:rFonts w:ascii="Arial" w:hAnsi="Arial" w:cs="Arial"/>
          </w:rPr>
          <w:t>https://doi.org/10.3389/fmicb.2025.1638366</w:t>
        </w:r>
      </w:hyperlink>
    </w:p>
    <w:p w14:paraId="0F238006"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Dong, C.-J., Wang, L.-L., Li, Q., &amp; Shang, Q.-M. (2019). Bacterial communities in the rhizosphere, </w:t>
      </w:r>
      <w:proofErr w:type="spellStart"/>
      <w:r w:rsidRPr="00C50DF6">
        <w:rPr>
          <w:rFonts w:ascii="Arial" w:hAnsi="Arial" w:cs="Arial"/>
        </w:rPr>
        <w:t>phyllosphere</w:t>
      </w:r>
      <w:proofErr w:type="spellEnd"/>
      <w:r w:rsidRPr="00C50DF6">
        <w:rPr>
          <w:rFonts w:ascii="Arial" w:hAnsi="Arial" w:cs="Arial"/>
        </w:rPr>
        <w:t xml:space="preserve"> and </w:t>
      </w:r>
      <w:proofErr w:type="spellStart"/>
      <w:r w:rsidRPr="00C50DF6">
        <w:rPr>
          <w:rFonts w:ascii="Arial" w:hAnsi="Arial" w:cs="Arial"/>
        </w:rPr>
        <w:t>endosphere</w:t>
      </w:r>
      <w:proofErr w:type="spellEnd"/>
      <w:r w:rsidRPr="00C50DF6">
        <w:rPr>
          <w:rFonts w:ascii="Arial" w:hAnsi="Arial" w:cs="Arial"/>
        </w:rPr>
        <w:t xml:space="preserve"> of tomato plants. PLOS ONE, 14, e0223847. </w:t>
      </w:r>
      <w:hyperlink r:id="rId92" w:history="1">
        <w:r w:rsidRPr="00103F45">
          <w:rPr>
            <w:rStyle w:val="Hyperlink"/>
            <w:rFonts w:ascii="Arial" w:hAnsi="Arial" w:cs="Arial"/>
          </w:rPr>
          <w:t>https://doi.org/10.1371/journal.pone.0223847</w:t>
        </w:r>
      </w:hyperlink>
    </w:p>
    <w:p w14:paraId="5FF32F62" w14:textId="77777777" w:rsidR="00C50DF6" w:rsidRPr="00C50DF6" w:rsidRDefault="00C50DF6" w:rsidP="00C50DF6">
      <w:pPr>
        <w:pStyle w:val="Bibliography"/>
        <w:numPr>
          <w:ilvl w:val="0"/>
          <w:numId w:val="33"/>
        </w:numPr>
        <w:jc w:val="both"/>
        <w:rPr>
          <w:rFonts w:ascii="Arial" w:hAnsi="Arial" w:cs="Arial"/>
        </w:rPr>
      </w:pPr>
      <w:proofErr w:type="spellStart"/>
      <w:r w:rsidRPr="00C50DF6">
        <w:rPr>
          <w:rFonts w:ascii="Arial" w:hAnsi="Arial" w:cs="Arial"/>
          <w:lang w:val="fr-FR"/>
        </w:rPr>
        <w:t>Guerrieri</w:t>
      </w:r>
      <w:proofErr w:type="spellEnd"/>
      <w:r w:rsidRPr="00C50DF6">
        <w:rPr>
          <w:rFonts w:ascii="Arial" w:hAnsi="Arial" w:cs="Arial"/>
          <w:lang w:val="fr-FR"/>
        </w:rPr>
        <w:t xml:space="preserve">, M. C., </w:t>
      </w:r>
      <w:proofErr w:type="spellStart"/>
      <w:r w:rsidRPr="00C50DF6">
        <w:rPr>
          <w:rFonts w:ascii="Arial" w:hAnsi="Arial" w:cs="Arial"/>
          <w:lang w:val="fr-FR"/>
        </w:rPr>
        <w:t>Fanfoni</w:t>
      </w:r>
      <w:proofErr w:type="spellEnd"/>
      <w:r w:rsidRPr="00C50DF6">
        <w:rPr>
          <w:rFonts w:ascii="Arial" w:hAnsi="Arial" w:cs="Arial"/>
          <w:lang w:val="fr-FR"/>
        </w:rPr>
        <w:t xml:space="preserve">, E., </w:t>
      </w:r>
      <w:proofErr w:type="spellStart"/>
      <w:r w:rsidRPr="00C50DF6">
        <w:rPr>
          <w:rFonts w:ascii="Arial" w:hAnsi="Arial" w:cs="Arial"/>
          <w:lang w:val="fr-FR"/>
        </w:rPr>
        <w:t>Fiorini</w:t>
      </w:r>
      <w:proofErr w:type="spellEnd"/>
      <w:r w:rsidRPr="00C50DF6">
        <w:rPr>
          <w:rFonts w:ascii="Arial" w:hAnsi="Arial" w:cs="Arial"/>
          <w:lang w:val="fr-FR"/>
        </w:rPr>
        <w:t xml:space="preserve">, A., </w:t>
      </w:r>
      <w:proofErr w:type="spellStart"/>
      <w:r w:rsidRPr="00C50DF6">
        <w:rPr>
          <w:rFonts w:ascii="Arial" w:hAnsi="Arial" w:cs="Arial"/>
          <w:lang w:val="fr-FR"/>
        </w:rPr>
        <w:t>Trevisan</w:t>
      </w:r>
      <w:proofErr w:type="spellEnd"/>
      <w:r w:rsidRPr="00C50DF6">
        <w:rPr>
          <w:rFonts w:ascii="Arial" w:hAnsi="Arial" w:cs="Arial"/>
          <w:lang w:val="fr-FR"/>
        </w:rPr>
        <w:t xml:space="preserve">, M., &amp; </w:t>
      </w:r>
      <w:proofErr w:type="spellStart"/>
      <w:r w:rsidRPr="00C50DF6">
        <w:rPr>
          <w:rFonts w:ascii="Arial" w:hAnsi="Arial" w:cs="Arial"/>
          <w:lang w:val="fr-FR"/>
        </w:rPr>
        <w:t>Puglisi</w:t>
      </w:r>
      <w:proofErr w:type="spellEnd"/>
      <w:r w:rsidRPr="00C50DF6">
        <w:rPr>
          <w:rFonts w:ascii="Arial" w:hAnsi="Arial" w:cs="Arial"/>
          <w:lang w:val="fr-FR"/>
        </w:rPr>
        <w:t xml:space="preserve">, E. (2020). </w:t>
      </w:r>
      <w:r w:rsidRPr="00C50DF6">
        <w:rPr>
          <w:rFonts w:ascii="Arial" w:hAnsi="Arial" w:cs="Arial"/>
          <w:lang w:val="en-IN"/>
        </w:rPr>
        <w:t xml:space="preserve">Isolation and screening of extracellular PGPR from the rhizosphere of tomato plants after long-term reduced tillage and cover crops. Plants, 9(5), 668. </w:t>
      </w:r>
      <w:hyperlink r:id="rId93" w:history="1">
        <w:r w:rsidRPr="00103F45">
          <w:rPr>
            <w:rStyle w:val="Hyperlink"/>
            <w:rFonts w:ascii="Arial" w:hAnsi="Arial" w:cs="Arial"/>
            <w:lang w:val="en-IN"/>
          </w:rPr>
          <w:t>https://doi.org/10.3390/plants9050668</w:t>
        </w:r>
      </w:hyperlink>
    </w:p>
    <w:p w14:paraId="0F6DAE34" w14:textId="77777777" w:rsidR="00C50DF6" w:rsidRDefault="00C50DF6" w:rsidP="00C50DF6">
      <w:pPr>
        <w:pStyle w:val="Bibliography"/>
        <w:numPr>
          <w:ilvl w:val="0"/>
          <w:numId w:val="33"/>
        </w:numPr>
        <w:jc w:val="both"/>
        <w:rPr>
          <w:rFonts w:ascii="Arial" w:hAnsi="Arial" w:cs="Arial"/>
        </w:rPr>
      </w:pPr>
      <w:r w:rsidRPr="00C50DF6">
        <w:rPr>
          <w:rFonts w:ascii="Arial" w:hAnsi="Arial" w:cs="Arial"/>
        </w:rPr>
        <w:t xml:space="preserve">Gray, E. J., &amp; Smith, D. L. (2005). Intracellular and extracellular PGPR: commonalities and distinctions in the plant–bacterium signaling processes. Soil Biology and Biochemistry. </w:t>
      </w:r>
      <w:hyperlink r:id="rId94" w:history="1">
        <w:r w:rsidRPr="00103F45">
          <w:rPr>
            <w:rStyle w:val="Hyperlink"/>
            <w:rFonts w:ascii="Arial" w:hAnsi="Arial" w:cs="Arial"/>
          </w:rPr>
          <w:t>https://doi.org/10.1016/j.soilbio.2004.08.030</w:t>
        </w:r>
      </w:hyperlink>
    </w:p>
    <w:p w14:paraId="7DC0AE12" w14:textId="77777777" w:rsidR="00C50DF6" w:rsidRDefault="00C50DF6" w:rsidP="00C50DF6">
      <w:pPr>
        <w:pStyle w:val="Bibliography"/>
        <w:numPr>
          <w:ilvl w:val="0"/>
          <w:numId w:val="33"/>
        </w:numPr>
        <w:jc w:val="both"/>
        <w:rPr>
          <w:rFonts w:ascii="Arial" w:hAnsi="Arial" w:cs="Arial"/>
        </w:rPr>
      </w:pPr>
      <w:proofErr w:type="spellStart"/>
      <w:r w:rsidRPr="00C50DF6">
        <w:rPr>
          <w:rFonts w:ascii="Arial" w:hAnsi="Arial" w:cs="Arial"/>
        </w:rPr>
        <w:t>Orhan</w:t>
      </w:r>
      <w:proofErr w:type="spellEnd"/>
      <w:r w:rsidRPr="00C50DF6">
        <w:rPr>
          <w:rFonts w:ascii="Arial" w:hAnsi="Arial" w:cs="Arial"/>
        </w:rPr>
        <w:t xml:space="preserve">, E., </w:t>
      </w:r>
      <w:proofErr w:type="spellStart"/>
      <w:r w:rsidRPr="00C50DF6">
        <w:rPr>
          <w:rFonts w:ascii="Arial" w:hAnsi="Arial" w:cs="Arial"/>
        </w:rPr>
        <w:t>Esitken</w:t>
      </w:r>
      <w:proofErr w:type="spellEnd"/>
      <w:r w:rsidRPr="00C50DF6">
        <w:rPr>
          <w:rFonts w:ascii="Arial" w:hAnsi="Arial" w:cs="Arial"/>
        </w:rPr>
        <w:t xml:space="preserve">, A., </w:t>
      </w:r>
      <w:proofErr w:type="spellStart"/>
      <w:r w:rsidRPr="00C50DF6">
        <w:rPr>
          <w:rFonts w:ascii="Arial" w:hAnsi="Arial" w:cs="Arial"/>
        </w:rPr>
        <w:t>Ercisli</w:t>
      </w:r>
      <w:proofErr w:type="spellEnd"/>
      <w:r w:rsidRPr="00C50DF6">
        <w:rPr>
          <w:rFonts w:ascii="Arial" w:hAnsi="Arial" w:cs="Arial"/>
        </w:rPr>
        <w:t xml:space="preserve">, S., </w:t>
      </w:r>
      <w:proofErr w:type="spellStart"/>
      <w:r w:rsidRPr="00C50DF6">
        <w:rPr>
          <w:rFonts w:ascii="Arial" w:hAnsi="Arial" w:cs="Arial"/>
        </w:rPr>
        <w:t>Turan</w:t>
      </w:r>
      <w:proofErr w:type="spellEnd"/>
      <w:r w:rsidRPr="00C50DF6">
        <w:rPr>
          <w:rFonts w:ascii="Arial" w:hAnsi="Arial" w:cs="Arial"/>
        </w:rPr>
        <w:t xml:space="preserve">, M., &amp; </w:t>
      </w:r>
      <w:proofErr w:type="spellStart"/>
      <w:r w:rsidRPr="00C50DF6">
        <w:rPr>
          <w:rFonts w:ascii="Arial" w:hAnsi="Arial" w:cs="Arial"/>
        </w:rPr>
        <w:t>Sahin</w:t>
      </w:r>
      <w:proofErr w:type="spellEnd"/>
      <w:r w:rsidRPr="00C50DF6">
        <w:rPr>
          <w:rFonts w:ascii="Arial" w:hAnsi="Arial" w:cs="Arial"/>
        </w:rPr>
        <w:t xml:space="preserve">, F. (2006). Effects of plant growth promoting rhizobacteria (PGPR) on yield, growth and nutrient contents in organically growing raspberry. Scientia </w:t>
      </w:r>
      <w:proofErr w:type="spellStart"/>
      <w:r w:rsidRPr="00C50DF6">
        <w:rPr>
          <w:rFonts w:ascii="Arial" w:hAnsi="Arial" w:cs="Arial"/>
        </w:rPr>
        <w:t>Horticulturae</w:t>
      </w:r>
      <w:proofErr w:type="spellEnd"/>
      <w:r w:rsidRPr="00C50DF6">
        <w:rPr>
          <w:rFonts w:ascii="Arial" w:hAnsi="Arial" w:cs="Arial"/>
        </w:rPr>
        <w:t xml:space="preserve">, 111, 38–43. </w:t>
      </w:r>
      <w:hyperlink r:id="rId95" w:history="1">
        <w:r w:rsidRPr="00103F45">
          <w:rPr>
            <w:rStyle w:val="Hyperlink"/>
            <w:rFonts w:ascii="Arial" w:hAnsi="Arial" w:cs="Arial"/>
          </w:rPr>
          <w:t>https://doi.org/10.1016/j.scienta.2006.09.002</w:t>
        </w:r>
      </w:hyperlink>
    </w:p>
    <w:p w14:paraId="63E2D6AF" w14:textId="77777777" w:rsidR="004543F5" w:rsidRDefault="00C50DF6" w:rsidP="00C50DF6">
      <w:pPr>
        <w:pStyle w:val="Bibliography"/>
        <w:numPr>
          <w:ilvl w:val="0"/>
          <w:numId w:val="33"/>
        </w:numPr>
        <w:jc w:val="both"/>
        <w:rPr>
          <w:rFonts w:ascii="Arial" w:hAnsi="Arial" w:cs="Arial"/>
        </w:rPr>
      </w:pPr>
      <w:r w:rsidRPr="00C50DF6">
        <w:rPr>
          <w:rFonts w:ascii="Arial" w:hAnsi="Arial" w:cs="Arial"/>
        </w:rPr>
        <w:t xml:space="preserve">Pérez-Rodriguez, M. M., </w:t>
      </w:r>
      <w:proofErr w:type="spellStart"/>
      <w:r w:rsidRPr="00C50DF6">
        <w:rPr>
          <w:rFonts w:ascii="Arial" w:hAnsi="Arial" w:cs="Arial"/>
        </w:rPr>
        <w:t>Piccoli</w:t>
      </w:r>
      <w:proofErr w:type="spellEnd"/>
      <w:r w:rsidRPr="00C50DF6">
        <w:rPr>
          <w:rFonts w:ascii="Arial" w:hAnsi="Arial" w:cs="Arial"/>
        </w:rPr>
        <w:t xml:space="preserve">, P., </w:t>
      </w:r>
      <w:proofErr w:type="spellStart"/>
      <w:r w:rsidRPr="00C50DF6">
        <w:rPr>
          <w:rFonts w:ascii="Arial" w:hAnsi="Arial" w:cs="Arial"/>
        </w:rPr>
        <w:t>Anzuay</w:t>
      </w:r>
      <w:proofErr w:type="spellEnd"/>
      <w:r w:rsidRPr="00C50DF6">
        <w:rPr>
          <w:rFonts w:ascii="Arial" w:hAnsi="Arial" w:cs="Arial"/>
        </w:rPr>
        <w:t xml:space="preserve">, M. S., </w:t>
      </w:r>
      <w:proofErr w:type="spellStart"/>
      <w:r w:rsidRPr="00C50DF6">
        <w:rPr>
          <w:rFonts w:ascii="Arial" w:hAnsi="Arial" w:cs="Arial"/>
        </w:rPr>
        <w:t>Baraldi</w:t>
      </w:r>
      <w:proofErr w:type="spellEnd"/>
      <w:r w:rsidRPr="00C50DF6">
        <w:rPr>
          <w:rFonts w:ascii="Arial" w:hAnsi="Arial" w:cs="Arial"/>
        </w:rPr>
        <w:t xml:space="preserve">, R., </w:t>
      </w:r>
      <w:proofErr w:type="spellStart"/>
      <w:r w:rsidRPr="00C50DF6">
        <w:rPr>
          <w:rFonts w:ascii="Arial" w:hAnsi="Arial" w:cs="Arial"/>
        </w:rPr>
        <w:t>Neri</w:t>
      </w:r>
      <w:proofErr w:type="spellEnd"/>
      <w:r w:rsidRPr="00C50DF6">
        <w:rPr>
          <w:rFonts w:ascii="Arial" w:hAnsi="Arial" w:cs="Arial"/>
        </w:rPr>
        <w:t xml:space="preserve">, L., </w:t>
      </w:r>
      <w:proofErr w:type="spellStart"/>
      <w:r w:rsidRPr="00C50DF6">
        <w:rPr>
          <w:rFonts w:ascii="Arial" w:hAnsi="Arial" w:cs="Arial"/>
        </w:rPr>
        <w:t>Taurian</w:t>
      </w:r>
      <w:proofErr w:type="spellEnd"/>
      <w:r w:rsidRPr="00C50DF6">
        <w:rPr>
          <w:rFonts w:ascii="Arial" w:hAnsi="Arial" w:cs="Arial"/>
        </w:rPr>
        <w:t xml:space="preserve">, T., Lobato </w:t>
      </w:r>
      <w:proofErr w:type="spellStart"/>
      <w:r w:rsidRPr="00C50DF6">
        <w:rPr>
          <w:rFonts w:ascii="Arial" w:hAnsi="Arial" w:cs="Arial"/>
        </w:rPr>
        <w:t>Ureche</w:t>
      </w:r>
      <w:proofErr w:type="spellEnd"/>
      <w:r w:rsidRPr="00C50DF6">
        <w:rPr>
          <w:rFonts w:ascii="Arial" w:hAnsi="Arial" w:cs="Arial"/>
        </w:rPr>
        <w:t xml:space="preserve">, M. A., Segura, D. M., &amp; Cohen, A. C. (2020). Native bacteria isolated from roots and rhizosphere of Solanum </w:t>
      </w:r>
      <w:proofErr w:type="spellStart"/>
      <w:r w:rsidRPr="00C50DF6">
        <w:rPr>
          <w:rFonts w:ascii="Arial" w:hAnsi="Arial" w:cs="Arial"/>
        </w:rPr>
        <w:t>lycopersicum</w:t>
      </w:r>
      <w:proofErr w:type="spellEnd"/>
      <w:r w:rsidRPr="00C50DF6">
        <w:rPr>
          <w:rFonts w:ascii="Arial" w:hAnsi="Arial" w:cs="Arial"/>
        </w:rPr>
        <w:t xml:space="preserve"> L. increase tomato seedling growth under a reduced fertilization regime. Scientific Reports, 10(1), 15642. </w:t>
      </w:r>
      <w:hyperlink r:id="rId96" w:history="1">
        <w:r w:rsidRPr="00103F45">
          <w:rPr>
            <w:rStyle w:val="Hyperlink"/>
            <w:rFonts w:ascii="Arial" w:hAnsi="Arial" w:cs="Arial"/>
          </w:rPr>
          <w:t>https://doi.org/10.1038/s41598-020-72507-4</w:t>
        </w:r>
      </w:hyperlink>
    </w:p>
    <w:p w14:paraId="1052D1DE" w14:textId="77777777" w:rsidR="00C50DF6" w:rsidRPr="00C50DF6" w:rsidRDefault="00C50DF6" w:rsidP="00C50DF6"/>
    <w:p w14:paraId="5449E067" w14:textId="77777777" w:rsidR="00B01FCD" w:rsidRPr="001C4642" w:rsidRDefault="00B01FCD" w:rsidP="001C4642">
      <w:pPr>
        <w:pStyle w:val="Appendix"/>
        <w:spacing w:after="0"/>
        <w:jc w:val="both"/>
        <w:rPr>
          <w:rFonts w:ascii="Arial" w:hAnsi="Arial" w:cs="Arial"/>
          <w:b w:val="0"/>
          <w:sz w:val="20"/>
        </w:rPr>
      </w:pPr>
    </w:p>
    <w:sectPr w:rsidR="00B01FCD" w:rsidRPr="001C4642" w:rsidSect="00F02BE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undus Yaseen" w:date="2025-12-23T09:41:00Z" w:initials="SY">
    <w:p w14:paraId="5A8387C7" w14:textId="77777777" w:rsidR="00484708" w:rsidRDefault="00484708" w:rsidP="00484708">
      <w:pPr>
        <w:pStyle w:val="CommentText"/>
      </w:pPr>
      <w:r>
        <w:rPr>
          <w:rStyle w:val="CommentReference"/>
        </w:rPr>
        <w:annotationRef/>
      </w:r>
      <w:r>
        <w:t>Revisions to be made to the Introduction:</w:t>
      </w:r>
      <w:r>
        <w:br/>
        <w:t>1️⃣ Reduce repetition: Combine similar paragraphs about the benefits of PGPR. Shorten the explanation of direct and indirect mechanisms without omitting information.</w:t>
      </w:r>
      <w:r>
        <w:br/>
        <w:t>2️⃣ Improve academic language: Simplify overly long sentences. Improve transitions between paragraphs. Correct some phrasing and the scientific style.</w:t>
      </w:r>
      <w:r>
        <w:br/>
        <w:t>3️⃣ Reorganize paragraphs: Clearer sequence: Soil degradation → Chemical fertilizers → Organic alternatives → PGPR → Tomatoes</w:t>
      </w:r>
      <w:r>
        <w:br/>
        <w:t>4️⃣ Address the research gap: Clarify the lack of studies on: Local PGPR, Different climatic zones, and the specific case of Burkina Faso.</w:t>
      </w:r>
      <w:r>
        <w:br/>
        <w:t>5️⃣ Improve the formulation of the study objective: Make it more precise and clear. Directly link it to the research gap. Specify: Source of isolates, Number of sites, and the applied objective of the study.</w:t>
      </w:r>
      <w:r>
        <w:br/>
        <w:t>6️⃣ Strengthen the conclusion: Clearly link the global problem to the local need for the study. Provide a logical introduction to the rest of the research (Materials &amp; Methods).</w:t>
      </w:r>
    </w:p>
  </w:comment>
  <w:comment w:id="3" w:author="Sundus Yaseen" w:date="2025-12-23T09:50:00Z" w:initials="SY">
    <w:p w14:paraId="3C14A63C" w14:textId="77777777" w:rsidR="00E77C25" w:rsidRDefault="00E77C25" w:rsidP="00E77C25">
      <w:pPr>
        <w:pStyle w:val="CommentText"/>
      </w:pPr>
      <w:r>
        <w:rPr>
          <w:rStyle w:val="CommentReference"/>
        </w:rPr>
        <w:annotationRef/>
      </w:r>
      <w:r>
        <w:t xml:space="preserve">First: </w:t>
      </w:r>
      <w:r>
        <w:t>Materials and Methods – What's Needed 🔧</w:t>
      </w:r>
      <w:r>
        <w:br/>
        <w:t>1️⃣ Missing Information That Must Be Added</w:t>
      </w:r>
      <w:r>
        <w:br/>
        <w:t>Location Coordinates (Latitude/Longitude) for each site or a summary table</w:t>
      </w:r>
      <w:r>
        <w:br/>
        <w:t>Soil Type (if applicable: texture / pH / organic matter)</w:t>
      </w:r>
      <w:r>
        <w:br/>
        <w:t>Tomato Variety Used (Variety Name + Origin)</w:t>
      </w:r>
      <w:r>
        <w:br/>
        <w:t>Number of Final Isolates Submitted to PGPR Tests (After Isolation)</w:t>
      </w:r>
      <w:r>
        <w:br/>
        <w:t>2️⃣ Standardization of Scientific Method</w:t>
      </w:r>
      <w:r>
        <w:br/>
        <w:t>Standardization:</w:t>
      </w:r>
      <w:r>
        <w:br/>
        <w:t>°C instead of °C</w:t>
      </w:r>
      <w:r>
        <w:br/>
        <w:t>rpm, ml, µl in a single format</w:t>
      </w:r>
      <w:r>
        <w:br/>
        <w:t>Correcting Minor Grammatical Errors:</w:t>
      </w:r>
      <w:r>
        <w:br/>
        <w:t>shaked → shaken</w:t>
      </w:r>
      <w:r>
        <w:br/>
        <w:t>stored instead of then stored</w:t>
      </w:r>
      <w:r>
        <w:br/>
        <w:t>a Petri dishes → Petri dishes</w:t>
      </w:r>
      <w:r>
        <w:br/>
        <w:t>3️⃣ Clarification of the Experimental Design</w:t>
      </w:r>
      <w:r>
        <w:br/>
        <w:t>Is each test:</w:t>
      </w:r>
      <w:r>
        <w:br/>
        <w:t>With three replicates?</w:t>
      </w:r>
      <w:r>
        <w:br/>
      </w:r>
      <w:r>
        <w:br/>
        <w:t>Or once?</w:t>
      </w:r>
      <w:r>
        <w:br/>
      </w:r>
      <w:r>
        <w:br/>
        <w:t xml:space="preserve"> Add a sentence explaining:</w:t>
      </w:r>
      <w:r>
        <w:br/>
        <w:t>Number of replicates for each PGPR test</w:t>
      </w:r>
      <w:r>
        <w:br/>
        <w:t>4️⃣ PGPR Tests</w:t>
      </w:r>
      <w:r>
        <w:br/>
        <w:t>Cellulase test:</w:t>
      </w:r>
      <w:r>
        <w:br/>
        <w:t>The medium is unclear (King B is usually not for cellulose)</w:t>
      </w:r>
      <w:r>
        <w:br/>
        <w:t>Substrate material needs clarification (CMC?)</w:t>
      </w:r>
      <w:r>
        <w:br/>
        <w:t>Nitrogen fixation:</w:t>
      </w:r>
      <w:r>
        <w:br/>
        <w:t>State whether the test is qualitative or semi-quantitative</w:t>
      </w:r>
      <w:r>
        <w:br/>
        <w:t>Phosphate solubilization:</w:t>
      </w:r>
      <w:r>
        <w:br/>
        <w:t>State the unit of measurement (mm) explicitly</w:t>
      </w:r>
      <w:r>
        <w:br/>
        <w:t>5️⃣ Seed germination</w:t>
      </w:r>
      <w:r>
        <w:br/>
        <w:t>Explain:</w:t>
      </w:r>
      <w:r>
        <w:br/>
        <w:t>Temperature during germination</w:t>
      </w:r>
      <w:r>
        <w:br/>
        <w:t>Light conditions (dark/light)</w:t>
      </w:r>
      <w:r>
        <w:br/>
        <w:t>The term tigella length is uncommon → Better:</w:t>
      </w:r>
      <w:r>
        <w:br/>
        <w:t>Shoot length</w:t>
      </w:r>
      <w:r>
        <w:br/>
        <w:t>6️⃣ Data analysis</w:t>
      </w:r>
      <w:r>
        <w:br/>
        <w:t>Specify the statistical software used for ANOVA (SPSS? XLSTAT?)</w:t>
      </w:r>
      <w:r>
        <w:br/>
        <w:t>State:</w:t>
      </w:r>
      <w:r>
        <w:br/>
        <w:t>Sign up to the significance level (p &lt; 0.05) (written only once)</w:t>
      </w:r>
      <w:r>
        <w:br/>
        <w:t>Explain whether the data meet the following criteria:</w:t>
      </w:r>
      <w:r>
        <w:br/>
        <w:t>normality/homogeneity (if requested by the journal)</w:t>
      </w:r>
    </w:p>
  </w:comment>
  <w:comment w:id="5" w:author="Sundus Yaseen" w:date="2025-12-23T09:57:00Z" w:initials="SY">
    <w:p w14:paraId="4B231E19" w14:textId="57F1DA1E" w:rsidR="00F20448" w:rsidRDefault="00F20448" w:rsidP="00F20448">
      <w:pPr>
        <w:pStyle w:val="CommentText"/>
      </w:pPr>
      <w:r>
        <w:rPr>
          <w:rStyle w:val="CommentReference"/>
        </w:rPr>
        <w:annotationRef/>
      </w:r>
      <w:r>
        <w:t xml:space="preserve">Need </w:t>
      </w:r>
      <w:r>
        <w:t>modification or addition?</w:t>
      </w:r>
      <w:r>
        <w:br/>
      </w:r>
      <w:r>
        <w:br/>
        <w:t>1️⃣ Separate results from discussion. Currently, results, interpretation, and comparison with previous studies are presented together.</w:t>
      </w:r>
      <w:r>
        <w:br/>
      </w:r>
      <w:r>
        <w:br/>
        <w:t>Required:</w:t>
      </w:r>
      <w:r>
        <w:br/>
        <w:t>Results:</w:t>
      </w:r>
      <w:r>
        <w:br/>
        <w:t>Numbers, percentages, tables, and figures only.</w:t>
      </w:r>
      <w:r>
        <w:br/>
      </w:r>
      <w:r>
        <w:br/>
        <w:t>Discussion:</w:t>
      </w:r>
      <w:r>
        <w:br/>
        <w:t>Interpretation of results, comparison with previous studies, and possible explanations.</w:t>
      </w:r>
      <w:r>
        <w:br/>
      </w:r>
      <w:r>
        <w:br/>
        <w:t>2️⃣ Link results to methodology.</w:t>
      </w:r>
      <w:r>
        <w:br/>
        <w:t>Clarification is needed:</w:t>
      </w:r>
      <w:r>
        <w:br/>
        <w:t xml:space="preserve"> How many final isolates were used in the analysis (21 out of 225)?</w:t>
      </w:r>
      <w:r>
        <w:br/>
      </w:r>
      <w:r>
        <w:br/>
        <w:t>Why did some sites report a higher number of isolates (e.g., Kombissiri, Loumbila)?</w:t>
      </w:r>
      <w:r>
        <w:br/>
        <w:t>Soil type</w:t>
      </w:r>
      <w:r>
        <w:br/>
        <w:t>Climatic conditions</w:t>
      </w:r>
      <w:r>
        <w:br/>
        <w:t>Cultivation type</w:t>
      </w:r>
      <w:r>
        <w:br/>
        <w:t>Fertilization management</w:t>
      </w:r>
      <w:r>
        <w:br/>
        <w:t>3️⃣ Support tables and figures statistically.</w:t>
      </w:r>
      <w:r>
        <w:br/>
        <w:t>When stating:</w:t>
      </w:r>
      <w:r>
        <w:br/>
        <w:t>NH₃ (93%)</w:t>
      </w:r>
      <w:r>
        <w:br/>
        <w:t>Nitrogen fixation (66%)</w:t>
      </w:r>
      <w:r>
        <w:br/>
        <w:t>IAA (44%), you must clarify:</w:t>
      </w:r>
      <w:r>
        <w:br/>
        <w:t>Are the differences statistically significant?</w:t>
      </w:r>
      <w:r>
        <w:br/>
      </w:r>
      <w:r>
        <w:br/>
        <w:t>If no statistical analysis is provided, state it explicitly.</w:t>
      </w:r>
      <w:r>
        <w:br/>
      </w:r>
      <w:r>
        <w:br/>
        <w:t xml:space="preserve"> 4️⃣ Reducing Redundancy</w:t>
      </w:r>
      <w:r>
        <w:br/>
        <w:t>Extensive explanation of:</w:t>
      </w:r>
      <w:r>
        <w:br/>
        <w:t>NH₃</w:t>
      </w:r>
      <w:r>
        <w:br/>
        <w:t>IAA</w:t>
      </w:r>
      <w:r>
        <w:br/>
        <w:t>Repeated from the introduction.</w:t>
      </w:r>
      <w:r>
        <w:br/>
      </w:r>
      <w:r>
        <w:br/>
        <w:t>Required: Summarize it into a single sentence in the Results section. Further details should be provided only in the Discussion or Introduction.</w:t>
      </w:r>
      <w:r>
        <w:br/>
      </w:r>
      <w:r>
        <w:br/>
        <w:t>5️⃣ Analytical Conclusion for Each Results Paragraph</w:t>
      </w:r>
      <w:r>
        <w:br/>
        <w:t>Each results paragraph must end with:</w:t>
      </w:r>
      <w:r>
        <w:br/>
        <w:t>A short analytical sentence explaining:</w:t>
      </w:r>
      <w:r>
        <w:br/>
        <w:t>A possible cause</w:t>
      </w:r>
      <w:r>
        <w:br/>
        <w:t>An environmental factor</w:t>
      </w:r>
      <w:r>
        <w:br/>
        <w:t>The effect of the plant or soil</w:t>
      </w:r>
      <w:r>
        <w:br/>
      </w:r>
      <w:bookmarkStart w:id="10" w:name="_GoBack"/>
      <w:bookmarkEnd w:id="10"/>
      <w:r>
        <w:t xml:space="preserve"> Example (not a paraphrase, just to clarify the idea):</w:t>
      </w:r>
      <w:r>
        <w:br/>
        <w:t>“This variation may be attributed to differences in environmental conditions and root exudate composition.”  6️⃣ Language and Style Standardization</w:t>
      </w:r>
      <w:r>
        <w:br/>
        <w:t>There's some confusion:</w:t>
      </w:r>
      <w:r>
        <w:br/>
        <w:t>English/French (Irregulière, Bossue, Ondulé)</w:t>
      </w:r>
      <w:r>
        <w:br/>
        <w:t>Needed:</w:t>
      </w:r>
      <w:r>
        <w:br/>
        <w:t>Standardize them to English only</w:t>
      </w:r>
      <w:r>
        <w:br/>
        <w:t>And standardize:</w:t>
      </w:r>
      <w:r>
        <w:br/>
        <w:t>Spacing</w:t>
      </w:r>
      <w:r>
        <w:br/>
        <w:t>Punctuation</w:t>
      </w:r>
      <w:r>
        <w:br/>
        <w:t>Writing percentages (%)</w:t>
      </w:r>
      <w:r>
        <w:br/>
        <w:t>7️⃣ PCA Needs Clearer Connection</w:t>
      </w:r>
      <w:r>
        <w:br/>
        <w:t>PCA is mentioned correctly, but it needs:</w:t>
      </w:r>
      <w:r>
        <w:br/>
        <w:t>Biological or agricultural explanation for each group</w:t>
      </w:r>
      <w:r>
        <w:br/>
        <w:t>What does "Group 1 is stronger" mean? And why?</w:t>
      </w:r>
      <w:r>
        <w:br/>
      </w:r>
      <w:r>
        <w:br/>
        <w:t>8️⃣ Identification Section</w:t>
      </w:r>
      <w:r>
        <w:br/>
        <w:t>Scientifically sound, but:</w:t>
      </w:r>
      <w:r>
        <w:br/>
        <w:t>Need to clarify that the diagnosis is preliminary</w:t>
      </w:r>
      <w:r>
        <w:br/>
        <w:t>And emphasize that:</w:t>
      </w:r>
      <w:r>
        <w:br/>
        <w:t>Molecular identification (16S rRNA/WGS) is necessary before field application</w:t>
      </w:r>
      <w:r>
        <w:br/>
        <w:t>9️⃣ Conclusion</w:t>
      </w:r>
      <w:r>
        <w:br/>
        <w:t>The conclusion is good, but:</w:t>
      </w:r>
      <w:r>
        <w:br/>
        <w:t>Needs clearer connection to the objective</w:t>
      </w:r>
      <w:r>
        <w:br/>
        <w:t>Remove redundancies</w:t>
      </w:r>
      <w:r>
        <w:br/>
        <w:t>Add a sentence that emphasizes the practical importance of the results</w:t>
      </w:r>
      <w:r>
        <w:br/>
        <w:t>✅ In short:</w:t>
      </w:r>
      <w:r>
        <w:br/>
        <w:t>The section is scientifically strong, but it needs:</w:t>
      </w:r>
      <w:r>
        <w:br/>
        <w:t>Organization</w:t>
      </w:r>
      <w:r>
        <w:br/>
        <w:t>Separation</w:t>
      </w:r>
      <w:r>
        <w:br/>
        <w:t>Abbreviation</w:t>
      </w:r>
      <w:r>
        <w:br/>
        <w:t>Statistical support</w:t>
      </w:r>
      <w:r>
        <w:br/>
        <w:t>Deeper analysis instead of just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387C7" w15:done="0"/>
  <w15:commentEx w15:paraId="3C14A63C" w15:done="0"/>
  <w15:commentEx w15:paraId="4B231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A2B5F" w16cex:dateUtc="2025-12-23T06:41:00Z"/>
  <w16cex:commentExtensible w16cex:durableId="33302D7E" w16cex:dateUtc="2025-12-23T06:50:00Z"/>
  <w16cex:commentExtensible w16cex:durableId="18E1452B" w16cex:dateUtc="2025-12-23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387C7" w16cid:durableId="33BA2B5F"/>
  <w16cid:commentId w16cid:paraId="3C14A63C" w16cid:durableId="33302D7E"/>
  <w16cid:commentId w16cid:paraId="4B231E19" w16cid:durableId="18E145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47D61" w14:textId="77777777" w:rsidR="00A14075" w:rsidRDefault="00A14075" w:rsidP="00C37E61">
      <w:r>
        <w:separator/>
      </w:r>
    </w:p>
  </w:endnote>
  <w:endnote w:type="continuationSeparator" w:id="0">
    <w:p w14:paraId="55D207B9" w14:textId="77777777" w:rsidR="00A14075" w:rsidRDefault="00A140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8CB2" w14:textId="77777777" w:rsidR="00F02BE0" w:rsidRDefault="00F02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B536" w14:textId="77777777" w:rsidR="00F02BE0" w:rsidRDefault="00F02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BC49" w14:textId="77777777" w:rsidR="00985DDE" w:rsidRPr="00F02BE0" w:rsidRDefault="00985DDE" w:rsidP="00F02B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0519" w14:textId="77777777" w:rsidR="00985DDE" w:rsidRPr="00C37E61" w:rsidRDefault="00985DD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23D3" w14:textId="77777777" w:rsidR="00A14075" w:rsidRDefault="00A14075" w:rsidP="00C37E61">
      <w:r>
        <w:separator/>
      </w:r>
    </w:p>
  </w:footnote>
  <w:footnote w:type="continuationSeparator" w:id="0">
    <w:p w14:paraId="14F25556" w14:textId="77777777" w:rsidR="00A14075" w:rsidRDefault="00A140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EB44" w14:textId="77777777" w:rsidR="00F02BE0" w:rsidRDefault="00A14075">
    <w:pPr>
      <w:pStyle w:val="Header"/>
    </w:pPr>
    <w:r>
      <w:rPr>
        <w:noProof/>
      </w:rPr>
      <w:pict w14:anchorId="08976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5" o:spid="_x0000_s2054" type="#_x0000_t136" style="position:absolute;margin-left:0;margin-top:0;width:383.05pt;height:43.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4692" w14:textId="77777777" w:rsidR="00F02BE0" w:rsidRDefault="00A14075">
    <w:pPr>
      <w:pStyle w:val="Header"/>
    </w:pPr>
    <w:r>
      <w:rPr>
        <w:noProof/>
      </w:rPr>
      <w:pict w14:anchorId="101F0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6" o:spid="_x0000_s2053" type="#_x0000_t136" style="position:absolute;margin-left:0;margin-top:0;width:383.05pt;height:43.2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E40D" w14:textId="77777777" w:rsidR="00985DDE" w:rsidRPr="00296529" w:rsidRDefault="00A14075" w:rsidP="00296529">
    <w:pPr>
      <w:ind w:left="2160"/>
      <w:jc w:val="center"/>
      <w:rPr>
        <w:rFonts w:ascii="Times New Roman" w:eastAsia="Calibri" w:hAnsi="Times New Roman"/>
        <w:i/>
        <w:sz w:val="18"/>
        <w:szCs w:val="22"/>
      </w:rPr>
    </w:pPr>
    <w:r>
      <w:rPr>
        <w:noProof/>
      </w:rPr>
      <w:pict w14:anchorId="4F325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4" o:spid="_x0000_s2052" type="#_x0000_t136" style="position:absolute;left:0;text-align:left;margin-left:0;margin-top:0;width:383.05pt;height:43.2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3B75A1" w14:textId="77777777" w:rsidR="00985DDE" w:rsidRPr="00296529" w:rsidRDefault="00985DD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1C7017" w14:textId="77777777" w:rsidR="00985DDE" w:rsidRPr="00296529" w:rsidRDefault="00985D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04EA96" w14:textId="77777777" w:rsidR="00985DDE" w:rsidRPr="00296529" w:rsidRDefault="00985D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A85A3B" w14:textId="77777777" w:rsidR="00985DDE" w:rsidRDefault="00985D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9A45D3" w14:textId="77777777" w:rsidR="00985DDE" w:rsidRDefault="00985D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7598EE" w14:textId="77777777" w:rsidR="00985DDE" w:rsidRDefault="00985DD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CABA" w14:textId="77777777" w:rsidR="00F02BE0" w:rsidRDefault="00A14075">
    <w:pPr>
      <w:pStyle w:val="Header"/>
    </w:pPr>
    <w:r>
      <w:rPr>
        <w:noProof/>
      </w:rPr>
      <w:pict w14:anchorId="27AF2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8" o:spid="_x0000_s2051" type="#_x0000_t136" style="position:absolute;margin-left:0;margin-top:0;width:383.05pt;height:43.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8C7E" w14:textId="77777777" w:rsidR="00F02BE0" w:rsidRDefault="00A14075">
    <w:pPr>
      <w:pStyle w:val="Header"/>
    </w:pPr>
    <w:r>
      <w:rPr>
        <w:noProof/>
      </w:rPr>
      <w:pict w14:anchorId="19BD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9" o:spid="_x0000_s2050" type="#_x0000_t136" style="position:absolute;margin-left:0;margin-top:0;width:383.05pt;height:43.2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4094" w14:textId="77777777" w:rsidR="00F02BE0" w:rsidRDefault="00A14075">
    <w:pPr>
      <w:pStyle w:val="Header"/>
    </w:pPr>
    <w:r>
      <w:rPr>
        <w:noProof/>
      </w:rPr>
      <w:pict w14:anchorId="4B71B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1987" o:spid="_x0000_s2049" type="#_x0000_t136" style="position:absolute;margin-left:0;margin-top:0;width:383.05pt;height:43.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A22AE"/>
    <w:multiLevelType w:val="multilevel"/>
    <w:tmpl w:val="5FDC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3A6CFB"/>
    <w:multiLevelType w:val="hybridMultilevel"/>
    <w:tmpl w:val="2F009A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4F3255"/>
    <w:multiLevelType w:val="hybridMultilevel"/>
    <w:tmpl w:val="F7E475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9"/>
  </w:num>
  <w:num w:numId="32">
    <w:abstractNumId w:val="17"/>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dus Yaseen">
    <w15:presenceInfo w15:providerId="Windows Live" w15:userId="184241ca51ddc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31B4"/>
    <w:rsid w:val="000860C6"/>
    <w:rsid w:val="000A47FA"/>
    <w:rsid w:val="000A65D3"/>
    <w:rsid w:val="000B1E33"/>
    <w:rsid w:val="000C6190"/>
    <w:rsid w:val="000D689F"/>
    <w:rsid w:val="000E7B7B"/>
    <w:rsid w:val="000E7D62"/>
    <w:rsid w:val="00103357"/>
    <w:rsid w:val="0011319D"/>
    <w:rsid w:val="00123C9F"/>
    <w:rsid w:val="00126190"/>
    <w:rsid w:val="00130F17"/>
    <w:rsid w:val="001320BF"/>
    <w:rsid w:val="00163BC4"/>
    <w:rsid w:val="00191062"/>
    <w:rsid w:val="00192B72"/>
    <w:rsid w:val="00197049"/>
    <w:rsid w:val="001A29D8"/>
    <w:rsid w:val="001A5CAA"/>
    <w:rsid w:val="001B0427"/>
    <w:rsid w:val="001C4642"/>
    <w:rsid w:val="001D3A51"/>
    <w:rsid w:val="001E10D2"/>
    <w:rsid w:val="001E25B4"/>
    <w:rsid w:val="001E44FE"/>
    <w:rsid w:val="001F6D7B"/>
    <w:rsid w:val="00200595"/>
    <w:rsid w:val="00204835"/>
    <w:rsid w:val="00231920"/>
    <w:rsid w:val="0023195C"/>
    <w:rsid w:val="0024282C"/>
    <w:rsid w:val="002460DC"/>
    <w:rsid w:val="00250985"/>
    <w:rsid w:val="002556F6"/>
    <w:rsid w:val="00283105"/>
    <w:rsid w:val="00284C4C"/>
    <w:rsid w:val="002876BE"/>
    <w:rsid w:val="00287E68"/>
    <w:rsid w:val="00296529"/>
    <w:rsid w:val="002A4472"/>
    <w:rsid w:val="002B27FB"/>
    <w:rsid w:val="002B685A"/>
    <w:rsid w:val="002C57D2"/>
    <w:rsid w:val="002E0D56"/>
    <w:rsid w:val="002E38C4"/>
    <w:rsid w:val="00315186"/>
    <w:rsid w:val="00325DA5"/>
    <w:rsid w:val="0033343E"/>
    <w:rsid w:val="003512C2"/>
    <w:rsid w:val="00370D10"/>
    <w:rsid w:val="00371FB6"/>
    <w:rsid w:val="003763C1"/>
    <w:rsid w:val="00376BBE"/>
    <w:rsid w:val="00383186"/>
    <w:rsid w:val="0039224F"/>
    <w:rsid w:val="003A43A4"/>
    <w:rsid w:val="003A7E18"/>
    <w:rsid w:val="003C4C86"/>
    <w:rsid w:val="003C6258"/>
    <w:rsid w:val="003E2904"/>
    <w:rsid w:val="00401927"/>
    <w:rsid w:val="00404484"/>
    <w:rsid w:val="0040700D"/>
    <w:rsid w:val="0041027F"/>
    <w:rsid w:val="00412475"/>
    <w:rsid w:val="00423789"/>
    <w:rsid w:val="00440F43"/>
    <w:rsid w:val="00441B6F"/>
    <w:rsid w:val="00446221"/>
    <w:rsid w:val="00450E62"/>
    <w:rsid w:val="004539DB"/>
    <w:rsid w:val="004543F5"/>
    <w:rsid w:val="004607A0"/>
    <w:rsid w:val="00471A80"/>
    <w:rsid w:val="00484708"/>
    <w:rsid w:val="004D305E"/>
    <w:rsid w:val="004D4277"/>
    <w:rsid w:val="004F2BB3"/>
    <w:rsid w:val="00502516"/>
    <w:rsid w:val="00505F06"/>
    <w:rsid w:val="00506828"/>
    <w:rsid w:val="0053056E"/>
    <w:rsid w:val="00533AE1"/>
    <w:rsid w:val="00554FDA"/>
    <w:rsid w:val="005740EE"/>
    <w:rsid w:val="005C665A"/>
    <w:rsid w:val="005C784C"/>
    <w:rsid w:val="005D17F6"/>
    <w:rsid w:val="005D5841"/>
    <w:rsid w:val="005D5DD5"/>
    <w:rsid w:val="005E5539"/>
    <w:rsid w:val="005F162A"/>
    <w:rsid w:val="005F7187"/>
    <w:rsid w:val="00602BF5"/>
    <w:rsid w:val="0060392D"/>
    <w:rsid w:val="00617FDD"/>
    <w:rsid w:val="0062316A"/>
    <w:rsid w:val="00630413"/>
    <w:rsid w:val="00633614"/>
    <w:rsid w:val="00633F68"/>
    <w:rsid w:val="00636EB2"/>
    <w:rsid w:val="006375B8"/>
    <w:rsid w:val="00640DF0"/>
    <w:rsid w:val="0066510A"/>
    <w:rsid w:val="00672D95"/>
    <w:rsid w:val="00673F9F"/>
    <w:rsid w:val="00686953"/>
    <w:rsid w:val="00687DEA"/>
    <w:rsid w:val="00687E67"/>
    <w:rsid w:val="006919B8"/>
    <w:rsid w:val="006967F7"/>
    <w:rsid w:val="006A250C"/>
    <w:rsid w:val="006B21D3"/>
    <w:rsid w:val="006B57D0"/>
    <w:rsid w:val="006C22CA"/>
    <w:rsid w:val="006D30FF"/>
    <w:rsid w:val="006D6940"/>
    <w:rsid w:val="006F11EC"/>
    <w:rsid w:val="006F4732"/>
    <w:rsid w:val="0070082C"/>
    <w:rsid w:val="007369E6"/>
    <w:rsid w:val="00746E59"/>
    <w:rsid w:val="00754C9A"/>
    <w:rsid w:val="0075599A"/>
    <w:rsid w:val="007579C8"/>
    <w:rsid w:val="00761D52"/>
    <w:rsid w:val="0077749E"/>
    <w:rsid w:val="00790ADA"/>
    <w:rsid w:val="007B08EA"/>
    <w:rsid w:val="007D2288"/>
    <w:rsid w:val="007E088F"/>
    <w:rsid w:val="007F7B32"/>
    <w:rsid w:val="00804BC2"/>
    <w:rsid w:val="0081431A"/>
    <w:rsid w:val="00820F22"/>
    <w:rsid w:val="00823B46"/>
    <w:rsid w:val="0083216F"/>
    <w:rsid w:val="00860000"/>
    <w:rsid w:val="00863BD3"/>
    <w:rsid w:val="008641ED"/>
    <w:rsid w:val="00866D66"/>
    <w:rsid w:val="008671C6"/>
    <w:rsid w:val="00875803"/>
    <w:rsid w:val="00875867"/>
    <w:rsid w:val="008B459E"/>
    <w:rsid w:val="008E13AE"/>
    <w:rsid w:val="008E1506"/>
    <w:rsid w:val="008E710C"/>
    <w:rsid w:val="008F69D6"/>
    <w:rsid w:val="009002BC"/>
    <w:rsid w:val="00902823"/>
    <w:rsid w:val="00911417"/>
    <w:rsid w:val="00915CA6"/>
    <w:rsid w:val="00927834"/>
    <w:rsid w:val="00927DED"/>
    <w:rsid w:val="009500A6"/>
    <w:rsid w:val="00957C18"/>
    <w:rsid w:val="009659BA"/>
    <w:rsid w:val="00983040"/>
    <w:rsid w:val="00985DDE"/>
    <w:rsid w:val="00986F8D"/>
    <w:rsid w:val="009B3FB9"/>
    <w:rsid w:val="009C2465"/>
    <w:rsid w:val="009D35A0"/>
    <w:rsid w:val="009D7821"/>
    <w:rsid w:val="009D7EB7"/>
    <w:rsid w:val="009E048A"/>
    <w:rsid w:val="009E08E9"/>
    <w:rsid w:val="009E3DB9"/>
    <w:rsid w:val="009E6E35"/>
    <w:rsid w:val="009F0EDA"/>
    <w:rsid w:val="00A03636"/>
    <w:rsid w:val="00A03B96"/>
    <w:rsid w:val="00A05B19"/>
    <w:rsid w:val="00A1134E"/>
    <w:rsid w:val="00A14075"/>
    <w:rsid w:val="00A17805"/>
    <w:rsid w:val="00A24E7E"/>
    <w:rsid w:val="00A258C3"/>
    <w:rsid w:val="00A347C0"/>
    <w:rsid w:val="00A37DB2"/>
    <w:rsid w:val="00A51431"/>
    <w:rsid w:val="00A539AD"/>
    <w:rsid w:val="00A94063"/>
    <w:rsid w:val="00AA6219"/>
    <w:rsid w:val="00AA74E0"/>
    <w:rsid w:val="00AB703F"/>
    <w:rsid w:val="00AC6BB8"/>
    <w:rsid w:val="00AD4378"/>
    <w:rsid w:val="00AE008F"/>
    <w:rsid w:val="00B01FCD"/>
    <w:rsid w:val="00B1776C"/>
    <w:rsid w:val="00B47993"/>
    <w:rsid w:val="00B52583"/>
    <w:rsid w:val="00B52896"/>
    <w:rsid w:val="00B87B99"/>
    <w:rsid w:val="00B9163E"/>
    <w:rsid w:val="00B95236"/>
    <w:rsid w:val="00B96BD9"/>
    <w:rsid w:val="00BA1B01"/>
    <w:rsid w:val="00BA2641"/>
    <w:rsid w:val="00BB0594"/>
    <w:rsid w:val="00BB37AA"/>
    <w:rsid w:val="00BC53A0"/>
    <w:rsid w:val="00BD17B7"/>
    <w:rsid w:val="00BE12B5"/>
    <w:rsid w:val="00BE62AD"/>
    <w:rsid w:val="00BF121F"/>
    <w:rsid w:val="00BF1F80"/>
    <w:rsid w:val="00BF726D"/>
    <w:rsid w:val="00C166EF"/>
    <w:rsid w:val="00C17EB0"/>
    <w:rsid w:val="00C27F5F"/>
    <w:rsid w:val="00C30A0F"/>
    <w:rsid w:val="00C3575D"/>
    <w:rsid w:val="00C37E61"/>
    <w:rsid w:val="00C454EB"/>
    <w:rsid w:val="00C46B7A"/>
    <w:rsid w:val="00C50AEC"/>
    <w:rsid w:val="00C50DF6"/>
    <w:rsid w:val="00C70F1B"/>
    <w:rsid w:val="00C71A47"/>
    <w:rsid w:val="00C7464C"/>
    <w:rsid w:val="00C85588"/>
    <w:rsid w:val="00CC5B6D"/>
    <w:rsid w:val="00CD6755"/>
    <w:rsid w:val="00CD6856"/>
    <w:rsid w:val="00CE0089"/>
    <w:rsid w:val="00CE793C"/>
    <w:rsid w:val="00CF193C"/>
    <w:rsid w:val="00CF227F"/>
    <w:rsid w:val="00D173F1"/>
    <w:rsid w:val="00D46A68"/>
    <w:rsid w:val="00D74CB0"/>
    <w:rsid w:val="00D8295D"/>
    <w:rsid w:val="00DC2A65"/>
    <w:rsid w:val="00DD06CC"/>
    <w:rsid w:val="00DD4F08"/>
    <w:rsid w:val="00DE15F0"/>
    <w:rsid w:val="00DE5663"/>
    <w:rsid w:val="00DE78AA"/>
    <w:rsid w:val="00E053D0"/>
    <w:rsid w:val="00E15994"/>
    <w:rsid w:val="00E3114E"/>
    <w:rsid w:val="00E31A70"/>
    <w:rsid w:val="00E35B02"/>
    <w:rsid w:val="00E53333"/>
    <w:rsid w:val="00E66496"/>
    <w:rsid w:val="00E66B35"/>
    <w:rsid w:val="00E66E10"/>
    <w:rsid w:val="00E769F6"/>
    <w:rsid w:val="00E77C25"/>
    <w:rsid w:val="00E8407C"/>
    <w:rsid w:val="00E84F3C"/>
    <w:rsid w:val="00E95770"/>
    <w:rsid w:val="00EA012C"/>
    <w:rsid w:val="00EC6A55"/>
    <w:rsid w:val="00ED0288"/>
    <w:rsid w:val="00EE52CB"/>
    <w:rsid w:val="00EF581D"/>
    <w:rsid w:val="00EF5AFB"/>
    <w:rsid w:val="00EF7FD8"/>
    <w:rsid w:val="00F02BE0"/>
    <w:rsid w:val="00F06F59"/>
    <w:rsid w:val="00F17988"/>
    <w:rsid w:val="00F20448"/>
    <w:rsid w:val="00F469F0"/>
    <w:rsid w:val="00F53273"/>
    <w:rsid w:val="00F64C5E"/>
    <w:rsid w:val="00F755E4"/>
    <w:rsid w:val="00F75858"/>
    <w:rsid w:val="00F77D02"/>
    <w:rsid w:val="00F865F4"/>
    <w:rsid w:val="00F9238F"/>
    <w:rsid w:val="00F955B2"/>
    <w:rsid w:val="00FB3A86"/>
    <w:rsid w:val="00FC5C91"/>
    <w:rsid w:val="00FD36C8"/>
    <w:rsid w:val="00FE41CF"/>
    <w:rsid w:val="00FF3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8FE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E41CF"/>
    <w:pPr>
      <w:ind w:left="720"/>
      <w:contextualSpacing/>
    </w:pPr>
  </w:style>
  <w:style w:type="character" w:customStyle="1" w:styleId="ListParagraphChar">
    <w:name w:val="List Paragraph Char"/>
    <w:link w:val="ListParagraph"/>
    <w:uiPriority w:val="34"/>
    <w:rsid w:val="00FE41CF"/>
    <w:rPr>
      <w:rFonts w:ascii="Helvetica" w:hAnsi="Helvetica"/>
    </w:rPr>
  </w:style>
  <w:style w:type="paragraph" w:styleId="NormalWeb">
    <w:name w:val="Normal (Web)"/>
    <w:basedOn w:val="Normal"/>
    <w:uiPriority w:val="99"/>
    <w:unhideWhenUsed/>
    <w:rsid w:val="00D46A68"/>
    <w:pPr>
      <w:spacing w:after="160" w:line="259" w:lineRule="auto"/>
    </w:pPr>
    <w:rPr>
      <w:rFonts w:ascii="Times New Roman" w:eastAsiaTheme="minorHAnsi" w:hAnsi="Times New Roman"/>
      <w:sz w:val="24"/>
      <w:szCs w:val="24"/>
      <w:lang w:val="fr-FR"/>
    </w:rPr>
  </w:style>
  <w:style w:type="paragraph" w:styleId="CommentSubject">
    <w:name w:val="annotation subject"/>
    <w:basedOn w:val="CommentText"/>
    <w:next w:val="CommentText"/>
    <w:link w:val="CommentSubjectChar"/>
    <w:semiHidden/>
    <w:unhideWhenUsed/>
    <w:rsid w:val="00197049"/>
    <w:rPr>
      <w:rFonts w:ascii="Helvetica" w:hAnsi="Helvetica"/>
      <w:b/>
      <w:bCs/>
      <w:lang w:val="en-US" w:eastAsia="en-US"/>
    </w:rPr>
  </w:style>
  <w:style w:type="character" w:customStyle="1" w:styleId="CommentSubjectChar">
    <w:name w:val="Comment Subject Char"/>
    <w:basedOn w:val="CommentTextChar"/>
    <w:link w:val="CommentSubject"/>
    <w:semiHidden/>
    <w:rsid w:val="00197049"/>
    <w:rPr>
      <w:rFonts w:ascii="Helvetica" w:hAnsi="Helvetica"/>
      <w:b/>
      <w:bCs/>
      <w:lang w:val="nb-NO" w:eastAsia="nb-NO"/>
    </w:rPr>
  </w:style>
  <w:style w:type="table" w:styleId="ListTable6Colorful">
    <w:name w:val="List Table 6 Colorful"/>
    <w:basedOn w:val="TableNormal"/>
    <w:uiPriority w:val="51"/>
    <w:rsid w:val="00325DA5"/>
    <w:rPr>
      <w:rFonts w:asciiTheme="minorHAnsi" w:eastAsiaTheme="minorHAnsi" w:hAnsiTheme="minorHAnsi" w:cstheme="minorBidi"/>
      <w:color w:val="000000" w:themeColor="text1"/>
      <w:sz w:val="22"/>
      <w:szCs w:val="22"/>
      <w:lang w:val="fr-F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4543F5"/>
  </w:style>
  <w:style w:type="character" w:customStyle="1" w:styleId="y2iqfc">
    <w:name w:val="y2iqfc"/>
    <w:basedOn w:val="DefaultParagraphFont"/>
    <w:rsid w:val="00B8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845631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5751415">
      <w:bodyDiv w:val="1"/>
      <w:marLeft w:val="0"/>
      <w:marRight w:val="0"/>
      <w:marTop w:val="0"/>
      <w:marBottom w:val="0"/>
      <w:divBdr>
        <w:top w:val="none" w:sz="0" w:space="0" w:color="auto"/>
        <w:left w:val="none" w:sz="0" w:space="0" w:color="auto"/>
        <w:bottom w:val="none" w:sz="0" w:space="0" w:color="auto"/>
        <w:right w:val="none" w:sz="0" w:space="0" w:color="auto"/>
      </w:divBdr>
    </w:div>
    <w:div w:id="8008817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9607193">
      <w:bodyDiv w:val="1"/>
      <w:marLeft w:val="0"/>
      <w:marRight w:val="0"/>
      <w:marTop w:val="0"/>
      <w:marBottom w:val="0"/>
      <w:divBdr>
        <w:top w:val="none" w:sz="0" w:space="0" w:color="auto"/>
        <w:left w:val="none" w:sz="0" w:space="0" w:color="auto"/>
        <w:bottom w:val="none" w:sz="0" w:space="0" w:color="auto"/>
        <w:right w:val="none" w:sz="0" w:space="0" w:color="auto"/>
      </w:divBdr>
    </w:div>
    <w:div w:id="1296764251">
      <w:bodyDiv w:val="1"/>
      <w:marLeft w:val="0"/>
      <w:marRight w:val="0"/>
      <w:marTop w:val="0"/>
      <w:marBottom w:val="0"/>
      <w:divBdr>
        <w:top w:val="none" w:sz="0" w:space="0" w:color="auto"/>
        <w:left w:val="none" w:sz="0" w:space="0" w:color="auto"/>
        <w:bottom w:val="none" w:sz="0" w:space="0" w:color="auto"/>
        <w:right w:val="none" w:sz="0" w:space="0" w:color="auto"/>
      </w:divBdr>
    </w:div>
    <w:div w:id="16542177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638454">
      <w:bodyDiv w:val="1"/>
      <w:marLeft w:val="0"/>
      <w:marRight w:val="0"/>
      <w:marTop w:val="0"/>
      <w:marBottom w:val="0"/>
      <w:divBdr>
        <w:top w:val="none" w:sz="0" w:space="0" w:color="auto"/>
        <w:left w:val="none" w:sz="0" w:space="0" w:color="auto"/>
        <w:bottom w:val="none" w:sz="0" w:space="0" w:color="auto"/>
        <w:right w:val="none" w:sz="0" w:space="0" w:color="auto"/>
      </w:divBdr>
    </w:div>
    <w:div w:id="20785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chart" Target="charts/chart3.xml"/><Relationship Id="rId42" Type="http://schemas.openxmlformats.org/officeDocument/2006/relationships/hyperlink" Target="https://doi.org/10.1016/j.heliyon.2020.e04734" TargetMode="External"/><Relationship Id="rId47" Type="http://schemas.openxmlformats.org/officeDocument/2006/relationships/hyperlink" Target="https://doi.org/10.1038/s41598-019-49216-8" TargetMode="External"/><Relationship Id="rId63" Type="http://schemas.openxmlformats.org/officeDocument/2006/relationships/hyperlink" Target="http://www.jmaterenvironsci.com/vol7n5/JMES-V7I5-1642-1652.pdf" TargetMode="External"/><Relationship Id="rId68" Type="http://schemas.openxmlformats.org/officeDocument/2006/relationships/hyperlink" Target="https://doi.org/10.17311/sciintl.2014.20.25" TargetMode="External"/><Relationship Id="rId84" Type="http://schemas.openxmlformats.org/officeDocument/2006/relationships/hyperlink" Target="https://doi.org/10.1016/j.agee.2018.08.020" TargetMode="External"/><Relationship Id="rId89" Type="http://schemas.openxmlformats.org/officeDocument/2006/relationships/hyperlink" Target="https://doi.org/10.1111/j.1574-6941.2001.tb00822.x" TargetMode="Externa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doi.org/10.1126/science.1111772" TargetMode="External"/><Relationship Id="rId37" Type="http://schemas.openxmlformats.org/officeDocument/2006/relationships/hyperlink" Target="https://doi.org/10.35759/JABs.167.8" TargetMode="External"/><Relationship Id="rId53" Type="http://schemas.openxmlformats.org/officeDocument/2006/relationships/hyperlink" Target="https://doi.org/10.11648/j.ajls.20150302.11" TargetMode="External"/><Relationship Id="rId58" Type="http://schemas.openxmlformats.org/officeDocument/2006/relationships/hyperlink" Target="https://doi.org/10.1186/s41938-020-00303-3" TargetMode="External"/><Relationship Id="rId74" Type="http://schemas.openxmlformats.org/officeDocument/2006/relationships/hyperlink" Target="https://doi.org/10.3390/plants10091942" TargetMode="External"/><Relationship Id="rId79" Type="http://schemas.openxmlformats.org/officeDocument/2006/relationships/hyperlink" Target="https://doi.org/10.1016/j.ecoleng.2015.04.065" TargetMode="External"/><Relationship Id="rId5" Type="http://schemas.openxmlformats.org/officeDocument/2006/relationships/webSettings" Target="webSettings.xml"/><Relationship Id="rId90" Type="http://schemas.openxmlformats.org/officeDocument/2006/relationships/hyperlink" Target="https://doi.org/10.1007/s00204-024-03696-4" TargetMode="External"/><Relationship Id="rId95" Type="http://schemas.openxmlformats.org/officeDocument/2006/relationships/hyperlink" Target="https://doi.org/10.1016/j.scienta.2006.09.002" TargetMode="External"/><Relationship Id="rId22" Type="http://schemas.openxmlformats.org/officeDocument/2006/relationships/chart" Target="charts/chart4.xml"/><Relationship Id="rId27" Type="http://schemas.openxmlformats.org/officeDocument/2006/relationships/hyperlink" Target="https://doi.org/10.3390/su7055875" TargetMode="External"/><Relationship Id="rId43" Type="http://schemas.openxmlformats.org/officeDocument/2006/relationships/hyperlink" Target="https://doi.org/10.3389/fmicb.2024.1289466" TargetMode="External"/><Relationship Id="rId48" Type="http://schemas.openxmlformats.org/officeDocument/2006/relationships/hyperlink" Target="https://doi.org/10.1080/17429145.2016.1269215" TargetMode="External"/><Relationship Id="rId64" Type="http://schemas.openxmlformats.org/officeDocument/2006/relationships/hyperlink" Target="https://doi.org/10.1088/1755-1315/575/1/012117" TargetMode="External"/><Relationship Id="rId69" Type="http://schemas.openxmlformats.org/officeDocument/2006/relationships/hyperlink" Target="https://doi.org/10.1007/s13213-016-1194-6" TargetMode="External"/><Relationship Id="rId80" Type="http://schemas.openxmlformats.org/officeDocument/2006/relationships/hyperlink" Target="https://www.researchgate.net/publication/280919000_SELECTION_DES_ISOLATS_RHIZOBIENS_SOLUBILISANT_LE_PHOSPHATE_TRICALCIQUE_INOCULATION_DES_GRAINES_DU_TRITICALE_VARIETE_MOMTAZ" TargetMode="External"/><Relationship Id="rId85" Type="http://schemas.openxmlformats.org/officeDocument/2006/relationships/hyperlink" Target="https://doi.org/10.1094/Phyto-72-11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footer" Target="footer4.xml"/><Relationship Id="rId33" Type="http://schemas.openxmlformats.org/officeDocument/2006/relationships/hyperlink" Target="http://www.elewa.org/JABS/" TargetMode="External"/><Relationship Id="rId38" Type="http://schemas.openxmlformats.org/officeDocument/2006/relationships/hyperlink" Target="https://doi.org/10.22161/ijeab/2.2.5" TargetMode="External"/><Relationship Id="rId46" Type="http://schemas.openxmlformats.org/officeDocument/2006/relationships/hyperlink" Target="https://doi.org/10.3390/plants13152025" TargetMode="External"/><Relationship Id="rId59" Type="http://schemas.openxmlformats.org/officeDocument/2006/relationships/hyperlink" Target="https://doi.org/10.3389/fmicb.2017.01477" TargetMode="External"/><Relationship Id="rId67" Type="http://schemas.openxmlformats.org/officeDocument/2006/relationships/hyperlink" Target="https://ijm.tums.ac.ir/index.php/ijm/article/view/159" TargetMode="External"/><Relationship Id="rId20" Type="http://schemas.openxmlformats.org/officeDocument/2006/relationships/chart" Target="charts/chart2.xml"/><Relationship Id="rId41" Type="http://schemas.openxmlformats.org/officeDocument/2006/relationships/hyperlink" Target="https://doi.org/10.22069/ijpp.2012.532" TargetMode="External"/><Relationship Id="rId54" Type="http://schemas.openxmlformats.org/officeDocument/2006/relationships/hyperlink" Target="https://doi.org/10.1007/s13213-012-0491-y" TargetMode="External"/><Relationship Id="rId62" Type="http://schemas.openxmlformats.org/officeDocument/2006/relationships/hyperlink" Target="https://doi.org/10.5958/2230-732X.2014.01353.9" TargetMode="External"/><Relationship Id="rId70" Type="http://schemas.openxmlformats.org/officeDocument/2006/relationships/hyperlink" Target="https://doi.org/10.1186/s40168-023-01727-3" TargetMode="External"/><Relationship Id="rId75" Type="http://schemas.openxmlformats.org/officeDocument/2006/relationships/hyperlink" Target="https://doi.org/10.1007/s00114-002-0347-6" TargetMode="External"/><Relationship Id="rId83" Type="http://schemas.openxmlformats.org/officeDocument/2006/relationships/hyperlink" Target="https://doi.org/10.1016/j.sjbs.2012.10.004" TargetMode="External"/><Relationship Id="rId88" Type="http://schemas.openxmlformats.org/officeDocument/2006/relationships/hyperlink" Target="https://doi.org/10.1128/AEM.05845-11" TargetMode="External"/><Relationship Id="rId91" Type="http://schemas.openxmlformats.org/officeDocument/2006/relationships/hyperlink" Target="https://doi.org/10.3389/fmicb.2025.1638366" TargetMode="External"/><Relationship Id="rId96" Type="http://schemas.openxmlformats.org/officeDocument/2006/relationships/hyperlink" Target="https://doi.org/10.1038/s41598-020-72507-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hyperlink" Target="https://doi.org/10.1126/science.1111773" TargetMode="External"/><Relationship Id="rId36" Type="http://schemas.openxmlformats.org/officeDocument/2006/relationships/hyperlink" Target="https://doi.org/10.12944/CARJ.9.1.06" TargetMode="External"/><Relationship Id="rId49" Type="http://schemas.openxmlformats.org/officeDocument/2006/relationships/hyperlink" Target="https://doi.org/10.1080/17429145.2015.1079743g" TargetMode="External"/><Relationship Id="rId57" Type="http://schemas.openxmlformats.org/officeDocument/2006/relationships/hyperlink" Target="https://doi.org/10.1002/pb.20054" TargetMode="External"/><Relationship Id="rId10" Type="http://schemas.openxmlformats.org/officeDocument/2006/relationships/footer" Target="footer1.xml"/><Relationship Id="rId31" Type="http://schemas.openxmlformats.org/officeDocument/2006/relationships/hyperlink" Target="https://doi.org/10.7176/JRDM/57-03" TargetMode="External"/><Relationship Id="rId44" Type="http://schemas.openxmlformats.org/officeDocument/2006/relationships/hyperlink" Target="https://doi.org/10.1007/s00284-023-03538-z" TargetMode="External"/><Relationship Id="rId52" Type="http://schemas.openxmlformats.org/officeDocument/2006/relationships/hyperlink" Target="https://doi.org/10.19044/esipreprint.3.2023.p1" TargetMode="External"/><Relationship Id="rId60" Type="http://schemas.openxmlformats.org/officeDocument/2006/relationships/hyperlink" Target="https://doi.org/10.3389/fmicb.2015.01360" TargetMode="External"/><Relationship Id="rId65" Type="http://schemas.openxmlformats.org/officeDocument/2006/relationships/hyperlink" Target="https://dspace.ummto.dz/handle/ummto/22813" TargetMode="External"/><Relationship Id="rId73" Type="http://schemas.openxmlformats.org/officeDocument/2006/relationships/hyperlink" Target="https://doi.org/10.3844/ajabssp.2019.35.54" TargetMode="External"/><Relationship Id="rId78" Type="http://schemas.openxmlformats.org/officeDocument/2006/relationships/hyperlink" Target="https://doi.org/10.1007/978-3-642-18357-7_2" TargetMode="External"/><Relationship Id="rId81" Type="http://schemas.openxmlformats.org/officeDocument/2006/relationships/hyperlink" Target="https://doi.org/10.1016/j.stress.2023.100341" TargetMode="External"/><Relationship Id="rId86" Type="http://schemas.openxmlformats.org/officeDocument/2006/relationships/hyperlink" Target="https://doi.org/10.1186/s12870-023-04403-8" TargetMode="External"/><Relationship Id="rId94" Type="http://schemas.openxmlformats.org/officeDocument/2006/relationships/hyperlink" Target="https://doi.org/10.1016/j.soilbio.2004.08.030"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1.xml"/><Relationship Id="rId39" Type="http://schemas.openxmlformats.org/officeDocument/2006/relationships/hyperlink" Target="https://doi.org/10.1016/j.biocontrol.2014.01.012" TargetMode="External"/><Relationship Id="rId34" Type="http://schemas.openxmlformats.org/officeDocument/2006/relationships/hyperlink" Target="https://doi.org/10.1111/nph.12405" TargetMode="External"/><Relationship Id="rId50" Type="http://schemas.openxmlformats.org/officeDocument/2006/relationships/hyperlink" Target="https://doi.org/10.5897/AJMR2013.5653" TargetMode="External"/><Relationship Id="rId55" Type="http://schemas.openxmlformats.org/officeDocument/2006/relationships/hyperlink" Target="https://depot-e.uqtr.ca/id/eprint/8449" TargetMode="External"/><Relationship Id="rId76" Type="http://schemas.openxmlformats.org/officeDocument/2006/relationships/hyperlink" Target="https://doi.org/10.1046/j.1365-2672.2003.02161.x"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390/microorganisms8030442" TargetMode="External"/><Relationship Id="rId92" Type="http://schemas.openxmlformats.org/officeDocument/2006/relationships/hyperlink" Target="https://doi.org/10.1371/journal.pone.0223847" TargetMode="External"/><Relationship Id="rId2" Type="http://schemas.openxmlformats.org/officeDocument/2006/relationships/numbering" Target="numbering.xml"/><Relationship Id="rId29" Type="http://schemas.openxmlformats.org/officeDocument/2006/relationships/hyperlink" Target="https://doi.org/10.1126/science.1183725" TargetMode="External"/><Relationship Id="rId24" Type="http://schemas.openxmlformats.org/officeDocument/2006/relationships/header" Target="header5.xml"/><Relationship Id="rId40" Type="http://schemas.openxmlformats.org/officeDocument/2006/relationships/hyperlink" Target="https://doi.org/10.3390/life15070997" TargetMode="External"/><Relationship Id="rId45" Type="http://schemas.openxmlformats.org/officeDocument/2006/relationships/hyperlink" Target="https://doi.org/10.7763/IJESD.2012.V3.191" TargetMode="External"/><Relationship Id="rId66" Type="http://schemas.openxmlformats.org/officeDocument/2006/relationships/hyperlink" Target="https://www.asjp.cerist.dz/en/article/10000" TargetMode="External"/><Relationship Id="rId87" Type="http://schemas.openxmlformats.org/officeDocument/2006/relationships/hyperlink" Target="https://www.asjp.cerist.dz/en/article/230000" TargetMode="External"/><Relationship Id="rId61" Type="http://schemas.openxmlformats.org/officeDocument/2006/relationships/hyperlink" Target="https://doi.org/10.1016/j.plantsci.2014.11.006" TargetMode="External"/><Relationship Id="rId82" Type="http://schemas.openxmlformats.org/officeDocument/2006/relationships/hyperlink" Target="https://doi.org/10.1093/jxb/erv490" TargetMode="External"/><Relationship Id="rId19" Type="http://schemas.openxmlformats.org/officeDocument/2006/relationships/image" Target="media/image2.png"/><Relationship Id="rId14" Type="http://schemas.openxmlformats.org/officeDocument/2006/relationships/comments" Target="comments.xml"/><Relationship Id="rId30" Type="http://schemas.openxmlformats.org/officeDocument/2006/relationships/hyperlink" Target="https://doi.org/10.1146/annurev-environ-030323-075629" TargetMode="External"/><Relationship Id="rId35" Type="http://schemas.openxmlformats.org/officeDocument/2006/relationships/hyperlink" Target="https://doi.org/10.4314/ijbcs.v13i4.20" TargetMode="External"/><Relationship Id="rId56" Type="http://schemas.openxmlformats.org/officeDocument/2006/relationships/hyperlink" Target="https://www.researchgate.net/publication/280920000_Production_of_Plant_growth_promoting_substance_by_Pseudomonads" TargetMode="External"/><Relationship Id="rId77" Type="http://schemas.openxmlformats.org/officeDocument/2006/relationships/hyperlink" Target="https://doi.org/10.5923/j.microbiology.2011.003" TargetMode="External"/><Relationship Id="rId100"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yperlink" Target="https://doi.org/10.1016/bs.agron.2021.11.002" TargetMode="External"/><Relationship Id="rId72" Type="http://schemas.openxmlformats.org/officeDocument/2006/relationships/hyperlink" Target="https://doi.org/10.1038/nrmicro3109" TargetMode="External"/><Relationship Id="rId93" Type="http://schemas.openxmlformats.org/officeDocument/2006/relationships/hyperlink" Target="https://doi.org/10.3390/plants9050668"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NH3%20N2%20IA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RRO\Desktop\THESE\Donn&#233;%20de%20la%20th&#232;se\Donn&#233;e%20ACP%2024%206%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Germination%2031%2010%202025\Germination%20rate%20C%20+%20M%208%2012%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ARRO\Desktop\THESE\Donn&#233;%20de%20la%20th&#232;se\Germination\Germination%2025%202%202025\Germination%2031%2010%202025\IV%20C%20+%20M%208%2012%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Feuil1!$E$11</c:f>
              <c:strCache>
                <c:ptCount val="1"/>
                <c:pt idx="0">
                  <c:v>Pourcentages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tx2">
                  <a:lumMod val="90000"/>
                  <a:lumOff val="10000"/>
                </a:schemeClr>
              </a:solidFill>
              <a:ln>
                <a:noFill/>
              </a:ln>
              <a:effectLst>
                <a:innerShdw blurRad="114300">
                  <a:schemeClr val="accent1"/>
                </a:innerShdw>
              </a:effectLst>
            </c:spPr>
            <c:extLst>
              <c:ext xmlns:c16="http://schemas.microsoft.com/office/drawing/2014/chart" uri="{C3380CC4-5D6E-409C-BE32-E72D297353CC}">
                <c16:uniqueId val="{00000001-FB30-4225-9AF1-AE7C4CBB9E2D}"/>
              </c:ext>
            </c:extLst>
          </c:dPt>
          <c:dPt>
            <c:idx val="1"/>
            <c:invertIfNegative val="0"/>
            <c:bubble3D val="0"/>
            <c:spPr>
              <a:solidFill>
                <a:srgbClr val="7030A0"/>
              </a:solidFill>
              <a:ln>
                <a:solidFill>
                  <a:schemeClr val="tx2">
                    <a:lumMod val="75000"/>
                    <a:lumOff val="25000"/>
                  </a:schemeClr>
                </a:solidFill>
              </a:ln>
              <a:effectLst>
                <a:innerShdw blurRad="114300">
                  <a:schemeClr val="accent1"/>
                </a:innerShdw>
              </a:effectLst>
            </c:spPr>
            <c:extLst>
              <c:ext xmlns:c16="http://schemas.microsoft.com/office/drawing/2014/chart" uri="{C3380CC4-5D6E-409C-BE32-E72D297353CC}">
                <c16:uniqueId val="{00000003-FB30-4225-9AF1-AE7C4CBB9E2D}"/>
              </c:ext>
            </c:extLst>
          </c:dPt>
          <c:dPt>
            <c:idx val="2"/>
            <c:invertIfNegative val="0"/>
            <c:bubble3D val="0"/>
            <c:spPr>
              <a:solidFill>
                <a:schemeClr val="accent1"/>
              </a:solidFill>
              <a:ln>
                <a:noFill/>
              </a:ln>
              <a:effectLst>
                <a:innerShdw blurRad="114300">
                  <a:schemeClr val="accent1"/>
                </a:innerShdw>
              </a:effectLst>
            </c:spPr>
            <c:extLst>
              <c:ext xmlns:c16="http://schemas.microsoft.com/office/drawing/2014/chart" uri="{C3380CC4-5D6E-409C-BE32-E72D297353CC}">
                <c16:uniqueId val="{00000005-FB30-4225-9AF1-AE7C4CBB9E2D}"/>
              </c:ext>
            </c:extLst>
          </c:dPt>
          <c:dPt>
            <c:idx val="3"/>
            <c:invertIfNegative val="0"/>
            <c:bubble3D val="0"/>
            <c:spPr>
              <a:solidFill>
                <a:srgbClr val="002060"/>
              </a:solidFill>
              <a:ln>
                <a:noFill/>
              </a:ln>
              <a:effectLst>
                <a:innerShdw blurRad="114300">
                  <a:schemeClr val="accent1"/>
                </a:innerShdw>
              </a:effectLst>
            </c:spPr>
            <c:extLst>
              <c:ext xmlns:c16="http://schemas.microsoft.com/office/drawing/2014/chart" uri="{C3380CC4-5D6E-409C-BE32-E72D297353CC}">
                <c16:uniqueId val="{00000007-FB30-4225-9AF1-AE7C4CBB9E2D}"/>
              </c:ext>
            </c:extLst>
          </c:dPt>
          <c:cat>
            <c:strRef>
              <c:f>Feuil1!$D$12:$D$15</c:f>
              <c:strCache>
                <c:ptCount val="4"/>
                <c:pt idx="0">
                  <c:v>NH3</c:v>
                </c:pt>
                <c:pt idx="1">
                  <c:v>N2</c:v>
                </c:pt>
                <c:pt idx="2">
                  <c:v>IAA</c:v>
                </c:pt>
                <c:pt idx="3">
                  <c:v>NH3-N2-IAA</c:v>
                </c:pt>
              </c:strCache>
            </c:strRef>
          </c:cat>
          <c:val>
            <c:numRef>
              <c:f>Feuil1!$E$12:$E$15</c:f>
              <c:numCache>
                <c:formatCode>0.00%</c:formatCode>
                <c:ptCount val="4"/>
                <c:pt idx="0">
                  <c:v>0.93330000000000002</c:v>
                </c:pt>
                <c:pt idx="1">
                  <c:v>0.66659999999999997</c:v>
                </c:pt>
                <c:pt idx="2">
                  <c:v>0.44440000000000002</c:v>
                </c:pt>
                <c:pt idx="3">
                  <c:v>9.3299999999999994E-2</c:v>
                </c:pt>
              </c:numCache>
            </c:numRef>
          </c:val>
          <c:extLst>
            <c:ext xmlns:c16="http://schemas.microsoft.com/office/drawing/2014/chart" uri="{C3380CC4-5D6E-409C-BE32-E72D297353CC}">
              <c16:uniqueId val="{00000008-FB30-4225-9AF1-AE7C4CBB9E2D}"/>
            </c:ext>
          </c:extLst>
        </c:ser>
        <c:dLbls>
          <c:showLegendKey val="0"/>
          <c:showVal val="0"/>
          <c:showCatName val="0"/>
          <c:showSerName val="0"/>
          <c:showPercent val="0"/>
          <c:showBubbleSize val="0"/>
        </c:dLbls>
        <c:gapWidth val="164"/>
        <c:overlap val="-22"/>
        <c:axId val="680691360"/>
        <c:axId val="680693760"/>
      </c:barChart>
      <c:catAx>
        <c:axId val="680691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a:t> PGPR t</a:t>
                </a:r>
                <a:r>
                  <a:rPr lang="fr-FR" sz="800" b="1" i="0" u="none" strike="noStrike" kern="1200" baseline="0">
                    <a:solidFill>
                      <a:sysClr val="windowText" lastClr="000000"/>
                    </a:solidFill>
                  </a:rPr>
                  <a:t>est</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tailEnd type="arrow"/>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0693760"/>
        <c:crosses val="autoZero"/>
        <c:auto val="1"/>
        <c:lblAlgn val="ctr"/>
        <c:lblOffset val="100"/>
        <c:noMultiLvlLbl val="0"/>
      </c:catAx>
      <c:valAx>
        <c:axId val="6806937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a:t>Percent</a:t>
                </a:r>
              </a:p>
            </c:rich>
          </c:tx>
          <c:layout>
            <c:manualLayout>
              <c:xMode val="edge"/>
              <c:yMode val="edge"/>
              <c:x val="3.3333333333333333E-2"/>
              <c:y val="0.3070293817439487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0691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81,84 %)</a:t>
            </a:r>
          </a:p>
        </c:rich>
      </c:tx>
      <c:overlay val="0"/>
    </c:title>
    <c:autoTitleDeleted val="0"/>
    <c:plotArea>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0"/>
                  <c:y val="2.3148148148148077E-2"/>
                </c:manualLayout>
              </c:layout>
              <c:tx>
                <c:rich>
                  <a:bodyPr/>
                  <a:lstStyle/>
                  <a:p>
                    <a:r>
                      <a:rPr lang="en-US"/>
                      <a:t>A3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6F-481E-BCCB-C47121C0892A}"/>
                </c:ext>
              </c:extLst>
            </c:dLbl>
            <c:dLbl>
              <c:idx val="1"/>
              <c:layout>
                <c:manualLayout>
                  <c:x val="-6.7788461538461603E-2"/>
                  <c:y val="-2.3148148148148147E-2"/>
                </c:manualLayout>
              </c:layout>
              <c:tx>
                <c:rich>
                  <a:bodyPr/>
                  <a:lstStyle/>
                  <a:p>
                    <a:r>
                      <a:rPr lang="en-US"/>
                      <a:t>A56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6F-481E-BCCB-C47121C0892A}"/>
                </c:ext>
              </c:extLst>
            </c:dLbl>
            <c:dLbl>
              <c:idx val="2"/>
              <c:layout>
                <c:manualLayout>
                  <c:x val="0"/>
                  <c:y val="-2.3148148148148147E-2"/>
                </c:manualLayout>
              </c:layout>
              <c:tx>
                <c:rich>
                  <a:bodyPr/>
                  <a:lstStyle/>
                  <a:p>
                    <a:r>
                      <a:rPr lang="en-US"/>
                      <a:t>A30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6F-481E-BCCB-C47121C0892A}"/>
                </c:ext>
              </c:extLst>
            </c:dLbl>
            <c:dLbl>
              <c:idx val="3"/>
              <c:layout>
                <c:manualLayout>
                  <c:x val="0"/>
                  <c:y val="2.3148148148148147E-2"/>
                </c:manualLayout>
              </c:layout>
              <c:tx>
                <c:rich>
                  <a:bodyPr/>
                  <a:lstStyle/>
                  <a:p>
                    <a:r>
                      <a:rPr lang="en-US"/>
                      <a:t>B1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6F-481E-BCCB-C47121C0892A}"/>
                </c:ext>
              </c:extLst>
            </c:dLbl>
            <c:dLbl>
              <c:idx val="4"/>
              <c:layout>
                <c:manualLayout>
                  <c:x val="-1.1752000992018454E-16"/>
                  <c:y val="-2.3148148148148147E-2"/>
                </c:manualLayout>
              </c:layout>
              <c:tx>
                <c:rich>
                  <a:bodyPr/>
                  <a:lstStyle/>
                  <a:p>
                    <a:r>
                      <a:rPr lang="en-US"/>
                      <a:t>B15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6F-481E-BCCB-C47121C0892A}"/>
                </c:ext>
              </c:extLst>
            </c:dLbl>
            <c:dLbl>
              <c:idx val="5"/>
              <c:layout>
                <c:manualLayout>
                  <c:x val="0"/>
                  <c:y val="-2.3148148148148185E-2"/>
                </c:manualLayout>
              </c:layout>
              <c:tx>
                <c:rich>
                  <a:bodyPr/>
                  <a:lstStyle/>
                  <a:p>
                    <a:r>
                      <a:rPr lang="en-US"/>
                      <a:t>B30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6F-481E-BCCB-C47121C0892A}"/>
                </c:ext>
              </c:extLst>
            </c:dLbl>
            <c:dLbl>
              <c:idx val="6"/>
              <c:layout>
                <c:manualLayout>
                  <c:x val="3.5256410256410256E-2"/>
                  <c:y val="2.3148148148148077E-2"/>
                </c:manualLayout>
              </c:layout>
              <c:tx>
                <c:rich>
                  <a:bodyPr/>
                  <a:lstStyle/>
                  <a:p>
                    <a:r>
                      <a:rPr lang="en-US"/>
                      <a:t>Le18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6F-481E-BCCB-C47121C0892A}"/>
                </c:ext>
              </c:extLst>
            </c:dLbl>
            <c:dLbl>
              <c:idx val="7"/>
              <c:layout>
                <c:manualLayout>
                  <c:x val="-8.6794871794871789E-2"/>
                  <c:y val="2.3148148148148077E-2"/>
                </c:manualLayout>
              </c:layout>
              <c:tx>
                <c:rich>
                  <a:bodyPr/>
                  <a:lstStyle/>
                  <a:p>
                    <a:r>
                      <a:rPr lang="en-US"/>
                      <a:t>Le6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6F-481E-BCCB-C47121C0892A}"/>
                </c:ext>
              </c:extLst>
            </c:dLbl>
            <c:dLbl>
              <c:idx val="8"/>
              <c:layout>
                <c:manualLayout>
                  <c:x val="3.2051282051281465E-3"/>
                  <c:y val="-4.2438271604938273E-2"/>
                </c:manualLayout>
              </c:layout>
              <c:tx>
                <c:rich>
                  <a:bodyPr/>
                  <a:lstStyle/>
                  <a:p>
                    <a:r>
                      <a:rPr lang="en-US"/>
                      <a:t>Le13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6F-481E-BCCB-C47121C0892A}"/>
                </c:ext>
              </c:extLst>
            </c:dLbl>
            <c:dLbl>
              <c:idx val="9"/>
              <c:layout>
                <c:manualLayout>
                  <c:x val="5.3372149442018436E-2"/>
                  <c:y val="4.3508861130578572E-2"/>
                </c:manualLayout>
              </c:layout>
              <c:tx>
                <c:rich>
                  <a:bodyPr/>
                  <a:lstStyle/>
                  <a:p>
                    <a:r>
                      <a:rPr lang="en-US"/>
                      <a:t>T905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6F-481E-BCCB-C47121C0892A}"/>
                </c:ext>
              </c:extLst>
            </c:dLbl>
            <c:dLbl>
              <c:idx val="10"/>
              <c:layout>
                <c:manualLayout>
                  <c:x val="2.1568155508945749E-2"/>
                  <c:y val="9.8652393581692338E-2"/>
                </c:manualLayout>
              </c:layout>
              <c:tx>
                <c:rich>
                  <a:bodyPr/>
                  <a:lstStyle/>
                  <a:p>
                    <a:r>
                      <a:rPr lang="en-US"/>
                      <a:t>T6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6F-481E-BCCB-C47121C0892A}"/>
                </c:ext>
              </c:extLst>
            </c:dLbl>
            <c:dLbl>
              <c:idx val="11"/>
              <c:layout>
                <c:manualLayout>
                  <c:x val="0"/>
                  <c:y val="3.8580246913579538E-3"/>
                </c:manualLayout>
              </c:layout>
              <c:tx>
                <c:rich>
                  <a:bodyPr/>
                  <a:lstStyle/>
                  <a:p>
                    <a:r>
                      <a:rPr lang="en-US"/>
                      <a:t>T3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6F-481E-BCCB-C47121C0892A}"/>
                </c:ext>
              </c:extLst>
            </c:dLbl>
            <c:dLbl>
              <c:idx val="12"/>
              <c:layout>
                <c:manualLayout>
                  <c:x val="1.6025641025641024E-2"/>
                  <c:y val="2.3148148148148147E-2"/>
                </c:manualLayout>
              </c:layout>
              <c:tx>
                <c:rich>
                  <a:bodyPr/>
                  <a:lstStyle/>
                  <a:p>
                    <a:r>
                      <a:rPr lang="en-US"/>
                      <a:t>Ki1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6F-481E-BCCB-C47121C0892A}"/>
                </c:ext>
              </c:extLst>
            </c:dLbl>
            <c:dLbl>
              <c:idx val="13"/>
              <c:layout>
                <c:manualLayout>
                  <c:x val="-8.2980769230769233E-2"/>
                  <c:y val="-2.314814814814822E-2"/>
                </c:manualLayout>
              </c:layout>
              <c:tx>
                <c:rich>
                  <a:bodyPr/>
                  <a:lstStyle/>
                  <a:p>
                    <a:r>
                      <a:rPr lang="en-US"/>
                      <a:t>Ki604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6F-481E-BCCB-C47121C0892A}"/>
                </c:ext>
              </c:extLst>
            </c:dLbl>
            <c:dLbl>
              <c:idx val="14"/>
              <c:layout>
                <c:manualLayout>
                  <c:x val="-1.4556040756914208E-2"/>
                  <c:y val="-0.10459088556338834"/>
                </c:manualLayout>
              </c:layout>
              <c:tx>
                <c:rich>
                  <a:bodyPr/>
                  <a:lstStyle/>
                  <a:p>
                    <a:r>
                      <a:rPr lang="en-US"/>
                      <a:t>Ki3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6F-481E-BCCB-C47121C0892A}"/>
                </c:ext>
              </c:extLst>
            </c:dLbl>
            <c:dLbl>
              <c:idx val="15"/>
              <c:layout>
                <c:manualLayout>
                  <c:x val="-6.7662284572507128E-2"/>
                  <c:y val="0.1653699046781455"/>
                </c:manualLayout>
              </c:layout>
              <c:tx>
                <c:rich>
                  <a:bodyPr/>
                  <a:lstStyle/>
                  <a:p>
                    <a:r>
                      <a:rPr lang="en-US"/>
                      <a:t>KO1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6F-481E-BCCB-C47121C0892A}"/>
                </c:ext>
              </c:extLst>
            </c:dLbl>
            <c:dLbl>
              <c:idx val="16"/>
              <c:layout>
                <c:manualLayout>
                  <c:x val="1.6233766233766135E-2"/>
                  <c:y val="-4.2528077885613136E-2"/>
                </c:manualLayout>
              </c:layout>
              <c:tx>
                <c:rich>
                  <a:bodyPr/>
                  <a:lstStyle/>
                  <a:p>
                    <a:r>
                      <a:rPr lang="en-US"/>
                      <a:t>KO2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6F-481E-BCCB-C47121C0892A}"/>
                </c:ext>
              </c:extLst>
            </c:dLbl>
            <c:dLbl>
              <c:idx val="17"/>
              <c:layout>
                <c:manualLayout>
                  <c:x val="2.2435897435897436E-2"/>
                  <c:y val="6.1728395061728322E-2"/>
                </c:manualLayout>
              </c:layout>
              <c:tx>
                <c:rich>
                  <a:bodyPr/>
                  <a:lstStyle/>
                  <a:p>
                    <a:r>
                      <a:rPr lang="en-US"/>
                      <a:t>KO15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6F-481E-BCCB-C47121C0892A}"/>
                </c:ext>
              </c:extLst>
            </c:dLbl>
            <c:dLbl>
              <c:idx val="18"/>
              <c:layout>
                <c:manualLayout>
                  <c:x val="1.6025641025641024E-2"/>
                  <c:y val="-2.314814814814822E-2"/>
                </c:manualLayout>
              </c:layout>
              <c:tx>
                <c:rich>
                  <a:bodyPr/>
                  <a:lstStyle/>
                  <a:p>
                    <a:r>
                      <a:rPr lang="en-US"/>
                      <a:t>KOM9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86F-481E-BCCB-C47121C0892A}"/>
                </c:ext>
              </c:extLst>
            </c:dLbl>
            <c:dLbl>
              <c:idx val="19"/>
              <c:layout>
                <c:manualLayout>
                  <c:x val="-2.9137693015645772E-3"/>
                  <c:y val="0.10066761276933407"/>
                </c:manualLayout>
              </c:layout>
              <c:tx>
                <c:rich>
                  <a:bodyPr/>
                  <a:lstStyle/>
                  <a:p>
                    <a:r>
                      <a:rPr lang="en-US"/>
                      <a:t>KOM1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86F-481E-BCCB-C47121C0892A}"/>
                </c:ext>
              </c:extLst>
            </c:dLbl>
            <c:dLbl>
              <c:idx val="20"/>
              <c:layout>
                <c:manualLayout>
                  <c:x val="-4.3066205152303652E-2"/>
                  <c:y val="-6.2031349484455912E-2"/>
                </c:manualLayout>
              </c:layout>
              <c:tx>
                <c:rich>
                  <a:bodyPr/>
                  <a:lstStyle/>
                  <a:p>
                    <a:r>
                      <a:rPr lang="en-US"/>
                      <a:t>KOM3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86F-481E-BCCB-C47121C0892A}"/>
                </c:ext>
              </c:extLst>
            </c:dLbl>
            <c:spPr>
              <a:noFill/>
              <a:ln>
                <a:noFill/>
              </a:ln>
              <a:effectLst/>
            </c:spPr>
            <c:txPr>
              <a:bodyPr wrap="square" lIns="38100" tIns="19050" rIns="38100" bIns="19050" anchor="ctr">
                <a:spAutoFit/>
              </a:bodyPr>
              <a:lstStyle/>
              <a:p>
                <a:pPr>
                  <a:defRPr sz="7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ACP1_HID!$B$2:$B$22</c:f>
              <c:numCache>
                <c:formatCode>0</c:formatCode>
                <c:ptCount val="21"/>
                <c:pt idx="0">
                  <c:v>1.1142432375388931</c:v>
                </c:pt>
                <c:pt idx="1">
                  <c:v>-0.49414745390026393</c:v>
                </c:pt>
                <c:pt idx="2">
                  <c:v>6.1061359971636975E-4</c:v>
                </c:pt>
                <c:pt idx="3">
                  <c:v>0.61948517003891279</c:v>
                </c:pt>
                <c:pt idx="4">
                  <c:v>0.99012674859967686</c:v>
                </c:pt>
                <c:pt idx="5">
                  <c:v>0.49536868109969656</c:v>
                </c:pt>
                <c:pt idx="6">
                  <c:v>1.1142432375388931</c:v>
                </c:pt>
                <c:pt idx="7">
                  <c:v>-2.8911756488955849</c:v>
                </c:pt>
                <c:pt idx="8">
                  <c:v>-0.49414745390026393</c:v>
                </c:pt>
                <c:pt idx="9">
                  <c:v>0.61948517003891279</c:v>
                </c:pt>
                <c:pt idx="10">
                  <c:v>0.61948517003891279</c:v>
                </c:pt>
                <c:pt idx="11">
                  <c:v>1.1142432375388931</c:v>
                </c:pt>
                <c:pt idx="12">
                  <c:v>-0.98890552140024446</c:v>
                </c:pt>
                <c:pt idx="13">
                  <c:v>-2.3964175813956041</c:v>
                </c:pt>
                <c:pt idx="14">
                  <c:v>1.6090013050388734</c:v>
                </c:pt>
                <c:pt idx="15">
                  <c:v>0.61948517003891279</c:v>
                </c:pt>
                <c:pt idx="16">
                  <c:v>6.1061359971636975E-4</c:v>
                </c:pt>
                <c:pt idx="17">
                  <c:v>1.1142432375388931</c:v>
                </c:pt>
                <c:pt idx="18">
                  <c:v>-2.3964175813956041</c:v>
                </c:pt>
                <c:pt idx="19">
                  <c:v>-0.98890552140024446</c:v>
                </c:pt>
                <c:pt idx="20">
                  <c:v>0.61948517003891279</c:v>
                </c:pt>
              </c:numCache>
            </c:numRef>
          </c:xVal>
          <c:yVal>
            <c:numRef>
              <c:f>ACP1_HID!$C$2:$C$22</c:f>
              <c:numCache>
                <c:formatCode>0</c:formatCode>
                <c:ptCount val="21"/>
                <c:pt idx="0">
                  <c:v>-0.28479107019762911</c:v>
                </c:pt>
                <c:pt idx="1">
                  <c:v>0.22536168880332461</c:v>
                </c:pt>
                <c:pt idx="2">
                  <c:v>0.99068500434587825</c:v>
                </c:pt>
                <c:pt idx="3">
                  <c:v>-1.0501143857401827</c:v>
                </c:pt>
                <c:pt idx="4">
                  <c:v>2.5213316354309847</c:v>
                </c:pt>
                <c:pt idx="5">
                  <c:v>1.7560083198884313</c:v>
                </c:pt>
                <c:pt idx="6">
                  <c:v>-0.28479107019762911</c:v>
                </c:pt>
                <c:pt idx="7">
                  <c:v>-0.41698425169265446</c:v>
                </c:pt>
                <c:pt idx="8">
                  <c:v>0.22536168880332461</c:v>
                </c:pt>
                <c:pt idx="9">
                  <c:v>-1.0501143857401827</c:v>
                </c:pt>
                <c:pt idx="10">
                  <c:v>-1.0501143857401827</c:v>
                </c:pt>
                <c:pt idx="11">
                  <c:v>-0.28479107019762911</c:v>
                </c:pt>
                <c:pt idx="12">
                  <c:v>-0.53996162673922876</c:v>
                </c:pt>
                <c:pt idx="13">
                  <c:v>0.34833906384989893</c:v>
                </c:pt>
                <c:pt idx="14">
                  <c:v>0.48053224534492417</c:v>
                </c:pt>
                <c:pt idx="15">
                  <c:v>-1.0501143857401827</c:v>
                </c:pt>
                <c:pt idx="16">
                  <c:v>0.99068500434587825</c:v>
                </c:pt>
                <c:pt idx="17">
                  <c:v>-0.28479107019762911</c:v>
                </c:pt>
                <c:pt idx="18">
                  <c:v>0.34833906384989893</c:v>
                </c:pt>
                <c:pt idx="19">
                  <c:v>-0.53996162673922876</c:v>
                </c:pt>
                <c:pt idx="20">
                  <c:v>-1.0501143857401827</c:v>
                </c:pt>
              </c:numCache>
            </c:numRef>
          </c:yVal>
          <c:smooth val="0"/>
          <c:extLst>
            <c:ext xmlns:c16="http://schemas.microsoft.com/office/drawing/2014/chart" uri="{C3380CC4-5D6E-409C-BE32-E72D297353CC}">
              <c16:uniqueId val="{00000015-386F-481E-BCCB-C47121C0892A}"/>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1.7586580086580091E-2"/>
                  <c:y val="-6.9982858247370244E-2"/>
                </c:manualLayout>
              </c:layout>
              <c:tx>
                <c:rich>
                  <a:bodyPr wrap="square" lIns="38100" tIns="19050" rIns="38100" bIns="19050" anchor="ctr">
                    <a:noAutofit/>
                  </a:bodyPr>
                  <a:lstStyle/>
                  <a:p>
                    <a:pPr>
                      <a:defRPr sz="700"/>
                    </a:pPr>
                    <a:r>
                      <a:rPr lang="en-US"/>
                      <a:t>phosphate Solubilization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2002164502164502"/>
                      <c:h val="7.2819894606197477E-2"/>
                    </c:manualLayout>
                  </c15:layout>
                </c:ext>
                <c:ext xmlns:c16="http://schemas.microsoft.com/office/drawing/2014/chart" uri="{C3380CC4-5D6E-409C-BE32-E72D297353CC}">
                  <c16:uniqueId val="{00000016-386F-481E-BCCB-C47121C0892A}"/>
                </c:ext>
              </c:extLst>
            </c:dLbl>
            <c:dLbl>
              <c:idx val="1"/>
              <c:layout>
                <c:manualLayout>
                  <c:x val="0.19181345229573565"/>
                  <c:y val="-0.30461759140572547"/>
                </c:manualLayout>
              </c:layout>
              <c:tx>
                <c:rich>
                  <a:bodyPr/>
                  <a:lstStyle/>
                  <a:p>
                    <a:r>
                      <a:rPr lang="en-US"/>
                      <a:t>Nitrogen</a:t>
                    </a:r>
                    <a:r>
                      <a:rPr lang="en-US" baseline="0"/>
                      <a:t> </a:t>
                    </a:r>
                    <a:r>
                      <a:rPr lang="en-US"/>
                      <a:t>Fixation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86F-481E-BCCB-C47121C0892A}"/>
                </c:ext>
              </c:extLst>
            </c:dLbl>
            <c:dLbl>
              <c:idx val="2"/>
              <c:layout>
                <c:manualLayout>
                  <c:x val="0.21038428435081979"/>
                  <c:y val="-9.7454424301613454E-2"/>
                </c:manualLayout>
              </c:layout>
              <c:tx>
                <c:rich>
                  <a:bodyPr/>
                  <a:lstStyle/>
                  <a:p>
                    <a:r>
                      <a:rPr lang="en-US"/>
                      <a:t>Indole acetique acid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86F-481E-BCCB-C47121C0892A}"/>
                </c:ext>
              </c:extLst>
            </c:dLbl>
            <c:dLbl>
              <c:idx val="3"/>
              <c:layout>
                <c:manualLayout>
                  <c:x val="-3.2467532467532464E-2"/>
                  <c:y val="3.2838155404992977E-2"/>
                </c:manualLayout>
              </c:layout>
              <c:tx>
                <c:rich>
                  <a:bodyPr/>
                  <a:lstStyle/>
                  <a:p>
                    <a:r>
                      <a:rPr lang="en-US"/>
                      <a:t>hydrogen cyanide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86F-481E-BCCB-C47121C0892A}"/>
                </c:ext>
              </c:extLst>
            </c:dLbl>
            <c:dLbl>
              <c:idx val="4"/>
              <c:layout>
                <c:manualLayout>
                  <c:x val="0.26078192640692638"/>
                  <c:y val="-0.18568205863801909"/>
                </c:manualLayout>
              </c:layout>
              <c:tx>
                <c:rich>
                  <a:bodyPr wrap="square" lIns="38100" tIns="19050" rIns="38100" bIns="19050" anchor="ctr">
                    <a:noAutofit/>
                  </a:bodyPr>
                  <a:lstStyle/>
                  <a:p>
                    <a:pPr>
                      <a:defRPr sz="700"/>
                    </a:pPr>
                    <a:r>
                      <a:rPr lang="en-US"/>
                      <a:t> Ammonia Production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9665844326277393"/>
                      <c:h val="6.3129972125577319E-2"/>
                    </c:manualLayout>
                  </c15:layout>
                </c:ext>
                <c:ext xmlns:c16="http://schemas.microsoft.com/office/drawing/2014/chart" uri="{C3380CC4-5D6E-409C-BE32-E72D297353CC}">
                  <c16:uniqueId val="{0000001A-386F-481E-BCCB-C47121C0892A}"/>
                </c:ext>
              </c:extLst>
            </c:dLbl>
            <c:dLbl>
              <c:idx val="5"/>
              <c:layout>
                <c:manualLayout>
                  <c:x val="4.5814585676790504E-2"/>
                  <c:y val="6.3210085657897291E-2"/>
                </c:manualLayout>
              </c:layout>
              <c:tx>
                <c:rich>
                  <a:bodyPr/>
                  <a:lstStyle/>
                  <a:p>
                    <a:r>
                      <a:rPr lang="en-US"/>
                      <a:t>cellulase production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86F-481E-BCCB-C47121C0892A}"/>
                </c:ext>
              </c:extLst>
            </c:dLbl>
            <c:spPr>
              <a:noFill/>
              <a:ln>
                <a:noFill/>
              </a:ln>
              <a:effectLst/>
            </c:spPr>
            <c:txPr>
              <a:bodyPr wrap="square" lIns="38100" tIns="19050" rIns="38100" bIns="19050" anchor="ctr">
                <a:spAutoFit/>
              </a:bodyPr>
              <a:lstStyle/>
              <a:p>
                <a:pPr>
                  <a:defRPr sz="7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ACP1_HID!$E$2:$E$7</c:f>
              <c:numCache>
                <c:formatCode>0</c:formatCode>
                <c:ptCount val="6"/>
                <c:pt idx="0">
                  <c:v>1.728843615077432</c:v>
                </c:pt>
                <c:pt idx="1">
                  <c:v>0</c:v>
                </c:pt>
                <c:pt idx="2">
                  <c:v>0</c:v>
                </c:pt>
                <c:pt idx="3">
                  <c:v>1.9325631055317416</c:v>
                </c:pt>
                <c:pt idx="4">
                  <c:v>1.0948148025474141E-16</c:v>
                </c:pt>
                <c:pt idx="5">
                  <c:v>2.3129405191164683</c:v>
                </c:pt>
              </c:numCache>
            </c:numRef>
          </c:xVal>
          <c:yVal>
            <c:numRef>
              <c:f>ACP1_HID!$F$2:$F$7</c:f>
              <c:numCache>
                <c:formatCode>0</c:formatCode>
                <c:ptCount val="6"/>
                <c:pt idx="0">
                  <c:v>2.6742855032792106</c:v>
                </c:pt>
                <c:pt idx="1">
                  <c:v>0</c:v>
                </c:pt>
                <c:pt idx="2">
                  <c:v>0</c:v>
                </c:pt>
                <c:pt idx="3">
                  <c:v>-2.2134211504438306</c:v>
                </c:pt>
                <c:pt idx="4">
                  <c:v>1.4967756863750199E-15</c:v>
                </c:pt>
                <c:pt idx="5">
                  <c:v>-0.14952626841400102</c:v>
                </c:pt>
              </c:numCache>
            </c:numRef>
          </c:yVal>
          <c:smooth val="0"/>
          <c:extLst>
            <c:ext xmlns:c16="http://schemas.microsoft.com/office/drawing/2014/chart" uri="{C3380CC4-5D6E-409C-BE32-E72D297353CC}">
              <c16:uniqueId val="{0000001C-386F-481E-BCCB-C47121C0892A}"/>
            </c:ext>
          </c:extLst>
        </c:ser>
        <c:ser>
          <c:idx val="2"/>
          <c:order val="2"/>
          <c:spPr>
            <a:ln w="12700">
              <a:solidFill>
                <a:srgbClr val="FF0000"/>
              </a:solidFill>
              <a:prstDash val="solid"/>
            </a:ln>
          </c:spPr>
          <c:marker>
            <c:symbol val="none"/>
          </c:marker>
          <c:xVal>
            <c:numLit>
              <c:formatCode>General</c:formatCode>
              <c:ptCount val="2"/>
              <c:pt idx="0">
                <c:v>0</c:v>
              </c:pt>
              <c:pt idx="1">
                <c:v>1.728843615077432</c:v>
              </c:pt>
            </c:numLit>
          </c:xVal>
          <c:yVal>
            <c:numLit>
              <c:formatCode>General</c:formatCode>
              <c:ptCount val="2"/>
              <c:pt idx="0">
                <c:v>0</c:v>
              </c:pt>
              <c:pt idx="1">
                <c:v>2.6742855032792106</c:v>
              </c:pt>
            </c:numLit>
          </c:yVal>
          <c:smooth val="0"/>
          <c:extLst>
            <c:ext xmlns:c16="http://schemas.microsoft.com/office/drawing/2014/chart" uri="{C3380CC4-5D6E-409C-BE32-E72D297353CC}">
              <c16:uniqueId val="{0000001D-386F-481E-BCCB-C47121C0892A}"/>
            </c:ext>
          </c:extLst>
        </c:ser>
        <c:ser>
          <c:idx val="3"/>
          <c:order val="3"/>
          <c:spPr>
            <a:ln w="12700">
              <a:solidFill>
                <a:srgbClr val="FF0000"/>
              </a:solidFill>
              <a:prstDash val="solid"/>
            </a:ln>
          </c:spPr>
          <c:marker>
            <c:symbol val="none"/>
          </c:marker>
          <c:xVal>
            <c:numLit>
              <c:formatCode>General</c:formatCode>
              <c:ptCount val="2"/>
              <c:pt idx="0">
                <c:v>0</c:v>
              </c:pt>
              <c:pt idx="1">
                <c:v>0</c:v>
              </c:pt>
            </c:numLit>
          </c:xVal>
          <c:yVal>
            <c:numLit>
              <c:formatCode>General</c:formatCode>
              <c:ptCount val="2"/>
              <c:pt idx="0">
                <c:v>0</c:v>
              </c:pt>
              <c:pt idx="1">
                <c:v>0</c:v>
              </c:pt>
            </c:numLit>
          </c:yVal>
          <c:smooth val="0"/>
          <c:extLst>
            <c:ext xmlns:c16="http://schemas.microsoft.com/office/drawing/2014/chart" uri="{C3380CC4-5D6E-409C-BE32-E72D297353CC}">
              <c16:uniqueId val="{0000001E-386F-481E-BCCB-C47121C0892A}"/>
            </c:ext>
          </c:extLst>
        </c:ser>
        <c:ser>
          <c:idx val="4"/>
          <c:order val="4"/>
          <c:spPr>
            <a:ln w="12700">
              <a:solidFill>
                <a:srgbClr val="FF0000"/>
              </a:solidFill>
              <a:prstDash val="solid"/>
            </a:ln>
          </c:spPr>
          <c:marker>
            <c:symbol val="none"/>
          </c:marker>
          <c:xVal>
            <c:numLit>
              <c:formatCode>General</c:formatCode>
              <c:ptCount val="2"/>
              <c:pt idx="0">
                <c:v>0</c:v>
              </c:pt>
              <c:pt idx="1">
                <c:v>0</c:v>
              </c:pt>
            </c:numLit>
          </c:xVal>
          <c:yVal>
            <c:numLit>
              <c:formatCode>General</c:formatCode>
              <c:ptCount val="2"/>
              <c:pt idx="0">
                <c:v>0</c:v>
              </c:pt>
              <c:pt idx="1">
                <c:v>0</c:v>
              </c:pt>
            </c:numLit>
          </c:yVal>
          <c:smooth val="0"/>
          <c:extLst>
            <c:ext xmlns:c16="http://schemas.microsoft.com/office/drawing/2014/chart" uri="{C3380CC4-5D6E-409C-BE32-E72D297353CC}">
              <c16:uniqueId val="{0000001F-386F-481E-BCCB-C47121C0892A}"/>
            </c:ext>
          </c:extLst>
        </c:ser>
        <c:ser>
          <c:idx val="5"/>
          <c:order val="5"/>
          <c:spPr>
            <a:ln w="12700">
              <a:solidFill>
                <a:srgbClr val="FF0000"/>
              </a:solidFill>
              <a:prstDash val="solid"/>
            </a:ln>
          </c:spPr>
          <c:marker>
            <c:symbol val="none"/>
          </c:marker>
          <c:xVal>
            <c:numLit>
              <c:formatCode>General</c:formatCode>
              <c:ptCount val="2"/>
              <c:pt idx="0">
                <c:v>0</c:v>
              </c:pt>
              <c:pt idx="1">
                <c:v>1.9325631055317416</c:v>
              </c:pt>
            </c:numLit>
          </c:xVal>
          <c:yVal>
            <c:numLit>
              <c:formatCode>General</c:formatCode>
              <c:ptCount val="2"/>
              <c:pt idx="0">
                <c:v>0</c:v>
              </c:pt>
              <c:pt idx="1">
                <c:v>-2.2134211504438306</c:v>
              </c:pt>
            </c:numLit>
          </c:yVal>
          <c:smooth val="0"/>
          <c:extLst>
            <c:ext xmlns:c16="http://schemas.microsoft.com/office/drawing/2014/chart" uri="{C3380CC4-5D6E-409C-BE32-E72D297353CC}">
              <c16:uniqueId val="{00000020-386F-481E-BCCB-C47121C0892A}"/>
            </c:ext>
          </c:extLst>
        </c:ser>
        <c:ser>
          <c:idx val="6"/>
          <c:order val="6"/>
          <c:spPr>
            <a:ln w="12700">
              <a:solidFill>
                <a:srgbClr val="FF0000"/>
              </a:solidFill>
              <a:prstDash val="solid"/>
            </a:ln>
          </c:spPr>
          <c:marker>
            <c:symbol val="none"/>
          </c:marker>
          <c:xVal>
            <c:numLit>
              <c:formatCode>General</c:formatCode>
              <c:ptCount val="2"/>
              <c:pt idx="0">
                <c:v>0</c:v>
              </c:pt>
              <c:pt idx="1">
                <c:v>1.0948148025474141E-16</c:v>
              </c:pt>
            </c:numLit>
          </c:xVal>
          <c:yVal>
            <c:numLit>
              <c:formatCode>General</c:formatCode>
              <c:ptCount val="2"/>
              <c:pt idx="0">
                <c:v>0</c:v>
              </c:pt>
              <c:pt idx="1">
                <c:v>1.4967756863750199E-15</c:v>
              </c:pt>
            </c:numLit>
          </c:yVal>
          <c:smooth val="0"/>
          <c:extLst>
            <c:ext xmlns:c16="http://schemas.microsoft.com/office/drawing/2014/chart" uri="{C3380CC4-5D6E-409C-BE32-E72D297353CC}">
              <c16:uniqueId val="{00000021-386F-481E-BCCB-C47121C0892A}"/>
            </c:ext>
          </c:extLst>
        </c:ser>
        <c:ser>
          <c:idx val="7"/>
          <c:order val="7"/>
          <c:spPr>
            <a:ln w="12700">
              <a:solidFill>
                <a:srgbClr val="FF0000"/>
              </a:solidFill>
              <a:prstDash val="solid"/>
            </a:ln>
          </c:spPr>
          <c:marker>
            <c:symbol val="none"/>
          </c:marker>
          <c:xVal>
            <c:numLit>
              <c:formatCode>General</c:formatCode>
              <c:ptCount val="2"/>
              <c:pt idx="0">
                <c:v>0</c:v>
              </c:pt>
              <c:pt idx="1">
                <c:v>2.3129405191164683</c:v>
              </c:pt>
            </c:numLit>
          </c:xVal>
          <c:yVal>
            <c:numLit>
              <c:formatCode>General</c:formatCode>
              <c:ptCount val="2"/>
              <c:pt idx="0">
                <c:v>0</c:v>
              </c:pt>
              <c:pt idx="1">
                <c:v>-0.14952626841400102</c:v>
              </c:pt>
            </c:numLit>
          </c:yVal>
          <c:smooth val="0"/>
          <c:extLst>
            <c:ext xmlns:c16="http://schemas.microsoft.com/office/drawing/2014/chart" uri="{C3380CC4-5D6E-409C-BE32-E72D297353CC}">
              <c16:uniqueId val="{00000022-386F-481E-BCCB-C47121C0892A}"/>
            </c:ext>
          </c:extLst>
        </c:ser>
        <c:dLbls>
          <c:showLegendKey val="0"/>
          <c:showVal val="0"/>
          <c:showCatName val="0"/>
          <c:showSerName val="0"/>
          <c:showPercent val="0"/>
          <c:showBubbleSize val="0"/>
        </c:dLbls>
        <c:axId val="1300757679"/>
        <c:axId val="1300760559"/>
      </c:scatterChart>
      <c:valAx>
        <c:axId val="1300757679"/>
        <c:scaling>
          <c:orientation val="minMax"/>
          <c:max val="5"/>
          <c:min val="-5"/>
        </c:scaling>
        <c:delete val="0"/>
        <c:axPos val="b"/>
        <c:title>
          <c:tx>
            <c:rich>
              <a:bodyPr/>
              <a:lstStyle/>
              <a:p>
                <a:pPr>
                  <a:defRPr sz="800" b="1"/>
                </a:pPr>
                <a:r>
                  <a:rPr lang="fr-FR"/>
                  <a:t>F1 (52,36 %)</a:t>
                </a:r>
              </a:p>
            </c:rich>
          </c:tx>
          <c:overlay val="0"/>
        </c:title>
        <c:numFmt formatCode="General" sourceLinked="0"/>
        <c:majorTickMark val="cross"/>
        <c:minorTickMark val="none"/>
        <c:tickLblPos val="low"/>
        <c:txPr>
          <a:bodyPr/>
          <a:lstStyle/>
          <a:p>
            <a:pPr>
              <a:defRPr sz="700"/>
            </a:pPr>
            <a:endParaRPr lang="en-US"/>
          </a:p>
        </c:txPr>
        <c:crossAx val="1300760559"/>
        <c:crosses val="autoZero"/>
        <c:crossBetween val="midCat"/>
        <c:majorUnit val="1"/>
      </c:valAx>
      <c:valAx>
        <c:axId val="1300760559"/>
        <c:scaling>
          <c:orientation val="minMax"/>
          <c:max val="4"/>
          <c:min val="-3"/>
        </c:scaling>
        <c:delete val="0"/>
        <c:axPos val="l"/>
        <c:title>
          <c:tx>
            <c:rich>
              <a:bodyPr/>
              <a:lstStyle/>
              <a:p>
                <a:pPr>
                  <a:defRPr sz="800" b="1"/>
                </a:pPr>
                <a:r>
                  <a:rPr lang="fr-FR"/>
                  <a:t>F2 (29,48 %)</a:t>
                </a:r>
              </a:p>
            </c:rich>
          </c:tx>
          <c:overlay val="0"/>
        </c:title>
        <c:numFmt formatCode="General" sourceLinked="0"/>
        <c:majorTickMark val="cross"/>
        <c:minorTickMark val="none"/>
        <c:tickLblPos val="low"/>
        <c:txPr>
          <a:bodyPr/>
          <a:lstStyle/>
          <a:p>
            <a:pPr>
              <a:defRPr sz="700"/>
            </a:pPr>
            <a:endParaRPr lang="en-US"/>
          </a:p>
        </c:txPr>
        <c:crossAx val="1300757679"/>
        <c:crosses val="autoZero"/>
        <c:crossBetween val="midCat"/>
        <c:majorUnit val="1"/>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Feuil2!$H$3</c:f>
              <c:strCache>
                <c:ptCount val="1"/>
                <c:pt idx="0">
                  <c:v>Germination rate C</c:v>
                </c:pt>
              </c:strCache>
            </c:strRef>
          </c:tx>
          <c:spPr>
            <a:pattFill prst="ltDnDiag">
              <a:fgClr>
                <a:schemeClr val="tx1"/>
              </a:fgClr>
              <a:bgClr>
                <a:schemeClr val="bg1"/>
              </a:bgClr>
            </a:pattFill>
            <a:ln w="15875">
              <a:solidFill>
                <a:schemeClr val="tx1"/>
              </a:solidFill>
            </a:ln>
            <a:effectLst/>
          </c:spPr>
          <c:invertIfNegative val="0"/>
          <c:errBars>
            <c:errBarType val="both"/>
            <c:errValType val="cust"/>
            <c:noEndCap val="0"/>
            <c:plus>
              <c:numRef>
                <c:f>Feuil2!$J$4:$J$25</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1.22</c:v>
                  </c:pt>
                  <c:pt idx="19">
                    <c:v>1.22</c:v>
                  </c:pt>
                  <c:pt idx="20">
                    <c:v>1.22</c:v>
                  </c:pt>
                  <c:pt idx="21">
                    <c:v>1.22</c:v>
                  </c:pt>
                </c:numCache>
              </c:numRef>
            </c:plus>
            <c:minus>
              <c:numRef>
                <c:f>Feuil2!$J$4:$J$25</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1.22</c:v>
                  </c:pt>
                  <c:pt idx="19">
                    <c:v>1.22</c:v>
                  </c:pt>
                  <c:pt idx="20">
                    <c:v>1.22</c:v>
                  </c:pt>
                  <c:pt idx="21">
                    <c:v>1.22</c:v>
                  </c:pt>
                </c:numCache>
              </c:numRef>
            </c:minus>
            <c:spPr>
              <a:noFill/>
              <a:ln w="9525" cap="flat" cmpd="sng" algn="ctr">
                <a:solidFill>
                  <a:schemeClr val="tx1"/>
                </a:solidFill>
                <a:round/>
              </a:ln>
              <a:effectLst/>
            </c:spPr>
          </c:errBars>
          <c:cat>
            <c:strRef>
              <c:f>Feuil2!$G$4:$G$25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Feuil2!$H$4:$H$25</c:f>
              <c:numCache>
                <c:formatCode>General</c:formatCode>
                <c:ptCount val="2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formatCode="_-* #\ ##0_-;\-* #\ ##0_-;_-* &quot;-&quot;??_-;_-@_-">
                  <c:v>98</c:v>
                </c:pt>
                <c:pt idx="19" formatCode="_-* #\ ##0_-;\-* #\ ##0_-;_-* &quot;-&quot;??_-;_-@_-">
                  <c:v>98</c:v>
                </c:pt>
                <c:pt idx="20" formatCode="_-* #\ ##0_-;\-* #\ ##0_-;_-* &quot;-&quot;??_-;_-@_-">
                  <c:v>98</c:v>
                </c:pt>
                <c:pt idx="21" formatCode="_-* #\ ##0_-;\-* #\ ##0_-;_-* &quot;-&quot;??_-;_-@_-">
                  <c:v>98</c:v>
                </c:pt>
              </c:numCache>
            </c:numRef>
          </c:val>
          <c:extLst>
            <c:ext xmlns:c16="http://schemas.microsoft.com/office/drawing/2014/chart" uri="{C3380CC4-5D6E-409C-BE32-E72D297353CC}">
              <c16:uniqueId val="{00000000-EBE5-454C-B914-61E484BFF03F}"/>
            </c:ext>
          </c:extLst>
        </c:ser>
        <c:ser>
          <c:idx val="1"/>
          <c:order val="1"/>
          <c:tx>
            <c:strRef>
              <c:f>Feuil2!$I$3</c:f>
              <c:strCache>
                <c:ptCount val="1"/>
                <c:pt idx="0">
                  <c:v>Germination rate M</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Feuil2!$K$4:$K$25</c:f>
                <c:numCache>
                  <c:formatCode>General</c:formatCode>
                  <c:ptCount val="22"/>
                  <c:pt idx="0">
                    <c:v>0</c:v>
                  </c:pt>
                  <c:pt idx="1">
                    <c:v>0</c:v>
                  </c:pt>
                  <c:pt idx="2">
                    <c:v>0</c:v>
                  </c:pt>
                  <c:pt idx="3">
                    <c:v>0</c:v>
                  </c:pt>
                  <c:pt idx="4">
                    <c:v>0</c:v>
                  </c:pt>
                  <c:pt idx="5">
                    <c:v>0</c:v>
                  </c:pt>
                  <c:pt idx="6">
                    <c:v>1.2247448713915889</c:v>
                  </c:pt>
                  <c:pt idx="7">
                    <c:v>1.8708286933869707</c:v>
                  </c:pt>
                  <c:pt idx="8">
                    <c:v>1.8708286933869707</c:v>
                  </c:pt>
                  <c:pt idx="9">
                    <c:v>2.2360679774997898</c:v>
                  </c:pt>
                  <c:pt idx="10">
                    <c:v>1.5811388300841898</c:v>
                  </c:pt>
                  <c:pt idx="11">
                    <c:v>1.2247448713915889</c:v>
                  </c:pt>
                  <c:pt idx="12">
                    <c:v>1.2247448713915889</c:v>
                  </c:pt>
                  <c:pt idx="13">
                    <c:v>2.7386127875258306</c:v>
                  </c:pt>
                  <c:pt idx="14">
                    <c:v>2.8284271247461903</c:v>
                  </c:pt>
                  <c:pt idx="15">
                    <c:v>0.70710678118654757</c:v>
                  </c:pt>
                  <c:pt idx="16">
                    <c:v>2.8284271247461903</c:v>
                  </c:pt>
                  <c:pt idx="17">
                    <c:v>2.2360679774997898</c:v>
                  </c:pt>
                  <c:pt idx="18">
                    <c:v>1.6431676725154984</c:v>
                  </c:pt>
                  <c:pt idx="19">
                    <c:v>1.0954451150103321</c:v>
                  </c:pt>
                  <c:pt idx="20">
                    <c:v>1.4142135623730951</c:v>
                  </c:pt>
                  <c:pt idx="21">
                    <c:v>2.1213203435596424</c:v>
                  </c:pt>
                </c:numCache>
              </c:numRef>
            </c:plus>
            <c:minus>
              <c:numRef>
                <c:f>Feuil2!$K$4:$K$25</c:f>
                <c:numCache>
                  <c:formatCode>General</c:formatCode>
                  <c:ptCount val="22"/>
                  <c:pt idx="0">
                    <c:v>0</c:v>
                  </c:pt>
                  <c:pt idx="1">
                    <c:v>0</c:v>
                  </c:pt>
                  <c:pt idx="2">
                    <c:v>0</c:v>
                  </c:pt>
                  <c:pt idx="3">
                    <c:v>0</c:v>
                  </c:pt>
                  <c:pt idx="4">
                    <c:v>0</c:v>
                  </c:pt>
                  <c:pt idx="5">
                    <c:v>0</c:v>
                  </c:pt>
                  <c:pt idx="6">
                    <c:v>1.2247448713915889</c:v>
                  </c:pt>
                  <c:pt idx="7">
                    <c:v>1.8708286933869707</c:v>
                  </c:pt>
                  <c:pt idx="8">
                    <c:v>1.8708286933869707</c:v>
                  </c:pt>
                  <c:pt idx="9">
                    <c:v>2.2360679774997898</c:v>
                  </c:pt>
                  <c:pt idx="10">
                    <c:v>1.5811388300841898</c:v>
                  </c:pt>
                  <c:pt idx="11">
                    <c:v>1.2247448713915889</c:v>
                  </c:pt>
                  <c:pt idx="12">
                    <c:v>1.2247448713915889</c:v>
                  </c:pt>
                  <c:pt idx="13">
                    <c:v>2.7386127875258306</c:v>
                  </c:pt>
                  <c:pt idx="14">
                    <c:v>2.8284271247461903</c:v>
                  </c:pt>
                  <c:pt idx="15">
                    <c:v>0.70710678118654757</c:v>
                  </c:pt>
                  <c:pt idx="16">
                    <c:v>2.8284271247461903</c:v>
                  </c:pt>
                  <c:pt idx="17">
                    <c:v>2.2360679774997898</c:v>
                  </c:pt>
                  <c:pt idx="18">
                    <c:v>1.6431676725154984</c:v>
                  </c:pt>
                  <c:pt idx="19">
                    <c:v>1.0954451150103321</c:v>
                  </c:pt>
                  <c:pt idx="20">
                    <c:v>1.4142135623730951</c:v>
                  </c:pt>
                  <c:pt idx="21">
                    <c:v>2.1213203435596424</c:v>
                  </c:pt>
                </c:numCache>
              </c:numRef>
            </c:minus>
            <c:spPr>
              <a:noFill/>
              <a:ln w="9525" cap="flat" cmpd="sng" algn="ctr">
                <a:solidFill>
                  <a:schemeClr val="tx1">
                    <a:lumMod val="65000"/>
                    <a:lumOff val="35000"/>
                  </a:schemeClr>
                </a:solidFill>
                <a:round/>
              </a:ln>
              <a:effectLst/>
            </c:spPr>
          </c:errBars>
          <c:cat>
            <c:strRef>
              <c:f>Feuil2!$G$4:$G$25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Feuil2!$I$4:$I$25</c:f>
              <c:numCache>
                <c:formatCode>General</c:formatCode>
                <c:ptCount val="22"/>
                <c:pt idx="0">
                  <c:v>98</c:v>
                </c:pt>
                <c:pt idx="1">
                  <c:v>96</c:v>
                </c:pt>
                <c:pt idx="2">
                  <c:v>100</c:v>
                </c:pt>
                <c:pt idx="3">
                  <c:v>94</c:v>
                </c:pt>
                <c:pt idx="4">
                  <c:v>100</c:v>
                </c:pt>
                <c:pt idx="5">
                  <c:v>100</c:v>
                </c:pt>
                <c:pt idx="6">
                  <c:v>96</c:v>
                </c:pt>
                <c:pt idx="7">
                  <c:v>96</c:v>
                </c:pt>
                <c:pt idx="8">
                  <c:v>98</c:v>
                </c:pt>
                <c:pt idx="9">
                  <c:v>92</c:v>
                </c:pt>
                <c:pt idx="10">
                  <c:v>98</c:v>
                </c:pt>
                <c:pt idx="11">
                  <c:v>98</c:v>
                </c:pt>
                <c:pt idx="12">
                  <c:v>96</c:v>
                </c:pt>
                <c:pt idx="13">
                  <c:v>98</c:v>
                </c:pt>
                <c:pt idx="14">
                  <c:v>100</c:v>
                </c:pt>
                <c:pt idx="15">
                  <c:v>97</c:v>
                </c:pt>
                <c:pt idx="16">
                  <c:v>98</c:v>
                </c:pt>
                <c:pt idx="17">
                  <c:v>94</c:v>
                </c:pt>
                <c:pt idx="18">
                  <c:v>100</c:v>
                </c:pt>
                <c:pt idx="19">
                  <c:v>98</c:v>
                </c:pt>
                <c:pt idx="20">
                  <c:v>96</c:v>
                </c:pt>
                <c:pt idx="21">
                  <c:v>100</c:v>
                </c:pt>
              </c:numCache>
            </c:numRef>
          </c:val>
          <c:extLst>
            <c:ext xmlns:c16="http://schemas.microsoft.com/office/drawing/2014/chart" uri="{C3380CC4-5D6E-409C-BE32-E72D297353CC}">
              <c16:uniqueId val="{00000001-EBE5-454C-B914-61E484BFF03F}"/>
            </c:ext>
          </c:extLst>
        </c:ser>
        <c:dLbls>
          <c:showLegendKey val="0"/>
          <c:showVal val="0"/>
          <c:showCatName val="0"/>
          <c:showSerName val="0"/>
          <c:showPercent val="0"/>
          <c:showBubbleSize val="0"/>
        </c:dLbls>
        <c:gapWidth val="219"/>
        <c:overlap val="-27"/>
        <c:axId val="674968175"/>
        <c:axId val="674968655"/>
      </c:barChart>
      <c:catAx>
        <c:axId val="674968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Arial" panose="020B0604020202020204" pitchFamily="34" charset="0"/>
                    <a:cs typeface="Arial" panose="020B0604020202020204" pitchFamily="34" charset="0"/>
                  </a:rPr>
                  <a:t>Isolates</a:t>
                </a:r>
              </a:p>
            </c:rich>
          </c:tx>
          <c:overlay val="0"/>
          <c:spPr>
            <a:noFill/>
            <a:ln>
              <a:noFill/>
            </a:ln>
            <a:effectLst>
              <a:outerShdw blurRad="50800" dist="50800" dir="5400000" sx="10000" sy="10000" algn="ctr" rotWithShape="0">
                <a:srgbClr val="000000">
                  <a:alpha val="42000"/>
                </a:srgbClr>
              </a:outerShdw>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4968655"/>
        <c:crosses val="autoZero"/>
        <c:auto val="1"/>
        <c:lblAlgn val="ctr"/>
        <c:lblOffset val="100"/>
        <c:noMultiLvlLbl val="0"/>
      </c:catAx>
      <c:valAx>
        <c:axId val="674968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Germination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4968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outerShdw blurRad="50800" dist="50800" dir="5400000" sx="5000" sy="5000" algn="ctr" rotWithShape="0">
        <a:srgbClr val="000000">
          <a:alpha val="43137"/>
        </a:srgbClr>
      </a:outerShdw>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Feuil2!$F$3</c:f>
              <c:strCache>
                <c:ptCount val="1"/>
                <c:pt idx="0">
                  <c:v>Indice de Vigueur C</c:v>
                </c:pt>
              </c:strCache>
            </c:strRef>
          </c:tx>
          <c:spPr>
            <a:pattFill prst="pct60">
              <a:fgClr>
                <a:schemeClr val="tx1"/>
              </a:fgClr>
              <a:bgClr>
                <a:schemeClr val="bg1"/>
              </a:bgClr>
            </a:pattFill>
            <a:ln>
              <a:noFill/>
            </a:ln>
            <a:effectLst/>
          </c:spPr>
          <c:invertIfNegative val="0"/>
          <c:cat>
            <c:strRef>
              <c:f>Feuil2!$E$4:$E$25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Feuil2!$F$4:$F$25</c:f>
              <c:numCache>
                <c:formatCode>General</c:formatCode>
                <c:ptCount val="22"/>
                <c:pt idx="0">
                  <c:v>750</c:v>
                </c:pt>
                <c:pt idx="1">
                  <c:v>662</c:v>
                </c:pt>
                <c:pt idx="2">
                  <c:v>735</c:v>
                </c:pt>
                <c:pt idx="3">
                  <c:v>755</c:v>
                </c:pt>
                <c:pt idx="4">
                  <c:v>646</c:v>
                </c:pt>
                <c:pt idx="5">
                  <c:v>730</c:v>
                </c:pt>
                <c:pt idx="6">
                  <c:v>838.00000000000011</c:v>
                </c:pt>
                <c:pt idx="7">
                  <c:v>698</c:v>
                </c:pt>
                <c:pt idx="8">
                  <c:v>619</c:v>
                </c:pt>
                <c:pt idx="9">
                  <c:v>607</c:v>
                </c:pt>
                <c:pt idx="10">
                  <c:v>616</c:v>
                </c:pt>
                <c:pt idx="11">
                  <c:v>683</c:v>
                </c:pt>
                <c:pt idx="12">
                  <c:v>711</c:v>
                </c:pt>
                <c:pt idx="13">
                  <c:v>773</c:v>
                </c:pt>
                <c:pt idx="14">
                  <c:v>704</c:v>
                </c:pt>
                <c:pt idx="15">
                  <c:v>677</c:v>
                </c:pt>
                <c:pt idx="16">
                  <c:v>830.00000000000011</c:v>
                </c:pt>
                <c:pt idx="17">
                  <c:v>588</c:v>
                </c:pt>
                <c:pt idx="18">
                  <c:v>760.48</c:v>
                </c:pt>
                <c:pt idx="19">
                  <c:v>676.2</c:v>
                </c:pt>
                <c:pt idx="20">
                  <c:v>605.64</c:v>
                </c:pt>
                <c:pt idx="21">
                  <c:v>836.92</c:v>
                </c:pt>
              </c:numCache>
            </c:numRef>
          </c:val>
          <c:extLst>
            <c:ext xmlns:c16="http://schemas.microsoft.com/office/drawing/2014/chart" uri="{C3380CC4-5D6E-409C-BE32-E72D297353CC}">
              <c16:uniqueId val="{00000000-896D-4F96-97E1-925C62FB0BE7}"/>
            </c:ext>
          </c:extLst>
        </c:ser>
        <c:ser>
          <c:idx val="1"/>
          <c:order val="1"/>
          <c:tx>
            <c:strRef>
              <c:f>Feuil2!$G$3</c:f>
              <c:strCache>
                <c:ptCount val="1"/>
                <c:pt idx="0">
                  <c:v>Indice de Vigueur M</c:v>
                </c:pt>
              </c:strCache>
            </c:strRef>
          </c:tx>
          <c:spPr>
            <a:pattFill prst="pct75">
              <a:fgClr>
                <a:schemeClr val="tx1"/>
              </a:fgClr>
              <a:bgClr>
                <a:schemeClr val="bg1"/>
              </a:bgClr>
            </a:pattFill>
            <a:ln>
              <a:noFill/>
            </a:ln>
            <a:effectLst/>
          </c:spPr>
          <c:invertIfNegative val="0"/>
          <c:cat>
            <c:strRef>
              <c:f>Feuil2!$E$4:$E$25</c:f>
              <c:strCache>
                <c:ptCount val="22"/>
                <c:pt idx="0">
                  <c:v>Control </c:v>
                </c:pt>
                <c:pt idx="1">
                  <c:v>A30</c:v>
                </c:pt>
                <c:pt idx="2">
                  <c:v>A3</c:v>
                </c:pt>
                <c:pt idx="3">
                  <c:v>A56</c:v>
                </c:pt>
                <c:pt idx="4">
                  <c:v>B15</c:v>
                </c:pt>
                <c:pt idx="5">
                  <c:v>B1</c:v>
                </c:pt>
                <c:pt idx="6">
                  <c:v>B30</c:v>
                </c:pt>
                <c:pt idx="7">
                  <c:v>KOM9</c:v>
                </c:pt>
                <c:pt idx="8">
                  <c:v>Ki1</c:v>
                </c:pt>
                <c:pt idx="9">
                  <c:v>Ki3</c:v>
                </c:pt>
                <c:pt idx="10">
                  <c:v>Ki6</c:v>
                </c:pt>
                <c:pt idx="11">
                  <c:v>Ko1</c:v>
                </c:pt>
                <c:pt idx="12">
                  <c:v>Ko2</c:v>
                </c:pt>
                <c:pt idx="13">
                  <c:v>Le13</c:v>
                </c:pt>
                <c:pt idx="14">
                  <c:v>Le18</c:v>
                </c:pt>
                <c:pt idx="15">
                  <c:v>T3</c:v>
                </c:pt>
                <c:pt idx="16">
                  <c:v>T6</c:v>
                </c:pt>
                <c:pt idx="17">
                  <c:v>T9</c:v>
                </c:pt>
                <c:pt idx="18">
                  <c:v>KO15</c:v>
                </c:pt>
                <c:pt idx="19">
                  <c:v>KOM1</c:v>
                </c:pt>
                <c:pt idx="20">
                  <c:v>KOM3</c:v>
                </c:pt>
                <c:pt idx="21">
                  <c:v>Le6</c:v>
                </c:pt>
              </c:strCache>
            </c:strRef>
          </c:cat>
          <c:val>
            <c:numRef>
              <c:f>Feuil2!$G$4:$G$25</c:f>
              <c:numCache>
                <c:formatCode>General</c:formatCode>
                <c:ptCount val="22"/>
                <c:pt idx="0">
                  <c:v>548.79999999999995</c:v>
                </c:pt>
                <c:pt idx="1">
                  <c:v>744.96</c:v>
                </c:pt>
                <c:pt idx="2">
                  <c:v>746</c:v>
                </c:pt>
                <c:pt idx="3">
                  <c:v>634.5</c:v>
                </c:pt>
                <c:pt idx="4">
                  <c:v>765</c:v>
                </c:pt>
                <c:pt idx="5">
                  <c:v>863</c:v>
                </c:pt>
                <c:pt idx="6">
                  <c:v>719.04</c:v>
                </c:pt>
                <c:pt idx="7">
                  <c:v>617.28</c:v>
                </c:pt>
                <c:pt idx="8">
                  <c:v>709.52</c:v>
                </c:pt>
                <c:pt idx="9">
                  <c:v>456.32</c:v>
                </c:pt>
                <c:pt idx="10">
                  <c:v>560.55999999999995</c:v>
                </c:pt>
                <c:pt idx="11">
                  <c:v>771.26</c:v>
                </c:pt>
                <c:pt idx="12">
                  <c:v>656.64</c:v>
                </c:pt>
                <c:pt idx="13">
                  <c:v>704.62</c:v>
                </c:pt>
                <c:pt idx="14">
                  <c:v>774</c:v>
                </c:pt>
                <c:pt idx="15">
                  <c:v>672.75</c:v>
                </c:pt>
                <c:pt idx="16">
                  <c:v>605.64</c:v>
                </c:pt>
                <c:pt idx="17">
                  <c:v>656.12</c:v>
                </c:pt>
                <c:pt idx="18">
                  <c:v>719</c:v>
                </c:pt>
                <c:pt idx="19">
                  <c:v>656.6</c:v>
                </c:pt>
                <c:pt idx="20">
                  <c:v>749.76</c:v>
                </c:pt>
                <c:pt idx="21">
                  <c:v>644</c:v>
                </c:pt>
              </c:numCache>
            </c:numRef>
          </c:val>
          <c:extLst>
            <c:ext xmlns:c16="http://schemas.microsoft.com/office/drawing/2014/chart" uri="{C3380CC4-5D6E-409C-BE32-E72D297353CC}">
              <c16:uniqueId val="{00000001-896D-4F96-97E1-925C62FB0BE7}"/>
            </c:ext>
          </c:extLst>
        </c:ser>
        <c:dLbls>
          <c:showLegendKey val="0"/>
          <c:showVal val="0"/>
          <c:showCatName val="0"/>
          <c:showSerName val="0"/>
          <c:showPercent val="0"/>
          <c:showBubbleSize val="0"/>
        </c:dLbls>
        <c:gapWidth val="219"/>
        <c:overlap val="-27"/>
        <c:axId val="760406671"/>
        <c:axId val="760404271"/>
      </c:barChart>
      <c:catAx>
        <c:axId val="76040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04271"/>
        <c:crosses val="autoZero"/>
        <c:auto val="1"/>
        <c:lblAlgn val="ctr"/>
        <c:lblOffset val="100"/>
        <c:noMultiLvlLbl val="0"/>
      </c:catAx>
      <c:valAx>
        <c:axId val="7604042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0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0982-3C6B-4879-A1DC-2C9CDF23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21</Pages>
  <Words>42697</Words>
  <Characters>243377</Characters>
  <Application>Microsoft Office Word</Application>
  <DocSecurity>0</DocSecurity>
  <Lines>2028</Lines>
  <Paragraphs>571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285503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cp:revision>
  <cp:lastPrinted>1999-07-06T11:00:00Z</cp:lastPrinted>
  <dcterms:created xsi:type="dcterms:W3CDTF">2025-12-23T07:05:00Z</dcterms:created>
  <dcterms:modified xsi:type="dcterms:W3CDTF">2025-12-23T10:42:00Z</dcterms:modified>
</cp:coreProperties>
</file>