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4F0058" w14:textId="412125A5" w:rsidR="004150A4" w:rsidRDefault="004150A4" w:rsidP="004150A4">
      <w:pPr>
        <w:shd w:val="clear" w:color="auto" w:fill="FFFFFF"/>
        <w:spacing w:before="240" w:after="240" w:line="240" w:lineRule="auto"/>
        <w:rPr>
          <w:rFonts w:eastAsia="Times New Roman"/>
          <w:b/>
          <w:bCs/>
          <w:sz w:val="24"/>
          <w:szCs w:val="24"/>
          <w:lang w:eastAsia="tr-TR"/>
        </w:rPr>
      </w:pPr>
    </w:p>
    <w:p w14:paraId="4E3E638B" w14:textId="1DB092D9" w:rsidR="00141F65" w:rsidRDefault="00141F65" w:rsidP="00141F65">
      <w:pPr>
        <w:jc w:val="center"/>
        <w:rPr>
          <w:b/>
          <w:bCs/>
        </w:rPr>
      </w:pPr>
      <w:r w:rsidRPr="00141F65">
        <w:rPr>
          <w:b/>
          <w:bCs/>
        </w:rPr>
        <w:t>STRUCTURAL ANALYSIS OF TURKISH AGRICULTURE: REGIONAL PROFILES, CONCENTRATION, AND CHANGE TRENDS (2015-2024)</w:t>
      </w:r>
    </w:p>
    <w:p w14:paraId="19FE57BD" w14:textId="77777777" w:rsidR="005C449C" w:rsidRDefault="005C449C" w:rsidP="00141F65">
      <w:pPr>
        <w:jc w:val="center"/>
        <w:rPr>
          <w:b/>
          <w:bCs/>
        </w:rPr>
      </w:pPr>
    </w:p>
    <w:p w14:paraId="11D70D38" w14:textId="77777777" w:rsidR="005C449C" w:rsidRPr="00EF2FEB" w:rsidRDefault="005C449C" w:rsidP="005C449C">
      <w:pPr>
        <w:spacing w:after="0" w:line="240" w:lineRule="auto"/>
        <w:jc w:val="center"/>
        <w:rPr>
          <w:b/>
          <w:bCs/>
          <w:sz w:val="20"/>
          <w:szCs w:val="20"/>
        </w:rPr>
      </w:pPr>
    </w:p>
    <w:p w14:paraId="0BDB88CE" w14:textId="56F19790" w:rsidR="00141F65" w:rsidRDefault="00141F65" w:rsidP="00D31857">
      <w:pPr>
        <w:jc w:val="both"/>
      </w:pPr>
      <w:r w:rsidRPr="00141F65">
        <w:rPr>
          <w:b/>
          <w:bCs/>
        </w:rPr>
        <w:t>ABSTRACT</w:t>
      </w:r>
      <w:r w:rsidRPr="00141F65">
        <w:br/>
        <w:t xml:space="preserve">This study analyzes the structural transformation of Turkish agriculture at the regional level during the 2015-2024 period. Two primary analytical tools were employed: (1) regional concentration ratios and (2) regional crop pattern </w:t>
      </w:r>
      <w:commentRangeStart w:id="0"/>
      <w:r w:rsidRPr="00141F65">
        <w:t>profiles</w:t>
      </w:r>
      <w:commentRangeEnd w:id="0"/>
      <w:r w:rsidR="007422A1" w:rsidRPr="00141F65">
        <w:rPr>
          <w:rStyle w:val="CommentReference"/>
          <w:sz w:val="22"/>
          <w:szCs w:val="22"/>
        </w:rPr>
        <w:commentReference w:id="0"/>
      </w:r>
      <w:r w:rsidRPr="00141F65">
        <w:t>. The analyses reveal that high-value-added products, such as ornamental plants, exhibit high geographical concentration due to market proximity, whereas staple crops like cereals and vegetables have a more balanced distribution. Over the decade, a marked decrease in fallow areas and a significant increase in fruit production were observed. The study highlights that Turkish agriculture is transitioning from a traditional structure towards a market-oriented, intensive model, yet this transformation is creating pressure on water resources and soil health. Smart specialization and resource management strategies are recommended for a sustainable future.</w:t>
      </w:r>
    </w:p>
    <w:p w14:paraId="0D5064CE" w14:textId="77777777" w:rsidR="00D31857" w:rsidRPr="00141F65" w:rsidRDefault="00D31857" w:rsidP="00D31857">
      <w:pPr>
        <w:jc w:val="both"/>
      </w:pPr>
    </w:p>
    <w:p w14:paraId="001C01CF" w14:textId="6037DF1E" w:rsidR="00141F65" w:rsidRDefault="00141F65" w:rsidP="00D31857">
      <w:pPr>
        <w:jc w:val="both"/>
      </w:pPr>
      <w:r w:rsidRPr="00141F65">
        <w:rPr>
          <w:b/>
          <w:bCs/>
        </w:rPr>
        <w:t>KEYWORDS:</w:t>
      </w:r>
      <w:r w:rsidRPr="00141F65">
        <w:t> Agricultural structure, regional concentration, crop pattern, Turkish agriculture, sustainability, 2015-2024.</w:t>
      </w:r>
    </w:p>
    <w:p w14:paraId="5A776926" w14:textId="77777777" w:rsidR="00D31857" w:rsidRPr="00141F65" w:rsidRDefault="00D31857" w:rsidP="00D31857">
      <w:pPr>
        <w:jc w:val="both"/>
      </w:pPr>
    </w:p>
    <w:p w14:paraId="48E79720" w14:textId="3209BC2F" w:rsidR="00D31857" w:rsidRPr="00D31857" w:rsidRDefault="00141F65" w:rsidP="00D31857">
      <w:pPr>
        <w:pStyle w:val="ListParagraph"/>
        <w:numPr>
          <w:ilvl w:val="0"/>
          <w:numId w:val="26"/>
        </w:numPr>
        <w:jc w:val="both"/>
      </w:pPr>
      <w:r w:rsidRPr="00D31857">
        <w:rPr>
          <w:b/>
          <w:bCs/>
        </w:rPr>
        <w:t>INTRODUCTION</w:t>
      </w:r>
    </w:p>
    <w:p w14:paraId="3A8527B3" w14:textId="77777777" w:rsidR="00D31857" w:rsidRDefault="00D31857" w:rsidP="00D31857">
      <w:pPr>
        <w:pStyle w:val="ListParagraph"/>
        <w:jc w:val="both"/>
      </w:pPr>
    </w:p>
    <w:p w14:paraId="4D7E13CD" w14:textId="2150C297" w:rsidR="00141F65" w:rsidRDefault="00141F65" w:rsidP="00D31857">
      <w:pPr>
        <w:jc w:val="both"/>
      </w:pPr>
      <w:r w:rsidRPr="00141F65">
        <w:t xml:space="preserve">Turkey's agricultural sector is in a state of continuous transformation due to geographical diversity, climatic conditions, historical </w:t>
      </w:r>
      <w:commentRangeStart w:id="1"/>
      <w:r w:rsidRPr="00141F65">
        <w:t>accumulation</w:t>
      </w:r>
      <w:commentRangeEnd w:id="1"/>
      <w:r w:rsidR="007422A1" w:rsidRPr="00141F65">
        <w:rPr>
          <w:rStyle w:val="CommentReference"/>
          <w:sz w:val="22"/>
          <w:szCs w:val="22"/>
        </w:rPr>
        <w:commentReference w:id="1"/>
      </w:r>
      <w:r w:rsidRPr="00141F65">
        <w:t>, and changing market dynamics. The 2015-2024 period witnessed significant structural changes driven by agricultural policies, technological advancements, increased irrigation opportunities, and shifts in market demand. During this period, a distinct shift from the traditional "fallow-cereal" dominant production model towards higher value-added, market-integrated, and intensive farming systems has been observed.</w:t>
      </w:r>
    </w:p>
    <w:p w14:paraId="3245D60D" w14:textId="77777777" w:rsidR="00D31857" w:rsidRPr="00141F65" w:rsidRDefault="00D31857" w:rsidP="00D31857">
      <w:pPr>
        <w:jc w:val="both"/>
      </w:pPr>
    </w:p>
    <w:p w14:paraId="78CA82C0" w14:textId="77777777" w:rsidR="00141F65" w:rsidRPr="00141F65" w:rsidRDefault="00141F65" w:rsidP="00D31857">
      <w:pPr>
        <w:jc w:val="both"/>
      </w:pPr>
      <w:r w:rsidRPr="00141F65">
        <w:t xml:space="preserve">The aim of this study is to systematically analyze the structural anatomy, concentration trends, and crop pattern changes of Turkish agriculture at the regional level. The research progresses through two key analytical tools: (1) determining the degrees of geographical concentration of products via regional concentration ratios, and (2) revealing agricultural identities and specialization tendencies via regional crop pattern profiles. These analyses aim to contribute to understanding the dual-polar structure of Turkish agriculture—one pole being market-integrated modern production, </w:t>
      </w:r>
      <w:commentRangeStart w:id="2"/>
      <w:r w:rsidRPr="00141F65">
        <w:t>the</w:t>
      </w:r>
      <w:commentRangeEnd w:id="2"/>
      <w:r w:rsidR="007422A1" w:rsidRPr="00141F65">
        <w:rPr>
          <w:rStyle w:val="CommentReference"/>
          <w:sz w:val="22"/>
          <w:szCs w:val="22"/>
        </w:rPr>
        <w:commentReference w:id="2"/>
      </w:r>
      <w:r w:rsidRPr="00141F65">
        <w:t xml:space="preserve"> other traditional subsistence farming—and to developing sustainable policy recommendations for the future.</w:t>
      </w:r>
    </w:p>
    <w:p w14:paraId="751D889A" w14:textId="413B7933" w:rsidR="00141F65" w:rsidRDefault="00141F65" w:rsidP="00141F65"/>
    <w:p w14:paraId="39D5E520" w14:textId="77777777" w:rsidR="00D31857" w:rsidRDefault="00141F65" w:rsidP="00D31857">
      <w:pPr>
        <w:pStyle w:val="ListParagraph"/>
        <w:numPr>
          <w:ilvl w:val="0"/>
          <w:numId w:val="26"/>
        </w:numPr>
      </w:pPr>
      <w:r w:rsidRPr="00D31857">
        <w:rPr>
          <w:b/>
          <w:bCs/>
        </w:rPr>
        <w:t>MATERIALS AND METHODS</w:t>
      </w:r>
    </w:p>
    <w:p w14:paraId="1E93187B" w14:textId="2511E048" w:rsidR="00141F65" w:rsidRDefault="00141F65" w:rsidP="00263A75">
      <w:pPr>
        <w:jc w:val="both"/>
      </w:pPr>
      <w:r w:rsidRPr="00141F65">
        <w:t xml:space="preserve">This study employed quantitative datasets and </w:t>
      </w:r>
      <w:commentRangeStart w:id="3"/>
      <w:r w:rsidRPr="00141F65">
        <w:t>statistical</w:t>
      </w:r>
      <w:commentRangeEnd w:id="3"/>
      <w:r w:rsidR="007422A1" w:rsidRPr="00141F65">
        <w:rPr>
          <w:rStyle w:val="CommentReference"/>
          <w:sz w:val="22"/>
          <w:szCs w:val="22"/>
        </w:rPr>
        <w:commentReference w:id="3"/>
      </w:r>
      <w:r w:rsidRPr="00141F65">
        <w:t xml:space="preserve"> methods to analyze the regional structure of Turkish agriculture.</w:t>
      </w:r>
    </w:p>
    <w:p w14:paraId="50B7E95A" w14:textId="77777777" w:rsidR="00D31857" w:rsidRPr="00141F65" w:rsidRDefault="00D31857" w:rsidP="00D31857">
      <w:pPr>
        <w:ind w:left="360"/>
      </w:pPr>
    </w:p>
    <w:p w14:paraId="707CC886" w14:textId="77777777" w:rsidR="001A51D5" w:rsidRDefault="001A51D5" w:rsidP="00263A75">
      <w:pPr>
        <w:jc w:val="both"/>
        <w:rPr>
          <w:b/>
          <w:bCs/>
        </w:rPr>
      </w:pPr>
    </w:p>
    <w:p w14:paraId="0713D3B4" w14:textId="77777777" w:rsidR="001A51D5" w:rsidRDefault="001A51D5" w:rsidP="00263A75">
      <w:pPr>
        <w:jc w:val="both"/>
        <w:rPr>
          <w:b/>
          <w:bCs/>
        </w:rPr>
      </w:pPr>
    </w:p>
    <w:p w14:paraId="2BF3DA67" w14:textId="7E25B168" w:rsidR="00263A75" w:rsidRDefault="00141F65" w:rsidP="00263A75">
      <w:pPr>
        <w:jc w:val="both"/>
      </w:pPr>
      <w:r w:rsidRPr="00141F65">
        <w:rPr>
          <w:b/>
          <w:bCs/>
        </w:rPr>
        <w:t>Data Sources</w:t>
      </w:r>
    </w:p>
    <w:p w14:paraId="0C1EFA28" w14:textId="4A33453C" w:rsidR="00141F65" w:rsidRPr="00141F65" w:rsidRDefault="00141F65" w:rsidP="00263A75">
      <w:pPr>
        <w:jc w:val="both"/>
      </w:pPr>
      <w:r w:rsidRPr="00141F65">
        <w:t>The primary data source is the "Crop Production Statistics" published by the Turkish Statistical Institute (TurkStat). Data for the years 2015, 2020, and 2024 were compiled at the regional level (NUTS-1 Regions: TR1, TR2, TR3, TR4, TR5, TR6, TR7, TR8, TR9, TRA, TRB, TRC) based on sown areas and production quantities for crop groups. Additionally, State Hydraulic Works (DSI) reports and relevant academic publications were used as supporting resources.</w:t>
      </w:r>
    </w:p>
    <w:p w14:paraId="1B6F9159" w14:textId="77777777" w:rsidR="00141F65" w:rsidRPr="00141F65" w:rsidRDefault="00141F65" w:rsidP="00141F65">
      <w:r w:rsidRPr="00141F65">
        <w:rPr>
          <w:b/>
          <w:bCs/>
        </w:rPr>
        <w:t>Analytical Tools and Calculations</w:t>
      </w:r>
    </w:p>
    <w:p w14:paraId="2227BB61" w14:textId="77777777" w:rsidR="00141F65" w:rsidRPr="00141F65" w:rsidRDefault="00141F65" w:rsidP="00263A75">
      <w:pPr>
        <w:numPr>
          <w:ilvl w:val="0"/>
          <w:numId w:val="19"/>
        </w:numPr>
        <w:jc w:val="both"/>
      </w:pPr>
      <w:r w:rsidRPr="00141F65">
        <w:rPr>
          <w:b/>
          <w:bCs/>
        </w:rPr>
        <w:t>Regional Concentration Ratio:</w:t>
      </w:r>
      <w:r w:rsidRPr="00141F65">
        <w:t> The combined share of the total sown area or production of a specific crop group within the top three regions was calculated. This ratio measures the degree of geographical concentration of products and reflects their market or climate dependency.</w:t>
      </w:r>
    </w:p>
    <w:p w14:paraId="694C4CFB" w14:textId="77777777" w:rsidR="00141F65" w:rsidRPr="00141F65" w:rsidRDefault="00141F65" w:rsidP="00263A75">
      <w:pPr>
        <w:numPr>
          <w:ilvl w:val="0"/>
          <w:numId w:val="19"/>
        </w:numPr>
        <w:jc w:val="both"/>
      </w:pPr>
      <w:r w:rsidRPr="00141F65">
        <w:rPr>
          <w:b/>
          <w:bCs/>
        </w:rPr>
        <w:t>Regional Crop Pattern Profile:</w:t>
      </w:r>
      <w:r w:rsidRPr="00141F65">
        <w:t> The shares of crop groups (cereals, fallow, fruit, vegetables, ornamental plants, etc.) within the total agricultural area of each region were calculated. These profiles reveal the degree of agricultural specialization and the identities of the regions.</w:t>
      </w:r>
    </w:p>
    <w:p w14:paraId="2F3223BC" w14:textId="77777777" w:rsidR="00141F65" w:rsidRPr="00141F65" w:rsidRDefault="00141F65" w:rsidP="00263A75">
      <w:pPr>
        <w:numPr>
          <w:ilvl w:val="0"/>
          <w:numId w:val="19"/>
        </w:numPr>
        <w:jc w:val="both"/>
      </w:pPr>
      <w:r w:rsidRPr="00141F65">
        <w:rPr>
          <w:b/>
          <w:bCs/>
        </w:rPr>
        <w:t>Temporal Change Analysis:</w:t>
      </w:r>
      <w:r w:rsidRPr="00141F65">
        <w:t> Changes in crop patterns at the national and regional levels during the 2015-2024 period were examined comparatively based on percentage shares and change points.</w:t>
      </w:r>
    </w:p>
    <w:p w14:paraId="2F659842" w14:textId="77777777" w:rsidR="00263A75" w:rsidRDefault="00141F65" w:rsidP="00263A75">
      <w:pPr>
        <w:jc w:val="both"/>
      </w:pPr>
      <w:r w:rsidRPr="00141F65">
        <w:rPr>
          <w:b/>
          <w:bCs/>
        </w:rPr>
        <w:t>Graphical Presentation and Software Support</w:t>
      </w:r>
    </w:p>
    <w:p w14:paraId="3191A203" w14:textId="6774ED38" w:rsidR="00141F65" w:rsidRDefault="00141F65" w:rsidP="00263A75">
      <w:pPr>
        <w:jc w:val="both"/>
      </w:pPr>
      <w:r w:rsidRPr="00141F65">
        <w:t>All tables and graphs were created and visualized using Microsoft Excel and Python (pandas, matplotlib libraries). Data processing and statistical analyses performed with Microsoft Excel and Python provided a reproducible and verifiable analytical framework.</w:t>
      </w:r>
    </w:p>
    <w:p w14:paraId="0BBD5BFB" w14:textId="77777777" w:rsidR="00F17099" w:rsidRPr="00141F65" w:rsidRDefault="00F17099" w:rsidP="00263A75">
      <w:pPr>
        <w:jc w:val="both"/>
      </w:pPr>
    </w:p>
    <w:p w14:paraId="3B012834" w14:textId="5FCDB492" w:rsidR="00141F65" w:rsidRPr="00F17099" w:rsidRDefault="00141F65" w:rsidP="00F17099">
      <w:pPr>
        <w:pStyle w:val="ListParagraph"/>
        <w:numPr>
          <w:ilvl w:val="0"/>
          <w:numId w:val="19"/>
        </w:numPr>
        <w:rPr>
          <w:b/>
          <w:bCs/>
        </w:rPr>
      </w:pPr>
      <w:r w:rsidRPr="00F17099">
        <w:rPr>
          <w:b/>
          <w:bCs/>
        </w:rPr>
        <w:t>FINDINGS AND DISCUSSION</w:t>
      </w:r>
    </w:p>
    <w:p w14:paraId="5F872CC7" w14:textId="77777777" w:rsidR="00F17099" w:rsidRPr="00141F65" w:rsidRDefault="00F17099" w:rsidP="00F17099">
      <w:pPr>
        <w:pStyle w:val="ListParagraph"/>
      </w:pPr>
    </w:p>
    <w:p w14:paraId="493C6BD0" w14:textId="77777777" w:rsidR="00F17099" w:rsidRDefault="00141F65" w:rsidP="00F17099">
      <w:pPr>
        <w:jc w:val="both"/>
      </w:pPr>
      <w:r w:rsidRPr="00141F65">
        <w:rPr>
          <w:b/>
          <w:bCs/>
        </w:rPr>
        <w:t>A Synthesis Framework and Analytical Tools</w:t>
      </w:r>
    </w:p>
    <w:p w14:paraId="367027EF" w14:textId="76AF96E3" w:rsidR="00141F65" w:rsidRPr="00141F65" w:rsidRDefault="00141F65" w:rsidP="00F17099">
      <w:pPr>
        <w:jc w:val="both"/>
      </w:pPr>
      <w:r w:rsidRPr="00141F65">
        <w:t xml:space="preserve">Turkish agriculture </w:t>
      </w:r>
      <w:commentRangeStart w:id="4"/>
      <w:r w:rsidRPr="00141F65">
        <w:t>underwent</w:t>
      </w:r>
      <w:commentRangeEnd w:id="4"/>
      <w:r w:rsidR="007422A1" w:rsidRPr="00141F65">
        <w:rPr>
          <w:rStyle w:val="CommentReference"/>
          <w:sz w:val="22"/>
          <w:szCs w:val="22"/>
        </w:rPr>
        <w:commentReference w:id="4"/>
      </w:r>
      <w:r w:rsidRPr="00141F65">
        <w:t xml:space="preserve"> a profound transformation process in terms of both production techniques and spatial organization during the 2015-2024 period. This section systematically examines the structural anatomy of Turkish agriculture in light of the decade-long dataset through two primary analytical tools:</w:t>
      </w:r>
    </w:p>
    <w:p w14:paraId="07B8DBE3" w14:textId="77777777" w:rsidR="00141F65" w:rsidRPr="00141F65" w:rsidRDefault="00141F65" w:rsidP="00F17099">
      <w:pPr>
        <w:numPr>
          <w:ilvl w:val="0"/>
          <w:numId w:val="20"/>
        </w:numPr>
        <w:jc w:val="both"/>
      </w:pPr>
      <w:r w:rsidRPr="00141F65">
        <w:rPr>
          <w:b/>
          <w:bCs/>
        </w:rPr>
        <w:t>Regional Concentration Ratio:</w:t>
      </w:r>
      <w:r w:rsidRPr="00141F65">
        <w:t> An indicator that measures the extent to which the total production or sown area of a specific crop group is concentrated in certain regions across the country. This ratio allows us to understand a product's geographical mobility and its dependency on markets or climate.</w:t>
      </w:r>
    </w:p>
    <w:p w14:paraId="59D841B2" w14:textId="77777777" w:rsidR="00141F65" w:rsidRPr="00141F65" w:rsidRDefault="00141F65" w:rsidP="00F17099">
      <w:pPr>
        <w:numPr>
          <w:ilvl w:val="0"/>
          <w:numId w:val="20"/>
        </w:numPr>
        <w:jc w:val="both"/>
      </w:pPr>
      <w:r w:rsidRPr="00141F65">
        <w:rPr>
          <w:b/>
          <w:bCs/>
        </w:rPr>
        <w:t>Regional Crop Pattern Profile:</w:t>
      </w:r>
      <w:r w:rsidRPr="00141F65">
        <w:t xml:space="preserve"> Reveals the shares occupied by main product groups (cereals, fallow, fruit, vegetables, ornamental plants, etc.) </w:t>
      </w:r>
      <w:commentRangeStart w:id="5"/>
      <w:r w:rsidRPr="00141F65">
        <w:t>within</w:t>
      </w:r>
      <w:commentRangeEnd w:id="5"/>
      <w:r w:rsidR="007422A1" w:rsidRPr="00141F65">
        <w:rPr>
          <w:rStyle w:val="CommentReference"/>
          <w:sz w:val="22"/>
          <w:szCs w:val="22"/>
        </w:rPr>
        <w:commentReference w:id="5"/>
      </w:r>
      <w:r w:rsidRPr="00141F65">
        <w:t xml:space="preserve"> the total agricultural area of each statistical region. This profile defines the "agricultural identity" and degree of specialization of regions.</w:t>
      </w:r>
    </w:p>
    <w:p w14:paraId="585D2646" w14:textId="1725D23E" w:rsidR="00141F65" w:rsidRDefault="00141F65" w:rsidP="00F17099">
      <w:pPr>
        <w:jc w:val="both"/>
      </w:pPr>
      <w:r w:rsidRPr="00141F65">
        <w:t>This dual analysis provides a strong synthesis framework for understanding the dual-polar structure of Turkish agriculture—one pole being the market-integrated, high-value-added modern production belt, the other the traditional food security and subsistence production belt.</w:t>
      </w:r>
    </w:p>
    <w:p w14:paraId="20FF5976" w14:textId="77777777" w:rsidR="00F17099" w:rsidRPr="00141F65" w:rsidRDefault="00F17099" w:rsidP="00F17099">
      <w:pPr>
        <w:jc w:val="both"/>
      </w:pPr>
    </w:p>
    <w:p w14:paraId="3003A6E1" w14:textId="77777777" w:rsidR="00F17099" w:rsidRDefault="00141F65" w:rsidP="00F17099">
      <w:pPr>
        <w:jc w:val="both"/>
      </w:pPr>
      <w:r w:rsidRPr="00141F65">
        <w:rPr>
          <w:b/>
          <w:bCs/>
        </w:rPr>
        <w:lastRenderedPageBreak/>
        <w:t>Spatial Concentration of Product Groups: Market vs. Nature Dynamics</w:t>
      </w:r>
    </w:p>
    <w:p w14:paraId="089238C1" w14:textId="7F17BB89" w:rsidR="00141F65" w:rsidRDefault="00141F65" w:rsidP="00F17099">
      <w:pPr>
        <w:jc w:val="both"/>
      </w:pPr>
      <w:r w:rsidRPr="00141F65">
        <w:t>The geographical distribution of products is fundamentally shaped by the interaction between economic motivations (market access, profitability) and ecological necessities (climate, soil, water). Table 1, prepared based on 2024 data, shows significant differences in concentration degrees among product groups.</w:t>
      </w:r>
    </w:p>
    <w:p w14:paraId="4C827566" w14:textId="77777777" w:rsidR="00F17099" w:rsidRPr="00141F65" w:rsidRDefault="00F17099" w:rsidP="00F17099">
      <w:pPr>
        <w:jc w:val="both"/>
      </w:pPr>
    </w:p>
    <w:p w14:paraId="6C97F81C" w14:textId="77777777" w:rsidR="00141F65" w:rsidRPr="00141F65" w:rsidRDefault="00141F65" w:rsidP="00141F65">
      <w:r w:rsidRPr="00141F65">
        <w:rPr>
          <w:b/>
          <w:bCs/>
        </w:rPr>
        <w:t>Table 1. Degrees of Spatial Concentration of Product Groups in 2024 (Combined Share of Top Three Regions)</w:t>
      </w:r>
    </w:p>
    <w:tbl>
      <w:tblPr>
        <w:tblW w:w="9254"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1684"/>
        <w:gridCol w:w="2002"/>
        <w:gridCol w:w="1931"/>
        <w:gridCol w:w="3637"/>
      </w:tblGrid>
      <w:tr w:rsidR="00141F65" w:rsidRPr="00141F65" w14:paraId="1D99346C" w14:textId="77777777" w:rsidTr="003143BC">
        <w:trPr>
          <w:tblHeader/>
        </w:trPr>
        <w:tc>
          <w:tcPr>
            <w:tcW w:w="0" w:type="auto"/>
            <w:tcBorders>
              <w:top w:val="single" w:sz="4" w:space="0" w:color="auto"/>
              <w:bottom w:val="single" w:sz="4" w:space="0" w:color="auto"/>
            </w:tcBorders>
            <w:tcMar>
              <w:top w:w="150" w:type="dxa"/>
              <w:left w:w="0" w:type="dxa"/>
              <w:bottom w:w="150" w:type="dxa"/>
              <w:right w:w="240" w:type="dxa"/>
            </w:tcMar>
            <w:vAlign w:val="center"/>
            <w:hideMark/>
          </w:tcPr>
          <w:p w14:paraId="1D164CA0" w14:textId="77777777" w:rsidR="00141F65" w:rsidRPr="00141F65" w:rsidRDefault="00141F65" w:rsidP="003143BC">
            <w:pPr>
              <w:spacing w:after="0" w:line="240" w:lineRule="auto"/>
              <w:rPr>
                <w:b/>
                <w:bCs/>
              </w:rPr>
            </w:pPr>
            <w:r w:rsidRPr="00141F65">
              <w:rPr>
                <w:b/>
                <w:bCs/>
              </w:rPr>
              <w:t>Product Group</w:t>
            </w:r>
          </w:p>
        </w:tc>
        <w:tc>
          <w:tcPr>
            <w:tcW w:w="2002" w:type="dxa"/>
            <w:tcBorders>
              <w:top w:val="single" w:sz="4" w:space="0" w:color="auto"/>
              <w:bottom w:val="single" w:sz="4" w:space="0" w:color="auto"/>
            </w:tcBorders>
            <w:tcMar>
              <w:top w:w="150" w:type="dxa"/>
              <w:left w:w="240" w:type="dxa"/>
              <w:bottom w:w="150" w:type="dxa"/>
              <w:right w:w="240" w:type="dxa"/>
            </w:tcMar>
            <w:vAlign w:val="center"/>
            <w:hideMark/>
          </w:tcPr>
          <w:p w14:paraId="7B8652BD" w14:textId="77777777" w:rsidR="00141F65" w:rsidRPr="00141F65" w:rsidRDefault="00141F65" w:rsidP="003143BC">
            <w:pPr>
              <w:spacing w:after="0" w:line="240" w:lineRule="auto"/>
              <w:rPr>
                <w:b/>
                <w:bCs/>
              </w:rPr>
            </w:pPr>
            <w:r w:rsidRPr="00141F65">
              <w:rPr>
                <w:b/>
                <w:bCs/>
              </w:rPr>
              <w:t>Top 3 Regions (Code)</w:t>
            </w:r>
          </w:p>
        </w:tc>
        <w:tc>
          <w:tcPr>
            <w:tcW w:w="0" w:type="auto"/>
            <w:tcBorders>
              <w:top w:val="single" w:sz="4" w:space="0" w:color="auto"/>
              <w:bottom w:val="single" w:sz="4" w:space="0" w:color="auto"/>
            </w:tcBorders>
            <w:tcMar>
              <w:top w:w="150" w:type="dxa"/>
              <w:left w:w="240" w:type="dxa"/>
              <w:bottom w:w="150" w:type="dxa"/>
              <w:right w:w="240" w:type="dxa"/>
            </w:tcMar>
            <w:vAlign w:val="center"/>
            <w:hideMark/>
          </w:tcPr>
          <w:p w14:paraId="6B211AD6" w14:textId="77777777" w:rsidR="00141F65" w:rsidRPr="00141F65" w:rsidRDefault="00141F65" w:rsidP="003143BC">
            <w:pPr>
              <w:spacing w:after="0" w:line="240" w:lineRule="auto"/>
              <w:rPr>
                <w:b/>
                <w:bCs/>
              </w:rPr>
            </w:pPr>
            <w:r w:rsidRPr="00141F65">
              <w:rPr>
                <w:b/>
                <w:bCs/>
              </w:rPr>
              <w:t>Combined Share (%)</w:t>
            </w:r>
          </w:p>
        </w:tc>
        <w:tc>
          <w:tcPr>
            <w:tcW w:w="0" w:type="auto"/>
            <w:tcBorders>
              <w:top w:val="single" w:sz="4" w:space="0" w:color="auto"/>
              <w:bottom w:val="single" w:sz="4" w:space="0" w:color="auto"/>
            </w:tcBorders>
            <w:tcMar>
              <w:top w:w="150" w:type="dxa"/>
              <w:left w:w="240" w:type="dxa"/>
              <w:bottom w:w="150" w:type="dxa"/>
              <w:right w:w="240" w:type="dxa"/>
            </w:tcMar>
            <w:vAlign w:val="center"/>
            <w:hideMark/>
          </w:tcPr>
          <w:p w14:paraId="700F7F72" w14:textId="77777777" w:rsidR="00141F65" w:rsidRPr="00141F65" w:rsidRDefault="00141F65" w:rsidP="003143BC">
            <w:pPr>
              <w:spacing w:after="0" w:line="240" w:lineRule="auto"/>
              <w:rPr>
                <w:b/>
                <w:bCs/>
              </w:rPr>
            </w:pPr>
            <w:r w:rsidRPr="00141F65">
              <w:rPr>
                <w:b/>
                <w:bCs/>
              </w:rPr>
              <w:t>Concentration Characteristic and Primary Determinant</w:t>
            </w:r>
          </w:p>
        </w:tc>
      </w:tr>
      <w:tr w:rsidR="00141F65" w:rsidRPr="00141F65" w14:paraId="136F9BE4" w14:textId="77777777" w:rsidTr="003143BC">
        <w:tc>
          <w:tcPr>
            <w:tcW w:w="0" w:type="auto"/>
            <w:tcBorders>
              <w:top w:val="single" w:sz="4" w:space="0" w:color="auto"/>
            </w:tcBorders>
            <w:tcMar>
              <w:top w:w="150" w:type="dxa"/>
              <w:left w:w="0" w:type="dxa"/>
              <w:bottom w:w="150" w:type="dxa"/>
              <w:right w:w="240" w:type="dxa"/>
            </w:tcMar>
            <w:vAlign w:val="center"/>
            <w:hideMark/>
          </w:tcPr>
          <w:p w14:paraId="197CDE64" w14:textId="77777777" w:rsidR="00141F65" w:rsidRPr="00141F65" w:rsidRDefault="00141F65" w:rsidP="003143BC">
            <w:pPr>
              <w:spacing w:after="0" w:line="240" w:lineRule="auto"/>
            </w:pPr>
            <w:r w:rsidRPr="00141F65">
              <w:rPr>
                <w:b/>
                <w:bCs/>
              </w:rPr>
              <w:t>Ornamental Plants</w:t>
            </w:r>
          </w:p>
        </w:tc>
        <w:tc>
          <w:tcPr>
            <w:tcW w:w="2002" w:type="dxa"/>
            <w:tcBorders>
              <w:top w:val="single" w:sz="4" w:space="0" w:color="auto"/>
            </w:tcBorders>
            <w:tcMar>
              <w:top w:w="150" w:type="dxa"/>
              <w:left w:w="240" w:type="dxa"/>
              <w:bottom w:w="150" w:type="dxa"/>
              <w:right w:w="240" w:type="dxa"/>
            </w:tcMar>
            <w:vAlign w:val="center"/>
            <w:hideMark/>
          </w:tcPr>
          <w:p w14:paraId="666C5CEC" w14:textId="77777777" w:rsidR="00141F65" w:rsidRPr="00141F65" w:rsidRDefault="00141F65" w:rsidP="003143BC">
            <w:pPr>
              <w:spacing w:after="0" w:line="240" w:lineRule="auto"/>
            </w:pPr>
            <w:r w:rsidRPr="00141F65">
              <w:t>TR1, TR3, TR4</w:t>
            </w:r>
          </w:p>
        </w:tc>
        <w:tc>
          <w:tcPr>
            <w:tcW w:w="0" w:type="auto"/>
            <w:tcBorders>
              <w:top w:val="single" w:sz="4" w:space="0" w:color="auto"/>
            </w:tcBorders>
            <w:tcMar>
              <w:top w:w="150" w:type="dxa"/>
              <w:left w:w="240" w:type="dxa"/>
              <w:bottom w:w="150" w:type="dxa"/>
              <w:right w:w="240" w:type="dxa"/>
            </w:tcMar>
            <w:vAlign w:val="center"/>
            <w:hideMark/>
          </w:tcPr>
          <w:p w14:paraId="6635A538" w14:textId="77777777" w:rsidR="00141F65" w:rsidRPr="00141F65" w:rsidRDefault="00141F65" w:rsidP="003143BC">
            <w:pPr>
              <w:spacing w:after="0" w:line="240" w:lineRule="auto"/>
            </w:pPr>
            <w:r w:rsidRPr="00141F65">
              <w:rPr>
                <w:b/>
                <w:bCs/>
              </w:rPr>
              <w:t>92.7</w:t>
            </w:r>
          </w:p>
        </w:tc>
        <w:tc>
          <w:tcPr>
            <w:tcW w:w="0" w:type="auto"/>
            <w:tcBorders>
              <w:top w:val="single" w:sz="4" w:space="0" w:color="auto"/>
            </w:tcBorders>
            <w:tcMar>
              <w:top w:w="150" w:type="dxa"/>
              <w:left w:w="240" w:type="dxa"/>
              <w:bottom w:w="150" w:type="dxa"/>
              <w:right w:w="0" w:type="dxa"/>
            </w:tcMar>
            <w:vAlign w:val="center"/>
            <w:hideMark/>
          </w:tcPr>
          <w:p w14:paraId="33104D3B" w14:textId="77777777" w:rsidR="00141F65" w:rsidRPr="00141F65" w:rsidRDefault="00141F65" w:rsidP="003143BC">
            <w:pPr>
              <w:spacing w:after="0" w:line="240" w:lineRule="auto"/>
            </w:pPr>
            <w:r w:rsidRPr="00141F65">
              <w:rPr>
                <w:b/>
                <w:bCs/>
              </w:rPr>
              <w:t>Very High (Market and Logistics-Oriented)</w:t>
            </w:r>
          </w:p>
        </w:tc>
      </w:tr>
      <w:tr w:rsidR="00141F65" w:rsidRPr="00141F65" w14:paraId="11A9D1C7" w14:textId="77777777" w:rsidTr="003143BC">
        <w:tc>
          <w:tcPr>
            <w:tcW w:w="0" w:type="auto"/>
            <w:tcMar>
              <w:top w:w="150" w:type="dxa"/>
              <w:left w:w="0" w:type="dxa"/>
              <w:bottom w:w="150" w:type="dxa"/>
              <w:right w:w="240" w:type="dxa"/>
            </w:tcMar>
            <w:vAlign w:val="center"/>
            <w:hideMark/>
          </w:tcPr>
          <w:p w14:paraId="3BBC29EF" w14:textId="77777777" w:rsidR="00141F65" w:rsidRPr="00141F65" w:rsidRDefault="00141F65" w:rsidP="003143BC">
            <w:pPr>
              <w:spacing w:after="0" w:line="240" w:lineRule="auto"/>
            </w:pPr>
            <w:r w:rsidRPr="00141F65">
              <w:rPr>
                <w:b/>
                <w:bCs/>
              </w:rPr>
              <w:t>Fallow Area</w:t>
            </w:r>
          </w:p>
        </w:tc>
        <w:tc>
          <w:tcPr>
            <w:tcW w:w="2002" w:type="dxa"/>
            <w:tcMar>
              <w:top w:w="150" w:type="dxa"/>
              <w:left w:w="240" w:type="dxa"/>
              <w:bottom w:w="150" w:type="dxa"/>
              <w:right w:w="240" w:type="dxa"/>
            </w:tcMar>
            <w:vAlign w:val="center"/>
            <w:hideMark/>
          </w:tcPr>
          <w:p w14:paraId="3CA180D4" w14:textId="77777777" w:rsidR="00141F65" w:rsidRPr="00141F65" w:rsidRDefault="00141F65" w:rsidP="003143BC">
            <w:pPr>
              <w:spacing w:after="0" w:line="240" w:lineRule="auto"/>
            </w:pPr>
            <w:r w:rsidRPr="00141F65">
              <w:t>TR7, TR5, TR8</w:t>
            </w:r>
          </w:p>
        </w:tc>
        <w:tc>
          <w:tcPr>
            <w:tcW w:w="0" w:type="auto"/>
            <w:tcMar>
              <w:top w:w="150" w:type="dxa"/>
              <w:left w:w="240" w:type="dxa"/>
              <w:bottom w:w="150" w:type="dxa"/>
              <w:right w:w="240" w:type="dxa"/>
            </w:tcMar>
            <w:vAlign w:val="center"/>
            <w:hideMark/>
          </w:tcPr>
          <w:p w14:paraId="1AD8180A" w14:textId="77777777" w:rsidR="00141F65" w:rsidRPr="00141F65" w:rsidRDefault="00141F65" w:rsidP="003143BC">
            <w:pPr>
              <w:spacing w:after="0" w:line="240" w:lineRule="auto"/>
            </w:pPr>
            <w:r w:rsidRPr="00141F65">
              <w:rPr>
                <w:b/>
                <w:bCs/>
              </w:rPr>
              <w:t>59.3</w:t>
            </w:r>
          </w:p>
        </w:tc>
        <w:tc>
          <w:tcPr>
            <w:tcW w:w="0" w:type="auto"/>
            <w:tcMar>
              <w:top w:w="150" w:type="dxa"/>
              <w:left w:w="240" w:type="dxa"/>
              <w:bottom w:w="150" w:type="dxa"/>
              <w:right w:w="0" w:type="dxa"/>
            </w:tcMar>
            <w:vAlign w:val="center"/>
            <w:hideMark/>
          </w:tcPr>
          <w:p w14:paraId="6F1EF4FF" w14:textId="77777777" w:rsidR="00141F65" w:rsidRPr="00141F65" w:rsidRDefault="00141F65" w:rsidP="003143BC">
            <w:pPr>
              <w:spacing w:after="0" w:line="240" w:lineRule="auto"/>
            </w:pPr>
            <w:r w:rsidRPr="00141F65">
              <w:rPr>
                <w:b/>
                <w:bCs/>
              </w:rPr>
              <w:t>High (Climate and Traditional System-Oriented)</w:t>
            </w:r>
          </w:p>
        </w:tc>
      </w:tr>
      <w:tr w:rsidR="00141F65" w:rsidRPr="00141F65" w14:paraId="1E6260FB" w14:textId="77777777" w:rsidTr="003143BC">
        <w:tc>
          <w:tcPr>
            <w:tcW w:w="0" w:type="auto"/>
            <w:tcMar>
              <w:top w:w="150" w:type="dxa"/>
              <w:left w:w="0" w:type="dxa"/>
              <w:bottom w:w="150" w:type="dxa"/>
              <w:right w:w="240" w:type="dxa"/>
            </w:tcMar>
            <w:vAlign w:val="center"/>
            <w:hideMark/>
          </w:tcPr>
          <w:p w14:paraId="3AE16B94" w14:textId="77777777" w:rsidR="00141F65" w:rsidRPr="00141F65" w:rsidRDefault="00141F65" w:rsidP="003143BC">
            <w:pPr>
              <w:spacing w:after="0" w:line="240" w:lineRule="auto"/>
            </w:pPr>
            <w:r w:rsidRPr="00141F65">
              <w:rPr>
                <w:b/>
                <w:bCs/>
              </w:rPr>
              <w:t>Fruit</w:t>
            </w:r>
          </w:p>
        </w:tc>
        <w:tc>
          <w:tcPr>
            <w:tcW w:w="2002" w:type="dxa"/>
            <w:tcMar>
              <w:top w:w="150" w:type="dxa"/>
              <w:left w:w="240" w:type="dxa"/>
              <w:bottom w:w="150" w:type="dxa"/>
              <w:right w:w="240" w:type="dxa"/>
            </w:tcMar>
            <w:vAlign w:val="center"/>
            <w:hideMark/>
          </w:tcPr>
          <w:p w14:paraId="74E8CDA7" w14:textId="77777777" w:rsidR="00141F65" w:rsidRPr="00141F65" w:rsidRDefault="00141F65" w:rsidP="003143BC">
            <w:pPr>
              <w:spacing w:after="0" w:line="240" w:lineRule="auto"/>
            </w:pPr>
            <w:r w:rsidRPr="00141F65">
              <w:t>TR3, TRC, TR6</w:t>
            </w:r>
          </w:p>
        </w:tc>
        <w:tc>
          <w:tcPr>
            <w:tcW w:w="0" w:type="auto"/>
            <w:tcMar>
              <w:top w:w="150" w:type="dxa"/>
              <w:left w:w="240" w:type="dxa"/>
              <w:bottom w:w="150" w:type="dxa"/>
              <w:right w:w="240" w:type="dxa"/>
            </w:tcMar>
            <w:vAlign w:val="center"/>
            <w:hideMark/>
          </w:tcPr>
          <w:p w14:paraId="2226650C" w14:textId="77777777" w:rsidR="00141F65" w:rsidRPr="00141F65" w:rsidRDefault="00141F65" w:rsidP="003143BC">
            <w:pPr>
              <w:spacing w:after="0" w:line="240" w:lineRule="auto"/>
            </w:pPr>
            <w:r w:rsidRPr="00141F65">
              <w:t>58.1</w:t>
            </w:r>
          </w:p>
        </w:tc>
        <w:tc>
          <w:tcPr>
            <w:tcW w:w="0" w:type="auto"/>
            <w:tcMar>
              <w:top w:w="150" w:type="dxa"/>
              <w:left w:w="240" w:type="dxa"/>
              <w:bottom w:w="150" w:type="dxa"/>
              <w:right w:w="0" w:type="dxa"/>
            </w:tcMar>
            <w:vAlign w:val="center"/>
            <w:hideMark/>
          </w:tcPr>
          <w:p w14:paraId="35FF4E0F" w14:textId="77777777" w:rsidR="00141F65" w:rsidRPr="00141F65" w:rsidRDefault="00141F65" w:rsidP="003143BC">
            <w:pPr>
              <w:spacing w:after="0" w:line="240" w:lineRule="auto"/>
            </w:pPr>
            <w:r w:rsidRPr="00141F65">
              <w:t>Medium-High (Climate and Investment-Oriented)</w:t>
            </w:r>
          </w:p>
        </w:tc>
      </w:tr>
      <w:tr w:rsidR="00141F65" w:rsidRPr="00141F65" w14:paraId="32376962" w14:textId="77777777" w:rsidTr="003143BC">
        <w:tc>
          <w:tcPr>
            <w:tcW w:w="0" w:type="auto"/>
            <w:tcMar>
              <w:top w:w="150" w:type="dxa"/>
              <w:left w:w="0" w:type="dxa"/>
              <w:bottom w:w="150" w:type="dxa"/>
              <w:right w:w="240" w:type="dxa"/>
            </w:tcMar>
            <w:vAlign w:val="center"/>
            <w:hideMark/>
          </w:tcPr>
          <w:p w14:paraId="3F2F3442" w14:textId="77777777" w:rsidR="00141F65" w:rsidRPr="00141F65" w:rsidRDefault="00141F65" w:rsidP="003143BC">
            <w:pPr>
              <w:spacing w:after="0" w:line="240" w:lineRule="auto"/>
            </w:pPr>
            <w:r w:rsidRPr="00141F65">
              <w:rPr>
                <w:b/>
                <w:bCs/>
              </w:rPr>
              <w:t>Vegetables</w:t>
            </w:r>
          </w:p>
        </w:tc>
        <w:tc>
          <w:tcPr>
            <w:tcW w:w="2002" w:type="dxa"/>
            <w:tcMar>
              <w:top w:w="150" w:type="dxa"/>
              <w:left w:w="240" w:type="dxa"/>
              <w:bottom w:w="150" w:type="dxa"/>
              <w:right w:w="240" w:type="dxa"/>
            </w:tcMar>
            <w:vAlign w:val="center"/>
            <w:hideMark/>
          </w:tcPr>
          <w:p w14:paraId="10F48EDD" w14:textId="77777777" w:rsidR="00141F65" w:rsidRPr="00141F65" w:rsidRDefault="00141F65" w:rsidP="003143BC">
            <w:pPr>
              <w:spacing w:after="0" w:line="240" w:lineRule="auto"/>
            </w:pPr>
            <w:r w:rsidRPr="00141F65">
              <w:t>TR3, TR7, TR6</w:t>
            </w:r>
          </w:p>
        </w:tc>
        <w:tc>
          <w:tcPr>
            <w:tcW w:w="0" w:type="auto"/>
            <w:tcMar>
              <w:top w:w="150" w:type="dxa"/>
              <w:left w:w="240" w:type="dxa"/>
              <w:bottom w:w="150" w:type="dxa"/>
              <w:right w:w="240" w:type="dxa"/>
            </w:tcMar>
            <w:vAlign w:val="center"/>
            <w:hideMark/>
          </w:tcPr>
          <w:p w14:paraId="11196152" w14:textId="77777777" w:rsidR="00141F65" w:rsidRPr="00141F65" w:rsidRDefault="00141F65" w:rsidP="003143BC">
            <w:pPr>
              <w:spacing w:after="0" w:line="240" w:lineRule="auto"/>
            </w:pPr>
            <w:r w:rsidRPr="00141F65">
              <w:t>40.6</w:t>
            </w:r>
          </w:p>
        </w:tc>
        <w:tc>
          <w:tcPr>
            <w:tcW w:w="0" w:type="auto"/>
            <w:tcMar>
              <w:top w:w="150" w:type="dxa"/>
              <w:left w:w="240" w:type="dxa"/>
              <w:bottom w:w="150" w:type="dxa"/>
              <w:right w:w="0" w:type="dxa"/>
            </w:tcMar>
            <w:vAlign w:val="center"/>
            <w:hideMark/>
          </w:tcPr>
          <w:p w14:paraId="15B740A3" w14:textId="77777777" w:rsidR="00141F65" w:rsidRPr="00141F65" w:rsidRDefault="00141F65" w:rsidP="003143BC">
            <w:pPr>
              <w:spacing w:after="0" w:line="240" w:lineRule="auto"/>
            </w:pPr>
            <w:r w:rsidRPr="00141F65">
              <w:t>Dispersed / Balanced (Market and Climate)</w:t>
            </w:r>
          </w:p>
        </w:tc>
      </w:tr>
      <w:tr w:rsidR="00141F65" w:rsidRPr="00141F65" w14:paraId="7D46C603" w14:textId="77777777" w:rsidTr="003143BC">
        <w:tc>
          <w:tcPr>
            <w:tcW w:w="0" w:type="auto"/>
            <w:tcMar>
              <w:top w:w="150" w:type="dxa"/>
              <w:left w:w="0" w:type="dxa"/>
              <w:bottom w:w="150" w:type="dxa"/>
              <w:right w:w="240" w:type="dxa"/>
            </w:tcMar>
            <w:vAlign w:val="center"/>
            <w:hideMark/>
          </w:tcPr>
          <w:p w14:paraId="12D2A8F9" w14:textId="77777777" w:rsidR="00141F65" w:rsidRPr="00141F65" w:rsidRDefault="00141F65" w:rsidP="003143BC">
            <w:pPr>
              <w:spacing w:after="0" w:line="240" w:lineRule="auto"/>
            </w:pPr>
            <w:r w:rsidRPr="00141F65">
              <w:rPr>
                <w:b/>
                <w:bCs/>
              </w:rPr>
              <w:t>Cereals</w:t>
            </w:r>
          </w:p>
        </w:tc>
        <w:tc>
          <w:tcPr>
            <w:tcW w:w="2002" w:type="dxa"/>
            <w:tcMar>
              <w:top w:w="150" w:type="dxa"/>
              <w:left w:w="240" w:type="dxa"/>
              <w:bottom w:w="150" w:type="dxa"/>
              <w:right w:w="240" w:type="dxa"/>
            </w:tcMar>
            <w:vAlign w:val="center"/>
            <w:hideMark/>
          </w:tcPr>
          <w:p w14:paraId="36A9202A" w14:textId="77777777" w:rsidR="00141F65" w:rsidRPr="00141F65" w:rsidRDefault="00141F65" w:rsidP="003143BC">
            <w:pPr>
              <w:spacing w:after="0" w:line="240" w:lineRule="auto"/>
            </w:pPr>
            <w:r w:rsidRPr="00141F65">
              <w:t>TR7, TR5, TR2</w:t>
            </w:r>
          </w:p>
        </w:tc>
        <w:tc>
          <w:tcPr>
            <w:tcW w:w="0" w:type="auto"/>
            <w:tcMar>
              <w:top w:w="150" w:type="dxa"/>
              <w:left w:w="240" w:type="dxa"/>
              <w:bottom w:w="150" w:type="dxa"/>
              <w:right w:w="240" w:type="dxa"/>
            </w:tcMar>
            <w:vAlign w:val="center"/>
            <w:hideMark/>
          </w:tcPr>
          <w:p w14:paraId="1143BE95" w14:textId="77777777" w:rsidR="00141F65" w:rsidRPr="00141F65" w:rsidRDefault="00141F65" w:rsidP="003143BC">
            <w:pPr>
              <w:spacing w:after="0" w:line="240" w:lineRule="auto"/>
            </w:pPr>
            <w:r w:rsidRPr="00141F65">
              <w:t>40.4</w:t>
            </w:r>
          </w:p>
        </w:tc>
        <w:tc>
          <w:tcPr>
            <w:tcW w:w="0" w:type="auto"/>
            <w:tcMar>
              <w:top w:w="150" w:type="dxa"/>
              <w:left w:w="240" w:type="dxa"/>
              <w:bottom w:w="150" w:type="dxa"/>
              <w:right w:w="0" w:type="dxa"/>
            </w:tcMar>
            <w:vAlign w:val="center"/>
            <w:hideMark/>
          </w:tcPr>
          <w:p w14:paraId="6EF30D01" w14:textId="77777777" w:rsidR="00141F65" w:rsidRPr="00141F65" w:rsidRDefault="00141F65" w:rsidP="003143BC">
            <w:pPr>
              <w:spacing w:after="0" w:line="240" w:lineRule="auto"/>
            </w:pPr>
            <w:r w:rsidRPr="00141F65">
              <w:t>Dispersed / Strategic (Food Security)</w:t>
            </w:r>
          </w:p>
        </w:tc>
      </w:tr>
    </w:tbl>
    <w:p w14:paraId="1F275B9A" w14:textId="37E021D1" w:rsidR="00141F65" w:rsidRDefault="00141F65" w:rsidP="00141F65">
      <w:pPr>
        <w:rPr>
          <w:i/>
          <w:iCs/>
        </w:rPr>
      </w:pPr>
      <w:r w:rsidRPr="00141F65">
        <w:rPr>
          <w:i/>
          <w:iCs/>
        </w:rPr>
        <w:t>Source: Based on calculations from TurkStat Crop Production Statistics (2024).</w:t>
      </w:r>
    </w:p>
    <w:p w14:paraId="2C7E2B77" w14:textId="77777777" w:rsidR="008736D1" w:rsidRDefault="008736D1" w:rsidP="00141F65">
      <w:pPr>
        <w:rPr>
          <w:i/>
          <w:iCs/>
        </w:rPr>
      </w:pPr>
    </w:p>
    <w:p w14:paraId="76B060BC" w14:textId="677C0215" w:rsidR="001F47BE" w:rsidRDefault="001F47BE" w:rsidP="00141F65">
      <w:pPr>
        <w:rPr>
          <w:i/>
          <w:iCs/>
        </w:rPr>
      </w:pPr>
    </w:p>
    <w:p w14:paraId="1B68CE27" w14:textId="1EB95E93" w:rsidR="001F47BE" w:rsidRPr="00141F65" w:rsidRDefault="001F47BE" w:rsidP="00141F65">
      <w:r>
        <w:rPr>
          <w:noProof/>
        </w:rPr>
        <w:drawing>
          <wp:inline distT="0" distB="0" distL="0" distR="0" wp14:anchorId="486DEDEA" wp14:editId="3C4D12E8">
            <wp:extent cx="5424488" cy="2990850"/>
            <wp:effectExtent l="0" t="0" r="5080" b="0"/>
            <wp:docPr id="2" name="Grafik 2">
              <a:extLst xmlns:a="http://schemas.openxmlformats.org/drawingml/2006/main">
                <a:ext uri="{FF2B5EF4-FFF2-40B4-BE49-F238E27FC236}">
                  <a16:creationId xmlns:a16="http://schemas.microsoft.com/office/drawing/2014/main" id="{805256AB-6394-4D03-A04F-A17A5872A28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43F1D5D2" w14:textId="77777777" w:rsidR="00141F65" w:rsidRPr="00141F65" w:rsidRDefault="00141F65" w:rsidP="00141F65">
      <w:r w:rsidRPr="00141F65">
        <w:rPr>
          <w:b/>
          <w:bCs/>
        </w:rPr>
        <w:lastRenderedPageBreak/>
        <w:t>Figure 1. Comparative Geographical Concentration of Product Groups (2024)</w:t>
      </w:r>
      <w:r w:rsidRPr="00141F65">
        <w:br/>
      </w:r>
      <w:r w:rsidRPr="00141F65">
        <w:rPr>
          <w:i/>
          <w:iCs/>
        </w:rPr>
        <w:t>Note: Figure 1 would be a bar chart visualizing the percentages from Table 1.</w:t>
      </w:r>
    </w:p>
    <w:p w14:paraId="2FA4BFF1" w14:textId="70ECD986" w:rsidR="00141F65" w:rsidRPr="00791446" w:rsidRDefault="00141F65" w:rsidP="00FE6DD5">
      <w:pPr>
        <w:jc w:val="both"/>
      </w:pPr>
      <w:r w:rsidRPr="00791446">
        <w:t>Figure 1 comparatively shows the geographical concentration levels of agricultural product groups based on the combined percentage shares in the top three regions. The analysis reveals the highest geographical concentration in ornamental plants (92.7%), indicating that almost all production of this group occurs in just three regions (TR1, TR3, TR4), pointing to a distinct market-proximity focused clustering model. This is followed by fallow areas (59.3%) and fruit orchards (58.1%); these two groups exhibit medium-high levels of concentration, suggesting their production is shaped by climatic and agro-ecological factors. In contrast, vegetables (40.6%) and cereals (40.4%) exhibit a more balanced and dispersed geographical distribution; this suggests these products are spread across a wider regional base due to both market access and food security strategies.</w:t>
      </w:r>
    </w:p>
    <w:p w14:paraId="4961EADB" w14:textId="77777777" w:rsidR="00FE6DD5" w:rsidRPr="00791446" w:rsidRDefault="00FE6DD5" w:rsidP="00FE6DD5">
      <w:pPr>
        <w:jc w:val="both"/>
      </w:pPr>
    </w:p>
    <w:p w14:paraId="5E64548B" w14:textId="4C7BB317" w:rsidR="00141F65" w:rsidRPr="00791446" w:rsidRDefault="00141F65" w:rsidP="00FE6DD5">
      <w:pPr>
        <w:jc w:val="both"/>
      </w:pPr>
      <w:r w:rsidRPr="00791446">
        <w:t>The descending concentration trend line visible in the graph indicates a systematic decline in the share of the top three regions across product groups. This trend reveals that the production patterns of some agricultural products (especially staple food products) are spreading across a broader geographical area and that regional specialization varies depending on product characteristics. The findings support that geographical concentration levels in Turkish agriculture show significant differences depending on product-specific characteristics (perishability, market dependency, climate requirements) and national policy priorities (food security, regional development).</w:t>
      </w:r>
    </w:p>
    <w:p w14:paraId="409269E6" w14:textId="77777777" w:rsidR="00FE6DD5" w:rsidRPr="00141F65" w:rsidRDefault="00FE6DD5" w:rsidP="00FE6DD5">
      <w:pPr>
        <w:jc w:val="both"/>
      </w:pPr>
    </w:p>
    <w:p w14:paraId="4A0C4A16" w14:textId="4BF56FA6" w:rsidR="00141F65" w:rsidRPr="00791446" w:rsidRDefault="00141F65" w:rsidP="00FE6DD5">
      <w:pPr>
        <w:jc w:val="both"/>
      </w:pPr>
      <w:r w:rsidRPr="00791446">
        <w:t>Analysis: The table and graph reveal distinct spatial patterns that vary according to product characteristics. The extreme concentration of 92.7% seen in ornamental plants stems from these products being perishable, requiring high maintenance, and, most importantly, the logistical necessity of proximity to massive metropolitan markets like Istanbul (TR1) and Izmir (TR3) and export ports (Taşçıoğlu &amp; Sayın, 2005). In contrast, cereal and vegetable production exhibits a more balanced distribution. Cereals, being strategic food security products and having relatively wide climate tolerance, are spread across the country. Vegetables tend to be produced near local/regional markets due to both climatic flexibility and the need for fresh consumption. Fallow, on the other hand, is concentrated in arid interior regions (TR7, TR5) entirely as a result of climatic constraints (low rainfall) (Demiralay, 2010).</w:t>
      </w:r>
    </w:p>
    <w:p w14:paraId="21C91E01" w14:textId="77777777" w:rsidR="00FE6DD5" w:rsidRPr="00141F65" w:rsidRDefault="00FE6DD5" w:rsidP="00FE6DD5">
      <w:pPr>
        <w:jc w:val="both"/>
      </w:pPr>
    </w:p>
    <w:p w14:paraId="1AC77554" w14:textId="77777777" w:rsidR="00FE6DD5" w:rsidRDefault="00141F65" w:rsidP="00FE6DD5">
      <w:pPr>
        <w:jc w:val="both"/>
      </w:pPr>
      <w:r w:rsidRPr="00141F65">
        <w:rPr>
          <w:b/>
          <w:bCs/>
        </w:rPr>
        <w:t>Agricultural Identity Cards of Regions: Specialization and Profile Comparison</w:t>
      </w:r>
    </w:p>
    <w:p w14:paraId="548315EB" w14:textId="3B90D904" w:rsidR="00141F65" w:rsidRDefault="00141F65" w:rsidP="00FE6DD5">
      <w:pPr>
        <w:jc w:val="both"/>
      </w:pPr>
      <w:r w:rsidRPr="00141F65">
        <w:t>The other side of geographical concentration is the internal crop patterns of regions themselves. Each region has developed a distinct "agricultural identity" based on its natural resources, historical accumulation, and economic orientation.</w:t>
      </w:r>
    </w:p>
    <w:p w14:paraId="3EE24153" w14:textId="77777777" w:rsidR="00FE6DD5" w:rsidRPr="00141F65" w:rsidRDefault="00FE6DD5" w:rsidP="00FE6DD5">
      <w:pPr>
        <w:jc w:val="both"/>
      </w:pPr>
    </w:p>
    <w:p w14:paraId="43ECAFBD" w14:textId="77777777" w:rsidR="00141F65" w:rsidRPr="00141F65" w:rsidRDefault="00141F65" w:rsidP="00141F65">
      <w:r w:rsidRPr="00141F65">
        <w:rPr>
          <w:b/>
          <w:bCs/>
        </w:rPr>
        <w:t>Table 2. Agricultural Crop Pattern Profiles of Selected Regions (2024, % Share within Total Agricultural Area)</w:t>
      </w:r>
    </w:p>
    <w:tbl>
      <w:tblPr>
        <w:tblW w:w="0" w:type="auto"/>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1548"/>
        <w:gridCol w:w="1687"/>
        <w:gridCol w:w="2161"/>
        <w:gridCol w:w="1527"/>
        <w:gridCol w:w="2149"/>
      </w:tblGrid>
      <w:tr w:rsidR="00141F65" w:rsidRPr="00141F65" w14:paraId="5F1D8A6C" w14:textId="77777777" w:rsidTr="00FE6DD5">
        <w:trPr>
          <w:tblHeader/>
        </w:trPr>
        <w:tc>
          <w:tcPr>
            <w:tcW w:w="0" w:type="auto"/>
            <w:tcBorders>
              <w:top w:val="single" w:sz="4" w:space="0" w:color="auto"/>
              <w:bottom w:val="single" w:sz="4" w:space="0" w:color="auto"/>
            </w:tcBorders>
            <w:tcMar>
              <w:top w:w="150" w:type="dxa"/>
              <w:left w:w="0" w:type="dxa"/>
              <w:bottom w:w="150" w:type="dxa"/>
              <w:right w:w="240" w:type="dxa"/>
            </w:tcMar>
            <w:vAlign w:val="center"/>
            <w:hideMark/>
          </w:tcPr>
          <w:p w14:paraId="6A1EB78E" w14:textId="77777777" w:rsidR="00141F65" w:rsidRPr="00141F65" w:rsidRDefault="00141F65" w:rsidP="00FE6DD5">
            <w:pPr>
              <w:spacing w:after="0" w:line="240" w:lineRule="auto"/>
              <w:rPr>
                <w:b/>
                <w:bCs/>
              </w:rPr>
            </w:pPr>
            <w:r w:rsidRPr="00141F65">
              <w:rPr>
                <w:b/>
                <w:bCs/>
              </w:rPr>
              <w:t>Product Group</w:t>
            </w:r>
          </w:p>
        </w:tc>
        <w:tc>
          <w:tcPr>
            <w:tcW w:w="0" w:type="auto"/>
            <w:tcBorders>
              <w:top w:val="single" w:sz="4" w:space="0" w:color="auto"/>
              <w:bottom w:val="single" w:sz="4" w:space="0" w:color="auto"/>
            </w:tcBorders>
            <w:tcMar>
              <w:top w:w="150" w:type="dxa"/>
              <w:left w:w="240" w:type="dxa"/>
              <w:bottom w:w="150" w:type="dxa"/>
              <w:right w:w="240" w:type="dxa"/>
            </w:tcMar>
            <w:vAlign w:val="center"/>
            <w:hideMark/>
          </w:tcPr>
          <w:p w14:paraId="3774B0E2" w14:textId="77777777" w:rsidR="00141F65" w:rsidRPr="00141F65" w:rsidRDefault="00141F65" w:rsidP="00FE6DD5">
            <w:pPr>
              <w:spacing w:after="0" w:line="240" w:lineRule="auto"/>
              <w:rPr>
                <w:b/>
                <w:bCs/>
              </w:rPr>
            </w:pPr>
            <w:r w:rsidRPr="00141F65">
              <w:rPr>
                <w:b/>
                <w:bCs/>
              </w:rPr>
              <w:t>TR7 (Central Anatolia)</w:t>
            </w:r>
          </w:p>
        </w:tc>
        <w:tc>
          <w:tcPr>
            <w:tcW w:w="0" w:type="auto"/>
            <w:tcBorders>
              <w:top w:val="single" w:sz="4" w:space="0" w:color="auto"/>
              <w:bottom w:val="single" w:sz="4" w:space="0" w:color="auto"/>
            </w:tcBorders>
            <w:tcMar>
              <w:top w:w="150" w:type="dxa"/>
              <w:left w:w="240" w:type="dxa"/>
              <w:bottom w:w="150" w:type="dxa"/>
              <w:right w:w="240" w:type="dxa"/>
            </w:tcMar>
            <w:vAlign w:val="center"/>
            <w:hideMark/>
          </w:tcPr>
          <w:p w14:paraId="12B28FF7" w14:textId="77777777" w:rsidR="00141F65" w:rsidRPr="00141F65" w:rsidRDefault="00141F65" w:rsidP="00FE6DD5">
            <w:pPr>
              <w:spacing w:after="0" w:line="240" w:lineRule="auto"/>
              <w:rPr>
                <w:b/>
                <w:bCs/>
              </w:rPr>
            </w:pPr>
            <w:r w:rsidRPr="00141F65">
              <w:rPr>
                <w:b/>
                <w:bCs/>
              </w:rPr>
              <w:t>TR6 (Mediterranean)</w:t>
            </w:r>
          </w:p>
        </w:tc>
        <w:tc>
          <w:tcPr>
            <w:tcW w:w="0" w:type="auto"/>
            <w:tcBorders>
              <w:top w:val="single" w:sz="4" w:space="0" w:color="auto"/>
              <w:bottom w:val="single" w:sz="4" w:space="0" w:color="auto"/>
            </w:tcBorders>
            <w:tcMar>
              <w:top w:w="150" w:type="dxa"/>
              <w:left w:w="240" w:type="dxa"/>
              <w:bottom w:w="150" w:type="dxa"/>
              <w:right w:w="240" w:type="dxa"/>
            </w:tcMar>
            <w:vAlign w:val="center"/>
            <w:hideMark/>
          </w:tcPr>
          <w:p w14:paraId="6749C39B" w14:textId="77777777" w:rsidR="00141F65" w:rsidRPr="00141F65" w:rsidRDefault="00141F65" w:rsidP="00FE6DD5">
            <w:pPr>
              <w:spacing w:after="0" w:line="240" w:lineRule="auto"/>
              <w:rPr>
                <w:b/>
                <w:bCs/>
              </w:rPr>
            </w:pPr>
            <w:r w:rsidRPr="00141F65">
              <w:rPr>
                <w:b/>
                <w:bCs/>
              </w:rPr>
              <w:t>TR1 (Istanbul)</w:t>
            </w:r>
          </w:p>
        </w:tc>
        <w:tc>
          <w:tcPr>
            <w:tcW w:w="0" w:type="auto"/>
            <w:tcBorders>
              <w:top w:val="single" w:sz="4" w:space="0" w:color="auto"/>
              <w:bottom w:val="single" w:sz="4" w:space="0" w:color="auto"/>
            </w:tcBorders>
            <w:tcMar>
              <w:top w:w="150" w:type="dxa"/>
              <w:left w:w="240" w:type="dxa"/>
              <w:bottom w:w="150" w:type="dxa"/>
              <w:right w:w="240" w:type="dxa"/>
            </w:tcMar>
            <w:vAlign w:val="center"/>
            <w:hideMark/>
          </w:tcPr>
          <w:p w14:paraId="13E1F916" w14:textId="77777777" w:rsidR="00141F65" w:rsidRPr="00141F65" w:rsidRDefault="00141F65" w:rsidP="00FE6DD5">
            <w:pPr>
              <w:spacing w:after="0" w:line="240" w:lineRule="auto"/>
              <w:rPr>
                <w:b/>
                <w:bCs/>
              </w:rPr>
            </w:pPr>
            <w:r w:rsidRPr="00141F65">
              <w:rPr>
                <w:b/>
                <w:bCs/>
              </w:rPr>
              <w:t>TRC (Southeastern Anatolia)</w:t>
            </w:r>
          </w:p>
        </w:tc>
      </w:tr>
      <w:tr w:rsidR="00141F65" w:rsidRPr="00141F65" w14:paraId="656CD538" w14:textId="77777777" w:rsidTr="00FE6DD5">
        <w:tc>
          <w:tcPr>
            <w:tcW w:w="0" w:type="auto"/>
            <w:tcBorders>
              <w:top w:val="single" w:sz="4" w:space="0" w:color="auto"/>
            </w:tcBorders>
            <w:tcMar>
              <w:top w:w="150" w:type="dxa"/>
              <w:left w:w="0" w:type="dxa"/>
              <w:bottom w:w="150" w:type="dxa"/>
              <w:right w:w="240" w:type="dxa"/>
            </w:tcMar>
            <w:vAlign w:val="center"/>
            <w:hideMark/>
          </w:tcPr>
          <w:p w14:paraId="0B542B60" w14:textId="77777777" w:rsidR="00141F65" w:rsidRPr="00141F65" w:rsidRDefault="00141F65" w:rsidP="00FE6DD5">
            <w:pPr>
              <w:spacing w:after="0" w:line="240" w:lineRule="auto"/>
            </w:pPr>
            <w:r w:rsidRPr="00141F65">
              <w:rPr>
                <w:b/>
                <w:bCs/>
              </w:rPr>
              <w:t>Cereals</w:t>
            </w:r>
          </w:p>
        </w:tc>
        <w:tc>
          <w:tcPr>
            <w:tcW w:w="0" w:type="auto"/>
            <w:tcBorders>
              <w:top w:val="single" w:sz="4" w:space="0" w:color="auto"/>
            </w:tcBorders>
            <w:tcMar>
              <w:top w:w="150" w:type="dxa"/>
              <w:left w:w="240" w:type="dxa"/>
              <w:bottom w:w="150" w:type="dxa"/>
              <w:right w:w="240" w:type="dxa"/>
            </w:tcMar>
            <w:vAlign w:val="center"/>
            <w:hideMark/>
          </w:tcPr>
          <w:p w14:paraId="3710C90F" w14:textId="77777777" w:rsidR="00141F65" w:rsidRPr="00141F65" w:rsidRDefault="00141F65" w:rsidP="00FE6DD5">
            <w:pPr>
              <w:spacing w:after="0" w:line="240" w:lineRule="auto"/>
            </w:pPr>
            <w:r w:rsidRPr="00141F65">
              <w:rPr>
                <w:b/>
                <w:bCs/>
              </w:rPr>
              <w:t>57.1</w:t>
            </w:r>
          </w:p>
        </w:tc>
        <w:tc>
          <w:tcPr>
            <w:tcW w:w="0" w:type="auto"/>
            <w:tcBorders>
              <w:top w:val="single" w:sz="4" w:space="0" w:color="auto"/>
            </w:tcBorders>
            <w:tcMar>
              <w:top w:w="150" w:type="dxa"/>
              <w:left w:w="240" w:type="dxa"/>
              <w:bottom w:w="150" w:type="dxa"/>
              <w:right w:w="240" w:type="dxa"/>
            </w:tcMar>
            <w:vAlign w:val="center"/>
            <w:hideMark/>
          </w:tcPr>
          <w:p w14:paraId="19FE0D5B" w14:textId="77777777" w:rsidR="00141F65" w:rsidRPr="00141F65" w:rsidRDefault="00141F65" w:rsidP="00FE6DD5">
            <w:pPr>
              <w:spacing w:after="0" w:line="240" w:lineRule="auto"/>
            </w:pPr>
            <w:r w:rsidRPr="00141F65">
              <w:t>48.6</w:t>
            </w:r>
          </w:p>
        </w:tc>
        <w:tc>
          <w:tcPr>
            <w:tcW w:w="0" w:type="auto"/>
            <w:tcBorders>
              <w:top w:val="single" w:sz="4" w:space="0" w:color="auto"/>
            </w:tcBorders>
            <w:tcMar>
              <w:top w:w="150" w:type="dxa"/>
              <w:left w:w="240" w:type="dxa"/>
              <w:bottom w:w="150" w:type="dxa"/>
              <w:right w:w="240" w:type="dxa"/>
            </w:tcMar>
            <w:vAlign w:val="center"/>
            <w:hideMark/>
          </w:tcPr>
          <w:p w14:paraId="42532BC8" w14:textId="77777777" w:rsidR="00141F65" w:rsidRPr="00141F65" w:rsidRDefault="00141F65" w:rsidP="00FE6DD5">
            <w:pPr>
              <w:spacing w:after="0" w:line="240" w:lineRule="auto"/>
            </w:pPr>
            <w:r w:rsidRPr="00141F65">
              <w:t>28.8</w:t>
            </w:r>
          </w:p>
        </w:tc>
        <w:tc>
          <w:tcPr>
            <w:tcW w:w="0" w:type="auto"/>
            <w:tcBorders>
              <w:top w:val="single" w:sz="4" w:space="0" w:color="auto"/>
            </w:tcBorders>
            <w:tcMar>
              <w:top w:w="150" w:type="dxa"/>
              <w:left w:w="240" w:type="dxa"/>
              <w:bottom w:w="150" w:type="dxa"/>
              <w:right w:w="0" w:type="dxa"/>
            </w:tcMar>
            <w:vAlign w:val="center"/>
            <w:hideMark/>
          </w:tcPr>
          <w:p w14:paraId="0BC37BB0" w14:textId="77777777" w:rsidR="00141F65" w:rsidRPr="00141F65" w:rsidRDefault="00141F65" w:rsidP="00FE6DD5">
            <w:pPr>
              <w:spacing w:after="0" w:line="240" w:lineRule="auto"/>
            </w:pPr>
            <w:r w:rsidRPr="00141F65">
              <w:t>36.8</w:t>
            </w:r>
          </w:p>
        </w:tc>
      </w:tr>
      <w:tr w:rsidR="00141F65" w:rsidRPr="00141F65" w14:paraId="1B4503AA" w14:textId="77777777" w:rsidTr="00FE6DD5">
        <w:tc>
          <w:tcPr>
            <w:tcW w:w="0" w:type="auto"/>
            <w:tcMar>
              <w:top w:w="150" w:type="dxa"/>
              <w:left w:w="0" w:type="dxa"/>
              <w:bottom w:w="150" w:type="dxa"/>
              <w:right w:w="240" w:type="dxa"/>
            </w:tcMar>
            <w:vAlign w:val="center"/>
            <w:hideMark/>
          </w:tcPr>
          <w:p w14:paraId="1B3CADB9" w14:textId="77777777" w:rsidR="00141F65" w:rsidRPr="00141F65" w:rsidRDefault="00141F65" w:rsidP="00FE6DD5">
            <w:pPr>
              <w:spacing w:after="0" w:line="240" w:lineRule="auto"/>
            </w:pPr>
            <w:r w:rsidRPr="00141F65">
              <w:rPr>
                <w:b/>
                <w:bCs/>
              </w:rPr>
              <w:lastRenderedPageBreak/>
              <w:t>Fallow</w:t>
            </w:r>
          </w:p>
        </w:tc>
        <w:tc>
          <w:tcPr>
            <w:tcW w:w="0" w:type="auto"/>
            <w:tcMar>
              <w:top w:w="150" w:type="dxa"/>
              <w:left w:w="240" w:type="dxa"/>
              <w:bottom w:w="150" w:type="dxa"/>
              <w:right w:w="240" w:type="dxa"/>
            </w:tcMar>
            <w:vAlign w:val="center"/>
            <w:hideMark/>
          </w:tcPr>
          <w:p w14:paraId="01E146A9" w14:textId="77777777" w:rsidR="00141F65" w:rsidRPr="00141F65" w:rsidRDefault="00141F65" w:rsidP="00FE6DD5">
            <w:pPr>
              <w:spacing w:after="0" w:line="240" w:lineRule="auto"/>
            </w:pPr>
            <w:r w:rsidRPr="00141F65">
              <w:rPr>
                <w:b/>
                <w:bCs/>
              </w:rPr>
              <w:t>28.0</w:t>
            </w:r>
          </w:p>
        </w:tc>
        <w:tc>
          <w:tcPr>
            <w:tcW w:w="0" w:type="auto"/>
            <w:tcMar>
              <w:top w:w="150" w:type="dxa"/>
              <w:left w:w="240" w:type="dxa"/>
              <w:bottom w:w="150" w:type="dxa"/>
              <w:right w:w="240" w:type="dxa"/>
            </w:tcMar>
            <w:vAlign w:val="center"/>
            <w:hideMark/>
          </w:tcPr>
          <w:p w14:paraId="3A607A91" w14:textId="77777777" w:rsidR="00141F65" w:rsidRPr="00141F65" w:rsidRDefault="00141F65" w:rsidP="00FE6DD5">
            <w:pPr>
              <w:spacing w:after="0" w:line="240" w:lineRule="auto"/>
            </w:pPr>
            <w:r w:rsidRPr="00141F65">
              <w:t>7.1</w:t>
            </w:r>
          </w:p>
        </w:tc>
        <w:tc>
          <w:tcPr>
            <w:tcW w:w="0" w:type="auto"/>
            <w:tcMar>
              <w:top w:w="150" w:type="dxa"/>
              <w:left w:w="240" w:type="dxa"/>
              <w:bottom w:w="150" w:type="dxa"/>
              <w:right w:w="240" w:type="dxa"/>
            </w:tcMar>
            <w:vAlign w:val="center"/>
            <w:hideMark/>
          </w:tcPr>
          <w:p w14:paraId="224AD6DC" w14:textId="77777777" w:rsidR="00141F65" w:rsidRPr="00141F65" w:rsidRDefault="00141F65" w:rsidP="00FE6DD5">
            <w:pPr>
              <w:spacing w:after="0" w:line="240" w:lineRule="auto"/>
            </w:pPr>
            <w:r w:rsidRPr="00141F65">
              <w:t>0.03</w:t>
            </w:r>
          </w:p>
        </w:tc>
        <w:tc>
          <w:tcPr>
            <w:tcW w:w="0" w:type="auto"/>
            <w:tcMar>
              <w:top w:w="150" w:type="dxa"/>
              <w:left w:w="240" w:type="dxa"/>
              <w:bottom w:w="150" w:type="dxa"/>
              <w:right w:w="0" w:type="dxa"/>
            </w:tcMar>
            <w:vAlign w:val="center"/>
            <w:hideMark/>
          </w:tcPr>
          <w:p w14:paraId="2C2179A9" w14:textId="77777777" w:rsidR="00141F65" w:rsidRPr="00141F65" w:rsidRDefault="00141F65" w:rsidP="00FE6DD5">
            <w:pPr>
              <w:spacing w:after="0" w:line="240" w:lineRule="auto"/>
            </w:pPr>
            <w:r w:rsidRPr="00141F65">
              <w:t>2.3</w:t>
            </w:r>
          </w:p>
        </w:tc>
      </w:tr>
      <w:tr w:rsidR="00141F65" w:rsidRPr="00141F65" w14:paraId="717DE115" w14:textId="77777777" w:rsidTr="00FE6DD5">
        <w:tc>
          <w:tcPr>
            <w:tcW w:w="0" w:type="auto"/>
            <w:tcMar>
              <w:top w:w="150" w:type="dxa"/>
              <w:left w:w="0" w:type="dxa"/>
              <w:bottom w:w="150" w:type="dxa"/>
              <w:right w:w="240" w:type="dxa"/>
            </w:tcMar>
            <w:vAlign w:val="center"/>
            <w:hideMark/>
          </w:tcPr>
          <w:p w14:paraId="41AA5E3C" w14:textId="77777777" w:rsidR="00141F65" w:rsidRPr="00141F65" w:rsidRDefault="00141F65" w:rsidP="00FE6DD5">
            <w:pPr>
              <w:spacing w:after="0" w:line="240" w:lineRule="auto"/>
            </w:pPr>
            <w:r w:rsidRPr="00141F65">
              <w:rPr>
                <w:b/>
                <w:bCs/>
              </w:rPr>
              <w:t>Fruit</w:t>
            </w:r>
          </w:p>
        </w:tc>
        <w:tc>
          <w:tcPr>
            <w:tcW w:w="0" w:type="auto"/>
            <w:tcMar>
              <w:top w:w="150" w:type="dxa"/>
              <w:left w:w="240" w:type="dxa"/>
              <w:bottom w:w="150" w:type="dxa"/>
              <w:right w:w="240" w:type="dxa"/>
            </w:tcMar>
            <w:vAlign w:val="center"/>
            <w:hideMark/>
          </w:tcPr>
          <w:p w14:paraId="3FEDF698" w14:textId="77777777" w:rsidR="00141F65" w:rsidRPr="00141F65" w:rsidRDefault="00141F65" w:rsidP="00FE6DD5">
            <w:pPr>
              <w:spacing w:after="0" w:line="240" w:lineRule="auto"/>
            </w:pPr>
            <w:r w:rsidRPr="00141F65">
              <w:t>4.0</w:t>
            </w:r>
          </w:p>
        </w:tc>
        <w:tc>
          <w:tcPr>
            <w:tcW w:w="0" w:type="auto"/>
            <w:tcMar>
              <w:top w:w="150" w:type="dxa"/>
              <w:left w:w="240" w:type="dxa"/>
              <w:bottom w:w="150" w:type="dxa"/>
              <w:right w:w="240" w:type="dxa"/>
            </w:tcMar>
            <w:vAlign w:val="center"/>
            <w:hideMark/>
          </w:tcPr>
          <w:p w14:paraId="2719F40C" w14:textId="77777777" w:rsidR="00141F65" w:rsidRPr="00141F65" w:rsidRDefault="00141F65" w:rsidP="00FE6DD5">
            <w:pPr>
              <w:spacing w:after="0" w:line="240" w:lineRule="auto"/>
            </w:pPr>
            <w:r w:rsidRPr="00141F65">
              <w:rPr>
                <w:b/>
                <w:bCs/>
              </w:rPr>
              <w:t>29.5</w:t>
            </w:r>
          </w:p>
        </w:tc>
        <w:tc>
          <w:tcPr>
            <w:tcW w:w="0" w:type="auto"/>
            <w:tcMar>
              <w:top w:w="150" w:type="dxa"/>
              <w:left w:w="240" w:type="dxa"/>
              <w:bottom w:w="150" w:type="dxa"/>
              <w:right w:w="240" w:type="dxa"/>
            </w:tcMar>
            <w:vAlign w:val="center"/>
            <w:hideMark/>
          </w:tcPr>
          <w:p w14:paraId="29B42722" w14:textId="77777777" w:rsidR="00141F65" w:rsidRPr="00141F65" w:rsidRDefault="00141F65" w:rsidP="00FE6DD5">
            <w:pPr>
              <w:spacing w:after="0" w:line="240" w:lineRule="auto"/>
            </w:pPr>
            <w:r w:rsidRPr="00141F65">
              <w:t>0.02</w:t>
            </w:r>
          </w:p>
        </w:tc>
        <w:tc>
          <w:tcPr>
            <w:tcW w:w="0" w:type="auto"/>
            <w:tcMar>
              <w:top w:w="150" w:type="dxa"/>
              <w:left w:w="240" w:type="dxa"/>
              <w:bottom w:w="150" w:type="dxa"/>
              <w:right w:w="0" w:type="dxa"/>
            </w:tcMar>
            <w:vAlign w:val="center"/>
            <w:hideMark/>
          </w:tcPr>
          <w:p w14:paraId="7F4E14B8" w14:textId="77777777" w:rsidR="00141F65" w:rsidRPr="00141F65" w:rsidRDefault="00141F65" w:rsidP="00FE6DD5">
            <w:pPr>
              <w:spacing w:after="0" w:line="240" w:lineRule="auto"/>
            </w:pPr>
            <w:r w:rsidRPr="00141F65">
              <w:rPr>
                <w:b/>
                <w:bCs/>
              </w:rPr>
              <w:t>53.1</w:t>
            </w:r>
          </w:p>
        </w:tc>
      </w:tr>
      <w:tr w:rsidR="00141F65" w:rsidRPr="00141F65" w14:paraId="04F67765" w14:textId="77777777" w:rsidTr="00FE6DD5">
        <w:tc>
          <w:tcPr>
            <w:tcW w:w="0" w:type="auto"/>
            <w:tcMar>
              <w:top w:w="150" w:type="dxa"/>
              <w:left w:w="0" w:type="dxa"/>
              <w:bottom w:w="150" w:type="dxa"/>
              <w:right w:w="240" w:type="dxa"/>
            </w:tcMar>
            <w:vAlign w:val="center"/>
            <w:hideMark/>
          </w:tcPr>
          <w:p w14:paraId="0530E7C8" w14:textId="77777777" w:rsidR="00141F65" w:rsidRPr="00141F65" w:rsidRDefault="00141F65" w:rsidP="00FE6DD5">
            <w:pPr>
              <w:spacing w:after="0" w:line="240" w:lineRule="auto"/>
            </w:pPr>
            <w:r w:rsidRPr="00141F65">
              <w:rPr>
                <w:b/>
                <w:bCs/>
              </w:rPr>
              <w:t>Ornamental Plants</w:t>
            </w:r>
          </w:p>
        </w:tc>
        <w:tc>
          <w:tcPr>
            <w:tcW w:w="0" w:type="auto"/>
            <w:tcMar>
              <w:top w:w="150" w:type="dxa"/>
              <w:left w:w="240" w:type="dxa"/>
              <w:bottom w:w="150" w:type="dxa"/>
              <w:right w:w="240" w:type="dxa"/>
            </w:tcMar>
            <w:vAlign w:val="center"/>
            <w:hideMark/>
          </w:tcPr>
          <w:p w14:paraId="40388E97" w14:textId="77777777" w:rsidR="00141F65" w:rsidRPr="00141F65" w:rsidRDefault="00141F65" w:rsidP="00FE6DD5">
            <w:pPr>
              <w:spacing w:after="0" w:line="240" w:lineRule="auto"/>
            </w:pPr>
            <w:r w:rsidRPr="00141F65">
              <w:t>0.0</w:t>
            </w:r>
          </w:p>
        </w:tc>
        <w:tc>
          <w:tcPr>
            <w:tcW w:w="0" w:type="auto"/>
            <w:tcMar>
              <w:top w:w="150" w:type="dxa"/>
              <w:left w:w="240" w:type="dxa"/>
              <w:bottom w:w="150" w:type="dxa"/>
              <w:right w:w="240" w:type="dxa"/>
            </w:tcMar>
            <w:vAlign w:val="center"/>
            <w:hideMark/>
          </w:tcPr>
          <w:p w14:paraId="54C313C4" w14:textId="77777777" w:rsidR="00141F65" w:rsidRPr="00141F65" w:rsidRDefault="00141F65" w:rsidP="00FE6DD5">
            <w:pPr>
              <w:spacing w:after="0" w:line="240" w:lineRule="auto"/>
            </w:pPr>
            <w:r w:rsidRPr="00141F65">
              <w:t>0.1</w:t>
            </w:r>
          </w:p>
        </w:tc>
        <w:tc>
          <w:tcPr>
            <w:tcW w:w="0" w:type="auto"/>
            <w:tcMar>
              <w:top w:w="150" w:type="dxa"/>
              <w:left w:w="240" w:type="dxa"/>
              <w:bottom w:w="150" w:type="dxa"/>
              <w:right w:w="240" w:type="dxa"/>
            </w:tcMar>
            <w:vAlign w:val="center"/>
            <w:hideMark/>
          </w:tcPr>
          <w:p w14:paraId="5ADA2908" w14:textId="77777777" w:rsidR="00141F65" w:rsidRPr="00141F65" w:rsidRDefault="00141F65" w:rsidP="00FE6DD5">
            <w:pPr>
              <w:spacing w:after="0" w:line="240" w:lineRule="auto"/>
            </w:pPr>
            <w:r w:rsidRPr="00141F65">
              <w:rPr>
                <w:b/>
                <w:bCs/>
              </w:rPr>
              <w:t>66.6</w:t>
            </w:r>
          </w:p>
        </w:tc>
        <w:tc>
          <w:tcPr>
            <w:tcW w:w="0" w:type="auto"/>
            <w:tcMar>
              <w:top w:w="150" w:type="dxa"/>
              <w:left w:w="240" w:type="dxa"/>
              <w:bottom w:w="150" w:type="dxa"/>
              <w:right w:w="0" w:type="dxa"/>
            </w:tcMar>
            <w:vAlign w:val="center"/>
            <w:hideMark/>
          </w:tcPr>
          <w:p w14:paraId="7E650825" w14:textId="77777777" w:rsidR="00141F65" w:rsidRPr="00141F65" w:rsidRDefault="00141F65" w:rsidP="00FE6DD5">
            <w:pPr>
              <w:spacing w:after="0" w:line="240" w:lineRule="auto"/>
            </w:pPr>
            <w:r w:rsidRPr="00141F65">
              <w:t>0.01</w:t>
            </w:r>
          </w:p>
        </w:tc>
      </w:tr>
    </w:tbl>
    <w:p w14:paraId="7E4F0C38" w14:textId="1AF2EBED" w:rsidR="00141F65" w:rsidRDefault="00141F65" w:rsidP="00141F65">
      <w:pPr>
        <w:rPr>
          <w:i/>
          <w:iCs/>
        </w:rPr>
      </w:pPr>
      <w:r w:rsidRPr="00141F65">
        <w:rPr>
          <w:i/>
          <w:iCs/>
        </w:rPr>
        <w:t>Source: Calculations based on TurkStat Crop Production Statistics (2024) data.</w:t>
      </w:r>
    </w:p>
    <w:p w14:paraId="7451B272" w14:textId="77777777" w:rsidR="00FE6DD5" w:rsidRDefault="00FE6DD5" w:rsidP="00141F65">
      <w:pPr>
        <w:rPr>
          <w:i/>
          <w:iCs/>
        </w:rPr>
      </w:pPr>
    </w:p>
    <w:p w14:paraId="5727DA4C" w14:textId="2EEE6A81" w:rsidR="00C520E2" w:rsidRPr="00141F65" w:rsidRDefault="00C520E2" w:rsidP="00141F65">
      <w:r>
        <w:rPr>
          <w:noProof/>
        </w:rPr>
        <w:drawing>
          <wp:inline distT="0" distB="0" distL="0" distR="0" wp14:anchorId="0B78A8FD" wp14:editId="2EF7A862">
            <wp:extent cx="5753100" cy="3067050"/>
            <wp:effectExtent l="0" t="0" r="0" b="0"/>
            <wp:docPr id="3" name="Grafik 3">
              <a:extLst xmlns:a="http://schemas.openxmlformats.org/drawingml/2006/main">
                <a:ext uri="{FF2B5EF4-FFF2-40B4-BE49-F238E27FC236}">
                  <a16:creationId xmlns:a16="http://schemas.microsoft.com/office/drawing/2014/main" id="{E4E328FB-E0BD-45A4-9C6D-E7D7EB5FE45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3994B8D4" w14:textId="7D37A6F6" w:rsidR="00141F65" w:rsidRDefault="00141F65" w:rsidP="00141F65">
      <w:pPr>
        <w:rPr>
          <w:i/>
          <w:iCs/>
        </w:rPr>
      </w:pPr>
      <w:r w:rsidRPr="00141F65">
        <w:rPr>
          <w:b/>
          <w:bCs/>
        </w:rPr>
        <w:t>Figure 2. Regional Crop Pattern Comparison (2024)</w:t>
      </w:r>
      <w:r w:rsidRPr="00141F65">
        <w:br/>
      </w:r>
      <w:r w:rsidRPr="00141F65">
        <w:rPr>
          <w:i/>
          <w:iCs/>
        </w:rPr>
        <w:t>Note: Figure 2 would be a grouped bar chart or stacked bar chart visualizing the profiles in Table 2.</w:t>
      </w:r>
    </w:p>
    <w:p w14:paraId="5B0D2CC4" w14:textId="77777777" w:rsidR="00FE6DD5" w:rsidRPr="00141F65" w:rsidRDefault="00FE6DD5" w:rsidP="00141F65"/>
    <w:p w14:paraId="198379DB" w14:textId="77777777" w:rsidR="00141F65" w:rsidRPr="00141F65" w:rsidRDefault="00141F65" w:rsidP="00141F65">
      <w:r w:rsidRPr="00141F65">
        <w:rPr>
          <w:b/>
          <w:bCs/>
        </w:rPr>
        <w:t>Analysis and Regional Identity Definitions:</w:t>
      </w:r>
    </w:p>
    <w:p w14:paraId="253D97E7" w14:textId="7B3FDB65" w:rsidR="00791446" w:rsidRPr="00141F65" w:rsidRDefault="00141F65" w:rsidP="00111399">
      <w:pPr>
        <w:numPr>
          <w:ilvl w:val="0"/>
          <w:numId w:val="21"/>
        </w:numPr>
        <w:jc w:val="both"/>
      </w:pPr>
      <w:r w:rsidRPr="00141F65">
        <w:rPr>
          <w:b/>
          <w:bCs/>
        </w:rPr>
        <w:t>TR7 (Central Anatolia) - "Cereal and Fallow Plain":</w:t>
      </w:r>
      <w:r w:rsidRPr="00141F65">
        <w:t> The region's agricultural identity is define</w:t>
      </w:r>
      <w:r w:rsidRPr="00791446">
        <w:t xml:space="preserve">d by 57.1% cereals and 28.0% fallow. This shows the dominance of rain-fed cereal production under arid climatic conditions and the traditional </w:t>
      </w:r>
      <w:r w:rsidRPr="00141F65">
        <w:t>risk management tool of fallow. The share of fruit and vegetables is low, and ornamental plants are almost negligible (Figure 2).</w:t>
      </w:r>
    </w:p>
    <w:p w14:paraId="1B366501" w14:textId="0F240C47" w:rsidR="00FE6DD5" w:rsidRPr="00141F65" w:rsidRDefault="00141F65" w:rsidP="00111399">
      <w:pPr>
        <w:numPr>
          <w:ilvl w:val="0"/>
          <w:numId w:val="21"/>
        </w:numPr>
        <w:jc w:val="both"/>
      </w:pPr>
      <w:r w:rsidRPr="00141F65">
        <w:rPr>
          <w:b/>
          <w:bCs/>
        </w:rPr>
        <w:t>TR1 (Istanbul) - "Metropolitan Ornamental Hub":</w:t>
      </w:r>
      <w:r w:rsidRPr="00141F65">
        <w:t> The region's identity is concentrated in a single product</w:t>
      </w:r>
      <w:r w:rsidRPr="00791446">
        <w:t>: 66.6% ornamental plants. This is a result</w:t>
      </w:r>
      <w:r w:rsidRPr="00141F65">
        <w:t xml:space="preserve"> of absolute proximity to the megacity market and export logistics. The share of all other product groups is marginal (Figure 2).</w:t>
      </w:r>
    </w:p>
    <w:p w14:paraId="49072DFD" w14:textId="380F2EE2" w:rsidR="00141F65" w:rsidRDefault="00141F65" w:rsidP="00FE6DD5">
      <w:pPr>
        <w:numPr>
          <w:ilvl w:val="0"/>
          <w:numId w:val="21"/>
        </w:numPr>
        <w:jc w:val="both"/>
      </w:pPr>
      <w:r w:rsidRPr="00141F65">
        <w:rPr>
          <w:b/>
          <w:bCs/>
        </w:rPr>
        <w:t>TRC (Southeastern Anatolia) - "Rising Fruit Focus":</w:t>
      </w:r>
      <w:r w:rsidRPr="00141F65">
        <w:t xml:space="preserve"> Irrigation opportunities brought by GAP projects have fundamentally changed the region's identity (Benek, 2009). </w:t>
      </w:r>
      <w:r w:rsidRPr="00791446">
        <w:t>The 53.1% fruit share has made the region Turkey's new fruit base. Although the cereal share is also significant,</w:t>
      </w:r>
      <w:r w:rsidRPr="00141F65">
        <w:t xml:space="preserve"> the fallow share is quite low (Figure 2).</w:t>
      </w:r>
    </w:p>
    <w:p w14:paraId="39865D4F" w14:textId="77777777" w:rsidR="00FE6DD5" w:rsidRPr="00141F65" w:rsidRDefault="00FE6DD5" w:rsidP="00FE6DD5">
      <w:pPr>
        <w:ind w:left="720"/>
        <w:jc w:val="both"/>
      </w:pPr>
    </w:p>
    <w:p w14:paraId="337C1B40" w14:textId="72B664EE" w:rsidR="00141F65" w:rsidRDefault="00141F65" w:rsidP="00141F65">
      <w:pPr>
        <w:numPr>
          <w:ilvl w:val="0"/>
          <w:numId w:val="21"/>
        </w:numPr>
      </w:pPr>
      <w:r w:rsidRPr="00141F65">
        <w:rPr>
          <w:b/>
          <w:bCs/>
        </w:rPr>
        <w:t>TR6 (Mediterranean) - "Mixed and Climate-Focused Production Center"</w:t>
      </w:r>
      <w:r w:rsidRPr="00791446">
        <w:t xml:space="preserve">: Exhibits a balanced profile reflecting traditional climatic advantages: 29.5% fruit and 48.6% cereals. This indicates a diversified structure based on both high-value products and basic food </w:t>
      </w:r>
      <w:r w:rsidRPr="00141F65">
        <w:t>production (Figure 2).</w:t>
      </w:r>
    </w:p>
    <w:p w14:paraId="5A4AF85E" w14:textId="77777777" w:rsidR="00FE6DD5" w:rsidRPr="00141F65" w:rsidRDefault="00FE6DD5" w:rsidP="00656628"/>
    <w:p w14:paraId="74CA42B1" w14:textId="77777777" w:rsidR="00FE6DD5" w:rsidRDefault="00141F65" w:rsidP="00FE6DD5">
      <w:pPr>
        <w:jc w:val="both"/>
      </w:pPr>
      <w:r w:rsidRPr="00141F65">
        <w:rPr>
          <w:b/>
          <w:bCs/>
        </w:rPr>
        <w:t>Decadal Macro Transformation (2015-2024): Three Major Structural Trends</w:t>
      </w:r>
    </w:p>
    <w:p w14:paraId="3B2E4602" w14:textId="0E6D739E" w:rsidR="00141F65" w:rsidRDefault="00141F65" w:rsidP="00FE6DD5">
      <w:pPr>
        <w:jc w:val="both"/>
      </w:pPr>
      <w:r w:rsidRPr="00141F65">
        <w:t>The crop pattern within the total agricultural area across Turkey underwent deep structural shifts throughout the 2015-2024 period. These shifts are macro-level reflections of agricultural policies, market demands, and technological change.</w:t>
      </w:r>
    </w:p>
    <w:p w14:paraId="17F93CDB" w14:textId="77777777" w:rsidR="00FE6DD5" w:rsidRPr="00141F65" w:rsidRDefault="00FE6DD5" w:rsidP="00FE6DD5">
      <w:pPr>
        <w:jc w:val="both"/>
      </w:pPr>
    </w:p>
    <w:p w14:paraId="794099CF" w14:textId="77777777" w:rsidR="00141F65" w:rsidRPr="00141F65" w:rsidRDefault="00141F65" w:rsidP="00141F65">
      <w:r w:rsidRPr="00141F65">
        <w:rPr>
          <w:b/>
          <w:bCs/>
        </w:rPr>
        <w:t>Table 3. Change in the Structure of Crop Patterns within Turkey's Total Agricultural Area (2015-2024, % Share)</w:t>
      </w:r>
    </w:p>
    <w:tbl>
      <w:tblPr>
        <w:tblW w:w="8196" w:type="dxa"/>
        <w:jc w:val="center"/>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1625"/>
        <w:gridCol w:w="1835"/>
        <w:gridCol w:w="1835"/>
        <w:gridCol w:w="2901"/>
      </w:tblGrid>
      <w:tr w:rsidR="00141F65" w:rsidRPr="00141F65" w14:paraId="22C446B2" w14:textId="77777777" w:rsidTr="00FE6DD5">
        <w:trPr>
          <w:trHeight w:val="243"/>
          <w:tblHeader/>
          <w:jc w:val="center"/>
        </w:trPr>
        <w:tc>
          <w:tcPr>
            <w:tcW w:w="0" w:type="auto"/>
            <w:tcBorders>
              <w:top w:val="single" w:sz="4" w:space="0" w:color="auto"/>
              <w:bottom w:val="single" w:sz="4" w:space="0" w:color="auto"/>
            </w:tcBorders>
            <w:tcMar>
              <w:top w:w="150" w:type="dxa"/>
              <w:left w:w="0" w:type="dxa"/>
              <w:bottom w:w="150" w:type="dxa"/>
              <w:right w:w="240" w:type="dxa"/>
            </w:tcMar>
            <w:vAlign w:val="center"/>
            <w:hideMark/>
          </w:tcPr>
          <w:p w14:paraId="3E59874C" w14:textId="77777777" w:rsidR="00141F65" w:rsidRPr="00141F65" w:rsidRDefault="00141F65" w:rsidP="00FE6DD5">
            <w:pPr>
              <w:spacing w:after="0" w:line="240" w:lineRule="auto"/>
              <w:rPr>
                <w:b/>
                <w:bCs/>
              </w:rPr>
            </w:pPr>
            <w:r w:rsidRPr="00141F65">
              <w:rPr>
                <w:b/>
                <w:bCs/>
              </w:rPr>
              <w:t>Product Group</w:t>
            </w:r>
          </w:p>
        </w:tc>
        <w:tc>
          <w:tcPr>
            <w:tcW w:w="0" w:type="auto"/>
            <w:tcBorders>
              <w:top w:val="single" w:sz="4" w:space="0" w:color="auto"/>
              <w:bottom w:val="single" w:sz="4" w:space="0" w:color="auto"/>
            </w:tcBorders>
            <w:tcMar>
              <w:top w:w="150" w:type="dxa"/>
              <w:left w:w="240" w:type="dxa"/>
              <w:bottom w:w="150" w:type="dxa"/>
              <w:right w:w="240" w:type="dxa"/>
            </w:tcMar>
            <w:vAlign w:val="center"/>
            <w:hideMark/>
          </w:tcPr>
          <w:p w14:paraId="0BA83412" w14:textId="77777777" w:rsidR="00141F65" w:rsidRPr="00141F65" w:rsidRDefault="00141F65" w:rsidP="00FE6DD5">
            <w:pPr>
              <w:spacing w:after="0" w:line="240" w:lineRule="auto"/>
              <w:rPr>
                <w:b/>
                <w:bCs/>
              </w:rPr>
            </w:pPr>
            <w:r w:rsidRPr="00141F65">
              <w:rPr>
                <w:b/>
                <w:bCs/>
              </w:rPr>
              <w:t>2015 Share (%)</w:t>
            </w:r>
          </w:p>
        </w:tc>
        <w:tc>
          <w:tcPr>
            <w:tcW w:w="0" w:type="auto"/>
            <w:tcBorders>
              <w:top w:val="single" w:sz="4" w:space="0" w:color="auto"/>
              <w:bottom w:val="single" w:sz="4" w:space="0" w:color="auto"/>
            </w:tcBorders>
            <w:tcMar>
              <w:top w:w="150" w:type="dxa"/>
              <w:left w:w="240" w:type="dxa"/>
              <w:bottom w:w="150" w:type="dxa"/>
              <w:right w:w="240" w:type="dxa"/>
            </w:tcMar>
            <w:vAlign w:val="center"/>
            <w:hideMark/>
          </w:tcPr>
          <w:p w14:paraId="4EE258A0" w14:textId="77777777" w:rsidR="00141F65" w:rsidRPr="00141F65" w:rsidRDefault="00141F65" w:rsidP="00FE6DD5">
            <w:pPr>
              <w:spacing w:after="0" w:line="240" w:lineRule="auto"/>
              <w:rPr>
                <w:b/>
                <w:bCs/>
              </w:rPr>
            </w:pPr>
            <w:r w:rsidRPr="00141F65">
              <w:rPr>
                <w:b/>
                <w:bCs/>
              </w:rPr>
              <w:t>2024 Share (%)</w:t>
            </w:r>
          </w:p>
        </w:tc>
        <w:tc>
          <w:tcPr>
            <w:tcW w:w="0" w:type="auto"/>
            <w:tcBorders>
              <w:top w:val="single" w:sz="4" w:space="0" w:color="auto"/>
              <w:bottom w:val="single" w:sz="4" w:space="0" w:color="auto"/>
            </w:tcBorders>
            <w:tcMar>
              <w:top w:w="150" w:type="dxa"/>
              <w:left w:w="240" w:type="dxa"/>
              <w:bottom w:w="150" w:type="dxa"/>
              <w:right w:w="240" w:type="dxa"/>
            </w:tcMar>
            <w:vAlign w:val="center"/>
            <w:hideMark/>
          </w:tcPr>
          <w:p w14:paraId="5C6ED3E8" w14:textId="77777777" w:rsidR="00141F65" w:rsidRPr="00141F65" w:rsidRDefault="00141F65" w:rsidP="00FE6DD5">
            <w:pPr>
              <w:spacing w:after="0" w:line="240" w:lineRule="auto"/>
              <w:rPr>
                <w:b/>
                <w:bCs/>
              </w:rPr>
            </w:pPr>
            <w:r w:rsidRPr="00141F65">
              <w:rPr>
                <w:b/>
                <w:bCs/>
              </w:rPr>
              <w:t>Change (Percentage Points)</w:t>
            </w:r>
          </w:p>
        </w:tc>
      </w:tr>
      <w:tr w:rsidR="00141F65" w:rsidRPr="00141F65" w14:paraId="7A4833BC" w14:textId="77777777" w:rsidTr="00FE6DD5">
        <w:trPr>
          <w:trHeight w:val="253"/>
          <w:jc w:val="center"/>
        </w:trPr>
        <w:tc>
          <w:tcPr>
            <w:tcW w:w="0" w:type="auto"/>
            <w:tcBorders>
              <w:top w:val="single" w:sz="4" w:space="0" w:color="auto"/>
            </w:tcBorders>
            <w:tcMar>
              <w:top w:w="150" w:type="dxa"/>
              <w:left w:w="0" w:type="dxa"/>
              <w:bottom w:w="150" w:type="dxa"/>
              <w:right w:w="240" w:type="dxa"/>
            </w:tcMar>
            <w:vAlign w:val="center"/>
            <w:hideMark/>
          </w:tcPr>
          <w:p w14:paraId="5ED8E537" w14:textId="77777777" w:rsidR="00141F65" w:rsidRPr="00141F65" w:rsidRDefault="00141F65" w:rsidP="00FE6DD5">
            <w:pPr>
              <w:spacing w:after="0" w:line="240" w:lineRule="auto"/>
            </w:pPr>
            <w:r w:rsidRPr="00141F65">
              <w:rPr>
                <w:b/>
                <w:bCs/>
              </w:rPr>
              <w:t>Cereals</w:t>
            </w:r>
          </w:p>
        </w:tc>
        <w:tc>
          <w:tcPr>
            <w:tcW w:w="0" w:type="auto"/>
            <w:tcBorders>
              <w:top w:val="single" w:sz="4" w:space="0" w:color="auto"/>
            </w:tcBorders>
            <w:tcMar>
              <w:top w:w="150" w:type="dxa"/>
              <w:left w:w="240" w:type="dxa"/>
              <w:bottom w:w="150" w:type="dxa"/>
              <w:right w:w="240" w:type="dxa"/>
            </w:tcMar>
            <w:vAlign w:val="center"/>
            <w:hideMark/>
          </w:tcPr>
          <w:p w14:paraId="41DE64EB" w14:textId="77777777" w:rsidR="00141F65" w:rsidRPr="00141F65" w:rsidRDefault="00141F65" w:rsidP="00FE6DD5">
            <w:pPr>
              <w:spacing w:after="0" w:line="240" w:lineRule="auto"/>
            </w:pPr>
            <w:r w:rsidRPr="00141F65">
              <w:t>65.4</w:t>
            </w:r>
          </w:p>
        </w:tc>
        <w:tc>
          <w:tcPr>
            <w:tcW w:w="0" w:type="auto"/>
            <w:tcBorders>
              <w:top w:val="single" w:sz="4" w:space="0" w:color="auto"/>
            </w:tcBorders>
            <w:tcMar>
              <w:top w:w="150" w:type="dxa"/>
              <w:left w:w="240" w:type="dxa"/>
              <w:bottom w:w="150" w:type="dxa"/>
              <w:right w:w="240" w:type="dxa"/>
            </w:tcMar>
            <w:vAlign w:val="center"/>
            <w:hideMark/>
          </w:tcPr>
          <w:p w14:paraId="0BD26178" w14:textId="77777777" w:rsidR="00141F65" w:rsidRPr="00141F65" w:rsidRDefault="00141F65" w:rsidP="00FE6DD5">
            <w:pPr>
              <w:spacing w:after="0" w:line="240" w:lineRule="auto"/>
            </w:pPr>
            <w:r w:rsidRPr="00141F65">
              <w:t>62.7</w:t>
            </w:r>
          </w:p>
        </w:tc>
        <w:tc>
          <w:tcPr>
            <w:tcW w:w="0" w:type="auto"/>
            <w:tcBorders>
              <w:top w:val="single" w:sz="4" w:space="0" w:color="auto"/>
            </w:tcBorders>
            <w:tcMar>
              <w:top w:w="150" w:type="dxa"/>
              <w:left w:w="240" w:type="dxa"/>
              <w:bottom w:w="150" w:type="dxa"/>
              <w:right w:w="0" w:type="dxa"/>
            </w:tcMar>
            <w:vAlign w:val="center"/>
            <w:hideMark/>
          </w:tcPr>
          <w:p w14:paraId="20F1E0C2" w14:textId="77777777" w:rsidR="00141F65" w:rsidRPr="00141F65" w:rsidRDefault="00141F65" w:rsidP="00FE6DD5">
            <w:pPr>
              <w:spacing w:after="0" w:line="240" w:lineRule="auto"/>
            </w:pPr>
            <w:r w:rsidRPr="00141F65">
              <w:t>-2.7</w:t>
            </w:r>
          </w:p>
        </w:tc>
      </w:tr>
      <w:tr w:rsidR="00141F65" w:rsidRPr="00141F65" w14:paraId="5DFCBED3" w14:textId="77777777" w:rsidTr="00FE6DD5">
        <w:trPr>
          <w:trHeight w:val="243"/>
          <w:jc w:val="center"/>
        </w:trPr>
        <w:tc>
          <w:tcPr>
            <w:tcW w:w="0" w:type="auto"/>
            <w:tcMar>
              <w:top w:w="150" w:type="dxa"/>
              <w:left w:w="0" w:type="dxa"/>
              <w:bottom w:w="150" w:type="dxa"/>
              <w:right w:w="240" w:type="dxa"/>
            </w:tcMar>
            <w:vAlign w:val="center"/>
            <w:hideMark/>
          </w:tcPr>
          <w:p w14:paraId="3EF5BB84" w14:textId="77777777" w:rsidR="00141F65" w:rsidRPr="00141F65" w:rsidRDefault="00141F65" w:rsidP="00FE6DD5">
            <w:pPr>
              <w:spacing w:after="0" w:line="240" w:lineRule="auto"/>
            </w:pPr>
            <w:r w:rsidRPr="00141F65">
              <w:rPr>
                <w:b/>
                <w:bCs/>
              </w:rPr>
              <w:t>Fallow</w:t>
            </w:r>
          </w:p>
        </w:tc>
        <w:tc>
          <w:tcPr>
            <w:tcW w:w="0" w:type="auto"/>
            <w:tcMar>
              <w:top w:w="150" w:type="dxa"/>
              <w:left w:w="240" w:type="dxa"/>
              <w:bottom w:w="150" w:type="dxa"/>
              <w:right w:w="240" w:type="dxa"/>
            </w:tcMar>
            <w:vAlign w:val="center"/>
            <w:hideMark/>
          </w:tcPr>
          <w:p w14:paraId="7427997B" w14:textId="77777777" w:rsidR="00141F65" w:rsidRPr="00141F65" w:rsidRDefault="00141F65" w:rsidP="00FE6DD5">
            <w:pPr>
              <w:spacing w:after="0" w:line="240" w:lineRule="auto"/>
            </w:pPr>
            <w:r w:rsidRPr="00141F65">
              <w:t>17.1</w:t>
            </w:r>
          </w:p>
        </w:tc>
        <w:tc>
          <w:tcPr>
            <w:tcW w:w="0" w:type="auto"/>
            <w:tcMar>
              <w:top w:w="150" w:type="dxa"/>
              <w:left w:w="240" w:type="dxa"/>
              <w:bottom w:w="150" w:type="dxa"/>
              <w:right w:w="240" w:type="dxa"/>
            </w:tcMar>
            <w:vAlign w:val="center"/>
            <w:hideMark/>
          </w:tcPr>
          <w:p w14:paraId="2E37FE6B" w14:textId="77777777" w:rsidR="00141F65" w:rsidRPr="00141F65" w:rsidRDefault="00141F65" w:rsidP="00FE6DD5">
            <w:pPr>
              <w:spacing w:after="0" w:line="240" w:lineRule="auto"/>
            </w:pPr>
            <w:r w:rsidRPr="00141F65">
              <w:t>10.9</w:t>
            </w:r>
          </w:p>
        </w:tc>
        <w:tc>
          <w:tcPr>
            <w:tcW w:w="0" w:type="auto"/>
            <w:tcMar>
              <w:top w:w="150" w:type="dxa"/>
              <w:left w:w="240" w:type="dxa"/>
              <w:bottom w:w="150" w:type="dxa"/>
              <w:right w:w="0" w:type="dxa"/>
            </w:tcMar>
            <w:vAlign w:val="center"/>
            <w:hideMark/>
          </w:tcPr>
          <w:p w14:paraId="352816BA" w14:textId="77777777" w:rsidR="00141F65" w:rsidRPr="00141F65" w:rsidRDefault="00141F65" w:rsidP="00FE6DD5">
            <w:pPr>
              <w:spacing w:after="0" w:line="240" w:lineRule="auto"/>
            </w:pPr>
            <w:r w:rsidRPr="00141F65">
              <w:rPr>
                <w:b/>
                <w:bCs/>
              </w:rPr>
              <w:t>-6.2</w:t>
            </w:r>
          </w:p>
        </w:tc>
      </w:tr>
      <w:tr w:rsidR="00141F65" w:rsidRPr="00141F65" w14:paraId="48ECBD19" w14:textId="77777777" w:rsidTr="00FE6DD5">
        <w:trPr>
          <w:trHeight w:val="243"/>
          <w:jc w:val="center"/>
        </w:trPr>
        <w:tc>
          <w:tcPr>
            <w:tcW w:w="0" w:type="auto"/>
            <w:tcMar>
              <w:top w:w="150" w:type="dxa"/>
              <w:left w:w="0" w:type="dxa"/>
              <w:bottom w:w="150" w:type="dxa"/>
              <w:right w:w="240" w:type="dxa"/>
            </w:tcMar>
            <w:vAlign w:val="center"/>
            <w:hideMark/>
          </w:tcPr>
          <w:p w14:paraId="44319C03" w14:textId="77777777" w:rsidR="00141F65" w:rsidRPr="00141F65" w:rsidRDefault="00141F65" w:rsidP="00FE6DD5">
            <w:pPr>
              <w:spacing w:after="0" w:line="240" w:lineRule="auto"/>
            </w:pPr>
            <w:r w:rsidRPr="00141F65">
              <w:rPr>
                <w:b/>
                <w:bCs/>
              </w:rPr>
              <w:t>Fruit</w:t>
            </w:r>
          </w:p>
        </w:tc>
        <w:tc>
          <w:tcPr>
            <w:tcW w:w="0" w:type="auto"/>
            <w:tcMar>
              <w:top w:w="150" w:type="dxa"/>
              <w:left w:w="240" w:type="dxa"/>
              <w:bottom w:w="150" w:type="dxa"/>
              <w:right w:w="240" w:type="dxa"/>
            </w:tcMar>
            <w:vAlign w:val="center"/>
            <w:hideMark/>
          </w:tcPr>
          <w:p w14:paraId="3E3B067E" w14:textId="77777777" w:rsidR="00141F65" w:rsidRPr="00141F65" w:rsidRDefault="00141F65" w:rsidP="00FE6DD5">
            <w:pPr>
              <w:spacing w:after="0" w:line="240" w:lineRule="auto"/>
            </w:pPr>
            <w:r w:rsidRPr="00141F65">
              <w:t>13.6</w:t>
            </w:r>
          </w:p>
        </w:tc>
        <w:tc>
          <w:tcPr>
            <w:tcW w:w="0" w:type="auto"/>
            <w:tcMar>
              <w:top w:w="150" w:type="dxa"/>
              <w:left w:w="240" w:type="dxa"/>
              <w:bottom w:w="150" w:type="dxa"/>
              <w:right w:w="240" w:type="dxa"/>
            </w:tcMar>
            <w:vAlign w:val="center"/>
            <w:hideMark/>
          </w:tcPr>
          <w:p w14:paraId="7974DCB9" w14:textId="77777777" w:rsidR="00141F65" w:rsidRPr="00141F65" w:rsidRDefault="00141F65" w:rsidP="00FE6DD5">
            <w:pPr>
              <w:spacing w:after="0" w:line="240" w:lineRule="auto"/>
            </w:pPr>
            <w:r w:rsidRPr="00141F65">
              <w:t>15.7</w:t>
            </w:r>
          </w:p>
        </w:tc>
        <w:tc>
          <w:tcPr>
            <w:tcW w:w="0" w:type="auto"/>
            <w:tcMar>
              <w:top w:w="150" w:type="dxa"/>
              <w:left w:w="240" w:type="dxa"/>
              <w:bottom w:w="150" w:type="dxa"/>
              <w:right w:w="0" w:type="dxa"/>
            </w:tcMar>
            <w:vAlign w:val="center"/>
            <w:hideMark/>
          </w:tcPr>
          <w:p w14:paraId="134493F4" w14:textId="77777777" w:rsidR="00141F65" w:rsidRPr="00141F65" w:rsidRDefault="00141F65" w:rsidP="00FE6DD5">
            <w:pPr>
              <w:spacing w:after="0" w:line="240" w:lineRule="auto"/>
            </w:pPr>
            <w:r w:rsidRPr="00141F65">
              <w:rPr>
                <w:b/>
                <w:bCs/>
              </w:rPr>
              <w:t>+2.1</w:t>
            </w:r>
          </w:p>
        </w:tc>
      </w:tr>
      <w:tr w:rsidR="00141F65" w:rsidRPr="00141F65" w14:paraId="7A632152" w14:textId="77777777" w:rsidTr="00FE6DD5">
        <w:trPr>
          <w:trHeight w:val="243"/>
          <w:jc w:val="center"/>
        </w:trPr>
        <w:tc>
          <w:tcPr>
            <w:tcW w:w="0" w:type="auto"/>
            <w:tcMar>
              <w:top w:w="150" w:type="dxa"/>
              <w:left w:w="0" w:type="dxa"/>
              <w:bottom w:w="150" w:type="dxa"/>
              <w:right w:w="240" w:type="dxa"/>
            </w:tcMar>
            <w:vAlign w:val="center"/>
            <w:hideMark/>
          </w:tcPr>
          <w:p w14:paraId="3D1F5088" w14:textId="77777777" w:rsidR="00141F65" w:rsidRPr="00141F65" w:rsidRDefault="00141F65" w:rsidP="00FE6DD5">
            <w:pPr>
              <w:spacing w:after="0" w:line="240" w:lineRule="auto"/>
            </w:pPr>
            <w:r w:rsidRPr="00141F65">
              <w:rPr>
                <w:b/>
                <w:bCs/>
              </w:rPr>
              <w:t>Vegetables</w:t>
            </w:r>
          </w:p>
        </w:tc>
        <w:tc>
          <w:tcPr>
            <w:tcW w:w="0" w:type="auto"/>
            <w:tcMar>
              <w:top w:w="150" w:type="dxa"/>
              <w:left w:w="240" w:type="dxa"/>
              <w:bottom w:w="150" w:type="dxa"/>
              <w:right w:w="240" w:type="dxa"/>
            </w:tcMar>
            <w:vAlign w:val="center"/>
            <w:hideMark/>
          </w:tcPr>
          <w:p w14:paraId="7561532F" w14:textId="77777777" w:rsidR="00141F65" w:rsidRPr="00141F65" w:rsidRDefault="00141F65" w:rsidP="00FE6DD5">
            <w:pPr>
              <w:spacing w:after="0" w:line="240" w:lineRule="auto"/>
            </w:pPr>
            <w:r w:rsidRPr="00141F65">
              <w:t>3.9</w:t>
            </w:r>
          </w:p>
        </w:tc>
        <w:tc>
          <w:tcPr>
            <w:tcW w:w="0" w:type="auto"/>
            <w:tcMar>
              <w:top w:w="150" w:type="dxa"/>
              <w:left w:w="240" w:type="dxa"/>
              <w:bottom w:w="150" w:type="dxa"/>
              <w:right w:w="240" w:type="dxa"/>
            </w:tcMar>
            <w:vAlign w:val="center"/>
            <w:hideMark/>
          </w:tcPr>
          <w:p w14:paraId="31C133DA" w14:textId="77777777" w:rsidR="00141F65" w:rsidRPr="00141F65" w:rsidRDefault="00141F65" w:rsidP="00FE6DD5">
            <w:pPr>
              <w:spacing w:after="0" w:line="240" w:lineRule="auto"/>
            </w:pPr>
            <w:r w:rsidRPr="00141F65">
              <w:t>4.7</w:t>
            </w:r>
          </w:p>
        </w:tc>
        <w:tc>
          <w:tcPr>
            <w:tcW w:w="0" w:type="auto"/>
            <w:tcMar>
              <w:top w:w="150" w:type="dxa"/>
              <w:left w:w="240" w:type="dxa"/>
              <w:bottom w:w="150" w:type="dxa"/>
              <w:right w:w="0" w:type="dxa"/>
            </w:tcMar>
            <w:vAlign w:val="center"/>
            <w:hideMark/>
          </w:tcPr>
          <w:p w14:paraId="5BEEFCBF" w14:textId="77777777" w:rsidR="00141F65" w:rsidRPr="00141F65" w:rsidRDefault="00141F65" w:rsidP="00FE6DD5">
            <w:pPr>
              <w:spacing w:after="0" w:line="240" w:lineRule="auto"/>
            </w:pPr>
            <w:r w:rsidRPr="00141F65">
              <w:t>+0.8</w:t>
            </w:r>
          </w:p>
        </w:tc>
      </w:tr>
    </w:tbl>
    <w:p w14:paraId="4802433F" w14:textId="0B2D454A" w:rsidR="00141F65" w:rsidRDefault="00141F65" w:rsidP="00141F65">
      <w:pPr>
        <w:rPr>
          <w:i/>
          <w:iCs/>
        </w:rPr>
      </w:pPr>
      <w:r w:rsidRPr="00141F65">
        <w:rPr>
          <w:i/>
          <w:iCs/>
        </w:rPr>
        <w:t>Source: Calculations based on TurkStat Crop Production Statistics (2015, 2024) data. (Note: Shares are relative to total agricultural area; other minor groups are not shown in the table.)</w:t>
      </w:r>
    </w:p>
    <w:p w14:paraId="62C7E8EB" w14:textId="77777777" w:rsidR="00FE6DD5" w:rsidRPr="00141F65" w:rsidRDefault="00FE6DD5" w:rsidP="00141F65"/>
    <w:p w14:paraId="19DA967D" w14:textId="77777777" w:rsidR="00141F65" w:rsidRPr="00141F65" w:rsidRDefault="00141F65" w:rsidP="00656628">
      <w:pPr>
        <w:jc w:val="both"/>
      </w:pPr>
      <w:r w:rsidRPr="00141F65">
        <w:t>This data clearly reveals three main structural trends that marked the period:</w:t>
      </w:r>
    </w:p>
    <w:p w14:paraId="71CC01A3" w14:textId="77777777" w:rsidR="00141F65" w:rsidRPr="00141F65" w:rsidRDefault="00141F65" w:rsidP="00656628">
      <w:pPr>
        <w:numPr>
          <w:ilvl w:val="0"/>
          <w:numId w:val="22"/>
        </w:numPr>
        <w:jc w:val="both"/>
      </w:pPr>
      <w:r w:rsidRPr="00141F65">
        <w:rPr>
          <w:b/>
          <w:bCs/>
        </w:rPr>
        <w:t>The Dramatic Collapse of Fallow:</w:t>
      </w:r>
      <w:r w:rsidRPr="00141F65">
        <w:t> The </w:t>
      </w:r>
      <w:r w:rsidRPr="00141F65">
        <w:rPr>
          <w:b/>
          <w:bCs/>
        </w:rPr>
        <w:t>6.2-point drop</w:t>
      </w:r>
      <w:r w:rsidRPr="00141F65">
        <w:t> in the share of fallow areas within the total agricultural area is the most concrete and striking indicator of Turkish agriculture's intensification and modernization process. This can be explained by the spread of irrigation, increased input use, and changes in crop rotations.</w:t>
      </w:r>
    </w:p>
    <w:p w14:paraId="3A67CE50" w14:textId="77777777" w:rsidR="00141F65" w:rsidRPr="00141F65" w:rsidRDefault="00141F65" w:rsidP="00656628">
      <w:pPr>
        <w:numPr>
          <w:ilvl w:val="0"/>
          <w:numId w:val="22"/>
        </w:numPr>
        <w:jc w:val="both"/>
      </w:pPr>
      <w:r w:rsidRPr="00141F65">
        <w:rPr>
          <w:b/>
          <w:bCs/>
        </w:rPr>
        <w:t>The Pronounced Rise of Fruit:</w:t>
      </w:r>
      <w:r w:rsidRPr="00141F65">
        <w:t> The </w:t>
      </w:r>
      <w:r w:rsidRPr="00141F65">
        <w:rPr>
          <w:b/>
          <w:bCs/>
        </w:rPr>
        <w:t>2.1-point increase</w:t>
      </w:r>
      <w:r w:rsidRPr="00141F65">
        <w:t> in the share of fruit areas signals agriculture's shift towards more profitable and value-added products for domestic and external markets. This is a result of farmers' and investors' response to market signals.</w:t>
      </w:r>
    </w:p>
    <w:p w14:paraId="3B62B5E5" w14:textId="242D2B83" w:rsidR="00141F65" w:rsidRDefault="00141F65" w:rsidP="00656628">
      <w:pPr>
        <w:numPr>
          <w:ilvl w:val="0"/>
          <w:numId w:val="22"/>
        </w:numPr>
        <w:jc w:val="both"/>
      </w:pPr>
      <w:r w:rsidRPr="00141F65">
        <w:rPr>
          <w:b/>
          <w:bCs/>
        </w:rPr>
        <w:t>The Relative Contraction of Cereals:</w:t>
      </w:r>
      <w:r w:rsidRPr="00141F65">
        <w:t> Although cereal cultivation area in absolute terms has been maintained in Turkey (and even increased in some regions), its share within the total agricultural area </w:t>
      </w:r>
      <w:r w:rsidRPr="00141F65">
        <w:rPr>
          <w:b/>
          <w:bCs/>
        </w:rPr>
        <w:t>decreased by 2.7 points</w:t>
      </w:r>
      <w:r w:rsidRPr="00141F65">
        <w:t>. This is a consequence of the faster growth of other product groups (especially fruit) and shows the diversification tendency of agriculture despite the strategic importance of cereals.</w:t>
      </w:r>
    </w:p>
    <w:p w14:paraId="6799FF88" w14:textId="77777777" w:rsidR="00934640" w:rsidRDefault="00934640" w:rsidP="00934640">
      <w:pPr>
        <w:jc w:val="both"/>
      </w:pPr>
    </w:p>
    <w:p w14:paraId="679EBDBE" w14:textId="77777777" w:rsidR="00934640" w:rsidRPr="00141F65" w:rsidRDefault="00934640" w:rsidP="00934640">
      <w:r w:rsidRPr="00141F65">
        <w:rPr>
          <w:b/>
          <w:bCs/>
        </w:rPr>
        <w:t>To summarize the main findings:</w:t>
      </w:r>
    </w:p>
    <w:p w14:paraId="4FE1FDF6" w14:textId="77777777" w:rsidR="00934640" w:rsidRPr="00075004" w:rsidRDefault="00934640" w:rsidP="00934640">
      <w:pPr>
        <w:numPr>
          <w:ilvl w:val="0"/>
          <w:numId w:val="24"/>
        </w:numPr>
        <w:jc w:val="both"/>
      </w:pPr>
      <w:r w:rsidRPr="00075004">
        <w:lastRenderedPageBreak/>
        <w:t>Geographical concentration differs sharply according to product characteristics. Extreme concentration is seen in market- and logistics-sensitive products like ornamental plants (92.7%), while cereals and vegetables (around 40%) are more evenly distributed nationwide due to food security and broad climate tolerance. This shows that agricultural geography is shaped not only by ecological but also by strong economic and logistical determinants.</w:t>
      </w:r>
    </w:p>
    <w:p w14:paraId="2BD89B56" w14:textId="77777777" w:rsidR="00934640" w:rsidRPr="00075004" w:rsidRDefault="00934640" w:rsidP="00934640">
      <w:pPr>
        <w:ind w:left="720"/>
        <w:jc w:val="both"/>
      </w:pPr>
    </w:p>
    <w:p w14:paraId="2FCC0B55" w14:textId="77777777" w:rsidR="00934640" w:rsidRPr="00075004" w:rsidRDefault="00934640" w:rsidP="00934640">
      <w:pPr>
        <w:numPr>
          <w:ilvl w:val="0"/>
          <w:numId w:val="24"/>
        </w:numPr>
        <w:jc w:val="both"/>
      </w:pPr>
      <w:r w:rsidRPr="00075004">
        <w:t>Regions have developed distinct agricultural identities. TR1 (Istanbul) has become the "metropolitan ornamental hub," TR7 (Central Anatolia) the "cereal and fallow plain," and TRC (Southeastern Anatolia) the "rising fruit focus" thanks to irrigation investments. This specialization is a concrete manifestation of regional comparative advantages.</w:t>
      </w:r>
    </w:p>
    <w:p w14:paraId="41DB9498" w14:textId="77777777" w:rsidR="00934640" w:rsidRPr="00075004" w:rsidRDefault="00934640" w:rsidP="00934640">
      <w:pPr>
        <w:jc w:val="both"/>
      </w:pPr>
    </w:p>
    <w:p w14:paraId="1FE06775" w14:textId="77777777" w:rsidR="00934640" w:rsidRPr="00075004" w:rsidRDefault="00934640" w:rsidP="00934640">
      <w:pPr>
        <w:numPr>
          <w:ilvl w:val="0"/>
          <w:numId w:val="24"/>
        </w:numPr>
        <w:jc w:val="both"/>
      </w:pPr>
      <w:r w:rsidRPr="00075004">
        <w:t>At the macro level, the face of agriculture is changing rapidly. The dramatic 6.2-point drop in the share of fallow areas over the decade is the clearest indicator of agricultural intensification. In parallel, the 2.1-point increase in fruit areas proves that farmers and investors are responding to market signals and moving towards more profitable products.</w:t>
      </w:r>
    </w:p>
    <w:p w14:paraId="7EEDBDFB" w14:textId="77777777" w:rsidR="00934640" w:rsidRPr="00075004" w:rsidRDefault="00934640" w:rsidP="00934640">
      <w:pPr>
        <w:jc w:val="both"/>
      </w:pPr>
    </w:p>
    <w:p w14:paraId="019E3528" w14:textId="77777777" w:rsidR="00934640" w:rsidRDefault="00934640" w:rsidP="00934640">
      <w:pPr>
        <w:jc w:val="both"/>
      </w:pPr>
      <w:r w:rsidRPr="00075004">
        <w:t>However, these seemingly positive productivity and profitability increase trends bring with them serious sustainability risks. The uncontrolled spread of irrigated agriculture, especially in arid and semi-arid regions (TR7, TRC), increases</w:t>
      </w:r>
      <w:r w:rsidRPr="00141F65">
        <w:t xml:space="preserve"> the danger of over-extraction of groundwater resources, soil salinization, and ecosystem degradation. Furthermore, extreme weather events and drought caused by climate change have the potential to fundamentally disrupt the current production geography and regional specialization models.</w:t>
      </w:r>
    </w:p>
    <w:p w14:paraId="2D69F375" w14:textId="77777777" w:rsidR="00934640" w:rsidRPr="00141F65" w:rsidRDefault="00934640" w:rsidP="00934640">
      <w:pPr>
        <w:jc w:val="both"/>
      </w:pPr>
    </w:p>
    <w:p w14:paraId="54ADA49F" w14:textId="77777777" w:rsidR="00934640" w:rsidRDefault="00934640" w:rsidP="00934640">
      <w:pPr>
        <w:jc w:val="both"/>
      </w:pPr>
      <w:r w:rsidRPr="00141F65">
        <w:t xml:space="preserve">Therefore, the next decade for Turkish agriculture necessitates establishing a strategic balance </w:t>
      </w:r>
      <w:r w:rsidRPr="00075004">
        <w:t>between "production increase" and "resource sustainability." The following</w:t>
      </w:r>
      <w:r w:rsidRPr="00141F65">
        <w:t xml:space="preserve"> recommendations can guide policymakers, researchers, and sector stakeholders:</w:t>
      </w:r>
    </w:p>
    <w:p w14:paraId="24915A4B" w14:textId="77777777" w:rsidR="00934640" w:rsidRPr="00141F65" w:rsidRDefault="00934640" w:rsidP="00934640">
      <w:pPr>
        <w:jc w:val="both"/>
      </w:pPr>
    </w:p>
    <w:p w14:paraId="7741A80A" w14:textId="77777777" w:rsidR="00934640" w:rsidRPr="00141F65" w:rsidRDefault="00934640" w:rsidP="00934640">
      <w:pPr>
        <w:numPr>
          <w:ilvl w:val="0"/>
          <w:numId w:val="25"/>
        </w:numPr>
        <w:jc w:val="both"/>
      </w:pPr>
      <w:r w:rsidRPr="00141F65">
        <w:rPr>
          <w:b/>
          <w:bCs/>
        </w:rPr>
        <w:t>Basin-Based Smart Specialization:</w:t>
      </w:r>
      <w:r w:rsidRPr="00141F65">
        <w:t> Regional crop patterns should be re-planned considering the carrying capacity of water basins. The promotion of high water-consuming crops in basins with high water stress should be limited.</w:t>
      </w:r>
    </w:p>
    <w:p w14:paraId="2CD87BB3" w14:textId="77777777" w:rsidR="00934640" w:rsidRPr="00141F65" w:rsidRDefault="00934640" w:rsidP="00934640">
      <w:pPr>
        <w:numPr>
          <w:ilvl w:val="0"/>
          <w:numId w:val="25"/>
        </w:numPr>
        <w:jc w:val="both"/>
      </w:pPr>
      <w:r w:rsidRPr="00141F65">
        <w:rPr>
          <w:b/>
          <w:bCs/>
        </w:rPr>
        <w:t>Promotion of Sustainable Intensification:</w:t>
      </w:r>
      <w:r w:rsidRPr="00141F65">
        <w:t> Practices such as "smart fallow," conservation agriculture, drip and sprinkler irrigation systems, and the use of drought-resistant varieties should be expanded and supported.</w:t>
      </w:r>
    </w:p>
    <w:p w14:paraId="080E4372" w14:textId="77777777" w:rsidR="00934640" w:rsidRPr="00141F65" w:rsidRDefault="00934640" w:rsidP="00934640">
      <w:pPr>
        <w:numPr>
          <w:ilvl w:val="0"/>
          <w:numId w:val="25"/>
        </w:numPr>
        <w:jc w:val="both"/>
      </w:pPr>
      <w:r w:rsidRPr="00141F65">
        <w:rPr>
          <w:b/>
          <w:bCs/>
        </w:rPr>
        <w:t>Climate-Resilient Production Systems:</w:t>
      </w:r>
      <w:r w:rsidRPr="00141F65">
        <w:t> Flexible and resilient production models (crop diversification, insurance mechanisms, early warning systems) that can adapt to climate change scenarios should be developed.</w:t>
      </w:r>
    </w:p>
    <w:p w14:paraId="263E0F7B" w14:textId="77777777" w:rsidR="00934640" w:rsidRDefault="00934640" w:rsidP="00934640">
      <w:pPr>
        <w:numPr>
          <w:ilvl w:val="0"/>
          <w:numId w:val="25"/>
        </w:numPr>
        <w:jc w:val="both"/>
      </w:pPr>
      <w:r w:rsidRPr="00141F65">
        <w:rPr>
          <w:b/>
          <w:bCs/>
        </w:rPr>
        <w:t>Data-Driven Monitoring and Planning:</w:t>
      </w:r>
      <w:r w:rsidRPr="00141F65">
        <w:t> High-resolution, real-time data monitoring systems for agricultural area and water use should be established to support policy decisions with scientific data.</w:t>
      </w:r>
    </w:p>
    <w:p w14:paraId="35E4BBD3" w14:textId="77777777" w:rsidR="00934640" w:rsidRPr="00141F65" w:rsidRDefault="00934640" w:rsidP="00934640">
      <w:pPr>
        <w:ind w:left="720"/>
        <w:jc w:val="both"/>
      </w:pPr>
    </w:p>
    <w:p w14:paraId="230654D6" w14:textId="77777777" w:rsidR="00934640" w:rsidRDefault="00934640" w:rsidP="00934640">
      <w:pPr>
        <w:jc w:val="both"/>
      </w:pPr>
      <w:r w:rsidRPr="00141F65">
        <w:t xml:space="preserve">In conclusion, while the 2015-2024 period demonstrates the structural dynamism and potential of Turkish agriculture, it also sends strong signals that it is approaching ecological limits. Future success </w:t>
      </w:r>
      <w:r w:rsidRPr="00141F65">
        <w:lastRenderedPageBreak/>
        <w:t>will be measured not only by production figures but by how manageably, resiliently, and inclusively this new and intensive agricultural model is integrated with natural resources and climate realities.</w:t>
      </w:r>
    </w:p>
    <w:p w14:paraId="2F75C44B" w14:textId="77777777" w:rsidR="00934640" w:rsidRDefault="00934640" w:rsidP="00934640">
      <w:pPr>
        <w:jc w:val="both"/>
      </w:pPr>
    </w:p>
    <w:p w14:paraId="73EAFE1A" w14:textId="77777777" w:rsidR="00F63B89" w:rsidRPr="00141F65" w:rsidRDefault="00F63B89" w:rsidP="00656628">
      <w:pPr>
        <w:ind w:left="720"/>
        <w:jc w:val="both"/>
      </w:pPr>
    </w:p>
    <w:p w14:paraId="43F04891" w14:textId="77777777" w:rsidR="00656628" w:rsidRPr="00141F65" w:rsidRDefault="00656628" w:rsidP="00141F65"/>
    <w:p w14:paraId="7DDF42E8" w14:textId="7916AE5F" w:rsidR="00656628" w:rsidRPr="00656628" w:rsidRDefault="00141F65" w:rsidP="00656628">
      <w:pPr>
        <w:pStyle w:val="ListParagraph"/>
        <w:numPr>
          <w:ilvl w:val="0"/>
          <w:numId w:val="22"/>
        </w:numPr>
        <w:rPr>
          <w:b/>
          <w:bCs/>
        </w:rPr>
      </w:pPr>
      <w:r w:rsidRPr="00656628">
        <w:rPr>
          <w:b/>
          <w:bCs/>
        </w:rPr>
        <w:t>CONCLUSION AND RECOMMENDATIONS</w:t>
      </w:r>
    </w:p>
    <w:p w14:paraId="3EB18D36" w14:textId="0FE27702" w:rsidR="00141F65" w:rsidRDefault="00141F65" w:rsidP="00656628">
      <w:pPr>
        <w:jc w:val="both"/>
      </w:pPr>
      <w:r w:rsidRPr="00141F65">
        <w:br/>
        <w:t xml:space="preserve">Analyses of regional concentration and crop patterns for the 2015-2024 period clearly reveal that Turkish agriculture is undergoing a </w:t>
      </w:r>
      <w:commentRangeStart w:id="6"/>
      <w:r w:rsidRPr="00141F65">
        <w:t>profound</w:t>
      </w:r>
      <w:commentRangeEnd w:id="6"/>
      <w:r w:rsidR="007422A1" w:rsidRPr="00141F65">
        <w:rPr>
          <w:rStyle w:val="CommentReference"/>
          <w:sz w:val="22"/>
          <w:szCs w:val="22"/>
        </w:rPr>
        <w:commentReference w:id="6"/>
      </w:r>
      <w:r w:rsidRPr="00141F65">
        <w:t xml:space="preserve"> and multi-dimensional structural transformation. This transformation is characterized by a distinct shift </w:t>
      </w:r>
      <w:r w:rsidRPr="00705D34">
        <w:t>from the traditional "fallow-cereal" axis-dependent, arid-condition reliant agricultural model towards a market-integrated, high-value-added, and intensive production model.</w:t>
      </w:r>
    </w:p>
    <w:p w14:paraId="27F75308" w14:textId="77777777" w:rsidR="00934640" w:rsidRDefault="00934640" w:rsidP="00656628">
      <w:pPr>
        <w:jc w:val="both"/>
      </w:pPr>
    </w:p>
    <w:p w14:paraId="4C78BD21" w14:textId="77777777" w:rsidR="00934640" w:rsidRDefault="00934640" w:rsidP="00934640">
      <w:pPr>
        <w:jc w:val="both"/>
      </w:pPr>
      <w:r w:rsidRPr="00141F65">
        <w:rPr>
          <w:b/>
          <w:bCs/>
        </w:rPr>
        <w:t>Future Scenarios: The Search for a Sustainable Balance</w:t>
      </w:r>
    </w:p>
    <w:p w14:paraId="4EFC732E" w14:textId="77777777" w:rsidR="00934640" w:rsidRDefault="00934640" w:rsidP="00934640">
      <w:pPr>
        <w:jc w:val="both"/>
      </w:pPr>
      <w:r w:rsidRPr="00141F65">
        <w:t>The structural transformation revealed by TurkStat data has brought Turkish agriculture to a critical crossroads filled with both opportunities and risks. Possible future scenarios if current trends continue can be foreseen as follows:</w:t>
      </w:r>
    </w:p>
    <w:p w14:paraId="45DB7D88" w14:textId="77777777" w:rsidR="00934640" w:rsidRPr="00141F65" w:rsidRDefault="00934640" w:rsidP="00934640">
      <w:pPr>
        <w:jc w:val="both"/>
      </w:pPr>
    </w:p>
    <w:p w14:paraId="106BB1BC" w14:textId="77777777" w:rsidR="00934640" w:rsidRPr="00141F65" w:rsidRDefault="00934640" w:rsidP="00934640">
      <w:pPr>
        <w:numPr>
          <w:ilvl w:val="0"/>
          <w:numId w:val="23"/>
        </w:numPr>
        <w:jc w:val="both"/>
      </w:pPr>
      <w:r w:rsidRPr="00141F65">
        <w:rPr>
          <w:b/>
          <w:bCs/>
        </w:rPr>
        <w:t>Scenario A (Uncontrolled Intensification - Continuation of Current Trend):</w:t>
      </w:r>
      <w:r w:rsidRPr="00141F65">
        <w:t> The decrease in fallow and uncontrolled spread of irrigated agriculture (fruit, vegetables) could lead to rapid depletion of groundwater resources, soil salinization, and ecosystem degradation, especially in arid regions (TR7, TRC) (Göçmez &amp; İşçioğlu, 2004).</w:t>
      </w:r>
    </w:p>
    <w:p w14:paraId="0E8E3F49" w14:textId="77777777" w:rsidR="00934640" w:rsidRPr="00141F65" w:rsidRDefault="00934640" w:rsidP="00934640">
      <w:pPr>
        <w:numPr>
          <w:ilvl w:val="0"/>
          <w:numId w:val="23"/>
        </w:numPr>
        <w:jc w:val="both"/>
      </w:pPr>
      <w:r w:rsidRPr="00141F65">
        <w:rPr>
          <w:b/>
          <w:bCs/>
        </w:rPr>
        <w:t>Scenario B (Smart Specialization and Balance):</w:t>
      </w:r>
      <w:r w:rsidRPr="00141F65">
        <w:t> High value-added production continues but is supported by sustainable practices such as "smart fallow," conservation agriculture, drip irrigation, drought-resistant varieties, and basin-based water management. In this scenario, productivity increase is balanced with resource conservation (Çelik, 2016; Yıldırım, 2025).</w:t>
      </w:r>
    </w:p>
    <w:p w14:paraId="021E79AA" w14:textId="77777777" w:rsidR="00934640" w:rsidRDefault="00934640" w:rsidP="00934640">
      <w:pPr>
        <w:numPr>
          <w:ilvl w:val="0"/>
          <w:numId w:val="23"/>
        </w:numPr>
        <w:jc w:val="both"/>
      </w:pPr>
      <w:r w:rsidRPr="00141F65">
        <w:rPr>
          <w:b/>
          <w:bCs/>
        </w:rPr>
        <w:t>Scenario C (Climate-Forced Restructuring):</w:t>
      </w:r>
      <w:r w:rsidRPr="00141F65">
        <w:t> The intensification of climate change effects (extreme heat, drought, irregular rainfall) could fundamentally disrupt the current production geography. While traditional fruit and vegetable regions (TR6, TR3) suffer yield losses, production may experience a forced shift towards more temperate and rainy regions (Black Sea, Northern Marmara).</w:t>
      </w:r>
    </w:p>
    <w:p w14:paraId="662E0D54" w14:textId="77777777" w:rsidR="00934640" w:rsidRPr="00141F65" w:rsidRDefault="00934640" w:rsidP="00934640">
      <w:pPr>
        <w:ind w:left="720"/>
        <w:jc w:val="both"/>
      </w:pPr>
    </w:p>
    <w:p w14:paraId="0FC22D8E" w14:textId="77777777" w:rsidR="00934640" w:rsidRDefault="00934640" w:rsidP="00934640">
      <w:pPr>
        <w:jc w:val="both"/>
      </w:pPr>
      <w:r w:rsidRPr="00141F65">
        <w:t xml:space="preserve">The 2015-2024 period shows that Turkish agriculture has made a definitive transition, breaking away from its </w:t>
      </w:r>
      <w:commentRangeStart w:id="7"/>
      <w:r w:rsidRPr="00141F65">
        <w:t>traditional</w:t>
      </w:r>
      <w:commentRangeEnd w:id="7"/>
      <w:r w:rsidR="007422A1" w:rsidRPr="00141F65">
        <w:rPr>
          <w:rStyle w:val="CommentReference"/>
          <w:sz w:val="22"/>
          <w:szCs w:val="22"/>
        </w:rPr>
        <w:commentReference w:id="7"/>
      </w:r>
      <w:r w:rsidRPr="00141F65">
        <w:t xml:space="preserve"> "fallow-cereal" heavy structure towards a more market-oriented, intensive, and value-added model. While this transformation carries the potential for productivity and income growth, it is also creating unprecedented pressure on water resources and soil health. Therefore, the sustainability of agricultural success will henceforth be measured not only by yield and area increases but by how resiliently and compatibly this new and intensive agricultural model can be integrated with ecological limits and climate risks.</w:t>
      </w:r>
    </w:p>
    <w:p w14:paraId="4A748C60" w14:textId="77777777" w:rsidR="002D4270" w:rsidRDefault="002D4270" w:rsidP="00934640">
      <w:pPr>
        <w:jc w:val="both"/>
      </w:pPr>
    </w:p>
    <w:p w14:paraId="4AAE4289" w14:textId="77777777" w:rsidR="002D4270" w:rsidRDefault="002D4270" w:rsidP="002D4270">
      <w:pPr>
        <w:jc w:val="both"/>
      </w:pPr>
      <w:r>
        <w:t>COMPETING INTERESTS DISCLAIMER:</w:t>
      </w:r>
    </w:p>
    <w:p w14:paraId="71661216" w14:textId="1A3B67AD" w:rsidR="002D4270" w:rsidRDefault="002D4270" w:rsidP="002D4270">
      <w:pPr>
        <w:jc w:val="both"/>
      </w:pPr>
      <w:r>
        <w:lastRenderedPageBreak/>
        <w:t>Authors have declared that they have no known competing financial interests OR non-financial interests OR personal relationships that could have appeared to influence the work reported in this paper.</w:t>
      </w:r>
    </w:p>
    <w:p w14:paraId="67ABE449" w14:textId="77777777" w:rsidR="00934640" w:rsidRPr="00705D34" w:rsidRDefault="00934640" w:rsidP="00656628">
      <w:pPr>
        <w:jc w:val="both"/>
      </w:pPr>
    </w:p>
    <w:p w14:paraId="7DFC43D1" w14:textId="77777777" w:rsidR="00656628" w:rsidRPr="00141F65" w:rsidRDefault="00656628" w:rsidP="00656628"/>
    <w:p w14:paraId="70EF48B9" w14:textId="77777777" w:rsidR="00656628" w:rsidRPr="00141F65" w:rsidRDefault="00656628" w:rsidP="00656628">
      <w:pPr>
        <w:jc w:val="both"/>
      </w:pPr>
    </w:p>
    <w:p w14:paraId="267F60E1" w14:textId="77777777" w:rsidR="00141F65" w:rsidRPr="00141F65" w:rsidRDefault="00141F65" w:rsidP="00141F65">
      <w:r w:rsidRPr="00141F65">
        <w:rPr>
          <w:b/>
          <w:bCs/>
        </w:rPr>
        <w:t>REFERENCES</w:t>
      </w:r>
    </w:p>
    <w:p w14:paraId="16450458" w14:textId="77777777" w:rsidR="00990E30" w:rsidRDefault="00990E30" w:rsidP="00990E30">
      <w:r>
        <w:t>Benek, S. (2009). The Southeastern Anatolia Project (GAP) in terms of its emergence, development, and impact on the region. Ankara University Faculty of Political Sciences Journal, 64(03), 45-71.</w:t>
      </w:r>
    </w:p>
    <w:p w14:paraId="70C45AE3" w14:textId="77777777" w:rsidR="00990E30" w:rsidRDefault="00990E30" w:rsidP="00990E30">
      <w:r>
        <w:t>Çelik, A. (2016). Steps to be taken for the adoption and dissemination of conservation tillage and direct seeding in Türkiye. Journal of Agricultural Machinery Science, 12(4), 243-253.</w:t>
      </w:r>
    </w:p>
    <w:p w14:paraId="37DFBC23" w14:textId="77777777" w:rsidR="00990E30" w:rsidRDefault="00990E30" w:rsidP="00990E30">
      <w:r>
        <w:t>Demiralay, İ. (2010). OPPORTUNITIES FOR UTILIZING FALLOW LANDS IN Türkiye. Atatürk University Faculty of Agriculture Journal, 12(2-3).</w:t>
      </w:r>
    </w:p>
    <w:p w14:paraId="1D41665B" w14:textId="77777777" w:rsidR="00990E30" w:rsidRDefault="00990E30" w:rsidP="00990E30">
      <w:r>
        <w:t>Göçmez, G., &amp; İşçioğlu, A. (2004). Groundwater level changes in the Konya closed basin. National Symposium on Groundwater, 23-24.</w:t>
      </w:r>
    </w:p>
    <w:p w14:paraId="71006A27" w14:textId="77777777" w:rsidR="00990E30" w:rsidRDefault="00990E30" w:rsidP="00990E30">
      <w:r>
        <w:t>Taşçıoğlu, Y., &amp; Sayın, C. (2005). CUT FLOWER PRODUCTION AND EXPORT STRUCTURE IN Türkiye. Akdeniz University Journal of the Faculty of Agriculture, 18(3), 343-354.</w:t>
      </w:r>
    </w:p>
    <w:p w14:paraId="37F543BE" w14:textId="77777777" w:rsidR="00990E30" w:rsidRDefault="00990E30" w:rsidP="00990E30">
      <w:r>
        <w:t>TÜİK. (2024). Crop Production Statistics Methodology. Turkish Statistical Institute. Retrieved from https://data.tuik.gov.tr/Bulten/Index?p=Bitkisel-Uretim-Istatistikleri-2023-49393</w:t>
      </w:r>
    </w:p>
    <w:p w14:paraId="49D2191A" w14:textId="5734A750" w:rsidR="00EA0CC5" w:rsidRDefault="00990E30" w:rsidP="00990E30">
      <w:r>
        <w:t>Yıldırım, M. (2025). Sustainable Land and Water Resources Use in the Agricultural Sector. Şura Academy, (8 ENVIRONMENT), 23-36.</w:t>
      </w:r>
    </w:p>
    <w:p w14:paraId="171F041D" w14:textId="77777777" w:rsidR="00990E30" w:rsidRDefault="00990E30" w:rsidP="00990E30"/>
    <w:sectPr w:rsidR="00990E30" w:rsidSect="007551C7">
      <w:headerReference w:type="even" r:id="rId13"/>
      <w:headerReference w:type="default" r:id="rId14"/>
      <w:footerReference w:type="even" r:id="rId15"/>
      <w:footerReference w:type="default" r:id="rId16"/>
      <w:headerReference w:type="first" r:id="rId17"/>
      <w:footerReference w:type="first" r:id="rId18"/>
      <w:pgSz w:w="11906" w:h="16838" w:code="9"/>
      <w:pgMar w:top="1417" w:right="1417" w:bottom="1417" w:left="1417" w:header="851"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Sneh Singh" w:date="2026-01-15T11:45:00Z" w:initials="SS">
    <w:p w14:paraId="2788AB43" w14:textId="77777777" w:rsidR="007422A1" w:rsidRDefault="007422A1" w:rsidP="007422A1">
      <w:pPr>
        <w:pStyle w:val="CommentText"/>
      </w:pPr>
      <w:r>
        <w:rPr>
          <w:rStyle w:val="CommentReference"/>
        </w:rPr>
        <w:annotationRef/>
      </w:r>
      <w:r>
        <w:t xml:space="preserve">The abstract is well structured but slightly long; inclusion of one key quantitative result (e.g., percentage change in fallow or fruit area) would strengthen it. </w:t>
      </w:r>
    </w:p>
  </w:comment>
  <w:comment w:id="1" w:author="Sneh Singh" w:date="2026-01-15T11:46:00Z" w:initials="SS">
    <w:p w14:paraId="4F1B18FD" w14:textId="77777777" w:rsidR="007422A1" w:rsidRDefault="007422A1" w:rsidP="007422A1">
      <w:pPr>
        <w:pStyle w:val="CommentText"/>
      </w:pPr>
      <w:r>
        <w:rPr>
          <w:rStyle w:val="CommentReference"/>
        </w:rPr>
        <w:annotationRef/>
      </w:r>
      <w:r>
        <w:t xml:space="preserve">The introduction provides a strong contextual background and clearly states the research objective. </w:t>
      </w:r>
    </w:p>
  </w:comment>
  <w:comment w:id="2" w:author="Sneh Singh" w:date="2026-01-15T11:47:00Z" w:initials="SS">
    <w:p w14:paraId="7C7C492F" w14:textId="77777777" w:rsidR="007422A1" w:rsidRDefault="007422A1" w:rsidP="007422A1">
      <w:pPr>
        <w:pStyle w:val="CommentText"/>
      </w:pPr>
      <w:r>
        <w:rPr>
          <w:rStyle w:val="CommentReference"/>
        </w:rPr>
        <w:annotationRef/>
      </w:r>
      <w:r>
        <w:t xml:space="preserve">A brief reference to similar regional structural studies from other countries would strengthen the literature framing. </w:t>
      </w:r>
    </w:p>
  </w:comment>
  <w:comment w:id="3" w:author="Sneh Singh" w:date="2026-01-15T11:47:00Z" w:initials="SS">
    <w:p w14:paraId="75DF311F" w14:textId="77777777" w:rsidR="007422A1" w:rsidRDefault="007422A1" w:rsidP="007422A1">
      <w:pPr>
        <w:pStyle w:val="CommentText"/>
      </w:pPr>
      <w:r>
        <w:rPr>
          <w:rStyle w:val="CommentReference"/>
        </w:rPr>
        <w:annotationRef/>
      </w:r>
      <w:r>
        <w:t xml:space="preserve">The regional concentration ratio should be briefly defined using a mathematical expression for clarity. </w:t>
      </w:r>
    </w:p>
  </w:comment>
  <w:comment w:id="4" w:author="Sneh Singh" w:date="2026-01-15T11:47:00Z" w:initials="SS">
    <w:p w14:paraId="306A2240" w14:textId="77777777" w:rsidR="007422A1" w:rsidRDefault="007422A1" w:rsidP="007422A1">
      <w:pPr>
        <w:pStyle w:val="CommentText"/>
      </w:pPr>
      <w:r>
        <w:rPr>
          <w:rStyle w:val="CommentReference"/>
        </w:rPr>
        <w:annotationRef/>
      </w:r>
      <w:r>
        <w:t xml:space="preserve">Results are clearly presented and logically organized. </w:t>
      </w:r>
    </w:p>
  </w:comment>
  <w:comment w:id="5" w:author="Sneh Singh" w:date="2026-01-15T11:48:00Z" w:initials="SS">
    <w:p w14:paraId="36A995EE" w14:textId="77777777" w:rsidR="007422A1" w:rsidRDefault="007422A1" w:rsidP="007422A1">
      <w:pPr>
        <w:pStyle w:val="CommentText"/>
      </w:pPr>
      <w:r>
        <w:rPr>
          <w:rStyle w:val="CommentReference"/>
        </w:rPr>
        <w:annotationRef/>
      </w:r>
      <w:r>
        <w:t xml:space="preserve">Some sections are descriptive and could be slightly condensed to avoid repetition of table values. </w:t>
      </w:r>
    </w:p>
  </w:comment>
  <w:comment w:id="6" w:author="Sneh Singh" w:date="2026-01-15T11:49:00Z" w:initials="SS">
    <w:p w14:paraId="48DA50EB" w14:textId="77777777" w:rsidR="007422A1" w:rsidRDefault="007422A1" w:rsidP="007422A1">
      <w:pPr>
        <w:pStyle w:val="CommentText"/>
      </w:pPr>
      <w:r>
        <w:rPr>
          <w:rStyle w:val="CommentReference"/>
        </w:rPr>
        <w:annotationRef/>
      </w:r>
      <w:r>
        <w:t xml:space="preserve">The conclusion effectively summarizes key findings and policy implications. </w:t>
      </w:r>
    </w:p>
  </w:comment>
  <w:comment w:id="7" w:author="Sneh Singh" w:date="2026-01-15T11:50:00Z" w:initials="SS">
    <w:p w14:paraId="3350EDAB" w14:textId="77777777" w:rsidR="007422A1" w:rsidRDefault="007422A1" w:rsidP="007422A1">
      <w:pPr>
        <w:pStyle w:val="CommentText"/>
      </w:pPr>
      <w:r>
        <w:rPr>
          <w:rStyle w:val="CommentReference"/>
        </w:rPr>
        <w:annotationRef/>
      </w:r>
      <w:r>
        <w:t xml:space="preserve">The section could be slightly shortened by avoiding repetition of earlier discussions.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788AB43" w15:done="0"/>
  <w15:commentEx w15:paraId="4F1B18FD" w15:done="0"/>
  <w15:commentEx w15:paraId="7C7C492F" w15:done="0"/>
  <w15:commentEx w15:paraId="75DF311F" w15:done="0"/>
  <w15:commentEx w15:paraId="306A2240" w15:done="0"/>
  <w15:commentEx w15:paraId="36A995EE" w15:done="0"/>
  <w15:commentEx w15:paraId="48DA50EB" w15:done="0"/>
  <w15:commentEx w15:paraId="3350EDA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75772E4" w16cex:dateUtc="2026-01-15T06:15:00Z"/>
  <w16cex:commentExtensible w16cex:durableId="67F67ECC" w16cex:dateUtc="2026-01-15T06:16:00Z"/>
  <w16cex:commentExtensible w16cex:durableId="5036EA74" w16cex:dateUtc="2026-01-15T06:17:00Z"/>
  <w16cex:commentExtensible w16cex:durableId="139C747F" w16cex:dateUtc="2026-01-15T06:17:00Z"/>
  <w16cex:commentExtensible w16cex:durableId="3670A2DB" w16cex:dateUtc="2026-01-15T06:17:00Z"/>
  <w16cex:commentExtensible w16cex:durableId="6016C77D" w16cex:dateUtc="2026-01-15T06:18:00Z"/>
  <w16cex:commentExtensible w16cex:durableId="46A8D2A8" w16cex:dateUtc="2026-01-15T06:19:00Z"/>
  <w16cex:commentExtensible w16cex:durableId="323EDA0F" w16cex:dateUtc="2026-01-15T06: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788AB43" w16cid:durableId="275772E4"/>
  <w16cid:commentId w16cid:paraId="4F1B18FD" w16cid:durableId="67F67ECC"/>
  <w16cid:commentId w16cid:paraId="7C7C492F" w16cid:durableId="5036EA74"/>
  <w16cid:commentId w16cid:paraId="75DF311F" w16cid:durableId="139C747F"/>
  <w16cid:commentId w16cid:paraId="306A2240" w16cid:durableId="3670A2DB"/>
  <w16cid:commentId w16cid:paraId="36A995EE" w16cid:durableId="6016C77D"/>
  <w16cid:commentId w16cid:paraId="48DA50EB" w16cid:durableId="46A8D2A8"/>
  <w16cid:commentId w16cid:paraId="3350EDAB" w16cid:durableId="323EDA0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99069C" w14:textId="77777777" w:rsidR="005E307D" w:rsidRDefault="005E307D" w:rsidP="001A51D5">
      <w:pPr>
        <w:spacing w:after="0" w:line="240" w:lineRule="auto"/>
      </w:pPr>
      <w:r>
        <w:separator/>
      </w:r>
    </w:p>
  </w:endnote>
  <w:endnote w:type="continuationSeparator" w:id="0">
    <w:p w14:paraId="17820663" w14:textId="77777777" w:rsidR="005E307D" w:rsidRDefault="005E307D" w:rsidP="001A51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1C89A" w14:textId="77777777" w:rsidR="001A51D5" w:rsidRDefault="001A51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B50F8" w14:textId="77777777" w:rsidR="001A51D5" w:rsidRDefault="001A51D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C3B49" w14:textId="77777777" w:rsidR="001A51D5" w:rsidRDefault="001A51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5A0943" w14:textId="77777777" w:rsidR="005E307D" w:rsidRDefault="005E307D" w:rsidP="001A51D5">
      <w:pPr>
        <w:spacing w:after="0" w:line="240" w:lineRule="auto"/>
      </w:pPr>
      <w:r>
        <w:separator/>
      </w:r>
    </w:p>
  </w:footnote>
  <w:footnote w:type="continuationSeparator" w:id="0">
    <w:p w14:paraId="3003FABA" w14:textId="77777777" w:rsidR="005E307D" w:rsidRDefault="005E307D" w:rsidP="001A51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5121C" w14:textId="5DD12F2A" w:rsidR="001A51D5" w:rsidRDefault="00000000">
    <w:pPr>
      <w:pStyle w:val="Header"/>
    </w:pPr>
    <w:r>
      <w:rPr>
        <w:noProof/>
      </w:rPr>
      <w:pict w14:anchorId="03D001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7043235" o:spid="_x0000_s1026" type="#_x0000_t136" style="position:absolute;margin-left:0;margin-top:0;width:574.65pt;height:64.8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E275A" w14:textId="77FAC664" w:rsidR="001A51D5" w:rsidRDefault="00000000">
    <w:pPr>
      <w:pStyle w:val="Header"/>
    </w:pPr>
    <w:r>
      <w:rPr>
        <w:noProof/>
      </w:rPr>
      <w:pict w14:anchorId="7A9D19F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7043236" o:spid="_x0000_s1027" type="#_x0000_t136" style="position:absolute;margin-left:0;margin-top:0;width:574.65pt;height:64.8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873D3" w14:textId="2D0CA131" w:rsidR="001A51D5" w:rsidRDefault="00000000">
    <w:pPr>
      <w:pStyle w:val="Header"/>
    </w:pPr>
    <w:r>
      <w:rPr>
        <w:noProof/>
      </w:rPr>
      <w:pict w14:anchorId="103DC7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7043234" o:spid="_x0000_s1025" type="#_x0000_t136" style="position:absolute;margin-left:0;margin-top:0;width:574.65pt;height:64.8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678B5"/>
    <w:multiLevelType w:val="hybridMultilevel"/>
    <w:tmpl w:val="2EB06898"/>
    <w:lvl w:ilvl="0" w:tplc="27B0DEBC">
      <w:start w:val="1"/>
      <w:numFmt w:val="decimal"/>
      <w:lvlText w:val="%1."/>
      <w:lvlJc w:val="left"/>
      <w:pPr>
        <w:tabs>
          <w:tab w:val="num" w:pos="720"/>
        </w:tabs>
        <w:ind w:left="720" w:hanging="360"/>
      </w:pPr>
    </w:lvl>
    <w:lvl w:ilvl="1" w:tplc="59EE5D7E">
      <w:start w:val="1"/>
      <w:numFmt w:val="bullet"/>
      <w:lvlText w:val="o"/>
      <w:lvlJc w:val="left"/>
      <w:pPr>
        <w:tabs>
          <w:tab w:val="num" w:pos="1440"/>
        </w:tabs>
        <w:ind w:left="1440" w:hanging="360"/>
      </w:pPr>
      <w:rPr>
        <w:rFonts w:ascii="Courier New" w:hAnsi="Courier New" w:hint="default"/>
        <w:sz w:val="20"/>
      </w:rPr>
    </w:lvl>
    <w:lvl w:ilvl="2" w:tplc="3572E49A">
      <w:start w:val="1"/>
      <w:numFmt w:val="decimal"/>
      <w:lvlText w:val="%3."/>
      <w:lvlJc w:val="left"/>
      <w:pPr>
        <w:tabs>
          <w:tab w:val="num" w:pos="2160"/>
        </w:tabs>
        <w:ind w:left="2160" w:hanging="360"/>
      </w:pPr>
    </w:lvl>
    <w:lvl w:ilvl="3" w:tplc="8624B66A" w:tentative="1">
      <w:start w:val="1"/>
      <w:numFmt w:val="decimal"/>
      <w:lvlText w:val="%4."/>
      <w:lvlJc w:val="left"/>
      <w:pPr>
        <w:tabs>
          <w:tab w:val="num" w:pos="2880"/>
        </w:tabs>
        <w:ind w:left="2880" w:hanging="360"/>
      </w:pPr>
    </w:lvl>
    <w:lvl w:ilvl="4" w:tplc="9FA0370A" w:tentative="1">
      <w:start w:val="1"/>
      <w:numFmt w:val="decimal"/>
      <w:lvlText w:val="%5."/>
      <w:lvlJc w:val="left"/>
      <w:pPr>
        <w:tabs>
          <w:tab w:val="num" w:pos="3600"/>
        </w:tabs>
        <w:ind w:left="3600" w:hanging="360"/>
      </w:pPr>
    </w:lvl>
    <w:lvl w:ilvl="5" w:tplc="CE229C4A" w:tentative="1">
      <w:start w:val="1"/>
      <w:numFmt w:val="decimal"/>
      <w:lvlText w:val="%6."/>
      <w:lvlJc w:val="left"/>
      <w:pPr>
        <w:tabs>
          <w:tab w:val="num" w:pos="4320"/>
        </w:tabs>
        <w:ind w:left="4320" w:hanging="360"/>
      </w:pPr>
    </w:lvl>
    <w:lvl w:ilvl="6" w:tplc="3BDAA21A" w:tentative="1">
      <w:start w:val="1"/>
      <w:numFmt w:val="decimal"/>
      <w:lvlText w:val="%7."/>
      <w:lvlJc w:val="left"/>
      <w:pPr>
        <w:tabs>
          <w:tab w:val="num" w:pos="5040"/>
        </w:tabs>
        <w:ind w:left="5040" w:hanging="360"/>
      </w:pPr>
    </w:lvl>
    <w:lvl w:ilvl="7" w:tplc="7092FCB6" w:tentative="1">
      <w:start w:val="1"/>
      <w:numFmt w:val="decimal"/>
      <w:lvlText w:val="%8."/>
      <w:lvlJc w:val="left"/>
      <w:pPr>
        <w:tabs>
          <w:tab w:val="num" w:pos="5760"/>
        </w:tabs>
        <w:ind w:left="5760" w:hanging="360"/>
      </w:pPr>
    </w:lvl>
    <w:lvl w:ilvl="8" w:tplc="7DEEAE70" w:tentative="1">
      <w:start w:val="1"/>
      <w:numFmt w:val="decimal"/>
      <w:lvlText w:val="%9."/>
      <w:lvlJc w:val="left"/>
      <w:pPr>
        <w:tabs>
          <w:tab w:val="num" w:pos="6480"/>
        </w:tabs>
        <w:ind w:left="6480" w:hanging="360"/>
      </w:pPr>
    </w:lvl>
  </w:abstractNum>
  <w:abstractNum w:abstractNumId="1" w15:restartNumberingAfterBreak="0">
    <w:nsid w:val="11A06316"/>
    <w:multiLevelType w:val="multilevel"/>
    <w:tmpl w:val="F8E871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3BF4651"/>
    <w:multiLevelType w:val="multilevel"/>
    <w:tmpl w:val="A762DB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60F7220"/>
    <w:multiLevelType w:val="multilevel"/>
    <w:tmpl w:val="E9BA3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C43F99"/>
    <w:multiLevelType w:val="multilevel"/>
    <w:tmpl w:val="491298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8DE24CB"/>
    <w:multiLevelType w:val="multilevel"/>
    <w:tmpl w:val="8A2AF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556734"/>
    <w:multiLevelType w:val="multilevel"/>
    <w:tmpl w:val="22CC4B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8221E6"/>
    <w:multiLevelType w:val="multilevel"/>
    <w:tmpl w:val="7F6E2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F44346F"/>
    <w:multiLevelType w:val="multilevel"/>
    <w:tmpl w:val="A8C879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F9264C5"/>
    <w:multiLevelType w:val="multilevel"/>
    <w:tmpl w:val="2A9E5A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54A4187"/>
    <w:multiLevelType w:val="multilevel"/>
    <w:tmpl w:val="50486E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B0E7358"/>
    <w:multiLevelType w:val="multilevel"/>
    <w:tmpl w:val="8D1AAE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C027E84"/>
    <w:multiLevelType w:val="multilevel"/>
    <w:tmpl w:val="C4BC10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C77567C"/>
    <w:multiLevelType w:val="multilevel"/>
    <w:tmpl w:val="30C0B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CD452E3"/>
    <w:multiLevelType w:val="multilevel"/>
    <w:tmpl w:val="13AAE1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D1E5E5D"/>
    <w:multiLevelType w:val="multilevel"/>
    <w:tmpl w:val="A8B49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E806BD8"/>
    <w:multiLevelType w:val="multilevel"/>
    <w:tmpl w:val="2DAEC2E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0FF282D"/>
    <w:multiLevelType w:val="multilevel"/>
    <w:tmpl w:val="035E8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23E03D6"/>
    <w:multiLevelType w:val="multilevel"/>
    <w:tmpl w:val="D2882F2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17D747C"/>
    <w:multiLevelType w:val="multilevel"/>
    <w:tmpl w:val="3118D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4727221"/>
    <w:multiLevelType w:val="multilevel"/>
    <w:tmpl w:val="4AC277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8B736FD"/>
    <w:multiLevelType w:val="multilevel"/>
    <w:tmpl w:val="AAB0C2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F9F2E47"/>
    <w:multiLevelType w:val="hybridMultilevel"/>
    <w:tmpl w:val="12603762"/>
    <w:lvl w:ilvl="0" w:tplc="30E2AB46">
      <w:start w:val="1"/>
      <w:numFmt w:val="decimal"/>
      <w:lvlText w:val="%1."/>
      <w:lvlJc w:val="left"/>
      <w:pPr>
        <w:tabs>
          <w:tab w:val="num" w:pos="720"/>
        </w:tabs>
        <w:ind w:left="720" w:hanging="360"/>
      </w:pPr>
    </w:lvl>
    <w:lvl w:ilvl="1" w:tplc="433847C6">
      <w:start w:val="1"/>
      <w:numFmt w:val="bullet"/>
      <w:lvlText w:val="o"/>
      <w:lvlJc w:val="left"/>
      <w:pPr>
        <w:tabs>
          <w:tab w:val="num" w:pos="1440"/>
        </w:tabs>
        <w:ind w:left="1440" w:hanging="360"/>
      </w:pPr>
      <w:rPr>
        <w:rFonts w:ascii="Courier New" w:hAnsi="Courier New" w:hint="default"/>
        <w:sz w:val="20"/>
      </w:rPr>
    </w:lvl>
    <w:lvl w:ilvl="2" w:tplc="C33A26E8">
      <w:start w:val="1"/>
      <w:numFmt w:val="decimal"/>
      <w:lvlText w:val="%3."/>
      <w:lvlJc w:val="left"/>
      <w:pPr>
        <w:tabs>
          <w:tab w:val="num" w:pos="2160"/>
        </w:tabs>
        <w:ind w:left="2160" w:hanging="360"/>
      </w:pPr>
    </w:lvl>
    <w:lvl w:ilvl="3" w:tplc="07FCBD54" w:tentative="1">
      <w:start w:val="1"/>
      <w:numFmt w:val="decimal"/>
      <w:lvlText w:val="%4."/>
      <w:lvlJc w:val="left"/>
      <w:pPr>
        <w:tabs>
          <w:tab w:val="num" w:pos="2880"/>
        </w:tabs>
        <w:ind w:left="2880" w:hanging="360"/>
      </w:pPr>
    </w:lvl>
    <w:lvl w:ilvl="4" w:tplc="B980E586" w:tentative="1">
      <w:start w:val="1"/>
      <w:numFmt w:val="decimal"/>
      <w:lvlText w:val="%5."/>
      <w:lvlJc w:val="left"/>
      <w:pPr>
        <w:tabs>
          <w:tab w:val="num" w:pos="3600"/>
        </w:tabs>
        <w:ind w:left="3600" w:hanging="360"/>
      </w:pPr>
    </w:lvl>
    <w:lvl w:ilvl="5" w:tplc="E3D8959C" w:tentative="1">
      <w:start w:val="1"/>
      <w:numFmt w:val="decimal"/>
      <w:lvlText w:val="%6."/>
      <w:lvlJc w:val="left"/>
      <w:pPr>
        <w:tabs>
          <w:tab w:val="num" w:pos="4320"/>
        </w:tabs>
        <w:ind w:left="4320" w:hanging="360"/>
      </w:pPr>
    </w:lvl>
    <w:lvl w:ilvl="6" w:tplc="E7B6D46A" w:tentative="1">
      <w:start w:val="1"/>
      <w:numFmt w:val="decimal"/>
      <w:lvlText w:val="%7."/>
      <w:lvlJc w:val="left"/>
      <w:pPr>
        <w:tabs>
          <w:tab w:val="num" w:pos="5040"/>
        </w:tabs>
        <w:ind w:left="5040" w:hanging="360"/>
      </w:pPr>
    </w:lvl>
    <w:lvl w:ilvl="7" w:tplc="8BC6D430" w:tentative="1">
      <w:start w:val="1"/>
      <w:numFmt w:val="decimal"/>
      <w:lvlText w:val="%8."/>
      <w:lvlJc w:val="left"/>
      <w:pPr>
        <w:tabs>
          <w:tab w:val="num" w:pos="5760"/>
        </w:tabs>
        <w:ind w:left="5760" w:hanging="360"/>
      </w:pPr>
    </w:lvl>
    <w:lvl w:ilvl="8" w:tplc="D1F2C7EA" w:tentative="1">
      <w:start w:val="1"/>
      <w:numFmt w:val="decimal"/>
      <w:lvlText w:val="%9."/>
      <w:lvlJc w:val="left"/>
      <w:pPr>
        <w:tabs>
          <w:tab w:val="num" w:pos="6480"/>
        </w:tabs>
        <w:ind w:left="6480" w:hanging="360"/>
      </w:pPr>
    </w:lvl>
  </w:abstractNum>
  <w:abstractNum w:abstractNumId="23" w15:restartNumberingAfterBreak="0">
    <w:nsid w:val="60EA32F1"/>
    <w:multiLevelType w:val="multilevel"/>
    <w:tmpl w:val="0F98A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0CB5D65"/>
    <w:multiLevelType w:val="hybridMultilevel"/>
    <w:tmpl w:val="C712926E"/>
    <w:lvl w:ilvl="0" w:tplc="ACB0494E">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771709FB"/>
    <w:multiLevelType w:val="multilevel"/>
    <w:tmpl w:val="4B0EB5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73818099">
    <w:abstractNumId w:val="16"/>
  </w:num>
  <w:num w:numId="2" w16cid:durableId="2116053088">
    <w:abstractNumId w:val="22"/>
  </w:num>
  <w:num w:numId="3" w16cid:durableId="2050836646">
    <w:abstractNumId w:val="8"/>
  </w:num>
  <w:num w:numId="4" w16cid:durableId="1253853040">
    <w:abstractNumId w:val="6"/>
  </w:num>
  <w:num w:numId="5" w16cid:durableId="210311539">
    <w:abstractNumId w:val="21"/>
  </w:num>
  <w:num w:numId="6" w16cid:durableId="8068924">
    <w:abstractNumId w:val="9"/>
  </w:num>
  <w:num w:numId="7" w16cid:durableId="1965427490">
    <w:abstractNumId w:val="5"/>
  </w:num>
  <w:num w:numId="8" w16cid:durableId="157818029">
    <w:abstractNumId w:val="18"/>
  </w:num>
  <w:num w:numId="9" w16cid:durableId="906721156">
    <w:abstractNumId w:val="0"/>
  </w:num>
  <w:num w:numId="10" w16cid:durableId="713506399">
    <w:abstractNumId w:val="14"/>
  </w:num>
  <w:num w:numId="11" w16cid:durableId="745956030">
    <w:abstractNumId w:val="15"/>
  </w:num>
  <w:num w:numId="12" w16cid:durableId="1404064483">
    <w:abstractNumId w:val="1"/>
  </w:num>
  <w:num w:numId="13" w16cid:durableId="1882084974">
    <w:abstractNumId w:val="3"/>
  </w:num>
  <w:num w:numId="14" w16cid:durableId="1707297170">
    <w:abstractNumId w:val="2"/>
  </w:num>
  <w:num w:numId="15" w16cid:durableId="2077823606">
    <w:abstractNumId w:val="7"/>
  </w:num>
  <w:num w:numId="16" w16cid:durableId="1025670920">
    <w:abstractNumId w:val="11"/>
  </w:num>
  <w:num w:numId="17" w16cid:durableId="1572351540">
    <w:abstractNumId w:val="20"/>
  </w:num>
  <w:num w:numId="18" w16cid:durableId="622079618">
    <w:abstractNumId w:val="19"/>
  </w:num>
  <w:num w:numId="19" w16cid:durableId="1460759223">
    <w:abstractNumId w:val="4"/>
  </w:num>
  <w:num w:numId="20" w16cid:durableId="642471754">
    <w:abstractNumId w:val="10"/>
  </w:num>
  <w:num w:numId="21" w16cid:durableId="1157723405">
    <w:abstractNumId w:val="23"/>
  </w:num>
  <w:num w:numId="22" w16cid:durableId="451943645">
    <w:abstractNumId w:val="25"/>
  </w:num>
  <w:num w:numId="23" w16cid:durableId="280035646">
    <w:abstractNumId w:val="17"/>
  </w:num>
  <w:num w:numId="24" w16cid:durableId="252592922">
    <w:abstractNumId w:val="12"/>
  </w:num>
  <w:num w:numId="25" w16cid:durableId="794444450">
    <w:abstractNumId w:val="13"/>
  </w:num>
  <w:num w:numId="26" w16cid:durableId="139268348">
    <w:abstractNumId w:val="2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neh Singh">
    <w15:presenceInfo w15:providerId="Windows Live" w15:userId="126fba1120ce615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4999"/>
    <w:rsid w:val="00075004"/>
    <w:rsid w:val="00083406"/>
    <w:rsid w:val="000C4537"/>
    <w:rsid w:val="00100999"/>
    <w:rsid w:val="00111399"/>
    <w:rsid w:val="00141F65"/>
    <w:rsid w:val="001749A7"/>
    <w:rsid w:val="001A51D5"/>
    <w:rsid w:val="001C46F4"/>
    <w:rsid w:val="001F1CED"/>
    <w:rsid w:val="001F47BE"/>
    <w:rsid w:val="001F56BE"/>
    <w:rsid w:val="00263A75"/>
    <w:rsid w:val="00276B03"/>
    <w:rsid w:val="002D4270"/>
    <w:rsid w:val="002E10AB"/>
    <w:rsid w:val="003143BC"/>
    <w:rsid w:val="00341223"/>
    <w:rsid w:val="003A244D"/>
    <w:rsid w:val="003D7BF5"/>
    <w:rsid w:val="004150A4"/>
    <w:rsid w:val="00421AA7"/>
    <w:rsid w:val="004857B7"/>
    <w:rsid w:val="004C1840"/>
    <w:rsid w:val="004D1D2E"/>
    <w:rsid w:val="00521E64"/>
    <w:rsid w:val="005750BD"/>
    <w:rsid w:val="0059201A"/>
    <w:rsid w:val="00597482"/>
    <w:rsid w:val="005C449C"/>
    <w:rsid w:val="005E307D"/>
    <w:rsid w:val="005F7897"/>
    <w:rsid w:val="006049E7"/>
    <w:rsid w:val="00654A05"/>
    <w:rsid w:val="00656628"/>
    <w:rsid w:val="00656AD1"/>
    <w:rsid w:val="006D4437"/>
    <w:rsid w:val="00705D34"/>
    <w:rsid w:val="00715EC0"/>
    <w:rsid w:val="0072187A"/>
    <w:rsid w:val="007422A1"/>
    <w:rsid w:val="007551C7"/>
    <w:rsid w:val="00761C84"/>
    <w:rsid w:val="00791446"/>
    <w:rsid w:val="007A5BCE"/>
    <w:rsid w:val="007A6315"/>
    <w:rsid w:val="007B3C08"/>
    <w:rsid w:val="007D69A1"/>
    <w:rsid w:val="00811FE0"/>
    <w:rsid w:val="00817EF3"/>
    <w:rsid w:val="00834B08"/>
    <w:rsid w:val="00860CC1"/>
    <w:rsid w:val="00871501"/>
    <w:rsid w:val="008736D1"/>
    <w:rsid w:val="008C7F07"/>
    <w:rsid w:val="00934640"/>
    <w:rsid w:val="00983F53"/>
    <w:rsid w:val="00990E30"/>
    <w:rsid w:val="009B7FC6"/>
    <w:rsid w:val="00A42871"/>
    <w:rsid w:val="00AD6597"/>
    <w:rsid w:val="00B3314E"/>
    <w:rsid w:val="00B957D8"/>
    <w:rsid w:val="00BA390F"/>
    <w:rsid w:val="00BB43C3"/>
    <w:rsid w:val="00C108C9"/>
    <w:rsid w:val="00C520E2"/>
    <w:rsid w:val="00CD226D"/>
    <w:rsid w:val="00D06085"/>
    <w:rsid w:val="00D31857"/>
    <w:rsid w:val="00D901F9"/>
    <w:rsid w:val="00DE2A13"/>
    <w:rsid w:val="00E0410F"/>
    <w:rsid w:val="00E30B7E"/>
    <w:rsid w:val="00E64999"/>
    <w:rsid w:val="00E979D6"/>
    <w:rsid w:val="00EA0CC5"/>
    <w:rsid w:val="00EA55C5"/>
    <w:rsid w:val="00EE1AE5"/>
    <w:rsid w:val="00F03340"/>
    <w:rsid w:val="00F17099"/>
    <w:rsid w:val="00F3654F"/>
    <w:rsid w:val="00F63B89"/>
    <w:rsid w:val="00F90E0C"/>
    <w:rsid w:val="00FA4220"/>
    <w:rsid w:val="00FE6DD5"/>
    <w:rsid w:val="00FF3F85"/>
  </w:rsids>
  <m:mathPr>
    <m:mathFont m:val="Cambria Math"/>
    <m:brkBin m:val="before"/>
    <m:brkBinSub m:val="--"/>
    <m:smallFrac m:val="0"/>
    <m:dispDef/>
    <m:lMargin m:val="0"/>
    <m:rMargin m:val="0"/>
    <m:defJc m:val="centerGroup"/>
    <m:wrapIndent m:val="1440"/>
    <m:intLim m:val="subSup"/>
    <m:naryLim m:val="undOvr"/>
  </m:mathPr>
  <w:themeFontLang w:val="tr-TR"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BDB180"/>
  <w15:chartTrackingRefBased/>
  <w15:docId w15:val="{6A7F4BF7-5CD7-4C26-B6B6-6014F4312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50A4"/>
  </w:style>
  <w:style w:type="paragraph" w:styleId="Heading1">
    <w:name w:val="heading 1"/>
    <w:basedOn w:val="Normal"/>
    <w:next w:val="Normal"/>
    <w:link w:val="Heading1Char"/>
    <w:uiPriority w:val="9"/>
    <w:qFormat/>
    <w:rsid w:val="0087150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87150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4150A4"/>
    <w:pPr>
      <w:spacing w:before="100" w:beforeAutospacing="1" w:after="100" w:afterAutospacing="1" w:line="240" w:lineRule="auto"/>
      <w:outlineLvl w:val="2"/>
    </w:pPr>
    <w:rPr>
      <w:rFonts w:eastAsia="Times New Roman"/>
      <w:b/>
      <w:bCs/>
      <w:sz w:val="27"/>
      <w:szCs w:val="27"/>
      <w:lang w:eastAsia="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150A4"/>
    <w:rPr>
      <w:rFonts w:eastAsia="Times New Roman"/>
      <w:b/>
      <w:bCs/>
      <w:sz w:val="27"/>
      <w:szCs w:val="27"/>
      <w:lang w:eastAsia="tr-TR"/>
    </w:rPr>
  </w:style>
  <w:style w:type="character" w:styleId="Strong">
    <w:name w:val="Strong"/>
    <w:basedOn w:val="DefaultParagraphFont"/>
    <w:uiPriority w:val="22"/>
    <w:qFormat/>
    <w:rsid w:val="004150A4"/>
    <w:rPr>
      <w:b/>
      <w:bCs/>
    </w:rPr>
  </w:style>
  <w:style w:type="paragraph" w:customStyle="1" w:styleId="ds-markdown-paragraph">
    <w:name w:val="ds-markdown-paragraph"/>
    <w:basedOn w:val="Normal"/>
    <w:rsid w:val="004150A4"/>
    <w:pPr>
      <w:spacing w:before="100" w:beforeAutospacing="1" w:after="100" w:afterAutospacing="1" w:line="240" w:lineRule="auto"/>
    </w:pPr>
    <w:rPr>
      <w:rFonts w:eastAsia="Times New Roman"/>
      <w:sz w:val="24"/>
      <w:szCs w:val="24"/>
      <w:lang w:eastAsia="tr-TR"/>
    </w:rPr>
  </w:style>
  <w:style w:type="character" w:styleId="Emphasis">
    <w:name w:val="Emphasis"/>
    <w:basedOn w:val="DefaultParagraphFont"/>
    <w:uiPriority w:val="20"/>
    <w:qFormat/>
    <w:rsid w:val="004150A4"/>
    <w:rPr>
      <w:i/>
      <w:iCs/>
    </w:rPr>
  </w:style>
  <w:style w:type="character" w:customStyle="1" w:styleId="ng-star-inserted">
    <w:name w:val="ng-star-inserted"/>
    <w:basedOn w:val="DefaultParagraphFont"/>
    <w:rsid w:val="005750BD"/>
  </w:style>
  <w:style w:type="character" w:customStyle="1" w:styleId="Heading1Char">
    <w:name w:val="Heading 1 Char"/>
    <w:basedOn w:val="DefaultParagraphFont"/>
    <w:link w:val="Heading1"/>
    <w:uiPriority w:val="9"/>
    <w:rsid w:val="00871501"/>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871501"/>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semiHidden/>
    <w:unhideWhenUsed/>
    <w:rsid w:val="00FF3F85"/>
    <w:pPr>
      <w:spacing w:before="100" w:beforeAutospacing="1" w:after="100" w:afterAutospacing="1" w:line="240" w:lineRule="auto"/>
    </w:pPr>
    <w:rPr>
      <w:rFonts w:eastAsia="Times New Roman"/>
      <w:sz w:val="24"/>
      <w:szCs w:val="24"/>
      <w:lang w:eastAsia="tr-TR"/>
    </w:rPr>
  </w:style>
  <w:style w:type="character" w:styleId="Hyperlink">
    <w:name w:val="Hyperlink"/>
    <w:basedOn w:val="DefaultParagraphFont"/>
    <w:uiPriority w:val="99"/>
    <w:unhideWhenUsed/>
    <w:rsid w:val="003A244D"/>
    <w:rPr>
      <w:color w:val="0563C1" w:themeColor="hyperlink"/>
      <w:u w:val="single"/>
    </w:rPr>
  </w:style>
  <w:style w:type="character" w:styleId="UnresolvedMention">
    <w:name w:val="Unresolved Mention"/>
    <w:basedOn w:val="DefaultParagraphFont"/>
    <w:uiPriority w:val="99"/>
    <w:semiHidden/>
    <w:unhideWhenUsed/>
    <w:rsid w:val="00141F65"/>
    <w:rPr>
      <w:color w:val="605E5C"/>
      <w:shd w:val="clear" w:color="auto" w:fill="E1DFDD"/>
    </w:rPr>
  </w:style>
  <w:style w:type="paragraph" w:styleId="ListParagraph">
    <w:name w:val="List Paragraph"/>
    <w:basedOn w:val="Normal"/>
    <w:uiPriority w:val="34"/>
    <w:qFormat/>
    <w:rsid w:val="00D31857"/>
    <w:pPr>
      <w:ind w:left="720"/>
      <w:contextualSpacing/>
    </w:pPr>
  </w:style>
  <w:style w:type="paragraph" w:styleId="Header">
    <w:name w:val="header"/>
    <w:basedOn w:val="Normal"/>
    <w:link w:val="HeaderChar"/>
    <w:uiPriority w:val="99"/>
    <w:unhideWhenUsed/>
    <w:rsid w:val="001A51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51D5"/>
  </w:style>
  <w:style w:type="paragraph" w:styleId="Footer">
    <w:name w:val="footer"/>
    <w:basedOn w:val="Normal"/>
    <w:link w:val="FooterChar"/>
    <w:uiPriority w:val="99"/>
    <w:unhideWhenUsed/>
    <w:rsid w:val="001A51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51D5"/>
  </w:style>
  <w:style w:type="character" w:styleId="CommentReference">
    <w:name w:val="annotation reference"/>
    <w:basedOn w:val="DefaultParagraphFont"/>
    <w:uiPriority w:val="99"/>
    <w:semiHidden/>
    <w:unhideWhenUsed/>
    <w:rsid w:val="007422A1"/>
    <w:rPr>
      <w:sz w:val="16"/>
      <w:szCs w:val="16"/>
    </w:rPr>
  </w:style>
  <w:style w:type="paragraph" w:styleId="CommentText">
    <w:name w:val="annotation text"/>
    <w:basedOn w:val="Normal"/>
    <w:link w:val="CommentTextChar"/>
    <w:uiPriority w:val="99"/>
    <w:unhideWhenUsed/>
    <w:rsid w:val="007422A1"/>
    <w:pPr>
      <w:spacing w:line="240" w:lineRule="auto"/>
    </w:pPr>
    <w:rPr>
      <w:sz w:val="20"/>
      <w:szCs w:val="20"/>
    </w:rPr>
  </w:style>
  <w:style w:type="character" w:customStyle="1" w:styleId="CommentTextChar">
    <w:name w:val="Comment Text Char"/>
    <w:basedOn w:val="DefaultParagraphFont"/>
    <w:link w:val="CommentText"/>
    <w:uiPriority w:val="99"/>
    <w:rsid w:val="007422A1"/>
    <w:rPr>
      <w:sz w:val="20"/>
      <w:szCs w:val="20"/>
    </w:rPr>
  </w:style>
  <w:style w:type="paragraph" w:styleId="CommentSubject">
    <w:name w:val="annotation subject"/>
    <w:basedOn w:val="CommentText"/>
    <w:next w:val="CommentText"/>
    <w:link w:val="CommentSubjectChar"/>
    <w:uiPriority w:val="99"/>
    <w:semiHidden/>
    <w:unhideWhenUsed/>
    <w:rsid w:val="007422A1"/>
    <w:rPr>
      <w:b/>
      <w:bCs/>
    </w:rPr>
  </w:style>
  <w:style w:type="character" w:customStyle="1" w:styleId="CommentSubjectChar">
    <w:name w:val="Comment Subject Char"/>
    <w:basedOn w:val="CommentTextChar"/>
    <w:link w:val="CommentSubject"/>
    <w:uiPriority w:val="99"/>
    <w:semiHidden/>
    <w:rsid w:val="007422A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247900">
      <w:bodyDiv w:val="1"/>
      <w:marLeft w:val="0"/>
      <w:marRight w:val="0"/>
      <w:marTop w:val="0"/>
      <w:marBottom w:val="0"/>
      <w:divBdr>
        <w:top w:val="none" w:sz="0" w:space="0" w:color="auto"/>
        <w:left w:val="none" w:sz="0" w:space="0" w:color="auto"/>
        <w:bottom w:val="none" w:sz="0" w:space="0" w:color="auto"/>
        <w:right w:val="none" w:sz="0" w:space="0" w:color="auto"/>
      </w:divBdr>
    </w:div>
    <w:div w:id="225922377">
      <w:bodyDiv w:val="1"/>
      <w:marLeft w:val="0"/>
      <w:marRight w:val="0"/>
      <w:marTop w:val="0"/>
      <w:marBottom w:val="0"/>
      <w:divBdr>
        <w:top w:val="none" w:sz="0" w:space="0" w:color="auto"/>
        <w:left w:val="none" w:sz="0" w:space="0" w:color="auto"/>
        <w:bottom w:val="none" w:sz="0" w:space="0" w:color="auto"/>
        <w:right w:val="none" w:sz="0" w:space="0" w:color="auto"/>
      </w:divBdr>
      <w:divsChild>
        <w:div w:id="958610279">
          <w:marLeft w:val="0"/>
          <w:marRight w:val="0"/>
          <w:marTop w:val="0"/>
          <w:marBottom w:val="0"/>
          <w:divBdr>
            <w:top w:val="none" w:sz="0" w:space="0" w:color="auto"/>
            <w:left w:val="none" w:sz="0" w:space="0" w:color="auto"/>
            <w:bottom w:val="none" w:sz="0" w:space="0" w:color="auto"/>
            <w:right w:val="none" w:sz="0" w:space="0" w:color="auto"/>
          </w:divBdr>
          <w:divsChild>
            <w:div w:id="178937871">
              <w:marLeft w:val="0"/>
              <w:marRight w:val="0"/>
              <w:marTop w:val="0"/>
              <w:marBottom w:val="0"/>
              <w:divBdr>
                <w:top w:val="none" w:sz="0" w:space="0" w:color="auto"/>
                <w:left w:val="none" w:sz="0" w:space="0" w:color="auto"/>
                <w:bottom w:val="none" w:sz="0" w:space="0" w:color="auto"/>
                <w:right w:val="none" w:sz="0" w:space="0" w:color="auto"/>
              </w:divBdr>
              <w:divsChild>
                <w:div w:id="739013587">
                  <w:marLeft w:val="0"/>
                  <w:marRight w:val="0"/>
                  <w:marTop w:val="0"/>
                  <w:marBottom w:val="0"/>
                  <w:divBdr>
                    <w:top w:val="none" w:sz="0" w:space="0" w:color="auto"/>
                    <w:left w:val="none" w:sz="0" w:space="0" w:color="auto"/>
                    <w:bottom w:val="none" w:sz="0" w:space="0" w:color="auto"/>
                    <w:right w:val="none" w:sz="0" w:space="0" w:color="auto"/>
                  </w:divBdr>
                </w:div>
                <w:div w:id="1105929706">
                  <w:marLeft w:val="0"/>
                  <w:marRight w:val="0"/>
                  <w:marTop w:val="0"/>
                  <w:marBottom w:val="0"/>
                  <w:divBdr>
                    <w:top w:val="none" w:sz="0" w:space="0" w:color="auto"/>
                    <w:left w:val="none" w:sz="0" w:space="0" w:color="auto"/>
                    <w:bottom w:val="none" w:sz="0" w:space="0" w:color="auto"/>
                    <w:right w:val="none" w:sz="0" w:space="0" w:color="auto"/>
                  </w:divBdr>
                </w:div>
                <w:div w:id="1505509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2398539">
      <w:bodyDiv w:val="1"/>
      <w:marLeft w:val="0"/>
      <w:marRight w:val="0"/>
      <w:marTop w:val="0"/>
      <w:marBottom w:val="0"/>
      <w:divBdr>
        <w:top w:val="none" w:sz="0" w:space="0" w:color="auto"/>
        <w:left w:val="none" w:sz="0" w:space="0" w:color="auto"/>
        <w:bottom w:val="none" w:sz="0" w:space="0" w:color="auto"/>
        <w:right w:val="none" w:sz="0" w:space="0" w:color="auto"/>
      </w:divBdr>
    </w:div>
    <w:div w:id="466631556">
      <w:bodyDiv w:val="1"/>
      <w:marLeft w:val="0"/>
      <w:marRight w:val="0"/>
      <w:marTop w:val="0"/>
      <w:marBottom w:val="0"/>
      <w:divBdr>
        <w:top w:val="none" w:sz="0" w:space="0" w:color="auto"/>
        <w:left w:val="none" w:sz="0" w:space="0" w:color="auto"/>
        <w:bottom w:val="none" w:sz="0" w:space="0" w:color="auto"/>
        <w:right w:val="none" w:sz="0" w:space="0" w:color="auto"/>
      </w:divBdr>
    </w:div>
    <w:div w:id="604312927">
      <w:bodyDiv w:val="1"/>
      <w:marLeft w:val="0"/>
      <w:marRight w:val="0"/>
      <w:marTop w:val="0"/>
      <w:marBottom w:val="0"/>
      <w:divBdr>
        <w:top w:val="none" w:sz="0" w:space="0" w:color="auto"/>
        <w:left w:val="none" w:sz="0" w:space="0" w:color="auto"/>
        <w:bottom w:val="none" w:sz="0" w:space="0" w:color="auto"/>
        <w:right w:val="none" w:sz="0" w:space="0" w:color="auto"/>
      </w:divBdr>
      <w:divsChild>
        <w:div w:id="950017657">
          <w:marLeft w:val="0"/>
          <w:marRight w:val="0"/>
          <w:marTop w:val="0"/>
          <w:marBottom w:val="0"/>
          <w:divBdr>
            <w:top w:val="none" w:sz="0" w:space="0" w:color="auto"/>
            <w:left w:val="none" w:sz="0" w:space="0" w:color="auto"/>
            <w:bottom w:val="none" w:sz="0" w:space="0" w:color="auto"/>
            <w:right w:val="none" w:sz="0" w:space="0" w:color="auto"/>
          </w:divBdr>
        </w:div>
        <w:div w:id="1753240948">
          <w:marLeft w:val="0"/>
          <w:marRight w:val="0"/>
          <w:marTop w:val="0"/>
          <w:marBottom w:val="0"/>
          <w:divBdr>
            <w:top w:val="none" w:sz="0" w:space="0" w:color="auto"/>
            <w:left w:val="none" w:sz="0" w:space="0" w:color="auto"/>
            <w:bottom w:val="none" w:sz="0" w:space="0" w:color="auto"/>
            <w:right w:val="none" w:sz="0" w:space="0" w:color="auto"/>
          </w:divBdr>
        </w:div>
        <w:div w:id="60058561">
          <w:marLeft w:val="0"/>
          <w:marRight w:val="0"/>
          <w:marTop w:val="0"/>
          <w:marBottom w:val="0"/>
          <w:divBdr>
            <w:top w:val="none" w:sz="0" w:space="0" w:color="auto"/>
            <w:left w:val="none" w:sz="0" w:space="0" w:color="auto"/>
            <w:bottom w:val="none" w:sz="0" w:space="0" w:color="auto"/>
            <w:right w:val="none" w:sz="0" w:space="0" w:color="auto"/>
          </w:divBdr>
        </w:div>
      </w:divsChild>
    </w:div>
    <w:div w:id="757412327">
      <w:bodyDiv w:val="1"/>
      <w:marLeft w:val="0"/>
      <w:marRight w:val="0"/>
      <w:marTop w:val="0"/>
      <w:marBottom w:val="0"/>
      <w:divBdr>
        <w:top w:val="none" w:sz="0" w:space="0" w:color="auto"/>
        <w:left w:val="none" w:sz="0" w:space="0" w:color="auto"/>
        <w:bottom w:val="none" w:sz="0" w:space="0" w:color="auto"/>
        <w:right w:val="none" w:sz="0" w:space="0" w:color="auto"/>
      </w:divBdr>
    </w:div>
    <w:div w:id="835614846">
      <w:bodyDiv w:val="1"/>
      <w:marLeft w:val="0"/>
      <w:marRight w:val="0"/>
      <w:marTop w:val="0"/>
      <w:marBottom w:val="0"/>
      <w:divBdr>
        <w:top w:val="none" w:sz="0" w:space="0" w:color="auto"/>
        <w:left w:val="none" w:sz="0" w:space="0" w:color="auto"/>
        <w:bottom w:val="none" w:sz="0" w:space="0" w:color="auto"/>
        <w:right w:val="none" w:sz="0" w:space="0" w:color="auto"/>
      </w:divBdr>
      <w:divsChild>
        <w:div w:id="1891113200">
          <w:marLeft w:val="0"/>
          <w:marRight w:val="0"/>
          <w:marTop w:val="0"/>
          <w:marBottom w:val="0"/>
          <w:divBdr>
            <w:top w:val="none" w:sz="0" w:space="0" w:color="auto"/>
            <w:left w:val="none" w:sz="0" w:space="0" w:color="auto"/>
            <w:bottom w:val="none" w:sz="0" w:space="0" w:color="auto"/>
            <w:right w:val="none" w:sz="0" w:space="0" w:color="auto"/>
          </w:divBdr>
          <w:divsChild>
            <w:div w:id="816805609">
              <w:marLeft w:val="0"/>
              <w:marRight w:val="0"/>
              <w:marTop w:val="0"/>
              <w:marBottom w:val="0"/>
              <w:divBdr>
                <w:top w:val="none" w:sz="0" w:space="0" w:color="auto"/>
                <w:left w:val="none" w:sz="0" w:space="0" w:color="auto"/>
                <w:bottom w:val="none" w:sz="0" w:space="0" w:color="auto"/>
                <w:right w:val="none" w:sz="0" w:space="0" w:color="auto"/>
              </w:divBdr>
              <w:divsChild>
                <w:div w:id="1253465382">
                  <w:marLeft w:val="0"/>
                  <w:marRight w:val="0"/>
                  <w:marTop w:val="0"/>
                  <w:marBottom w:val="0"/>
                  <w:divBdr>
                    <w:top w:val="none" w:sz="0" w:space="0" w:color="auto"/>
                    <w:left w:val="none" w:sz="0" w:space="0" w:color="auto"/>
                    <w:bottom w:val="none" w:sz="0" w:space="0" w:color="auto"/>
                    <w:right w:val="none" w:sz="0" w:space="0" w:color="auto"/>
                  </w:divBdr>
                  <w:divsChild>
                    <w:div w:id="1455520885">
                      <w:marLeft w:val="0"/>
                      <w:marRight w:val="0"/>
                      <w:marTop w:val="0"/>
                      <w:marBottom w:val="0"/>
                      <w:divBdr>
                        <w:top w:val="none" w:sz="0" w:space="0" w:color="auto"/>
                        <w:left w:val="none" w:sz="0" w:space="0" w:color="auto"/>
                        <w:bottom w:val="none" w:sz="0" w:space="0" w:color="auto"/>
                        <w:right w:val="none" w:sz="0" w:space="0" w:color="auto"/>
                      </w:divBdr>
                      <w:divsChild>
                        <w:div w:id="1685091725">
                          <w:marLeft w:val="0"/>
                          <w:marRight w:val="0"/>
                          <w:marTop w:val="0"/>
                          <w:marBottom w:val="0"/>
                          <w:divBdr>
                            <w:top w:val="none" w:sz="0" w:space="0" w:color="auto"/>
                            <w:left w:val="none" w:sz="0" w:space="0" w:color="auto"/>
                            <w:bottom w:val="none" w:sz="0" w:space="0" w:color="auto"/>
                            <w:right w:val="none" w:sz="0" w:space="0" w:color="auto"/>
                          </w:divBdr>
                          <w:divsChild>
                            <w:div w:id="1608729197">
                              <w:marLeft w:val="0"/>
                              <w:marRight w:val="0"/>
                              <w:marTop w:val="0"/>
                              <w:marBottom w:val="0"/>
                              <w:divBdr>
                                <w:top w:val="none" w:sz="0" w:space="0" w:color="auto"/>
                                <w:left w:val="none" w:sz="0" w:space="0" w:color="auto"/>
                                <w:bottom w:val="none" w:sz="0" w:space="0" w:color="auto"/>
                                <w:right w:val="none" w:sz="0" w:space="0" w:color="auto"/>
                              </w:divBdr>
                              <w:divsChild>
                                <w:div w:id="157234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3821082">
      <w:bodyDiv w:val="1"/>
      <w:marLeft w:val="0"/>
      <w:marRight w:val="0"/>
      <w:marTop w:val="0"/>
      <w:marBottom w:val="0"/>
      <w:divBdr>
        <w:top w:val="none" w:sz="0" w:space="0" w:color="auto"/>
        <w:left w:val="none" w:sz="0" w:space="0" w:color="auto"/>
        <w:bottom w:val="none" w:sz="0" w:space="0" w:color="auto"/>
        <w:right w:val="none" w:sz="0" w:space="0" w:color="auto"/>
      </w:divBdr>
    </w:div>
    <w:div w:id="1345984808">
      <w:bodyDiv w:val="1"/>
      <w:marLeft w:val="0"/>
      <w:marRight w:val="0"/>
      <w:marTop w:val="0"/>
      <w:marBottom w:val="0"/>
      <w:divBdr>
        <w:top w:val="none" w:sz="0" w:space="0" w:color="auto"/>
        <w:left w:val="none" w:sz="0" w:space="0" w:color="auto"/>
        <w:bottom w:val="none" w:sz="0" w:space="0" w:color="auto"/>
        <w:right w:val="none" w:sz="0" w:space="0" w:color="auto"/>
      </w:divBdr>
    </w:div>
    <w:div w:id="1486555962">
      <w:bodyDiv w:val="1"/>
      <w:marLeft w:val="0"/>
      <w:marRight w:val="0"/>
      <w:marTop w:val="0"/>
      <w:marBottom w:val="0"/>
      <w:divBdr>
        <w:top w:val="none" w:sz="0" w:space="0" w:color="auto"/>
        <w:left w:val="none" w:sz="0" w:space="0" w:color="auto"/>
        <w:bottom w:val="none" w:sz="0" w:space="0" w:color="auto"/>
        <w:right w:val="none" w:sz="0" w:space="0" w:color="auto"/>
      </w:divBdr>
      <w:divsChild>
        <w:div w:id="1529560077">
          <w:marLeft w:val="0"/>
          <w:marRight w:val="0"/>
          <w:marTop w:val="0"/>
          <w:marBottom w:val="0"/>
          <w:divBdr>
            <w:top w:val="none" w:sz="0" w:space="0" w:color="auto"/>
            <w:left w:val="none" w:sz="0" w:space="0" w:color="auto"/>
            <w:bottom w:val="none" w:sz="0" w:space="0" w:color="auto"/>
            <w:right w:val="none" w:sz="0" w:space="0" w:color="auto"/>
          </w:divBdr>
        </w:div>
        <w:div w:id="1543859382">
          <w:marLeft w:val="0"/>
          <w:marRight w:val="0"/>
          <w:marTop w:val="0"/>
          <w:marBottom w:val="0"/>
          <w:divBdr>
            <w:top w:val="none" w:sz="0" w:space="0" w:color="auto"/>
            <w:left w:val="none" w:sz="0" w:space="0" w:color="auto"/>
            <w:bottom w:val="none" w:sz="0" w:space="0" w:color="auto"/>
            <w:right w:val="none" w:sz="0" w:space="0" w:color="auto"/>
          </w:divBdr>
        </w:div>
        <w:div w:id="706831759">
          <w:marLeft w:val="0"/>
          <w:marRight w:val="0"/>
          <w:marTop w:val="0"/>
          <w:marBottom w:val="0"/>
          <w:divBdr>
            <w:top w:val="none" w:sz="0" w:space="0" w:color="auto"/>
            <w:left w:val="none" w:sz="0" w:space="0" w:color="auto"/>
            <w:bottom w:val="none" w:sz="0" w:space="0" w:color="auto"/>
            <w:right w:val="none" w:sz="0" w:space="0" w:color="auto"/>
          </w:divBdr>
        </w:div>
        <w:div w:id="1212961052">
          <w:marLeft w:val="0"/>
          <w:marRight w:val="0"/>
          <w:marTop w:val="0"/>
          <w:marBottom w:val="0"/>
          <w:divBdr>
            <w:top w:val="none" w:sz="0" w:space="0" w:color="auto"/>
            <w:left w:val="none" w:sz="0" w:space="0" w:color="auto"/>
            <w:bottom w:val="none" w:sz="0" w:space="0" w:color="auto"/>
            <w:right w:val="none" w:sz="0" w:space="0" w:color="auto"/>
          </w:divBdr>
        </w:div>
        <w:div w:id="774177647">
          <w:marLeft w:val="0"/>
          <w:marRight w:val="0"/>
          <w:marTop w:val="0"/>
          <w:marBottom w:val="0"/>
          <w:divBdr>
            <w:top w:val="none" w:sz="0" w:space="0" w:color="auto"/>
            <w:left w:val="none" w:sz="0" w:space="0" w:color="auto"/>
            <w:bottom w:val="none" w:sz="0" w:space="0" w:color="auto"/>
            <w:right w:val="none" w:sz="0" w:space="0" w:color="auto"/>
          </w:divBdr>
        </w:div>
        <w:div w:id="1102413407">
          <w:marLeft w:val="0"/>
          <w:marRight w:val="0"/>
          <w:marTop w:val="0"/>
          <w:marBottom w:val="0"/>
          <w:divBdr>
            <w:top w:val="none" w:sz="0" w:space="0" w:color="auto"/>
            <w:left w:val="none" w:sz="0" w:space="0" w:color="auto"/>
            <w:bottom w:val="none" w:sz="0" w:space="0" w:color="auto"/>
            <w:right w:val="none" w:sz="0" w:space="0" w:color="auto"/>
          </w:divBdr>
        </w:div>
        <w:div w:id="518082037">
          <w:marLeft w:val="0"/>
          <w:marRight w:val="0"/>
          <w:marTop w:val="0"/>
          <w:marBottom w:val="0"/>
          <w:divBdr>
            <w:top w:val="none" w:sz="0" w:space="0" w:color="auto"/>
            <w:left w:val="none" w:sz="0" w:space="0" w:color="auto"/>
            <w:bottom w:val="none" w:sz="0" w:space="0" w:color="auto"/>
            <w:right w:val="none" w:sz="0" w:space="0" w:color="auto"/>
          </w:divBdr>
        </w:div>
        <w:div w:id="1500539518">
          <w:marLeft w:val="0"/>
          <w:marRight w:val="0"/>
          <w:marTop w:val="0"/>
          <w:marBottom w:val="0"/>
          <w:divBdr>
            <w:top w:val="none" w:sz="0" w:space="0" w:color="auto"/>
            <w:left w:val="none" w:sz="0" w:space="0" w:color="auto"/>
            <w:bottom w:val="none" w:sz="0" w:space="0" w:color="auto"/>
            <w:right w:val="none" w:sz="0" w:space="0" w:color="auto"/>
          </w:divBdr>
        </w:div>
        <w:div w:id="227805533">
          <w:marLeft w:val="0"/>
          <w:marRight w:val="0"/>
          <w:marTop w:val="0"/>
          <w:marBottom w:val="0"/>
          <w:divBdr>
            <w:top w:val="none" w:sz="0" w:space="0" w:color="auto"/>
            <w:left w:val="none" w:sz="0" w:space="0" w:color="auto"/>
            <w:bottom w:val="none" w:sz="0" w:space="0" w:color="auto"/>
            <w:right w:val="none" w:sz="0" w:space="0" w:color="auto"/>
          </w:divBdr>
        </w:div>
        <w:div w:id="1380588972">
          <w:marLeft w:val="0"/>
          <w:marRight w:val="0"/>
          <w:marTop w:val="0"/>
          <w:marBottom w:val="0"/>
          <w:divBdr>
            <w:top w:val="none" w:sz="0" w:space="0" w:color="auto"/>
            <w:left w:val="none" w:sz="0" w:space="0" w:color="auto"/>
            <w:bottom w:val="none" w:sz="0" w:space="0" w:color="auto"/>
            <w:right w:val="none" w:sz="0" w:space="0" w:color="auto"/>
          </w:divBdr>
        </w:div>
        <w:div w:id="1655332991">
          <w:marLeft w:val="0"/>
          <w:marRight w:val="0"/>
          <w:marTop w:val="0"/>
          <w:marBottom w:val="0"/>
          <w:divBdr>
            <w:top w:val="none" w:sz="0" w:space="0" w:color="auto"/>
            <w:left w:val="none" w:sz="0" w:space="0" w:color="auto"/>
            <w:bottom w:val="none" w:sz="0" w:space="0" w:color="auto"/>
            <w:right w:val="none" w:sz="0" w:space="0" w:color="auto"/>
          </w:divBdr>
        </w:div>
        <w:div w:id="460803353">
          <w:marLeft w:val="0"/>
          <w:marRight w:val="0"/>
          <w:marTop w:val="0"/>
          <w:marBottom w:val="0"/>
          <w:divBdr>
            <w:top w:val="none" w:sz="0" w:space="0" w:color="auto"/>
            <w:left w:val="none" w:sz="0" w:space="0" w:color="auto"/>
            <w:bottom w:val="none" w:sz="0" w:space="0" w:color="auto"/>
            <w:right w:val="none" w:sz="0" w:space="0" w:color="auto"/>
          </w:divBdr>
        </w:div>
        <w:div w:id="1430347015">
          <w:marLeft w:val="0"/>
          <w:marRight w:val="0"/>
          <w:marTop w:val="0"/>
          <w:marBottom w:val="0"/>
          <w:divBdr>
            <w:top w:val="none" w:sz="0" w:space="0" w:color="auto"/>
            <w:left w:val="none" w:sz="0" w:space="0" w:color="auto"/>
            <w:bottom w:val="none" w:sz="0" w:space="0" w:color="auto"/>
            <w:right w:val="none" w:sz="0" w:space="0" w:color="auto"/>
          </w:divBdr>
        </w:div>
        <w:div w:id="179979018">
          <w:marLeft w:val="0"/>
          <w:marRight w:val="0"/>
          <w:marTop w:val="0"/>
          <w:marBottom w:val="0"/>
          <w:divBdr>
            <w:top w:val="none" w:sz="0" w:space="0" w:color="auto"/>
            <w:left w:val="none" w:sz="0" w:space="0" w:color="auto"/>
            <w:bottom w:val="none" w:sz="0" w:space="0" w:color="auto"/>
            <w:right w:val="none" w:sz="0" w:space="0" w:color="auto"/>
          </w:divBdr>
        </w:div>
        <w:div w:id="1650355523">
          <w:marLeft w:val="0"/>
          <w:marRight w:val="0"/>
          <w:marTop w:val="0"/>
          <w:marBottom w:val="0"/>
          <w:divBdr>
            <w:top w:val="none" w:sz="0" w:space="0" w:color="auto"/>
            <w:left w:val="none" w:sz="0" w:space="0" w:color="auto"/>
            <w:bottom w:val="none" w:sz="0" w:space="0" w:color="auto"/>
            <w:right w:val="none" w:sz="0" w:space="0" w:color="auto"/>
          </w:divBdr>
        </w:div>
        <w:div w:id="1100106392">
          <w:marLeft w:val="0"/>
          <w:marRight w:val="0"/>
          <w:marTop w:val="0"/>
          <w:marBottom w:val="0"/>
          <w:divBdr>
            <w:top w:val="none" w:sz="0" w:space="0" w:color="auto"/>
            <w:left w:val="none" w:sz="0" w:space="0" w:color="auto"/>
            <w:bottom w:val="none" w:sz="0" w:space="0" w:color="auto"/>
            <w:right w:val="none" w:sz="0" w:space="0" w:color="auto"/>
          </w:divBdr>
        </w:div>
        <w:div w:id="1499925136">
          <w:marLeft w:val="0"/>
          <w:marRight w:val="0"/>
          <w:marTop w:val="0"/>
          <w:marBottom w:val="0"/>
          <w:divBdr>
            <w:top w:val="none" w:sz="0" w:space="0" w:color="auto"/>
            <w:left w:val="none" w:sz="0" w:space="0" w:color="auto"/>
            <w:bottom w:val="none" w:sz="0" w:space="0" w:color="auto"/>
            <w:right w:val="none" w:sz="0" w:space="0" w:color="auto"/>
          </w:divBdr>
        </w:div>
        <w:div w:id="1149052847">
          <w:marLeft w:val="0"/>
          <w:marRight w:val="0"/>
          <w:marTop w:val="0"/>
          <w:marBottom w:val="0"/>
          <w:divBdr>
            <w:top w:val="none" w:sz="0" w:space="0" w:color="auto"/>
            <w:left w:val="none" w:sz="0" w:space="0" w:color="auto"/>
            <w:bottom w:val="none" w:sz="0" w:space="0" w:color="auto"/>
            <w:right w:val="none" w:sz="0" w:space="0" w:color="auto"/>
          </w:divBdr>
        </w:div>
        <w:div w:id="1853882684">
          <w:marLeft w:val="0"/>
          <w:marRight w:val="0"/>
          <w:marTop w:val="0"/>
          <w:marBottom w:val="0"/>
          <w:divBdr>
            <w:top w:val="none" w:sz="0" w:space="0" w:color="auto"/>
            <w:left w:val="none" w:sz="0" w:space="0" w:color="auto"/>
            <w:bottom w:val="none" w:sz="0" w:space="0" w:color="auto"/>
            <w:right w:val="none" w:sz="0" w:space="0" w:color="auto"/>
          </w:divBdr>
        </w:div>
        <w:div w:id="1685086066">
          <w:marLeft w:val="0"/>
          <w:marRight w:val="0"/>
          <w:marTop w:val="0"/>
          <w:marBottom w:val="0"/>
          <w:divBdr>
            <w:top w:val="none" w:sz="0" w:space="0" w:color="auto"/>
            <w:left w:val="none" w:sz="0" w:space="0" w:color="auto"/>
            <w:bottom w:val="none" w:sz="0" w:space="0" w:color="auto"/>
            <w:right w:val="none" w:sz="0" w:space="0" w:color="auto"/>
          </w:divBdr>
        </w:div>
        <w:div w:id="1080635993">
          <w:marLeft w:val="0"/>
          <w:marRight w:val="0"/>
          <w:marTop w:val="0"/>
          <w:marBottom w:val="0"/>
          <w:divBdr>
            <w:top w:val="none" w:sz="0" w:space="0" w:color="auto"/>
            <w:left w:val="none" w:sz="0" w:space="0" w:color="auto"/>
            <w:bottom w:val="none" w:sz="0" w:space="0" w:color="auto"/>
            <w:right w:val="none" w:sz="0" w:space="0" w:color="auto"/>
          </w:divBdr>
        </w:div>
        <w:div w:id="342098699">
          <w:marLeft w:val="0"/>
          <w:marRight w:val="0"/>
          <w:marTop w:val="0"/>
          <w:marBottom w:val="0"/>
          <w:divBdr>
            <w:top w:val="none" w:sz="0" w:space="0" w:color="auto"/>
            <w:left w:val="none" w:sz="0" w:space="0" w:color="auto"/>
            <w:bottom w:val="none" w:sz="0" w:space="0" w:color="auto"/>
            <w:right w:val="none" w:sz="0" w:space="0" w:color="auto"/>
          </w:divBdr>
        </w:div>
        <w:div w:id="1145703453">
          <w:marLeft w:val="0"/>
          <w:marRight w:val="0"/>
          <w:marTop w:val="0"/>
          <w:marBottom w:val="0"/>
          <w:divBdr>
            <w:top w:val="none" w:sz="0" w:space="0" w:color="auto"/>
            <w:left w:val="none" w:sz="0" w:space="0" w:color="auto"/>
            <w:bottom w:val="none" w:sz="0" w:space="0" w:color="auto"/>
            <w:right w:val="none" w:sz="0" w:space="0" w:color="auto"/>
          </w:divBdr>
        </w:div>
        <w:div w:id="1241523793">
          <w:marLeft w:val="0"/>
          <w:marRight w:val="0"/>
          <w:marTop w:val="0"/>
          <w:marBottom w:val="0"/>
          <w:divBdr>
            <w:top w:val="none" w:sz="0" w:space="0" w:color="auto"/>
            <w:left w:val="none" w:sz="0" w:space="0" w:color="auto"/>
            <w:bottom w:val="none" w:sz="0" w:space="0" w:color="auto"/>
            <w:right w:val="none" w:sz="0" w:space="0" w:color="auto"/>
          </w:divBdr>
        </w:div>
        <w:div w:id="324865824">
          <w:marLeft w:val="0"/>
          <w:marRight w:val="0"/>
          <w:marTop w:val="0"/>
          <w:marBottom w:val="0"/>
          <w:divBdr>
            <w:top w:val="none" w:sz="0" w:space="0" w:color="auto"/>
            <w:left w:val="none" w:sz="0" w:space="0" w:color="auto"/>
            <w:bottom w:val="none" w:sz="0" w:space="0" w:color="auto"/>
            <w:right w:val="none" w:sz="0" w:space="0" w:color="auto"/>
          </w:divBdr>
        </w:div>
        <w:div w:id="1096094821">
          <w:marLeft w:val="0"/>
          <w:marRight w:val="0"/>
          <w:marTop w:val="0"/>
          <w:marBottom w:val="0"/>
          <w:divBdr>
            <w:top w:val="none" w:sz="0" w:space="0" w:color="auto"/>
            <w:left w:val="none" w:sz="0" w:space="0" w:color="auto"/>
            <w:bottom w:val="none" w:sz="0" w:space="0" w:color="auto"/>
            <w:right w:val="none" w:sz="0" w:space="0" w:color="auto"/>
          </w:divBdr>
        </w:div>
        <w:div w:id="1758402290">
          <w:marLeft w:val="0"/>
          <w:marRight w:val="0"/>
          <w:marTop w:val="0"/>
          <w:marBottom w:val="0"/>
          <w:divBdr>
            <w:top w:val="none" w:sz="0" w:space="0" w:color="auto"/>
            <w:left w:val="none" w:sz="0" w:space="0" w:color="auto"/>
            <w:bottom w:val="none" w:sz="0" w:space="0" w:color="auto"/>
            <w:right w:val="none" w:sz="0" w:space="0" w:color="auto"/>
          </w:divBdr>
        </w:div>
        <w:div w:id="1585453707">
          <w:marLeft w:val="0"/>
          <w:marRight w:val="0"/>
          <w:marTop w:val="0"/>
          <w:marBottom w:val="0"/>
          <w:divBdr>
            <w:top w:val="none" w:sz="0" w:space="0" w:color="auto"/>
            <w:left w:val="none" w:sz="0" w:space="0" w:color="auto"/>
            <w:bottom w:val="none" w:sz="0" w:space="0" w:color="auto"/>
            <w:right w:val="none" w:sz="0" w:space="0" w:color="auto"/>
          </w:divBdr>
        </w:div>
        <w:div w:id="1387141365">
          <w:marLeft w:val="0"/>
          <w:marRight w:val="0"/>
          <w:marTop w:val="0"/>
          <w:marBottom w:val="0"/>
          <w:divBdr>
            <w:top w:val="none" w:sz="0" w:space="0" w:color="auto"/>
            <w:left w:val="none" w:sz="0" w:space="0" w:color="auto"/>
            <w:bottom w:val="none" w:sz="0" w:space="0" w:color="auto"/>
            <w:right w:val="none" w:sz="0" w:space="0" w:color="auto"/>
          </w:divBdr>
        </w:div>
        <w:div w:id="1852865598">
          <w:marLeft w:val="0"/>
          <w:marRight w:val="0"/>
          <w:marTop w:val="0"/>
          <w:marBottom w:val="0"/>
          <w:divBdr>
            <w:top w:val="none" w:sz="0" w:space="0" w:color="auto"/>
            <w:left w:val="none" w:sz="0" w:space="0" w:color="auto"/>
            <w:bottom w:val="none" w:sz="0" w:space="0" w:color="auto"/>
            <w:right w:val="none" w:sz="0" w:space="0" w:color="auto"/>
          </w:divBdr>
        </w:div>
        <w:div w:id="142428078">
          <w:marLeft w:val="0"/>
          <w:marRight w:val="0"/>
          <w:marTop w:val="0"/>
          <w:marBottom w:val="0"/>
          <w:divBdr>
            <w:top w:val="none" w:sz="0" w:space="0" w:color="auto"/>
            <w:left w:val="none" w:sz="0" w:space="0" w:color="auto"/>
            <w:bottom w:val="none" w:sz="0" w:space="0" w:color="auto"/>
            <w:right w:val="none" w:sz="0" w:space="0" w:color="auto"/>
          </w:divBdr>
        </w:div>
        <w:div w:id="1903448424">
          <w:marLeft w:val="0"/>
          <w:marRight w:val="0"/>
          <w:marTop w:val="0"/>
          <w:marBottom w:val="0"/>
          <w:divBdr>
            <w:top w:val="none" w:sz="0" w:space="0" w:color="auto"/>
            <w:left w:val="none" w:sz="0" w:space="0" w:color="auto"/>
            <w:bottom w:val="none" w:sz="0" w:space="0" w:color="auto"/>
            <w:right w:val="none" w:sz="0" w:space="0" w:color="auto"/>
          </w:divBdr>
        </w:div>
        <w:div w:id="305821756">
          <w:marLeft w:val="0"/>
          <w:marRight w:val="0"/>
          <w:marTop w:val="0"/>
          <w:marBottom w:val="0"/>
          <w:divBdr>
            <w:top w:val="none" w:sz="0" w:space="0" w:color="auto"/>
            <w:left w:val="none" w:sz="0" w:space="0" w:color="auto"/>
            <w:bottom w:val="none" w:sz="0" w:space="0" w:color="auto"/>
            <w:right w:val="none" w:sz="0" w:space="0" w:color="auto"/>
          </w:divBdr>
        </w:div>
        <w:div w:id="1147817462">
          <w:marLeft w:val="0"/>
          <w:marRight w:val="0"/>
          <w:marTop w:val="0"/>
          <w:marBottom w:val="0"/>
          <w:divBdr>
            <w:top w:val="none" w:sz="0" w:space="0" w:color="auto"/>
            <w:left w:val="none" w:sz="0" w:space="0" w:color="auto"/>
            <w:bottom w:val="none" w:sz="0" w:space="0" w:color="auto"/>
            <w:right w:val="none" w:sz="0" w:space="0" w:color="auto"/>
          </w:divBdr>
        </w:div>
        <w:div w:id="1950892951">
          <w:marLeft w:val="0"/>
          <w:marRight w:val="0"/>
          <w:marTop w:val="0"/>
          <w:marBottom w:val="0"/>
          <w:divBdr>
            <w:top w:val="none" w:sz="0" w:space="0" w:color="auto"/>
            <w:left w:val="none" w:sz="0" w:space="0" w:color="auto"/>
            <w:bottom w:val="none" w:sz="0" w:space="0" w:color="auto"/>
            <w:right w:val="none" w:sz="0" w:space="0" w:color="auto"/>
          </w:divBdr>
        </w:div>
        <w:div w:id="450132378">
          <w:marLeft w:val="0"/>
          <w:marRight w:val="0"/>
          <w:marTop w:val="0"/>
          <w:marBottom w:val="0"/>
          <w:divBdr>
            <w:top w:val="none" w:sz="0" w:space="0" w:color="auto"/>
            <w:left w:val="none" w:sz="0" w:space="0" w:color="auto"/>
            <w:bottom w:val="none" w:sz="0" w:space="0" w:color="auto"/>
            <w:right w:val="none" w:sz="0" w:space="0" w:color="auto"/>
          </w:divBdr>
        </w:div>
        <w:div w:id="935745295">
          <w:marLeft w:val="0"/>
          <w:marRight w:val="0"/>
          <w:marTop w:val="0"/>
          <w:marBottom w:val="0"/>
          <w:divBdr>
            <w:top w:val="none" w:sz="0" w:space="0" w:color="auto"/>
            <w:left w:val="none" w:sz="0" w:space="0" w:color="auto"/>
            <w:bottom w:val="none" w:sz="0" w:space="0" w:color="auto"/>
            <w:right w:val="none" w:sz="0" w:space="0" w:color="auto"/>
          </w:divBdr>
        </w:div>
        <w:div w:id="1778594562">
          <w:marLeft w:val="0"/>
          <w:marRight w:val="0"/>
          <w:marTop w:val="0"/>
          <w:marBottom w:val="0"/>
          <w:divBdr>
            <w:top w:val="none" w:sz="0" w:space="0" w:color="auto"/>
            <w:left w:val="none" w:sz="0" w:space="0" w:color="auto"/>
            <w:bottom w:val="none" w:sz="0" w:space="0" w:color="auto"/>
            <w:right w:val="none" w:sz="0" w:space="0" w:color="auto"/>
          </w:divBdr>
        </w:div>
        <w:div w:id="1904441805">
          <w:marLeft w:val="0"/>
          <w:marRight w:val="0"/>
          <w:marTop w:val="0"/>
          <w:marBottom w:val="0"/>
          <w:divBdr>
            <w:top w:val="none" w:sz="0" w:space="0" w:color="auto"/>
            <w:left w:val="none" w:sz="0" w:space="0" w:color="auto"/>
            <w:bottom w:val="none" w:sz="0" w:space="0" w:color="auto"/>
            <w:right w:val="none" w:sz="0" w:space="0" w:color="auto"/>
          </w:divBdr>
        </w:div>
        <w:div w:id="1779369239">
          <w:marLeft w:val="0"/>
          <w:marRight w:val="0"/>
          <w:marTop w:val="0"/>
          <w:marBottom w:val="0"/>
          <w:divBdr>
            <w:top w:val="none" w:sz="0" w:space="0" w:color="auto"/>
            <w:left w:val="none" w:sz="0" w:space="0" w:color="auto"/>
            <w:bottom w:val="none" w:sz="0" w:space="0" w:color="auto"/>
            <w:right w:val="none" w:sz="0" w:space="0" w:color="auto"/>
          </w:divBdr>
        </w:div>
        <w:div w:id="1176648156">
          <w:marLeft w:val="0"/>
          <w:marRight w:val="0"/>
          <w:marTop w:val="0"/>
          <w:marBottom w:val="0"/>
          <w:divBdr>
            <w:top w:val="none" w:sz="0" w:space="0" w:color="auto"/>
            <w:left w:val="none" w:sz="0" w:space="0" w:color="auto"/>
            <w:bottom w:val="none" w:sz="0" w:space="0" w:color="auto"/>
            <w:right w:val="none" w:sz="0" w:space="0" w:color="auto"/>
          </w:divBdr>
        </w:div>
        <w:div w:id="1350568541">
          <w:marLeft w:val="0"/>
          <w:marRight w:val="0"/>
          <w:marTop w:val="0"/>
          <w:marBottom w:val="0"/>
          <w:divBdr>
            <w:top w:val="none" w:sz="0" w:space="0" w:color="auto"/>
            <w:left w:val="none" w:sz="0" w:space="0" w:color="auto"/>
            <w:bottom w:val="none" w:sz="0" w:space="0" w:color="auto"/>
            <w:right w:val="none" w:sz="0" w:space="0" w:color="auto"/>
          </w:divBdr>
        </w:div>
        <w:div w:id="555312305">
          <w:marLeft w:val="0"/>
          <w:marRight w:val="0"/>
          <w:marTop w:val="0"/>
          <w:marBottom w:val="0"/>
          <w:divBdr>
            <w:top w:val="none" w:sz="0" w:space="0" w:color="auto"/>
            <w:left w:val="none" w:sz="0" w:space="0" w:color="auto"/>
            <w:bottom w:val="none" w:sz="0" w:space="0" w:color="auto"/>
            <w:right w:val="none" w:sz="0" w:space="0" w:color="auto"/>
          </w:divBdr>
        </w:div>
        <w:div w:id="139082192">
          <w:marLeft w:val="0"/>
          <w:marRight w:val="0"/>
          <w:marTop w:val="0"/>
          <w:marBottom w:val="0"/>
          <w:divBdr>
            <w:top w:val="none" w:sz="0" w:space="0" w:color="auto"/>
            <w:left w:val="none" w:sz="0" w:space="0" w:color="auto"/>
            <w:bottom w:val="none" w:sz="0" w:space="0" w:color="auto"/>
            <w:right w:val="none" w:sz="0" w:space="0" w:color="auto"/>
          </w:divBdr>
        </w:div>
        <w:div w:id="41172773">
          <w:marLeft w:val="0"/>
          <w:marRight w:val="0"/>
          <w:marTop w:val="0"/>
          <w:marBottom w:val="0"/>
          <w:divBdr>
            <w:top w:val="none" w:sz="0" w:space="0" w:color="auto"/>
            <w:left w:val="none" w:sz="0" w:space="0" w:color="auto"/>
            <w:bottom w:val="none" w:sz="0" w:space="0" w:color="auto"/>
            <w:right w:val="none" w:sz="0" w:space="0" w:color="auto"/>
          </w:divBdr>
        </w:div>
        <w:div w:id="424569583">
          <w:marLeft w:val="0"/>
          <w:marRight w:val="0"/>
          <w:marTop w:val="0"/>
          <w:marBottom w:val="0"/>
          <w:divBdr>
            <w:top w:val="none" w:sz="0" w:space="0" w:color="auto"/>
            <w:left w:val="none" w:sz="0" w:space="0" w:color="auto"/>
            <w:bottom w:val="none" w:sz="0" w:space="0" w:color="auto"/>
            <w:right w:val="none" w:sz="0" w:space="0" w:color="auto"/>
          </w:divBdr>
        </w:div>
        <w:div w:id="33236076">
          <w:marLeft w:val="0"/>
          <w:marRight w:val="0"/>
          <w:marTop w:val="0"/>
          <w:marBottom w:val="0"/>
          <w:divBdr>
            <w:top w:val="none" w:sz="0" w:space="0" w:color="auto"/>
            <w:left w:val="none" w:sz="0" w:space="0" w:color="auto"/>
            <w:bottom w:val="none" w:sz="0" w:space="0" w:color="auto"/>
            <w:right w:val="none" w:sz="0" w:space="0" w:color="auto"/>
          </w:divBdr>
        </w:div>
        <w:div w:id="1731072708">
          <w:marLeft w:val="0"/>
          <w:marRight w:val="0"/>
          <w:marTop w:val="0"/>
          <w:marBottom w:val="0"/>
          <w:divBdr>
            <w:top w:val="none" w:sz="0" w:space="0" w:color="auto"/>
            <w:left w:val="none" w:sz="0" w:space="0" w:color="auto"/>
            <w:bottom w:val="none" w:sz="0" w:space="0" w:color="auto"/>
            <w:right w:val="none" w:sz="0" w:space="0" w:color="auto"/>
          </w:divBdr>
        </w:div>
        <w:div w:id="30542438">
          <w:marLeft w:val="0"/>
          <w:marRight w:val="0"/>
          <w:marTop w:val="0"/>
          <w:marBottom w:val="0"/>
          <w:divBdr>
            <w:top w:val="none" w:sz="0" w:space="0" w:color="auto"/>
            <w:left w:val="none" w:sz="0" w:space="0" w:color="auto"/>
            <w:bottom w:val="none" w:sz="0" w:space="0" w:color="auto"/>
            <w:right w:val="none" w:sz="0" w:space="0" w:color="auto"/>
          </w:divBdr>
        </w:div>
        <w:div w:id="2079669670">
          <w:marLeft w:val="0"/>
          <w:marRight w:val="0"/>
          <w:marTop w:val="0"/>
          <w:marBottom w:val="0"/>
          <w:divBdr>
            <w:top w:val="none" w:sz="0" w:space="0" w:color="auto"/>
            <w:left w:val="none" w:sz="0" w:space="0" w:color="auto"/>
            <w:bottom w:val="none" w:sz="0" w:space="0" w:color="auto"/>
            <w:right w:val="none" w:sz="0" w:space="0" w:color="auto"/>
          </w:divBdr>
        </w:div>
        <w:div w:id="521361314">
          <w:marLeft w:val="0"/>
          <w:marRight w:val="0"/>
          <w:marTop w:val="0"/>
          <w:marBottom w:val="0"/>
          <w:divBdr>
            <w:top w:val="none" w:sz="0" w:space="0" w:color="auto"/>
            <w:left w:val="none" w:sz="0" w:space="0" w:color="auto"/>
            <w:bottom w:val="none" w:sz="0" w:space="0" w:color="auto"/>
            <w:right w:val="none" w:sz="0" w:space="0" w:color="auto"/>
          </w:divBdr>
        </w:div>
        <w:div w:id="1894847172">
          <w:marLeft w:val="0"/>
          <w:marRight w:val="0"/>
          <w:marTop w:val="0"/>
          <w:marBottom w:val="0"/>
          <w:divBdr>
            <w:top w:val="none" w:sz="0" w:space="0" w:color="auto"/>
            <w:left w:val="none" w:sz="0" w:space="0" w:color="auto"/>
            <w:bottom w:val="none" w:sz="0" w:space="0" w:color="auto"/>
            <w:right w:val="none" w:sz="0" w:space="0" w:color="auto"/>
          </w:divBdr>
        </w:div>
        <w:div w:id="1873571546">
          <w:marLeft w:val="0"/>
          <w:marRight w:val="0"/>
          <w:marTop w:val="0"/>
          <w:marBottom w:val="0"/>
          <w:divBdr>
            <w:top w:val="none" w:sz="0" w:space="0" w:color="auto"/>
            <w:left w:val="none" w:sz="0" w:space="0" w:color="auto"/>
            <w:bottom w:val="none" w:sz="0" w:space="0" w:color="auto"/>
            <w:right w:val="none" w:sz="0" w:space="0" w:color="auto"/>
          </w:divBdr>
        </w:div>
        <w:div w:id="1498839910">
          <w:marLeft w:val="0"/>
          <w:marRight w:val="0"/>
          <w:marTop w:val="0"/>
          <w:marBottom w:val="0"/>
          <w:divBdr>
            <w:top w:val="none" w:sz="0" w:space="0" w:color="auto"/>
            <w:left w:val="none" w:sz="0" w:space="0" w:color="auto"/>
            <w:bottom w:val="none" w:sz="0" w:space="0" w:color="auto"/>
            <w:right w:val="none" w:sz="0" w:space="0" w:color="auto"/>
          </w:divBdr>
        </w:div>
        <w:div w:id="527526503">
          <w:marLeft w:val="0"/>
          <w:marRight w:val="0"/>
          <w:marTop w:val="0"/>
          <w:marBottom w:val="0"/>
          <w:divBdr>
            <w:top w:val="none" w:sz="0" w:space="0" w:color="auto"/>
            <w:left w:val="none" w:sz="0" w:space="0" w:color="auto"/>
            <w:bottom w:val="none" w:sz="0" w:space="0" w:color="auto"/>
            <w:right w:val="none" w:sz="0" w:space="0" w:color="auto"/>
          </w:divBdr>
        </w:div>
        <w:div w:id="677001562">
          <w:marLeft w:val="0"/>
          <w:marRight w:val="0"/>
          <w:marTop w:val="0"/>
          <w:marBottom w:val="0"/>
          <w:divBdr>
            <w:top w:val="none" w:sz="0" w:space="0" w:color="auto"/>
            <w:left w:val="none" w:sz="0" w:space="0" w:color="auto"/>
            <w:bottom w:val="none" w:sz="0" w:space="0" w:color="auto"/>
            <w:right w:val="none" w:sz="0" w:space="0" w:color="auto"/>
          </w:divBdr>
        </w:div>
        <w:div w:id="1243366798">
          <w:marLeft w:val="0"/>
          <w:marRight w:val="0"/>
          <w:marTop w:val="0"/>
          <w:marBottom w:val="0"/>
          <w:divBdr>
            <w:top w:val="none" w:sz="0" w:space="0" w:color="auto"/>
            <w:left w:val="none" w:sz="0" w:space="0" w:color="auto"/>
            <w:bottom w:val="none" w:sz="0" w:space="0" w:color="auto"/>
            <w:right w:val="none" w:sz="0" w:space="0" w:color="auto"/>
          </w:divBdr>
        </w:div>
        <w:div w:id="1959293699">
          <w:marLeft w:val="0"/>
          <w:marRight w:val="0"/>
          <w:marTop w:val="0"/>
          <w:marBottom w:val="0"/>
          <w:divBdr>
            <w:top w:val="none" w:sz="0" w:space="0" w:color="auto"/>
            <w:left w:val="none" w:sz="0" w:space="0" w:color="auto"/>
            <w:bottom w:val="none" w:sz="0" w:space="0" w:color="auto"/>
            <w:right w:val="none" w:sz="0" w:space="0" w:color="auto"/>
          </w:divBdr>
        </w:div>
        <w:div w:id="1655600647">
          <w:marLeft w:val="0"/>
          <w:marRight w:val="0"/>
          <w:marTop w:val="0"/>
          <w:marBottom w:val="0"/>
          <w:divBdr>
            <w:top w:val="none" w:sz="0" w:space="0" w:color="auto"/>
            <w:left w:val="none" w:sz="0" w:space="0" w:color="auto"/>
            <w:bottom w:val="none" w:sz="0" w:space="0" w:color="auto"/>
            <w:right w:val="none" w:sz="0" w:space="0" w:color="auto"/>
          </w:divBdr>
        </w:div>
        <w:div w:id="96675969">
          <w:marLeft w:val="0"/>
          <w:marRight w:val="0"/>
          <w:marTop w:val="0"/>
          <w:marBottom w:val="0"/>
          <w:divBdr>
            <w:top w:val="none" w:sz="0" w:space="0" w:color="auto"/>
            <w:left w:val="none" w:sz="0" w:space="0" w:color="auto"/>
            <w:bottom w:val="none" w:sz="0" w:space="0" w:color="auto"/>
            <w:right w:val="none" w:sz="0" w:space="0" w:color="auto"/>
          </w:divBdr>
        </w:div>
        <w:div w:id="2080907813">
          <w:marLeft w:val="0"/>
          <w:marRight w:val="0"/>
          <w:marTop w:val="0"/>
          <w:marBottom w:val="0"/>
          <w:divBdr>
            <w:top w:val="none" w:sz="0" w:space="0" w:color="auto"/>
            <w:left w:val="none" w:sz="0" w:space="0" w:color="auto"/>
            <w:bottom w:val="none" w:sz="0" w:space="0" w:color="auto"/>
            <w:right w:val="none" w:sz="0" w:space="0" w:color="auto"/>
          </w:divBdr>
        </w:div>
        <w:div w:id="2021197835">
          <w:marLeft w:val="0"/>
          <w:marRight w:val="0"/>
          <w:marTop w:val="0"/>
          <w:marBottom w:val="0"/>
          <w:divBdr>
            <w:top w:val="none" w:sz="0" w:space="0" w:color="auto"/>
            <w:left w:val="none" w:sz="0" w:space="0" w:color="auto"/>
            <w:bottom w:val="none" w:sz="0" w:space="0" w:color="auto"/>
            <w:right w:val="none" w:sz="0" w:space="0" w:color="auto"/>
          </w:divBdr>
        </w:div>
        <w:div w:id="711199537">
          <w:marLeft w:val="0"/>
          <w:marRight w:val="0"/>
          <w:marTop w:val="0"/>
          <w:marBottom w:val="0"/>
          <w:divBdr>
            <w:top w:val="none" w:sz="0" w:space="0" w:color="auto"/>
            <w:left w:val="none" w:sz="0" w:space="0" w:color="auto"/>
            <w:bottom w:val="none" w:sz="0" w:space="0" w:color="auto"/>
            <w:right w:val="none" w:sz="0" w:space="0" w:color="auto"/>
          </w:divBdr>
        </w:div>
        <w:div w:id="381684566">
          <w:marLeft w:val="0"/>
          <w:marRight w:val="0"/>
          <w:marTop w:val="0"/>
          <w:marBottom w:val="0"/>
          <w:divBdr>
            <w:top w:val="none" w:sz="0" w:space="0" w:color="auto"/>
            <w:left w:val="none" w:sz="0" w:space="0" w:color="auto"/>
            <w:bottom w:val="none" w:sz="0" w:space="0" w:color="auto"/>
            <w:right w:val="none" w:sz="0" w:space="0" w:color="auto"/>
          </w:divBdr>
        </w:div>
        <w:div w:id="1878007653">
          <w:marLeft w:val="0"/>
          <w:marRight w:val="0"/>
          <w:marTop w:val="0"/>
          <w:marBottom w:val="0"/>
          <w:divBdr>
            <w:top w:val="none" w:sz="0" w:space="0" w:color="auto"/>
            <w:left w:val="none" w:sz="0" w:space="0" w:color="auto"/>
            <w:bottom w:val="none" w:sz="0" w:space="0" w:color="auto"/>
            <w:right w:val="none" w:sz="0" w:space="0" w:color="auto"/>
          </w:divBdr>
        </w:div>
        <w:div w:id="1950314616">
          <w:marLeft w:val="0"/>
          <w:marRight w:val="0"/>
          <w:marTop w:val="0"/>
          <w:marBottom w:val="0"/>
          <w:divBdr>
            <w:top w:val="none" w:sz="0" w:space="0" w:color="auto"/>
            <w:left w:val="none" w:sz="0" w:space="0" w:color="auto"/>
            <w:bottom w:val="none" w:sz="0" w:space="0" w:color="auto"/>
            <w:right w:val="none" w:sz="0" w:space="0" w:color="auto"/>
          </w:divBdr>
        </w:div>
        <w:div w:id="1293638040">
          <w:marLeft w:val="0"/>
          <w:marRight w:val="0"/>
          <w:marTop w:val="0"/>
          <w:marBottom w:val="0"/>
          <w:divBdr>
            <w:top w:val="none" w:sz="0" w:space="0" w:color="auto"/>
            <w:left w:val="none" w:sz="0" w:space="0" w:color="auto"/>
            <w:bottom w:val="none" w:sz="0" w:space="0" w:color="auto"/>
            <w:right w:val="none" w:sz="0" w:space="0" w:color="auto"/>
          </w:divBdr>
        </w:div>
        <w:div w:id="746655211">
          <w:marLeft w:val="0"/>
          <w:marRight w:val="0"/>
          <w:marTop w:val="0"/>
          <w:marBottom w:val="0"/>
          <w:divBdr>
            <w:top w:val="none" w:sz="0" w:space="0" w:color="auto"/>
            <w:left w:val="none" w:sz="0" w:space="0" w:color="auto"/>
            <w:bottom w:val="none" w:sz="0" w:space="0" w:color="auto"/>
            <w:right w:val="none" w:sz="0" w:space="0" w:color="auto"/>
          </w:divBdr>
        </w:div>
        <w:div w:id="2050180430">
          <w:marLeft w:val="0"/>
          <w:marRight w:val="0"/>
          <w:marTop w:val="0"/>
          <w:marBottom w:val="0"/>
          <w:divBdr>
            <w:top w:val="none" w:sz="0" w:space="0" w:color="auto"/>
            <w:left w:val="none" w:sz="0" w:space="0" w:color="auto"/>
            <w:bottom w:val="none" w:sz="0" w:space="0" w:color="auto"/>
            <w:right w:val="none" w:sz="0" w:space="0" w:color="auto"/>
          </w:divBdr>
        </w:div>
        <w:div w:id="1275792329">
          <w:marLeft w:val="0"/>
          <w:marRight w:val="0"/>
          <w:marTop w:val="0"/>
          <w:marBottom w:val="0"/>
          <w:divBdr>
            <w:top w:val="none" w:sz="0" w:space="0" w:color="auto"/>
            <w:left w:val="none" w:sz="0" w:space="0" w:color="auto"/>
            <w:bottom w:val="none" w:sz="0" w:space="0" w:color="auto"/>
            <w:right w:val="none" w:sz="0" w:space="0" w:color="auto"/>
          </w:divBdr>
        </w:div>
        <w:div w:id="1005397049">
          <w:marLeft w:val="0"/>
          <w:marRight w:val="0"/>
          <w:marTop w:val="0"/>
          <w:marBottom w:val="0"/>
          <w:divBdr>
            <w:top w:val="none" w:sz="0" w:space="0" w:color="auto"/>
            <w:left w:val="none" w:sz="0" w:space="0" w:color="auto"/>
            <w:bottom w:val="none" w:sz="0" w:space="0" w:color="auto"/>
            <w:right w:val="none" w:sz="0" w:space="0" w:color="auto"/>
          </w:divBdr>
        </w:div>
        <w:div w:id="754787813">
          <w:marLeft w:val="0"/>
          <w:marRight w:val="0"/>
          <w:marTop w:val="0"/>
          <w:marBottom w:val="0"/>
          <w:divBdr>
            <w:top w:val="none" w:sz="0" w:space="0" w:color="auto"/>
            <w:left w:val="none" w:sz="0" w:space="0" w:color="auto"/>
            <w:bottom w:val="none" w:sz="0" w:space="0" w:color="auto"/>
            <w:right w:val="none" w:sz="0" w:space="0" w:color="auto"/>
          </w:divBdr>
        </w:div>
        <w:div w:id="1390493700">
          <w:marLeft w:val="0"/>
          <w:marRight w:val="0"/>
          <w:marTop w:val="0"/>
          <w:marBottom w:val="0"/>
          <w:divBdr>
            <w:top w:val="none" w:sz="0" w:space="0" w:color="auto"/>
            <w:left w:val="none" w:sz="0" w:space="0" w:color="auto"/>
            <w:bottom w:val="none" w:sz="0" w:space="0" w:color="auto"/>
            <w:right w:val="none" w:sz="0" w:space="0" w:color="auto"/>
          </w:divBdr>
        </w:div>
        <w:div w:id="28191899">
          <w:marLeft w:val="0"/>
          <w:marRight w:val="0"/>
          <w:marTop w:val="0"/>
          <w:marBottom w:val="0"/>
          <w:divBdr>
            <w:top w:val="none" w:sz="0" w:space="0" w:color="auto"/>
            <w:left w:val="none" w:sz="0" w:space="0" w:color="auto"/>
            <w:bottom w:val="none" w:sz="0" w:space="0" w:color="auto"/>
            <w:right w:val="none" w:sz="0" w:space="0" w:color="auto"/>
          </w:divBdr>
        </w:div>
        <w:div w:id="1577594943">
          <w:marLeft w:val="0"/>
          <w:marRight w:val="0"/>
          <w:marTop w:val="0"/>
          <w:marBottom w:val="0"/>
          <w:divBdr>
            <w:top w:val="none" w:sz="0" w:space="0" w:color="auto"/>
            <w:left w:val="none" w:sz="0" w:space="0" w:color="auto"/>
            <w:bottom w:val="none" w:sz="0" w:space="0" w:color="auto"/>
            <w:right w:val="none" w:sz="0" w:space="0" w:color="auto"/>
          </w:divBdr>
        </w:div>
        <w:div w:id="1829246910">
          <w:marLeft w:val="0"/>
          <w:marRight w:val="0"/>
          <w:marTop w:val="0"/>
          <w:marBottom w:val="0"/>
          <w:divBdr>
            <w:top w:val="none" w:sz="0" w:space="0" w:color="auto"/>
            <w:left w:val="none" w:sz="0" w:space="0" w:color="auto"/>
            <w:bottom w:val="none" w:sz="0" w:space="0" w:color="auto"/>
            <w:right w:val="none" w:sz="0" w:space="0" w:color="auto"/>
          </w:divBdr>
        </w:div>
        <w:div w:id="1503816586">
          <w:marLeft w:val="0"/>
          <w:marRight w:val="0"/>
          <w:marTop w:val="0"/>
          <w:marBottom w:val="0"/>
          <w:divBdr>
            <w:top w:val="none" w:sz="0" w:space="0" w:color="auto"/>
            <w:left w:val="none" w:sz="0" w:space="0" w:color="auto"/>
            <w:bottom w:val="none" w:sz="0" w:space="0" w:color="auto"/>
            <w:right w:val="none" w:sz="0" w:space="0" w:color="auto"/>
          </w:divBdr>
        </w:div>
        <w:div w:id="984968725">
          <w:marLeft w:val="0"/>
          <w:marRight w:val="0"/>
          <w:marTop w:val="0"/>
          <w:marBottom w:val="0"/>
          <w:divBdr>
            <w:top w:val="none" w:sz="0" w:space="0" w:color="auto"/>
            <w:left w:val="none" w:sz="0" w:space="0" w:color="auto"/>
            <w:bottom w:val="none" w:sz="0" w:space="0" w:color="auto"/>
            <w:right w:val="none" w:sz="0" w:space="0" w:color="auto"/>
          </w:divBdr>
        </w:div>
        <w:div w:id="1204512866">
          <w:marLeft w:val="0"/>
          <w:marRight w:val="0"/>
          <w:marTop w:val="0"/>
          <w:marBottom w:val="0"/>
          <w:divBdr>
            <w:top w:val="none" w:sz="0" w:space="0" w:color="auto"/>
            <w:left w:val="none" w:sz="0" w:space="0" w:color="auto"/>
            <w:bottom w:val="none" w:sz="0" w:space="0" w:color="auto"/>
            <w:right w:val="none" w:sz="0" w:space="0" w:color="auto"/>
          </w:divBdr>
        </w:div>
        <w:div w:id="400951138">
          <w:marLeft w:val="0"/>
          <w:marRight w:val="0"/>
          <w:marTop w:val="0"/>
          <w:marBottom w:val="0"/>
          <w:divBdr>
            <w:top w:val="none" w:sz="0" w:space="0" w:color="auto"/>
            <w:left w:val="none" w:sz="0" w:space="0" w:color="auto"/>
            <w:bottom w:val="none" w:sz="0" w:space="0" w:color="auto"/>
            <w:right w:val="none" w:sz="0" w:space="0" w:color="auto"/>
          </w:divBdr>
        </w:div>
        <w:div w:id="836193162">
          <w:marLeft w:val="0"/>
          <w:marRight w:val="0"/>
          <w:marTop w:val="0"/>
          <w:marBottom w:val="0"/>
          <w:divBdr>
            <w:top w:val="none" w:sz="0" w:space="0" w:color="auto"/>
            <w:left w:val="none" w:sz="0" w:space="0" w:color="auto"/>
            <w:bottom w:val="none" w:sz="0" w:space="0" w:color="auto"/>
            <w:right w:val="none" w:sz="0" w:space="0" w:color="auto"/>
          </w:divBdr>
        </w:div>
        <w:div w:id="112286192">
          <w:marLeft w:val="0"/>
          <w:marRight w:val="0"/>
          <w:marTop w:val="0"/>
          <w:marBottom w:val="0"/>
          <w:divBdr>
            <w:top w:val="none" w:sz="0" w:space="0" w:color="auto"/>
            <w:left w:val="none" w:sz="0" w:space="0" w:color="auto"/>
            <w:bottom w:val="none" w:sz="0" w:space="0" w:color="auto"/>
            <w:right w:val="none" w:sz="0" w:space="0" w:color="auto"/>
          </w:divBdr>
        </w:div>
        <w:div w:id="2112817757">
          <w:marLeft w:val="0"/>
          <w:marRight w:val="0"/>
          <w:marTop w:val="0"/>
          <w:marBottom w:val="0"/>
          <w:divBdr>
            <w:top w:val="none" w:sz="0" w:space="0" w:color="auto"/>
            <w:left w:val="none" w:sz="0" w:space="0" w:color="auto"/>
            <w:bottom w:val="none" w:sz="0" w:space="0" w:color="auto"/>
            <w:right w:val="none" w:sz="0" w:space="0" w:color="auto"/>
          </w:divBdr>
        </w:div>
        <w:div w:id="783496785">
          <w:marLeft w:val="0"/>
          <w:marRight w:val="0"/>
          <w:marTop w:val="0"/>
          <w:marBottom w:val="0"/>
          <w:divBdr>
            <w:top w:val="none" w:sz="0" w:space="0" w:color="auto"/>
            <w:left w:val="none" w:sz="0" w:space="0" w:color="auto"/>
            <w:bottom w:val="none" w:sz="0" w:space="0" w:color="auto"/>
            <w:right w:val="none" w:sz="0" w:space="0" w:color="auto"/>
          </w:divBdr>
        </w:div>
        <w:div w:id="1546674653">
          <w:marLeft w:val="0"/>
          <w:marRight w:val="0"/>
          <w:marTop w:val="0"/>
          <w:marBottom w:val="0"/>
          <w:divBdr>
            <w:top w:val="none" w:sz="0" w:space="0" w:color="auto"/>
            <w:left w:val="none" w:sz="0" w:space="0" w:color="auto"/>
            <w:bottom w:val="none" w:sz="0" w:space="0" w:color="auto"/>
            <w:right w:val="none" w:sz="0" w:space="0" w:color="auto"/>
          </w:divBdr>
        </w:div>
        <w:div w:id="304431988">
          <w:marLeft w:val="0"/>
          <w:marRight w:val="0"/>
          <w:marTop w:val="0"/>
          <w:marBottom w:val="0"/>
          <w:divBdr>
            <w:top w:val="none" w:sz="0" w:space="0" w:color="auto"/>
            <w:left w:val="none" w:sz="0" w:space="0" w:color="auto"/>
            <w:bottom w:val="none" w:sz="0" w:space="0" w:color="auto"/>
            <w:right w:val="none" w:sz="0" w:space="0" w:color="auto"/>
          </w:divBdr>
        </w:div>
        <w:div w:id="1250851604">
          <w:marLeft w:val="0"/>
          <w:marRight w:val="0"/>
          <w:marTop w:val="0"/>
          <w:marBottom w:val="0"/>
          <w:divBdr>
            <w:top w:val="none" w:sz="0" w:space="0" w:color="auto"/>
            <w:left w:val="none" w:sz="0" w:space="0" w:color="auto"/>
            <w:bottom w:val="none" w:sz="0" w:space="0" w:color="auto"/>
            <w:right w:val="none" w:sz="0" w:space="0" w:color="auto"/>
          </w:divBdr>
        </w:div>
        <w:div w:id="1490250247">
          <w:marLeft w:val="0"/>
          <w:marRight w:val="0"/>
          <w:marTop w:val="0"/>
          <w:marBottom w:val="0"/>
          <w:divBdr>
            <w:top w:val="none" w:sz="0" w:space="0" w:color="auto"/>
            <w:left w:val="none" w:sz="0" w:space="0" w:color="auto"/>
            <w:bottom w:val="none" w:sz="0" w:space="0" w:color="auto"/>
            <w:right w:val="none" w:sz="0" w:space="0" w:color="auto"/>
          </w:divBdr>
        </w:div>
        <w:div w:id="860239005">
          <w:marLeft w:val="0"/>
          <w:marRight w:val="0"/>
          <w:marTop w:val="0"/>
          <w:marBottom w:val="0"/>
          <w:divBdr>
            <w:top w:val="none" w:sz="0" w:space="0" w:color="auto"/>
            <w:left w:val="none" w:sz="0" w:space="0" w:color="auto"/>
            <w:bottom w:val="none" w:sz="0" w:space="0" w:color="auto"/>
            <w:right w:val="none" w:sz="0" w:space="0" w:color="auto"/>
          </w:divBdr>
        </w:div>
        <w:div w:id="2101949150">
          <w:marLeft w:val="0"/>
          <w:marRight w:val="0"/>
          <w:marTop w:val="0"/>
          <w:marBottom w:val="0"/>
          <w:divBdr>
            <w:top w:val="none" w:sz="0" w:space="0" w:color="auto"/>
            <w:left w:val="none" w:sz="0" w:space="0" w:color="auto"/>
            <w:bottom w:val="none" w:sz="0" w:space="0" w:color="auto"/>
            <w:right w:val="none" w:sz="0" w:space="0" w:color="auto"/>
          </w:divBdr>
        </w:div>
        <w:div w:id="389577291">
          <w:marLeft w:val="0"/>
          <w:marRight w:val="0"/>
          <w:marTop w:val="0"/>
          <w:marBottom w:val="0"/>
          <w:divBdr>
            <w:top w:val="none" w:sz="0" w:space="0" w:color="auto"/>
            <w:left w:val="none" w:sz="0" w:space="0" w:color="auto"/>
            <w:bottom w:val="none" w:sz="0" w:space="0" w:color="auto"/>
            <w:right w:val="none" w:sz="0" w:space="0" w:color="auto"/>
          </w:divBdr>
        </w:div>
        <w:div w:id="714701426">
          <w:marLeft w:val="0"/>
          <w:marRight w:val="0"/>
          <w:marTop w:val="0"/>
          <w:marBottom w:val="0"/>
          <w:divBdr>
            <w:top w:val="none" w:sz="0" w:space="0" w:color="auto"/>
            <w:left w:val="none" w:sz="0" w:space="0" w:color="auto"/>
            <w:bottom w:val="none" w:sz="0" w:space="0" w:color="auto"/>
            <w:right w:val="none" w:sz="0" w:space="0" w:color="auto"/>
          </w:divBdr>
        </w:div>
        <w:div w:id="562835686">
          <w:marLeft w:val="0"/>
          <w:marRight w:val="0"/>
          <w:marTop w:val="0"/>
          <w:marBottom w:val="0"/>
          <w:divBdr>
            <w:top w:val="none" w:sz="0" w:space="0" w:color="auto"/>
            <w:left w:val="none" w:sz="0" w:space="0" w:color="auto"/>
            <w:bottom w:val="none" w:sz="0" w:space="0" w:color="auto"/>
            <w:right w:val="none" w:sz="0" w:space="0" w:color="auto"/>
          </w:divBdr>
        </w:div>
        <w:div w:id="2122844328">
          <w:marLeft w:val="0"/>
          <w:marRight w:val="0"/>
          <w:marTop w:val="0"/>
          <w:marBottom w:val="0"/>
          <w:divBdr>
            <w:top w:val="none" w:sz="0" w:space="0" w:color="auto"/>
            <w:left w:val="none" w:sz="0" w:space="0" w:color="auto"/>
            <w:bottom w:val="none" w:sz="0" w:space="0" w:color="auto"/>
            <w:right w:val="none" w:sz="0" w:space="0" w:color="auto"/>
          </w:divBdr>
        </w:div>
        <w:div w:id="673260241">
          <w:marLeft w:val="0"/>
          <w:marRight w:val="0"/>
          <w:marTop w:val="0"/>
          <w:marBottom w:val="0"/>
          <w:divBdr>
            <w:top w:val="none" w:sz="0" w:space="0" w:color="auto"/>
            <w:left w:val="none" w:sz="0" w:space="0" w:color="auto"/>
            <w:bottom w:val="none" w:sz="0" w:space="0" w:color="auto"/>
            <w:right w:val="none" w:sz="0" w:space="0" w:color="auto"/>
          </w:divBdr>
        </w:div>
        <w:div w:id="1106803256">
          <w:marLeft w:val="0"/>
          <w:marRight w:val="0"/>
          <w:marTop w:val="0"/>
          <w:marBottom w:val="0"/>
          <w:divBdr>
            <w:top w:val="none" w:sz="0" w:space="0" w:color="auto"/>
            <w:left w:val="none" w:sz="0" w:space="0" w:color="auto"/>
            <w:bottom w:val="none" w:sz="0" w:space="0" w:color="auto"/>
            <w:right w:val="none" w:sz="0" w:space="0" w:color="auto"/>
          </w:divBdr>
        </w:div>
        <w:div w:id="1851868526">
          <w:marLeft w:val="0"/>
          <w:marRight w:val="0"/>
          <w:marTop w:val="0"/>
          <w:marBottom w:val="0"/>
          <w:divBdr>
            <w:top w:val="none" w:sz="0" w:space="0" w:color="auto"/>
            <w:left w:val="none" w:sz="0" w:space="0" w:color="auto"/>
            <w:bottom w:val="none" w:sz="0" w:space="0" w:color="auto"/>
            <w:right w:val="none" w:sz="0" w:space="0" w:color="auto"/>
          </w:divBdr>
        </w:div>
        <w:div w:id="695077793">
          <w:marLeft w:val="0"/>
          <w:marRight w:val="0"/>
          <w:marTop w:val="0"/>
          <w:marBottom w:val="0"/>
          <w:divBdr>
            <w:top w:val="none" w:sz="0" w:space="0" w:color="auto"/>
            <w:left w:val="none" w:sz="0" w:space="0" w:color="auto"/>
            <w:bottom w:val="none" w:sz="0" w:space="0" w:color="auto"/>
            <w:right w:val="none" w:sz="0" w:space="0" w:color="auto"/>
          </w:divBdr>
        </w:div>
        <w:div w:id="740099813">
          <w:marLeft w:val="0"/>
          <w:marRight w:val="0"/>
          <w:marTop w:val="0"/>
          <w:marBottom w:val="0"/>
          <w:divBdr>
            <w:top w:val="none" w:sz="0" w:space="0" w:color="auto"/>
            <w:left w:val="none" w:sz="0" w:space="0" w:color="auto"/>
            <w:bottom w:val="none" w:sz="0" w:space="0" w:color="auto"/>
            <w:right w:val="none" w:sz="0" w:space="0" w:color="auto"/>
          </w:divBdr>
        </w:div>
        <w:div w:id="224610505">
          <w:marLeft w:val="0"/>
          <w:marRight w:val="0"/>
          <w:marTop w:val="0"/>
          <w:marBottom w:val="0"/>
          <w:divBdr>
            <w:top w:val="none" w:sz="0" w:space="0" w:color="auto"/>
            <w:left w:val="none" w:sz="0" w:space="0" w:color="auto"/>
            <w:bottom w:val="none" w:sz="0" w:space="0" w:color="auto"/>
            <w:right w:val="none" w:sz="0" w:space="0" w:color="auto"/>
          </w:divBdr>
        </w:div>
        <w:div w:id="1792741936">
          <w:marLeft w:val="0"/>
          <w:marRight w:val="0"/>
          <w:marTop w:val="0"/>
          <w:marBottom w:val="0"/>
          <w:divBdr>
            <w:top w:val="none" w:sz="0" w:space="0" w:color="auto"/>
            <w:left w:val="none" w:sz="0" w:space="0" w:color="auto"/>
            <w:bottom w:val="none" w:sz="0" w:space="0" w:color="auto"/>
            <w:right w:val="none" w:sz="0" w:space="0" w:color="auto"/>
          </w:divBdr>
        </w:div>
        <w:div w:id="1289312981">
          <w:marLeft w:val="0"/>
          <w:marRight w:val="0"/>
          <w:marTop w:val="0"/>
          <w:marBottom w:val="0"/>
          <w:divBdr>
            <w:top w:val="none" w:sz="0" w:space="0" w:color="auto"/>
            <w:left w:val="none" w:sz="0" w:space="0" w:color="auto"/>
            <w:bottom w:val="none" w:sz="0" w:space="0" w:color="auto"/>
            <w:right w:val="none" w:sz="0" w:space="0" w:color="auto"/>
          </w:divBdr>
        </w:div>
        <w:div w:id="931820253">
          <w:marLeft w:val="0"/>
          <w:marRight w:val="0"/>
          <w:marTop w:val="0"/>
          <w:marBottom w:val="0"/>
          <w:divBdr>
            <w:top w:val="none" w:sz="0" w:space="0" w:color="auto"/>
            <w:left w:val="none" w:sz="0" w:space="0" w:color="auto"/>
            <w:bottom w:val="none" w:sz="0" w:space="0" w:color="auto"/>
            <w:right w:val="none" w:sz="0" w:space="0" w:color="auto"/>
          </w:divBdr>
        </w:div>
        <w:div w:id="1100951924">
          <w:marLeft w:val="0"/>
          <w:marRight w:val="0"/>
          <w:marTop w:val="0"/>
          <w:marBottom w:val="0"/>
          <w:divBdr>
            <w:top w:val="none" w:sz="0" w:space="0" w:color="auto"/>
            <w:left w:val="none" w:sz="0" w:space="0" w:color="auto"/>
            <w:bottom w:val="none" w:sz="0" w:space="0" w:color="auto"/>
            <w:right w:val="none" w:sz="0" w:space="0" w:color="auto"/>
          </w:divBdr>
        </w:div>
        <w:div w:id="1101803675">
          <w:marLeft w:val="0"/>
          <w:marRight w:val="0"/>
          <w:marTop w:val="0"/>
          <w:marBottom w:val="0"/>
          <w:divBdr>
            <w:top w:val="none" w:sz="0" w:space="0" w:color="auto"/>
            <w:left w:val="none" w:sz="0" w:space="0" w:color="auto"/>
            <w:bottom w:val="none" w:sz="0" w:space="0" w:color="auto"/>
            <w:right w:val="none" w:sz="0" w:space="0" w:color="auto"/>
          </w:divBdr>
        </w:div>
        <w:div w:id="765268735">
          <w:marLeft w:val="0"/>
          <w:marRight w:val="0"/>
          <w:marTop w:val="0"/>
          <w:marBottom w:val="0"/>
          <w:divBdr>
            <w:top w:val="none" w:sz="0" w:space="0" w:color="auto"/>
            <w:left w:val="none" w:sz="0" w:space="0" w:color="auto"/>
            <w:bottom w:val="none" w:sz="0" w:space="0" w:color="auto"/>
            <w:right w:val="none" w:sz="0" w:space="0" w:color="auto"/>
          </w:divBdr>
        </w:div>
        <w:div w:id="1047678440">
          <w:marLeft w:val="0"/>
          <w:marRight w:val="0"/>
          <w:marTop w:val="0"/>
          <w:marBottom w:val="0"/>
          <w:divBdr>
            <w:top w:val="none" w:sz="0" w:space="0" w:color="auto"/>
            <w:left w:val="none" w:sz="0" w:space="0" w:color="auto"/>
            <w:bottom w:val="none" w:sz="0" w:space="0" w:color="auto"/>
            <w:right w:val="none" w:sz="0" w:space="0" w:color="auto"/>
          </w:divBdr>
        </w:div>
        <w:div w:id="1793476507">
          <w:marLeft w:val="0"/>
          <w:marRight w:val="0"/>
          <w:marTop w:val="0"/>
          <w:marBottom w:val="0"/>
          <w:divBdr>
            <w:top w:val="none" w:sz="0" w:space="0" w:color="auto"/>
            <w:left w:val="none" w:sz="0" w:space="0" w:color="auto"/>
            <w:bottom w:val="none" w:sz="0" w:space="0" w:color="auto"/>
            <w:right w:val="none" w:sz="0" w:space="0" w:color="auto"/>
          </w:divBdr>
        </w:div>
        <w:div w:id="888807350">
          <w:marLeft w:val="0"/>
          <w:marRight w:val="0"/>
          <w:marTop w:val="0"/>
          <w:marBottom w:val="0"/>
          <w:divBdr>
            <w:top w:val="none" w:sz="0" w:space="0" w:color="auto"/>
            <w:left w:val="none" w:sz="0" w:space="0" w:color="auto"/>
            <w:bottom w:val="none" w:sz="0" w:space="0" w:color="auto"/>
            <w:right w:val="none" w:sz="0" w:space="0" w:color="auto"/>
          </w:divBdr>
        </w:div>
        <w:div w:id="238175711">
          <w:marLeft w:val="0"/>
          <w:marRight w:val="0"/>
          <w:marTop w:val="0"/>
          <w:marBottom w:val="0"/>
          <w:divBdr>
            <w:top w:val="none" w:sz="0" w:space="0" w:color="auto"/>
            <w:left w:val="none" w:sz="0" w:space="0" w:color="auto"/>
            <w:bottom w:val="none" w:sz="0" w:space="0" w:color="auto"/>
            <w:right w:val="none" w:sz="0" w:space="0" w:color="auto"/>
          </w:divBdr>
        </w:div>
        <w:div w:id="108399012">
          <w:marLeft w:val="0"/>
          <w:marRight w:val="0"/>
          <w:marTop w:val="0"/>
          <w:marBottom w:val="0"/>
          <w:divBdr>
            <w:top w:val="none" w:sz="0" w:space="0" w:color="auto"/>
            <w:left w:val="none" w:sz="0" w:space="0" w:color="auto"/>
            <w:bottom w:val="none" w:sz="0" w:space="0" w:color="auto"/>
            <w:right w:val="none" w:sz="0" w:space="0" w:color="auto"/>
          </w:divBdr>
        </w:div>
      </w:divsChild>
    </w:div>
    <w:div w:id="1515001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comments" Target="comments.xml"/><Relationship Id="rId12" Type="http://schemas.openxmlformats.org/officeDocument/2006/relationships/chart" Target="charts/chart2.xm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1.xml"/><Relationship Id="rId5" Type="http://schemas.openxmlformats.org/officeDocument/2006/relationships/footnotes" Target="footnotes.xml"/><Relationship Id="rId15" Type="http://schemas.openxmlformats.org/officeDocument/2006/relationships/footer" Target="footer1.xml"/><Relationship Id="rId10" Type="http://schemas.microsoft.com/office/2018/08/relationships/commentsExtensible" Target="commentsExtensible.xml"/><Relationship Id="rId19" Type="http://schemas.openxmlformats.org/officeDocument/2006/relationships/fontTable" Target="fontTa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eader" Target="header2.xml"/></Relationships>
</file>

<file path=word/charts/_rels/chart1.xml.rels><?xml version="1.0" encoding="UTF-8" standalone="yes"?>
<Relationships xmlns="http://schemas.openxmlformats.org/package/2006/relationships"><Relationship Id="rId3" Type="http://schemas.openxmlformats.org/officeDocument/2006/relationships/oleObject" Target="Kitap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Kitap1"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b="1"/>
              <a:t>Share of Top 3 (%)</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1037270341207348"/>
          <c:y val="0.12541666666666668"/>
          <c:w val="0.87296062992125989"/>
          <c:h val="0.57325641586468357"/>
        </c:manualLayout>
      </c:layout>
      <c:barChart>
        <c:barDir val="col"/>
        <c:grouping val="clustered"/>
        <c:varyColors val="0"/>
        <c:ser>
          <c:idx val="0"/>
          <c:order val="0"/>
          <c:tx>
            <c:strRef>
              <c:f>Sayfa1!$C$21</c:f>
              <c:strCache>
                <c:ptCount val="1"/>
                <c:pt idx="0">
                  <c:v>Share of Top 3 (%)</c:v>
                </c:pt>
              </c:strCache>
            </c:strRef>
          </c:tx>
          <c:spPr>
            <a:solidFill>
              <a:schemeClr val="accent1"/>
            </a:solidFill>
            <a:ln>
              <a:noFill/>
            </a:ln>
            <a:effectLst/>
          </c:spPr>
          <c:invertIfNegative val="0"/>
          <c:dPt>
            <c:idx val="0"/>
            <c:invertIfNegative val="0"/>
            <c:bubble3D val="0"/>
            <c:spPr>
              <a:solidFill>
                <a:schemeClr val="accent6">
                  <a:lumMod val="75000"/>
                </a:schemeClr>
              </a:solidFill>
              <a:ln>
                <a:noFill/>
              </a:ln>
              <a:effectLst/>
            </c:spPr>
            <c:extLst>
              <c:ext xmlns:c16="http://schemas.microsoft.com/office/drawing/2014/chart" uri="{C3380CC4-5D6E-409C-BE32-E72D297353CC}">
                <c16:uniqueId val="{00000001-45CE-43AB-B6A5-9CC5817E09D1}"/>
              </c:ext>
            </c:extLst>
          </c:dPt>
          <c:dPt>
            <c:idx val="1"/>
            <c:invertIfNegative val="0"/>
            <c:bubble3D val="0"/>
            <c:spPr>
              <a:solidFill>
                <a:schemeClr val="accent5">
                  <a:lumMod val="60000"/>
                  <a:lumOff val="40000"/>
                </a:schemeClr>
              </a:solidFill>
              <a:ln>
                <a:noFill/>
              </a:ln>
              <a:effectLst/>
            </c:spPr>
            <c:extLst>
              <c:ext xmlns:c16="http://schemas.microsoft.com/office/drawing/2014/chart" uri="{C3380CC4-5D6E-409C-BE32-E72D297353CC}">
                <c16:uniqueId val="{00000003-45CE-43AB-B6A5-9CC5817E09D1}"/>
              </c:ext>
            </c:extLst>
          </c:dPt>
          <c:dPt>
            <c:idx val="2"/>
            <c:invertIfNegative val="0"/>
            <c:bubble3D val="0"/>
            <c:spPr>
              <a:solidFill>
                <a:schemeClr val="accent3">
                  <a:lumMod val="60000"/>
                  <a:lumOff val="40000"/>
                </a:schemeClr>
              </a:solidFill>
              <a:ln>
                <a:noFill/>
              </a:ln>
              <a:effectLst/>
            </c:spPr>
            <c:extLst>
              <c:ext xmlns:c16="http://schemas.microsoft.com/office/drawing/2014/chart" uri="{C3380CC4-5D6E-409C-BE32-E72D297353CC}">
                <c16:uniqueId val="{00000005-45CE-43AB-B6A5-9CC5817E09D1}"/>
              </c:ext>
            </c:extLst>
          </c:dPt>
          <c:dPt>
            <c:idx val="3"/>
            <c:invertIfNegative val="0"/>
            <c:bubble3D val="0"/>
            <c:spPr>
              <a:solidFill>
                <a:schemeClr val="accent4">
                  <a:lumMod val="40000"/>
                  <a:lumOff val="60000"/>
                </a:schemeClr>
              </a:solidFill>
              <a:ln>
                <a:noFill/>
              </a:ln>
              <a:effectLst/>
            </c:spPr>
            <c:extLst>
              <c:ext xmlns:c16="http://schemas.microsoft.com/office/drawing/2014/chart" uri="{C3380CC4-5D6E-409C-BE32-E72D297353CC}">
                <c16:uniqueId val="{00000007-45CE-43AB-B6A5-9CC5817E09D1}"/>
              </c:ext>
            </c:extLst>
          </c:dPt>
          <c:dPt>
            <c:idx val="4"/>
            <c:invertIfNegative val="0"/>
            <c:bubble3D val="0"/>
            <c:spPr>
              <a:solidFill>
                <a:schemeClr val="accent2"/>
              </a:solidFill>
              <a:ln>
                <a:noFill/>
              </a:ln>
              <a:effectLst/>
            </c:spPr>
            <c:extLst>
              <c:ext xmlns:c16="http://schemas.microsoft.com/office/drawing/2014/chart" uri="{C3380CC4-5D6E-409C-BE32-E72D297353CC}">
                <c16:uniqueId val="{00000009-45CE-43AB-B6A5-9CC5817E09D1}"/>
              </c:ext>
            </c:extLst>
          </c:dPt>
          <c:dLbls>
            <c:dLbl>
              <c:idx val="0"/>
              <c:layout>
                <c:manualLayout>
                  <c:x val="0"/>
                  <c:y val="-2.3148148148148168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45CE-43AB-B6A5-9CC5817E09D1}"/>
                </c:ext>
              </c:extLst>
            </c:dLbl>
            <c:dLbl>
              <c:idx val="1"/>
              <c:layout>
                <c:manualLayout>
                  <c:x val="-5.0925337632079971E-17"/>
                  <c:y val="-4.1666666666666706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45CE-43AB-B6A5-9CC5817E09D1}"/>
                </c:ext>
              </c:extLst>
            </c:dLbl>
            <c:dLbl>
              <c:idx val="2"/>
              <c:layout>
                <c:manualLayout>
                  <c:x val="0"/>
                  <c:y val="-3.2407407407407447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45CE-43AB-B6A5-9CC5817E09D1}"/>
                </c:ext>
              </c:extLst>
            </c:dLbl>
            <c:dLbl>
              <c:idx val="3"/>
              <c:layout>
                <c:manualLayout>
                  <c:x val="-2.7777777777778798E-3"/>
                  <c:y val="-4.6296296296296335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45CE-43AB-B6A5-9CC5817E09D1}"/>
                </c:ext>
              </c:extLst>
            </c:dLbl>
            <c:dLbl>
              <c:idx val="4"/>
              <c:layout>
                <c:manualLayout>
                  <c:x val="-2.7777777777777779E-3"/>
                  <c:y val="-2.7777777777777776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45CE-43AB-B6A5-9CC5817E09D1}"/>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trendline>
            <c:spPr>
              <a:ln w="19050" cap="rnd">
                <a:solidFill>
                  <a:schemeClr val="bg2">
                    <a:lumMod val="10000"/>
                  </a:schemeClr>
                </a:solidFill>
                <a:prstDash val="sysDot"/>
              </a:ln>
              <a:effectLst/>
            </c:spPr>
            <c:trendlineType val="linear"/>
            <c:dispRSqr val="0"/>
            <c:dispEq val="0"/>
          </c:trendline>
          <c:errBars>
            <c:errBarType val="both"/>
            <c:errValType val="stdErr"/>
            <c:noEndCap val="0"/>
            <c:spPr>
              <a:noFill/>
              <a:ln w="9525" cap="flat" cmpd="sng" algn="ctr">
                <a:solidFill>
                  <a:schemeClr val="tx1">
                    <a:lumMod val="65000"/>
                    <a:lumOff val="35000"/>
                  </a:schemeClr>
                </a:solidFill>
                <a:round/>
              </a:ln>
              <a:effectLst/>
            </c:spPr>
          </c:errBars>
          <c:cat>
            <c:multiLvlStrRef>
              <c:f>Sayfa1!$A$22:$B$26</c:f>
              <c:multiLvlStrCache>
                <c:ptCount val="5"/>
                <c:lvl>
                  <c:pt idx="0">
                    <c:v>TR1, TR3, TR4</c:v>
                  </c:pt>
                  <c:pt idx="1">
                    <c:v>TR7, TR5, TR8</c:v>
                  </c:pt>
                  <c:pt idx="2">
                    <c:v>TR3, TRC, TR6</c:v>
                  </c:pt>
                  <c:pt idx="3">
                    <c:v>TR3, TR7, TR6</c:v>
                  </c:pt>
                  <c:pt idx="4">
                    <c:v>TR7, TR5, TR2</c:v>
                  </c:pt>
                </c:lvl>
                <c:lvl>
                  <c:pt idx="0">
                    <c:v>Ornamental Plants</c:v>
                  </c:pt>
                  <c:pt idx="1">
                    <c:v>Fallow Land</c:v>
                  </c:pt>
                  <c:pt idx="2">
                    <c:v>Fruit Orchards</c:v>
                  </c:pt>
                  <c:pt idx="3">
                    <c:v>Vegetables</c:v>
                  </c:pt>
                  <c:pt idx="4">
                    <c:v>Cereals</c:v>
                  </c:pt>
                </c:lvl>
              </c:multiLvlStrCache>
            </c:multiLvlStrRef>
          </c:cat>
          <c:val>
            <c:numRef>
              <c:f>Sayfa1!$C$22:$C$26</c:f>
              <c:numCache>
                <c:formatCode>General</c:formatCode>
                <c:ptCount val="5"/>
                <c:pt idx="0">
                  <c:v>92.7</c:v>
                </c:pt>
                <c:pt idx="1">
                  <c:v>59.3</c:v>
                </c:pt>
                <c:pt idx="2">
                  <c:v>58.1</c:v>
                </c:pt>
                <c:pt idx="3">
                  <c:v>40.6</c:v>
                </c:pt>
                <c:pt idx="4">
                  <c:v>40.4</c:v>
                </c:pt>
              </c:numCache>
            </c:numRef>
          </c:val>
          <c:extLst>
            <c:ext xmlns:c16="http://schemas.microsoft.com/office/drawing/2014/chart" uri="{C3380CC4-5D6E-409C-BE32-E72D297353CC}">
              <c16:uniqueId val="{0000000B-45CE-43AB-B6A5-9CC5817E09D1}"/>
            </c:ext>
          </c:extLst>
        </c:ser>
        <c:dLbls>
          <c:dLblPos val="outEnd"/>
          <c:showLegendKey val="0"/>
          <c:showVal val="1"/>
          <c:showCatName val="0"/>
          <c:showSerName val="0"/>
          <c:showPercent val="0"/>
          <c:showBubbleSize val="0"/>
        </c:dLbls>
        <c:gapWidth val="219"/>
        <c:overlap val="-27"/>
        <c:axId val="1115968783"/>
        <c:axId val="1115979599"/>
      </c:barChart>
      <c:catAx>
        <c:axId val="1115968783"/>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tr-TR" b="1"/>
                  <a:t>Product Groups</a:t>
                </a:r>
              </a:p>
            </c:rich>
          </c:tx>
          <c:layout>
            <c:manualLayout>
              <c:xMode val="edge"/>
              <c:yMode val="edge"/>
              <c:x val="0.45876580768313052"/>
              <c:y val="0.89623762376237626"/>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bg2">
                <a:lumMod val="90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15979599"/>
        <c:crosses val="autoZero"/>
        <c:auto val="1"/>
        <c:lblAlgn val="ctr"/>
        <c:lblOffset val="100"/>
        <c:noMultiLvlLbl val="0"/>
      </c:catAx>
      <c:valAx>
        <c:axId val="1115979599"/>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tr-TR" b="1"/>
                  <a:t>Total share of the first three regions (%)</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15968783"/>
        <c:crosses val="autoZero"/>
        <c:crossBetween val="between"/>
      </c:valAx>
      <c:spPr>
        <a:noFill/>
        <a:ln>
          <a:solidFill>
            <a:schemeClr val="bg2"/>
          </a:solid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b="1"/>
              <a:t>Regional Product Pattern Comparison (2024)</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9.9722236707166567E-2"/>
          <c:y val="0.13329046087888533"/>
          <c:w val="0.87820270810519541"/>
          <c:h val="0.59548353883417293"/>
        </c:manualLayout>
      </c:layout>
      <c:bar3DChart>
        <c:barDir val="col"/>
        <c:grouping val="clustered"/>
        <c:varyColors val="0"/>
        <c:ser>
          <c:idx val="0"/>
          <c:order val="0"/>
          <c:tx>
            <c:strRef>
              <c:f>Sayfa1!$G$8</c:f>
              <c:strCache>
                <c:ptCount val="1"/>
                <c:pt idx="0">
                  <c:v>Cereals</c:v>
                </c:pt>
              </c:strCache>
            </c:strRef>
          </c:tx>
          <c:spPr>
            <a:solidFill>
              <a:schemeClr val="accent6">
                <a:lumMod val="75000"/>
              </a:schemeClr>
            </a:solidFill>
            <a:ln>
              <a:noFill/>
            </a:ln>
            <a:effectLst/>
            <a:sp3d/>
          </c:spPr>
          <c:invertIfNegative val="0"/>
          <c:dLbls>
            <c:dLbl>
              <c:idx val="0"/>
              <c:layout>
                <c:manualLayout>
                  <c:x val="1.3245033112582761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3C8C-48E2-8D8D-048C5FDD8912}"/>
                </c:ext>
              </c:extLst>
            </c:dLbl>
            <c:dLbl>
              <c:idx val="1"/>
              <c:layout>
                <c:manualLayout>
                  <c:x val="1.7660044150110375E-2"/>
                  <c:y val="-3.9299295921862357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3C8C-48E2-8D8D-048C5FDD8912}"/>
                </c:ext>
              </c:extLst>
            </c:dLbl>
            <c:dLbl>
              <c:idx val="3"/>
              <c:layout>
                <c:manualLayout>
                  <c:x val="8.8300220750551876E-3"/>
                  <c:y val="-7.8598591843724714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3C8C-48E2-8D8D-048C5FDD8912}"/>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Sayfa1!$H$7:$K$7</c:f>
              <c:strCache>
                <c:ptCount val="4"/>
                <c:pt idx="0">
                  <c:v>TR7 (Central Anatolia)</c:v>
                </c:pt>
                <c:pt idx="1">
                  <c:v>TR6 (Mediterranean)</c:v>
                </c:pt>
                <c:pt idx="2">
                  <c:v>TR1 (Istanbul)</c:v>
                </c:pt>
                <c:pt idx="3">
                  <c:v>TRC (Southeastern Anatolia)</c:v>
                </c:pt>
              </c:strCache>
            </c:strRef>
          </c:cat>
          <c:val>
            <c:numRef>
              <c:f>Sayfa1!$H$8:$K$8</c:f>
              <c:numCache>
                <c:formatCode>General</c:formatCode>
                <c:ptCount val="4"/>
                <c:pt idx="0">
                  <c:v>57.1</c:v>
                </c:pt>
                <c:pt idx="1">
                  <c:v>48.6</c:v>
                </c:pt>
                <c:pt idx="2">
                  <c:v>28.8</c:v>
                </c:pt>
                <c:pt idx="3">
                  <c:v>36.799999999999997</c:v>
                </c:pt>
              </c:numCache>
            </c:numRef>
          </c:val>
          <c:extLst>
            <c:ext xmlns:c16="http://schemas.microsoft.com/office/drawing/2014/chart" uri="{C3380CC4-5D6E-409C-BE32-E72D297353CC}">
              <c16:uniqueId val="{00000003-3C8C-48E2-8D8D-048C5FDD8912}"/>
            </c:ext>
          </c:extLst>
        </c:ser>
        <c:ser>
          <c:idx val="1"/>
          <c:order val="1"/>
          <c:tx>
            <c:strRef>
              <c:f>Sayfa1!$G$9</c:f>
              <c:strCache>
                <c:ptCount val="1"/>
                <c:pt idx="0">
                  <c:v>Fallow Land</c:v>
                </c:pt>
              </c:strCache>
            </c:strRef>
          </c:tx>
          <c:spPr>
            <a:solidFill>
              <a:schemeClr val="accent2"/>
            </a:solidFill>
            <a:ln>
              <a:noFill/>
            </a:ln>
            <a:effectLst/>
            <a:sp3d/>
          </c:spPr>
          <c:invertIfNegative val="0"/>
          <c:dLbls>
            <c:dLbl>
              <c:idx val="0"/>
              <c:layout>
                <c:manualLayout>
                  <c:x val="1.5452538631346579E-2"/>
                  <c:y val="-8.5744908896035078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3C8C-48E2-8D8D-048C5FDD8912}"/>
                </c:ext>
              </c:extLst>
            </c:dLbl>
            <c:dLbl>
              <c:idx val="1"/>
              <c:layout>
                <c:manualLayout>
                  <c:x val="6.6225165562913101E-3"/>
                  <c:y val="-4.2871814936175697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3C8C-48E2-8D8D-048C5FDD8912}"/>
                </c:ext>
              </c:extLst>
            </c:dLbl>
            <c:dLbl>
              <c:idx val="2"/>
              <c:layout>
                <c:manualLayout>
                  <c:x val="1.1037527593818904E-2"/>
                  <c:y val="-2.1436227224009359E-3"/>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15:layout>
                    <c:manualLayout>
                      <c:w val="4.8454746136865345E-2"/>
                      <c:h val="5.5670050889941008E-2"/>
                    </c:manualLayout>
                  </c15:layout>
                </c:ext>
                <c:ext xmlns:c16="http://schemas.microsoft.com/office/drawing/2014/chart" uri="{C3380CC4-5D6E-409C-BE32-E72D297353CC}">
                  <c16:uniqueId val="{00000006-3C8C-48E2-8D8D-048C5FDD8912}"/>
                </c:ext>
              </c:extLst>
            </c:dLbl>
            <c:dLbl>
              <c:idx val="3"/>
              <c:layout>
                <c:manualLayout>
                  <c:x val="8.8300220750551876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3C8C-48E2-8D8D-048C5FDD8912}"/>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Sayfa1!$H$7:$K$7</c:f>
              <c:strCache>
                <c:ptCount val="4"/>
                <c:pt idx="0">
                  <c:v>TR7 (Central Anatolia)</c:v>
                </c:pt>
                <c:pt idx="1">
                  <c:v>TR6 (Mediterranean)</c:v>
                </c:pt>
                <c:pt idx="2">
                  <c:v>TR1 (Istanbul)</c:v>
                </c:pt>
                <c:pt idx="3">
                  <c:v>TRC (Southeastern Anatolia)</c:v>
                </c:pt>
              </c:strCache>
            </c:strRef>
          </c:cat>
          <c:val>
            <c:numRef>
              <c:f>Sayfa1!$H$9:$K$9</c:f>
              <c:numCache>
                <c:formatCode>General</c:formatCode>
                <c:ptCount val="4"/>
                <c:pt idx="0">
                  <c:v>28</c:v>
                </c:pt>
                <c:pt idx="1">
                  <c:v>7.1</c:v>
                </c:pt>
                <c:pt idx="2">
                  <c:v>0.03</c:v>
                </c:pt>
                <c:pt idx="3">
                  <c:v>2.2999999999999998</c:v>
                </c:pt>
              </c:numCache>
            </c:numRef>
          </c:val>
          <c:extLst>
            <c:ext xmlns:c16="http://schemas.microsoft.com/office/drawing/2014/chart" uri="{C3380CC4-5D6E-409C-BE32-E72D297353CC}">
              <c16:uniqueId val="{00000008-3C8C-48E2-8D8D-048C5FDD8912}"/>
            </c:ext>
          </c:extLst>
        </c:ser>
        <c:ser>
          <c:idx val="2"/>
          <c:order val="2"/>
          <c:tx>
            <c:strRef>
              <c:f>Sayfa1!$G$10</c:f>
              <c:strCache>
                <c:ptCount val="1"/>
                <c:pt idx="0">
                  <c:v>Fruit Orchards</c:v>
                </c:pt>
              </c:strCache>
            </c:strRef>
          </c:tx>
          <c:spPr>
            <a:solidFill>
              <a:schemeClr val="accent3"/>
            </a:solidFill>
            <a:ln>
              <a:noFill/>
            </a:ln>
            <a:effectLst/>
            <a:sp3d/>
          </c:spPr>
          <c:invertIfNegative val="0"/>
          <c:dLbls>
            <c:dLbl>
              <c:idx val="0"/>
              <c:layout>
                <c:manualLayout>
                  <c:x val="2.2075055187637969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3C8C-48E2-8D8D-048C5FDD8912}"/>
                </c:ext>
              </c:extLst>
            </c:dLbl>
            <c:dLbl>
              <c:idx val="1"/>
              <c:layout>
                <c:manualLayout>
                  <c:x val="1.3245033112582781E-2"/>
                  <c:y val="-7.8598591843724714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3C8C-48E2-8D8D-048C5FDD8912}"/>
                </c:ext>
              </c:extLst>
            </c:dLbl>
            <c:dLbl>
              <c:idx val="2"/>
              <c:layout>
                <c:manualLayout>
                  <c:x val="2.2075055187637158E-3"/>
                  <c:y val="-6.002143622722408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3C8C-48E2-8D8D-048C5FDD8912}"/>
                </c:ext>
              </c:extLst>
            </c:dLbl>
            <c:dLbl>
              <c:idx val="3"/>
              <c:layout>
                <c:manualLayout>
                  <c:x val="8.8300220750551876E-3"/>
                  <c:y val="-3.9299295921862357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3C8C-48E2-8D8D-048C5FDD8912}"/>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Sayfa1!$H$7:$K$7</c:f>
              <c:strCache>
                <c:ptCount val="4"/>
                <c:pt idx="0">
                  <c:v>TR7 (Central Anatolia)</c:v>
                </c:pt>
                <c:pt idx="1">
                  <c:v>TR6 (Mediterranean)</c:v>
                </c:pt>
                <c:pt idx="2">
                  <c:v>TR1 (Istanbul)</c:v>
                </c:pt>
                <c:pt idx="3">
                  <c:v>TRC (Southeastern Anatolia)</c:v>
                </c:pt>
              </c:strCache>
            </c:strRef>
          </c:cat>
          <c:val>
            <c:numRef>
              <c:f>Sayfa1!$H$10:$K$10</c:f>
              <c:numCache>
                <c:formatCode>General</c:formatCode>
                <c:ptCount val="4"/>
                <c:pt idx="0">
                  <c:v>4</c:v>
                </c:pt>
                <c:pt idx="1">
                  <c:v>29.5</c:v>
                </c:pt>
                <c:pt idx="2">
                  <c:v>0.02</c:v>
                </c:pt>
                <c:pt idx="3">
                  <c:v>53.1</c:v>
                </c:pt>
              </c:numCache>
            </c:numRef>
          </c:val>
          <c:extLst>
            <c:ext xmlns:c16="http://schemas.microsoft.com/office/drawing/2014/chart" uri="{C3380CC4-5D6E-409C-BE32-E72D297353CC}">
              <c16:uniqueId val="{0000000D-3C8C-48E2-8D8D-048C5FDD8912}"/>
            </c:ext>
          </c:extLst>
        </c:ser>
        <c:ser>
          <c:idx val="3"/>
          <c:order val="3"/>
          <c:tx>
            <c:strRef>
              <c:f>Sayfa1!$G$11</c:f>
              <c:strCache>
                <c:ptCount val="1"/>
                <c:pt idx="0">
                  <c:v>Ornamental Plants</c:v>
                </c:pt>
              </c:strCache>
            </c:strRef>
          </c:tx>
          <c:spPr>
            <a:solidFill>
              <a:schemeClr val="accent4"/>
            </a:solidFill>
            <a:ln>
              <a:noFill/>
            </a:ln>
            <a:effectLst/>
            <a:sp3d/>
          </c:spPr>
          <c:invertIfNegative val="0"/>
          <c:dLbls>
            <c:dLbl>
              <c:idx val="0"/>
              <c:layout>
                <c:manualLayout>
                  <c:x val="6.62251655629135E-3"/>
                  <c:y val="-7.8598591843724714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3C8C-48E2-8D8D-048C5FDD8912}"/>
                </c:ext>
              </c:extLst>
            </c:dLbl>
            <c:dLbl>
              <c:idx val="1"/>
              <c:layout>
                <c:manualLayout>
                  <c:x val="1.3245033112582781E-2"/>
                  <c:y val="7.8598591843724714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3C8C-48E2-8D8D-048C5FDD8912}"/>
                </c:ext>
              </c:extLst>
            </c:dLbl>
            <c:dLbl>
              <c:idx val="2"/>
              <c:layout>
                <c:manualLayout>
                  <c:x val="8.8300220750551876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3C8C-48E2-8D8D-048C5FDD8912}"/>
                </c:ext>
              </c:extLst>
            </c:dLbl>
            <c:dLbl>
              <c:idx val="3"/>
              <c:layout>
                <c:manualLayout>
                  <c:x val="1.5452538631346579E-2"/>
                  <c:y val="-1.5719718368744943E-16"/>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3C8C-48E2-8D8D-048C5FDD8912}"/>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Sayfa1!$H$7:$K$7</c:f>
              <c:strCache>
                <c:ptCount val="4"/>
                <c:pt idx="0">
                  <c:v>TR7 (Central Anatolia)</c:v>
                </c:pt>
                <c:pt idx="1">
                  <c:v>TR6 (Mediterranean)</c:v>
                </c:pt>
                <c:pt idx="2">
                  <c:v>TR1 (Istanbul)</c:v>
                </c:pt>
                <c:pt idx="3">
                  <c:v>TRC (Southeastern Anatolia)</c:v>
                </c:pt>
              </c:strCache>
            </c:strRef>
          </c:cat>
          <c:val>
            <c:numRef>
              <c:f>Sayfa1!$H$11:$K$11</c:f>
              <c:numCache>
                <c:formatCode>General</c:formatCode>
                <c:ptCount val="4"/>
                <c:pt idx="0">
                  <c:v>0</c:v>
                </c:pt>
                <c:pt idx="1">
                  <c:v>0.1</c:v>
                </c:pt>
                <c:pt idx="2">
                  <c:v>66.599999999999994</c:v>
                </c:pt>
                <c:pt idx="3">
                  <c:v>0.01</c:v>
                </c:pt>
              </c:numCache>
            </c:numRef>
          </c:val>
          <c:extLst>
            <c:ext xmlns:c16="http://schemas.microsoft.com/office/drawing/2014/chart" uri="{C3380CC4-5D6E-409C-BE32-E72D297353CC}">
              <c16:uniqueId val="{00000012-3C8C-48E2-8D8D-048C5FDD8912}"/>
            </c:ext>
          </c:extLst>
        </c:ser>
        <c:dLbls>
          <c:showLegendKey val="0"/>
          <c:showVal val="1"/>
          <c:showCatName val="0"/>
          <c:showSerName val="0"/>
          <c:showPercent val="0"/>
          <c:showBubbleSize val="0"/>
        </c:dLbls>
        <c:gapWidth val="150"/>
        <c:shape val="box"/>
        <c:axId val="231240415"/>
        <c:axId val="1070213759"/>
        <c:axId val="0"/>
      </c:bar3DChart>
      <c:catAx>
        <c:axId val="231240415"/>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tr-TR" b="1"/>
                  <a:t>Geographic Regions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70213759"/>
        <c:crosses val="autoZero"/>
        <c:auto val="1"/>
        <c:lblAlgn val="ctr"/>
        <c:lblOffset val="100"/>
        <c:noMultiLvlLbl val="0"/>
      </c:catAx>
      <c:valAx>
        <c:axId val="1070213759"/>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solidFill>
                      <a:sysClr val="windowText" lastClr="000000">
                        <a:lumMod val="65000"/>
                        <a:lumOff val="35000"/>
                      </a:sysClr>
                    </a:solidFill>
                    <a:latin typeface="+mn-lt"/>
                    <a:ea typeface="+mn-ea"/>
                    <a:cs typeface="+mn-cs"/>
                  </a:defRPr>
                </a:pPr>
                <a:r>
                  <a:rPr lang="tr-TR" sz="1000" b="1" i="0" baseline="0">
                    <a:effectLst/>
                  </a:rPr>
                  <a:t>Total share of the regions (%)</a:t>
                </a:r>
              </a:p>
            </c:rich>
          </c:tx>
          <c:layout>
            <c:manualLayout>
              <c:xMode val="edge"/>
              <c:yMode val="edge"/>
              <c:x val="1.7777024560671636E-2"/>
              <c:y val="0.12900321543408361"/>
            </c:manualLayout>
          </c:layout>
          <c:overlay val="0"/>
          <c:spPr>
            <a:noFill/>
            <a:ln>
              <a:noFill/>
            </a:ln>
            <a:effectLst/>
          </c:spPr>
          <c:txPr>
            <a:bodyPr rot="-540000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solidFill>
                    <a:sysClr val="windowText" lastClr="000000">
                      <a:lumMod val="65000"/>
                      <a:lumOff val="35000"/>
                    </a:sys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31240415"/>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9</Pages>
  <Words>3011</Words>
  <Characters>17164</Characters>
  <Application>Microsoft Office Word</Application>
  <DocSecurity>0</DocSecurity>
  <Lines>143</Lines>
  <Paragraphs>40</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KiNGHaZe</Company>
  <LinksUpToDate>false</LinksUpToDate>
  <CharactersWithSpaces>20135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Fatma Kaplan</dc:creator>
  <cp:keywords/>
  <dc:description/>
  <cp:lastModifiedBy>Sneh Singh</cp:lastModifiedBy>
  <cp:revision>43</cp:revision>
  <dcterms:created xsi:type="dcterms:W3CDTF">2026-01-11T19:33:00Z</dcterms:created>
  <dcterms:modified xsi:type="dcterms:W3CDTF">2026-01-15T06:21:00Z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6d45191f-76c4-48d0-9294-9f3b5864083f</vt:lpwstr>
  </property>
</Properties>
</file>