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Deciphering yield component relationships in chemically induced horse gram (</w:t>
      </w:r>
      <w:r w:rsidDel="00000000" w:rsidR="00000000" w:rsidRPr="00000000">
        <w:rPr>
          <w:rFonts w:ascii="Arial" w:cs="Arial" w:eastAsia="Arial" w:hAnsi="Arial"/>
          <w:b w:val="1"/>
          <w:bCs w:val="1"/>
          <w:i w:val="1"/>
          <w:iCs w:val="1"/>
          <w:smallCaps w:val="0"/>
          <w:strike w:val="0"/>
          <w:color w:val="000000"/>
          <w:sz w:val="36"/>
          <w:szCs w:val="36"/>
          <w:u w:val="none"/>
          <w:shd w:fill="auto" w:val="clear"/>
          <w:vertAlign w:val="baseline"/>
          <w:rtl w:val="0"/>
        </w:rPr>
        <w:t xml:space="preserve">Macrotyloma uniflorum</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 [Lam.] Verdc.) mutants: Comparative correlation analysis of Ethyl methane sulphonate (EMS) and Sodium azide (SA) derived M</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subscript"/>
          <w:rtl w:val="0"/>
        </w:rPr>
        <w:t xml:space="preserve">2</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 populations.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righ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pgNumType w:start="1"/>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pict>
          <v:shape id="_x0000_s1029" style="width:417.6pt;height:0;mso-left-percent:-10001;mso-top-percent:-10001;mso-position-horizontal:absolute;mso-position-horizontal-relative:char;mso-position-vertical:absolute;mso-position-vertical-relative:line;mso-left-percent:-10001;mso-top-percent:-10001" strokeweight="1.5pt" o:connectortype="straight" type="#_x0000_t32">
            <w10:anchorlock/>
          </v:shape>
        </w:pic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ABSTRACT </w:t>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tbl>
      <w:tblPr>
        <w:tblStyle w:val="Table1"/>
        <w:tblW w:w="84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24"/>
        <w:tblGridChange w:id="0">
          <w:tblGrid>
            <w:gridCol w:w="8424"/>
          </w:tblGrid>
        </w:tblGridChange>
      </w:tblGrid>
      <w:tr>
        <w:trPr>
          <w:cantSplit w:val="0"/>
          <w:tblHeader w:val="0"/>
        </w:trPr>
        <w:tc>
          <w:tcPr>
            <w:shd w:fill="f2f2f2"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Aims: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Horse gram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Macrotyloma uniflorum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 underutilized legume valued for its drought tolerance and nutritional richness suffers from limited genetic improvement due to its narrow genetic base and self pollinating nature. The present study aimed to analyze the correlations between seed yield and its component traits in EMS and SA induced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populations with the goal of identifying dependable traits for indirect selection and breeding strategies.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Study design: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experiment was conducted using an augmented design with four blocks and five checks  where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populations were raised from chemical mutagenic treatments and evaluated alongside checks.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Place and Duration of Study: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study was carried out during late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Kharif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2023–24 at the College of Agriculture, Vijayapur, University of Agricultural Sciences, Dharwad, Karnataka, India.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Methodology:</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Seeds of the horse gram variety GPM-6 were treated with ethyl methane sulphonate (EMS: 0.1–0.4%) and sodium azide (SA: 0.03–0.1%) to generate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populations. Data were collected on nine biometrical traits including days to germination (GD), days to maturity (DM), plant height (PH), number of pods per plant (NOP), pod length (PL), number of seeds per pod (NSPP), test weight (TW) and seed yield per plant (SYPP). Phenotypic correlation coefficients were estimated and significance was tested using standard statistical methods. Analyses were performed in RStudio software.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Results: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EMS derived populations, SYPP showed a very strong positive correlation with NOP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0.92) and moderate positive associations with NSPP, PL and PH while GD was negatively correlated. In SA derived populations SYPP was strongly associated with NOP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0.94), PH, NSPP and PL but TW showed negative associations with both SYPP and NOP.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Conclusion: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study identified NOP, NSPP and PL as the most reliable yield contributing traits for indirect selection. EMS enhanced yield through reproductive efficiency and early germination while SA broadened trait associations but introduced a trade off with test weight. These mutagen specific insights highlight the importance of correlation analysis for designing effective breeding strategies in horse gram improvement.</w:t>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Keywords: Horse gram, mutation breeding, ethyl methane sulphonate, sodium azide, correlation, yield components</w:t>
      </w:r>
    </w:p>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 </w:t>
      </w:r>
      <w:commentRangeStart w:id="0"/>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INTRODUCTION</w:t>
      </w:r>
      <w:commentRangeEnd w:id="0"/>
      <w:r w:rsidDel="00000000" w:rsidR="00000000" w:rsidRPr="00000000">
        <w:commentReference w:id="0"/>
      </w: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Horse gram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Macrotyloma uniflorum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also known as hurali, kulthi bean or Madras gram is a hardy pulse and fodder crop cultivated mainly in the dryland regions of India and Southeast Asia. It thrives best at temperatures between 20 and 30°C grows to about 60 cm in height and bears trifoliate leaves with elliptical to obovate leaflets. Cytogenetically, it is a diploid species (2n = 20) with a genome size of approximately 400 Mbp (Shirasawa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2021). Its high nutritional value and outstanding tolerance to drought make it an important crop for climate-resilient agriculture and a potential future food source. The foundation of any breeding program lies in the availability of genetic variability. While variability can be introduced through plant introduction, hybridization or selection these approaches are limited when the desired variation is absent in the existing germplasm. </w:t>
      </w:r>
      <w:commentRangeStart w:id="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horse gram, improvement through conventional breeding has been minimal, largely because of its self pollinated nature and very small flowers which complicate emasculation and crossing. As a result, the species maintains a narrow genetic base, restricting progress through traditional methods.</w:t>
      </w:r>
      <w:commentRangeEnd w:id="1"/>
      <w:r w:rsidDel="00000000" w:rsidR="00000000" w:rsidRPr="00000000">
        <w:commentReference w:id="1"/>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Mutation breeding provides a viable alternative to overcome this limitation. By inducing mutations  novel and heritable variations can be generated for traits that are not available in natural populations (Novak and Brunner, 1992). Chemical mutagens, particularly Ethyl methane sulphonate (EMS) and Sodium azide (SA), have been widely applied in legumes and shown to be effective in producing useful variability for yield and related traits (Girija and Dhanavel, 2009). Seed yield in legumes is a complex quantitative trait that depends on several components such as plant height, number of primary branches, number of  pods per plant, pod length, and number of seeds per pod. Because yield is strongly influenced by the environment and typically shows low </w:t>
      </w:r>
      <w:commentRangeStart w:id="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heritability</w:t>
      </w:r>
      <w:commentRangeEnd w:id="2"/>
      <w:r w:rsidDel="00000000" w:rsidR="00000000" w:rsidRPr="00000000">
        <w:commentReference w:id="2"/>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direct selection is often ineffective. Correlation analysis is therefore essential to evaluate the associations among yield and its components helping breeders to identify traits that can serve as reliable indicators for indirect selection (Johnson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1955; Weber and Morthy, 1952). Although induced mutagenesis has been explored in horse gram detailed studies on how EMS and SA influence correlations between yield and its component traits are still limited. Chahota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(2013) demonstrated that number of pods per plant and number of seeds per pod were the most consistent yield determinants in horse gram, while Pushpayazhini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(2021) reported mutagen specific variability in pulses. More recently, Sudhagar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(2023) reviewed the role of mutation breeding in enhancing variability and selection efficiency in legumes. Yet, comparative insights into EMS and SA induced mutants of horse gram remain scarce. The present study was therefore undertaken to examine the correlations between seed yield and its component traits in EMS and SA induced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generation mutants of horse gram. The results are expected to provide mutagen specific insights and guide effective selection strategies for improving this underutilized legume.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2. material and methods </w:t>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2.1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Experimental site and material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experiment was carried out during late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Kharif</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2023–24 at the College of Agriculture, Vijayapur, University of Agricultural Sciences, Dharwad, Karnataka, India. The experimental material consisted of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populations of horse gram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Macrotyloma uniflorum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var. GPM-6) developed through chemical mutagenesis. Five released varieties namely GPM-6, CRIDA-18R, CRHG-4, AK-42 and Bailhongal local were used as checks.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2.2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Mutagenic </w:t>
      </w:r>
      <w:commentRangeStart w:id="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treatments</w:t>
      </w:r>
      <w:commentRangeEnd w:id="3"/>
      <w:r w:rsidDel="00000000" w:rsidR="00000000" w:rsidRPr="00000000">
        <w:commentReference w:id="3"/>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Uniform and healthy seeds of GPM-6 were treated with two chemical mutagens: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Ethyl methane sulphonate (EMS): 0.1, 0.2, 0.3 and 0.4%</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Sodium azide (SA): 0.03, 0.05, 0.07 and 0.1%</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treated seeds were thoroughly washed with running water to remove residual chemicals and sown immediately to raise the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1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generation. Selfed seeds were harvested from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1</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plants to generate the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population which was used for evaluation in the present study.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2.3 Raising of M</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bscript"/>
          <w:rtl w:val="0"/>
        </w:rPr>
        <w:t xml:space="preserve">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population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the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generation, a total of 2400 seedlings were raised of which 905 survived (544 from EMS treatments and 361 from SA treatments). Each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plant was evaluated individually along with the checks under field conditions.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2.4 Experimental design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experiment was laid out in an Augmented Design</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with four blocks and five checks for each mutagen. The mutant population was planted in rows of 4 m length with spacing of 30 cm between rows and 10 cm between plants. Standard agronomic practices were followed to raise a healthy crop.</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2.5 Observations recorded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Data were recorded on individual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plants for the following nine biometrical traits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Days to germination (GD)</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Days to maturity (DM)</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Plant height (cm) (PH)</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Number of primary branches per plant (NPB)</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Number of pods per plant (NOP)</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Pod length (cm) (PL)</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Number of seeds per pod (NSPP)</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Seed yield per plant (g) (SYPP)</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Test weight (g) (TW)</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2.6 </w:t>
      </w:r>
      <w:commentRangeStart w:id="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Statistical</w:t>
      </w:r>
      <w:commentRangeEnd w:id="4"/>
      <w:r w:rsidDel="00000000" w:rsidR="00000000" w:rsidRPr="00000000">
        <w:commentReference w:id="4"/>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analysis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correlation coefficients were estimated separately for EMS and SA derived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populations to determine the degree of association of each character with yield and among yield components. Phenotypic correlations were computed using the formula given by Weber and Morthy (1952):</w:t>
      </w:r>
    </w:p>
    <w:tbl>
      <w:tblPr>
        <w:tblStyle w:val="Table2"/>
        <w:tblW w:w="7361.0" w:type="dxa"/>
        <w:jc w:val="left"/>
        <w:tblInd w:w="-115.0" w:type="dxa"/>
        <w:tblBorders>
          <w:insideH w:color="000000" w:space="0" w:sz="4" w:val="single"/>
        </w:tblBorders>
        <w:tblLayout w:type="fixed"/>
        <w:tblLook w:val="0000"/>
      </w:tblPr>
      <w:tblGrid>
        <w:gridCol w:w="4281"/>
        <w:gridCol w:w="2071"/>
        <w:gridCol w:w="1009"/>
        <w:tblGridChange w:id="0">
          <w:tblGrid>
            <w:gridCol w:w="4281"/>
            <w:gridCol w:w="2071"/>
            <w:gridCol w:w="1009"/>
          </w:tblGrid>
        </w:tblGridChange>
      </w:tblGrid>
      <w:tr>
        <w:trPr>
          <w:cantSplit w:val="0"/>
          <w:tblHeader w:val="0"/>
        </w:trPr>
        <w:tc>
          <w:tcPr>
            <w:vMerge w:val="restart"/>
            <w:tcBorders>
              <w:bottom w:color="000000" w:space="0" w:sz="4" w:val="single"/>
            </w:tcBorders>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Phenotypic correlation co-efficient =</w:t>
            </w:r>
          </w:p>
        </w:tc>
        <w:tc>
          <w:tcPr>
            <w:tcBorders>
              <w:bottom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Cov(xy)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p</w:t>
            </w:r>
            <w:r w:rsidDel="00000000" w:rsidR="00000000" w:rsidRPr="00000000">
              <w:rPr>
                <w:rtl w:val="0"/>
              </w:rPr>
            </w:r>
          </w:p>
        </w:tc>
        <w:tc>
          <w:tcPr>
            <w:vMerge w:val="restart"/>
            <w:tcBorders>
              <w:bottom w:color="000000" w:space="0" w:sz="4" w:val="single"/>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100</w:t>
            </w:r>
          </w:p>
        </w:tc>
      </w:tr>
      <w:tr>
        <w:trPr>
          <w:cantSplit w:val="0"/>
          <w:tblHeader w:val="0"/>
        </w:trPr>
        <w:tc>
          <w:tcPr>
            <w:vMerge w:val="continue"/>
            <w:tcBorders>
              <w:bottom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Symbol" w:cs="Symbol" w:eastAsia="Symbol" w:hAnsi="Symbol"/>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x</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 x V</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w:t>
            </w:r>
            <w:r w:rsidDel="00000000" w:rsidR="00000000" w:rsidRPr="00000000">
              <w:pict>
                <v:line id="_x0000_s1028" style="position:absolute;left:0;text-align:left;z-index:251658240;mso-position-horizontal-relative:margin;mso-position-vertical-relative:text;mso-position-horizontal:absolute;margin-left:-0.5pt;mso-position-vertical:absolute;margin-top:0.0pt;" from="10.5pt,2.55pt" to="92.15pt,2.55pt"/>
              </w:pict>
            </w:r>
          </w:p>
        </w:tc>
        <w:tc>
          <w:tcPr>
            <w:vMerge w:val="continue"/>
            <w:tcBorders>
              <w:bottom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Cov(xy)</w:t>
      </w:r>
      <w:r w:rsidDel="00000000" w:rsidR="00000000" w:rsidRPr="00000000">
        <w:rPr>
          <w:rFonts w:ascii="Cambria Math" w:cs="Cambria Math" w:eastAsia="Cambria Math" w:hAnsi="Cambria Math"/>
          <w:b w:val="0"/>
          <w:bCs w:val="0"/>
          <w:i w:val="0"/>
          <w:iCs w:val="0"/>
          <w:smallCaps w:val="0"/>
          <w:strike w:val="0"/>
          <w:color w:val="000000"/>
          <w:sz w:val="20"/>
          <w:szCs w:val="20"/>
          <w:u w:val="none"/>
          <w:shd w:fill="auto" w:val="clear"/>
          <w:vertAlign w:val="baseline"/>
          <w:rtl w:val="0"/>
        </w:rPr>
        <w:t xml:space="preserve">ₚ</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phenotypic covariance between traits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y</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x</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 = phenotypic variance of trait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x</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 = phenotypic variance of trait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correlation coefficients were compared against the tabulated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values given by Fisher and Yates (1963) at (n–2) degrees of freedom to test their significance at the 0.05 and 0.01 probability levels. All statistical analyses were performed using </w:t>
      </w:r>
      <w:commentRangeStart w:id="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 Studio</w:t>
      </w:r>
      <w:commentRangeEnd w:id="5"/>
      <w:r w:rsidDel="00000000" w:rsidR="00000000" w:rsidRPr="00000000">
        <w:commentReference w:id="5"/>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 studio team, 2024) software which is widely applied for biometrical and correlation analyses in agricultural research.</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3. </w:t>
      </w:r>
      <w:commentRangeStart w:id="6"/>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results</w:t>
      </w:r>
      <w:commentRangeEnd w:id="6"/>
      <w:r w:rsidDel="00000000" w:rsidR="00000000" w:rsidRPr="00000000">
        <w:commentReference w:id="6"/>
      </w: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3.1 </w:t>
      </w:r>
      <w:commentRangeStart w:id="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Correlation</w:t>
      </w:r>
      <w:commentRangeEnd w:id="7"/>
      <w:r w:rsidDel="00000000" w:rsidR="00000000" w:rsidRPr="00000000">
        <w:commentReference w:id="7"/>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analysis in EMS induced mutants</w:t>
      </w: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the EMS derived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population, seed yield per plant (SYPP) showed a very strong positive correlation with number of pods per plant (NOP,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0.92,</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0.01) (Fig.1.). This association indicates that majority of the phenotypic variation in yield is explained by number of pods per plant alone establishing it as the most reliable selection criterion. Yield also correlated significantly with number of seeds per pod (NSPP,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0.30,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0.01) and pod length (PL,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0.32,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&lt; 0.01) suggesting that longer pods bearing more seeds also contribute positively to productivity. Plant height (PH,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0.28,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&lt; 0.05) exhibited a modest positive correlation with yield indicating a secondary role in supporting reproductive growth. In contrast days to germination (GD,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–0.13,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0.05) showed a weak but negative relationship with yield while test weight (TW) did not exhibit a significant association. These findings suggest that number of pods per plant, number of seeds per pod and  pod length (NOP, NSPP and PL) are the most dependable selection indices for improving yield in EMS populations.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4126365" cy="3787531"/>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126365" cy="3787531"/>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DM - Days to maturity, PH - Plant height (cm), NPB - Number of primary branches per plant,            NOP - Number of pods per plant, PL - Pod length (cm), GD – Days to Germination,                     NSPP - Number of seeds per pod, SYPP - Seed yield per plant (g), TW - Test weight (g)</w:t>
      </w:r>
    </w:p>
    <w:p w:rsidR="00000000" w:rsidDel="00000000" w:rsidP="00000000" w:rsidRDefault="00000000" w:rsidRPr="00000000" w14:paraId="0000004B">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1"/>
          <w:bCs w:val="1"/>
        </w:rPr>
      </w:pPr>
      <w:r w:rsidDel="00000000" w:rsidR="00000000" w:rsidRPr="00000000">
        <w:rPr>
          <w:rFonts w:ascii="Arial" w:cs="Arial" w:eastAsia="Arial" w:hAnsi="Arial"/>
          <w:b w:val="1"/>
          <w:bCs w:val="1"/>
          <w:rtl w:val="0"/>
        </w:rPr>
        <w:t xml:space="preserve">Fig. 1. Phenotypic correlation coefficient of EMS induced M</w:t>
      </w:r>
      <w:r w:rsidDel="00000000" w:rsidR="00000000" w:rsidRPr="00000000">
        <w:rPr>
          <w:rFonts w:ascii="Arial" w:cs="Arial" w:eastAsia="Arial" w:hAnsi="Arial"/>
          <w:b w:val="1"/>
          <w:bCs w:val="1"/>
          <w:vertAlign w:val="subscript"/>
          <w:rtl w:val="0"/>
        </w:rPr>
        <w:t xml:space="preserve">2</w:t>
      </w:r>
      <w:r w:rsidDel="00000000" w:rsidR="00000000" w:rsidRPr="00000000">
        <w:rPr>
          <w:rFonts w:ascii="Arial" w:cs="Arial" w:eastAsia="Arial" w:hAnsi="Arial"/>
          <w:b w:val="1"/>
          <w:bCs w:val="1"/>
          <w:rtl w:val="0"/>
        </w:rPr>
        <w:t xml:space="preserve"> generation horse gram mutants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3.2 Correlation analysis in SA induced mutants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the SA derived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population, seed yield per plant (SYPP) also recorded a highly significant positive correlation with number of pods per plant (NOP,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0.94,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0.01) explaining nearly most of the yield variation (Fig. 2.). Unlike EMS, SA derived plants showed stronger positive correlations between yield and plant height (PH,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0.42,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0.01), number of seeds per pod (NSPP,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0.40,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0.01) and pod length (PL,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0.41,</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0.01) highlighting the role of both vegetative vigor and pod traits in yield determination. However, test weight (TW) exhibited a significant negative correlation with  seed yield per plant (SYPP,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–0.36,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0.01) as well as with number of pods per plant (NOP,</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 0.47,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&lt; 0.01) indicating a trade off between test weight and number of pods per plant in SA mutants. Days to germination and days to maturity showed no significant associations with yield.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4170576" cy="4351468"/>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4170576" cy="4351468"/>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DM - Days to maturity, PH - Plant height (cm), NPB - Number of primary branches per plant,            NOP - Number of pods per plant, PL - Pod length (cm), GD – Days to Germination,                     NSPP - Number of seeds per pod, SYPP - Seed yield per plant (g), TW - Test weight (g)</w:t>
      </w:r>
    </w:p>
    <w:p w:rsidR="00000000" w:rsidDel="00000000" w:rsidP="00000000" w:rsidRDefault="00000000" w:rsidRPr="00000000" w14:paraId="0000005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5">
      <w:pPr>
        <w:jc w:val="both"/>
        <w:rPr>
          <w:rFonts w:ascii="Arial" w:cs="Arial" w:eastAsia="Arial" w:hAnsi="Arial"/>
          <w:b w:val="1"/>
          <w:bCs w:val="1"/>
        </w:rPr>
      </w:pPr>
      <w:r w:rsidDel="00000000" w:rsidR="00000000" w:rsidRPr="00000000">
        <w:rPr>
          <w:rFonts w:ascii="Arial" w:cs="Arial" w:eastAsia="Arial" w:hAnsi="Arial"/>
          <w:b w:val="1"/>
          <w:bCs w:val="1"/>
          <w:rtl w:val="0"/>
        </w:rPr>
        <w:t xml:space="preserve">Fig. 2. Phenotypic correlation coefficient of SA induced M</w:t>
      </w:r>
      <w:r w:rsidDel="00000000" w:rsidR="00000000" w:rsidRPr="00000000">
        <w:rPr>
          <w:rFonts w:ascii="Arial" w:cs="Arial" w:eastAsia="Arial" w:hAnsi="Arial"/>
          <w:b w:val="1"/>
          <w:bCs w:val="1"/>
          <w:vertAlign w:val="subscript"/>
          <w:rtl w:val="0"/>
        </w:rPr>
        <w:t xml:space="preserve">2</w:t>
      </w:r>
      <w:r w:rsidDel="00000000" w:rsidR="00000000" w:rsidRPr="00000000">
        <w:rPr>
          <w:rFonts w:ascii="Arial" w:cs="Arial" w:eastAsia="Arial" w:hAnsi="Arial"/>
          <w:b w:val="1"/>
          <w:bCs w:val="1"/>
          <w:rtl w:val="0"/>
        </w:rPr>
        <w:t xml:space="preserve"> generation horse gram mutants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3.3 Comparative trends</w:t>
      </w: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Across both mutagens, number of pods per plant emerged as the single most important yield determinant while number of seeds per pod and pod length consistently showed moderate positive correlations. Plant height contributed more strongly in SA mutants than in EMS mutants whereas test weight showed a mutagen specific effect that is neutral in EMS but negative in SA. These findings suggest that EMS broadens the correlation spectrum modestly while SA intensifies associations among vegetative and reproductive traits but introduces a negative trade off with test weight.</w:t>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4. DISCUSSION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Correlation studies provide insights into the inter relationships among yield and its component traits enabling breeders to identify indirect selection criteria for complex traits such as seed yield (Johnson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1955 ; Weber and Morthy, 1952). In the present study phenotypic correlation analysis revealed that number of pods per plant (NOP) had the strongest and most consistent positive association with seed yield per plant (SYPP) in both EMS and SA derived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b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populations. This result corroborates the findings of Chahota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(2013) who reported number of pods and number of seeds per pod as the most reliable determinants of yield in horse gram the present results are in line with Vaishnavi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(2023) who highlighted trait associateship and nutrient significance in determinate horse gram mutants further confirming the reliability of number of pods per plant and number of seeds per pod as dependable yield determinants.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 the EMS induced population</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seed yield per plant exhibited a highly significant positive correlation with number of pods per plant (NOP,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0.92) followed by moderate positive associations with number of seeds per pod (NSPP,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0.30), pod length (PL,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0.32) and plant height (PH,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0.28). Interestingly, days to germination (GD) showed a weak but negative correlation with seed yield per plant (SYPP,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 0.13), suggesting that earlier germinating plants tended to achieve higher productivity. These results suggest that yield improvement under EMS mutagenesis can be effectively achieved by focusing on traits that directly contribute to reproductive efficiency, particularly number of pod per plant and number of seeds per pod. Similar observations were made by Girija and Dhanavel (2009) in cowpea, where EMS induced variability enhanced the association between pod traits and yield.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the SA induced population, a slightly different correlation pattern was observed. Along with the strong association of number of pods per plant with yield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0.94) significant positive correlations were noted with plant height (PH,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0.42), number of seeds per pod (NSPP,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0.40) and pod length (PL,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0.41). This indicates that SA induced variability broadened the contribution of both vegetative and reproductive traits to yield. Notably, test weight (TW) showed a significant negative correlation with yield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 0.36) as well as with number of pods per plant (NOP,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 0.47) suggesting a trade off between test weight and number of seed per pod in SA derived lines. Such test weight and number of seed per pod trade offs have been reported across several crop species (Gambín and Borrás, 2010 ; Paul Victor and Turnbull, 2009) highlighting the need to balance yield and quality traits during selection.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weak or non significant correlations of days to germination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GD)</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and days to maturity (DM) with yield across both mutagenic populations suggest their limited utility as direct selection criteria. Similar conclusions have been drawn in legumes such as cowpea and mung bean where phenological traits contributed little to yield variation compared with reproductive traits (Girija and Dhanavel, 2009). This reinforces the importance of focusing on reproductive yield components when the objective is to maximize productivity.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present results also emphasize the mutagen specific effects on trait associations. EMS predominantly enhanced variability in reproductive traits while SA influenced both vegetative and reproductive characters but introduced a trade off with test weight. Such differences in mutagenic action have been summarized by Pushpayazhini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(2021) and Sudhagar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(2023) who noted that EMS tends to produce broader phenotypic variability whereas SA often leads to targeted alterations in specific traits. This highlights the importance of considering mutagen type in designing mutation breeding programs.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Overall, the study demonstrates that number of pods per plant, number of seeds per pod and pod length (NOP, NSPP and PL) are the most dependable yield contributing traits for indirect selection in horse gram irrespective of mutagen. In addition the negative association of days to germination (GD) with yield in EMS derived populations suggests that early germination may provide an advantage under mutagenic variability. However the observed negative association between test weight (TW) and yield in SA derived populations indicates that selection indices should be carefully designed to balance productivity with test weight</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These results align with the general principle that indirect selection through highly correlated component traits can be more effective than direct selection for yield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per se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 self pollinated legumes (Johnson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1955).</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5. COnclusion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present investigation demonstrated that mutation breeding using EMS and SA effectively altered trait associations in horse gram with clear implications for selection strategies. Across both mutagenic populations number of pods per plant (NOP) emerged as the most consistent and reliable determinant of yield followed by number of seeds per pod (NSPP) and pod length (PL)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 EMS derived populations early germination was associated with improved yield while in SA derived populations yield gains were counterbalanced by a negative association between test weight and number of seeds per pod</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These results highlight that number of pods per plant, number of seeds per pod and pod length (NOP, NSPP and PL) can serve as dependable indirect selection criteria for improving yield</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while trait specific considerations such as maintaining test weight in SA derived mutants must be integrated into breeding indices. The findings reinforce the value of mutagen specific insights in mutation breeding programs and underscore the broader principle that indirect selection through strongly correlated yield components is often more effective than direct selection for yield itself in self pollinated legumes.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Competing interests</w:t>
      </w:r>
    </w:p>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Authors have declared that no competing interests exist.</w:t>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commentRangeStart w:id="8"/>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References</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6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Chahota, R. K., Sharma, S. K., Sharma, T. R., Kumar, Naresh &amp; Kapoor, Chandan. (2013). Induction and characterisation of agronomically useful mutants in horsegram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Macrotyloma uniflorum</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Indian Journal Agricutural Science</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83(10), 1105-1109.</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Fisher, R. A. &amp; Yates, F. (1963). Statistical tables for biological, Agricultural and Medical Research, Oliver and Boyd, Edinburgh, 145-149.</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Gambín, B. L., &amp; Borras, L. (2010). Resource distribution and the trade</w:t>
      </w:r>
      <w:r w:rsidDel="00000000" w:rsidR="00000000" w:rsidRPr="00000000">
        <w:rPr>
          <w:rFonts w:ascii="Cambria Math" w:cs="Cambria Math" w:eastAsia="Cambria Math" w:hAnsi="Cambria Math"/>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off between seed number and seed weight: a comparison across crop species.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Annals of Applied Biology</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156(1), 91-102.</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Girija, M., &amp; Dhanavel, D. (2009). Mutagenic effectiveness and efficiency of gamma rays, ethyl methane sulphonate and their combined treatments in cowpea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Vigna unguiculata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L. Walp).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Global Journal of Molecular Sciences</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4(2), 68-75.</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Johnson, H. W., Robinson, J. F., &amp; Comstock, R. E. (1955). Estimates of genetic and environmental variability in soybean.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Agronomy Journal</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47(7), 314-318.</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Novak, F. J., &amp; Brunner, H. (1992). Plant breeding: Induced mutation technology for crop improvement.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IAEA Bulletin</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4(4), 25-33.</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Paul, V. C., &amp;  Turnbull, L. A. (2009). The effect of growth conditions on the seed size/number trade off.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PLoS One</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4(9), 6917.</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Pushpayazhini, V., Sudhagar, R., Vanniarajan, C., Renuka, R. &amp; Hepziba, S. J. (2021). Genetic relatedness and distribution pattern of yield attributing traits in horsegram mutants.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Electronic Journal of Plant Breeding</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12(4), 1436-1441.</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R Studio Team. (2024). RStudio: Integrated development environment for 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Shirasawa, K., Chahota, R., Hirakawa, H., Nagano, S., Nagasaki, H., Sharma, T., &amp; Isobe, S. (2021). A chromosome scale draft genome sequence of horse gram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Macrotyloma uniflorum</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Gigabyte</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2021, 1-23.</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Sudhagar, R., Pushpayazhini, V., Vanniarajan, C., Hepziba, S. J., Renuka, R., &amp; Souframanien, J. (2023). Characterization of horse gram mutants for yield, nutrient and anti-nutrient factors.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Journal of Environmental Biology</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44(1), 99-107.</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Vaishnavi, V., Sulthana, J. S., Ananthi, K., Sivakumar, R., Kannan, B., Saravanan, N. A., &amp; Sudhagar, R. (2023). Unraveling the genetics of trait associateship and nutrient significance of determinate horse gram mutants.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Electronic Journal of Plant</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Breeding</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14(3), 1044-1054.</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Weber, &amp; Morthy, B. R. (1952). Heritable and non-heritable relationship and variability of oil content and agronomic characteristics in the F2 generation of soybean crosses.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Journal of Agronomy,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44(4), 202-209.</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sectPr>
          <w:headerReference r:id="rId15" w:type="default"/>
          <w:headerReference r:id="rId16" w:type="first"/>
          <w:headerReference r:id="rId17" w:type="even"/>
          <w:footerReference r:id="rId18" w:type="default"/>
          <w:type w:val="continuous"/>
          <w:pgSz w:h="15840" w:w="12240" w:orient="portrait"/>
          <w:pgMar w:bottom="2016" w:top="1440" w:left="2016" w:right="2016" w:header="720" w:footer="1123"/>
        </w:sectPr>
      </w:pPr>
      <w:r w:rsidDel="00000000" w:rsidR="00000000" w:rsidRPr="00000000">
        <w:rPr>
          <w:rtl w:val="0"/>
        </w:rPr>
      </w:r>
    </w:p>
    <w:p w:rsidR="00000000" w:rsidDel="00000000" w:rsidP="00000000" w:rsidRDefault="00000000" w:rsidRPr="00000000" w14:paraId="0000008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720" w:top="720" w:left="720" w:right="72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e" w:id="3" w:date="2026-01-13T09:10:47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these treatments were given?</w:t>
      </w:r>
    </w:p>
  </w:comment>
  <w:comment w:author="Me" w:id="6" w:date="2026-01-13T09:04:02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ANOVA of augmented design and compare check and M2 entries </w:t>
      </w:r>
    </w:p>
  </w:comment>
  <w:comment w:author="Me" w:id="7" w:date="2026-01-13T09:06:07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mean table of M2 mutant for both EMS and SA</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data we can check the trait difference of M2 to that of checks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to determine the correlation only the data of M2 mutants is needed</w:t>
      </w:r>
    </w:p>
  </w:comment>
  <w:comment w:author="Me" w:id="0" w:date="2026-01-13T09:08:34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the mode of action of both chamical mutagen in introduction part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Means how it generate mutation, transition or transversion or intercalation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the history of mutations like first time ems and sa In which crop</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why you have choose these two mutagens only</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Why not other mutagens</w:t>
      </w:r>
    </w:p>
  </w:comment>
  <w:comment w:author="Me" w:id="8" w:date="2026-01-13T09:10:12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some citations where required in introduction and methodology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in discussion part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atlast 30 references</w:t>
      </w:r>
    </w:p>
  </w:comment>
  <w:comment w:author="Me" w:id="2" w:date="2026-01-13T08:55:41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comma after heritability </w:t>
      </w:r>
    </w:p>
  </w:comment>
  <w:comment w:author="Me" w:id="5" w:date="2026-01-13T08:59:52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version like v.1.2</w:t>
      </w:r>
    </w:p>
  </w:comment>
  <w:comment w:author="Me" w:id="4" w:date="2026-01-13T09:03:21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analysis of variance for augmented design to show the signifance and error contribution</w:t>
      </w:r>
    </w:p>
  </w:comment>
  <w:comment w:author="Me" w:id="1" w:date="2026-01-13T08:54:26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citation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Helvetica Neue"/>
  <w:font w:name="Arial"/>
  <w:font w:name="Cambria"/>
  <w:font w:name="Georgia"/>
  <w:font w:name="Symbol"/>
  <w:font w:name="Cambria Math"/>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bookmarkStart w:colFirst="0" w:colLast="0" w:name="_k6lp4uruvj5r" w:id="0"/>
    <w:bookmarkEnd w:id="0"/>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6"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4"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ind w:left="2160" w:firstLine="0"/>
      <w:jc w:val="center"/>
      <w:rPr>
        <w:rFonts w:ascii="Times New Roman" w:cs="Times New Roman" w:eastAsia="Times New Roman" w:hAnsi="Times New Roman"/>
        <w:i w:val="1"/>
        <w:iCs w:val="1"/>
        <w:sz w:val="18"/>
        <w:szCs w:val="18"/>
      </w:rPr>
    </w:pPr>
    <w:r w:rsidDel="00000000" w:rsidR="00000000" w:rsidRPr="00000000">
      <w:rPr/>
      <w:pict>
        <v:shape id="PowerPlusWaterMarkObject5"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089">
    <w:pPr>
      <w:ind w:left="4320" w:firstLine="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08A">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08B">
    <w:pPr>
      <w:spacing w:after="20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w:t>
    </w:r>
  </w:p>
  <w:p w:rsidR="00000000" w:rsidDel="00000000" w:rsidP="00000000" w:rsidRDefault="00000000" w:rsidRPr="00000000" w14:paraId="0000008C">
    <w:pPr>
      <w:jc w:val="center"/>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8D">
    <w:pPr>
      <w:tabs>
        <w:tab w:val="left" w:leader="none" w:pos="2145"/>
      </w:tabs>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ab/>
      <w:t xml:space="preserv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2"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3"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1"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60" w:lineRule="auto"/>
      <w:jc w:val="right"/>
    </w:pPr>
    <w:rPr>
      <w:b w:val="1"/>
      <w:bCs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5" Type="http://schemas.openxmlformats.org/officeDocument/2006/relationships/header" Target="header5.xml"/><Relationship Id="rId14" Type="http://schemas.openxmlformats.org/officeDocument/2006/relationships/image" Target="media/image2.png"/><Relationship Id="rId17" Type="http://schemas.openxmlformats.org/officeDocument/2006/relationships/header" Target="header4.xml"/><Relationship Id="rId16" Type="http://schemas.openxmlformats.org/officeDocument/2006/relationships/header" Target="header6.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