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7D760" w14:textId="77777777" w:rsidR="00441994" w:rsidRDefault="00441994" w:rsidP="007F78C3">
      <w:pPr>
        <w:jc w:val="center"/>
        <w:rPr>
          <w:rFonts w:ascii="Times New Roman" w:hAnsi="Times New Roman" w:cs="Times New Roman"/>
          <w:b/>
          <w:bCs/>
          <w:sz w:val="24"/>
          <w:szCs w:val="24"/>
        </w:rPr>
      </w:pPr>
      <w:r w:rsidRPr="007F78C3">
        <w:rPr>
          <w:rFonts w:ascii="Times New Roman" w:hAnsi="Times New Roman" w:cs="Times New Roman"/>
          <w:b/>
          <w:bCs/>
          <w:sz w:val="24"/>
          <w:szCs w:val="24"/>
        </w:rPr>
        <w:t>Enhancing Productivity and Livelihoods of Farm Women through Ecologically Safe Integrated Crop Management Practices in Ridge Gourd</w:t>
      </w:r>
    </w:p>
    <w:p w14:paraId="3C2BBFA5" w14:textId="77777777" w:rsidR="00EF033C" w:rsidRPr="007F78C3" w:rsidRDefault="00EF033C" w:rsidP="007F78C3">
      <w:pPr>
        <w:jc w:val="center"/>
        <w:rPr>
          <w:rFonts w:ascii="Times New Roman" w:hAnsi="Times New Roman" w:cs="Times New Roman"/>
          <w:b/>
          <w:bCs/>
          <w:sz w:val="24"/>
          <w:szCs w:val="24"/>
        </w:rPr>
      </w:pPr>
    </w:p>
    <w:p w14:paraId="278E2232" w14:textId="77777777" w:rsidR="00723304" w:rsidRPr="005F1176" w:rsidRDefault="00723304" w:rsidP="005F1176">
      <w:pPr>
        <w:spacing w:after="0" w:line="360" w:lineRule="auto"/>
        <w:ind w:right="-138"/>
        <w:rPr>
          <w:rFonts w:ascii="Times New Roman" w:hAnsi="Times New Roman" w:cs="Times New Roman"/>
          <w:b/>
          <w:sz w:val="24"/>
          <w:szCs w:val="24"/>
        </w:rPr>
      </w:pPr>
    </w:p>
    <w:p w14:paraId="4542F0D3"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ABSTRACT</w:t>
      </w:r>
    </w:p>
    <w:p w14:paraId="341DAC64" w14:textId="77777777" w:rsidR="002B1124" w:rsidRPr="007F78C3" w:rsidRDefault="002B1124" w:rsidP="007F78C3">
      <w:pPr>
        <w:jc w:val="both"/>
        <w:rPr>
          <w:rFonts w:ascii="Times New Roman" w:hAnsi="Times New Roman" w:cs="Times New Roman"/>
          <w:sz w:val="24"/>
          <w:szCs w:val="24"/>
        </w:rPr>
      </w:pPr>
      <w:r w:rsidRPr="007F78C3">
        <w:rPr>
          <w:rFonts w:ascii="Times New Roman" w:hAnsi="Times New Roman" w:cs="Times New Roman"/>
          <w:sz w:val="24"/>
          <w:szCs w:val="24"/>
        </w:rPr>
        <w:t>The present study was conducted to evaluate the effectiveness of ecologically safe Integrated Crop Management (ICM) practices in ridge gourd cultivation among farm women through on-farm demonstrations. The specific objectives were to demonstrate ICM practices as an eco-friendly intervention, to assess their effect on yield and cost economics, and to study drudgery-related constraints faced by farm women. The study was carried out with 25 farm women respondents during the cropping season under frontline demonstration approach. Data were collected on knowledge level of farm women regarding ICM practices, yield parameters, pest incidence, and economic returns, and compared with farmers’ conventional practices. The results revealed that farm women possessed adequate knowledge of basic agronomic practices but had limited awareness of critical components such as improved varieties, seed treatment, micronutrient management, and eco-friendly pest control measures. Adoption of ICM practices resulted in a significant increase in fruit yield (13.5 t acre⁻¹) compared to farmers’ practice (7.2 t acre⁻¹), along with a reduction in fruit fly damage (11.6%). Despite a marginal increase in cost of cultivation, net returns (Rs. 1</w:t>
      </w:r>
      <w:proofErr w:type="gramStart"/>
      <w:r w:rsidRPr="007F78C3">
        <w:rPr>
          <w:rFonts w:ascii="Times New Roman" w:hAnsi="Times New Roman" w:cs="Times New Roman"/>
          <w:sz w:val="24"/>
          <w:szCs w:val="24"/>
        </w:rPr>
        <w:t>,92,800</w:t>
      </w:r>
      <w:proofErr w:type="gramEnd"/>
      <w:r w:rsidRPr="007F78C3">
        <w:rPr>
          <w:rFonts w:ascii="Times New Roman" w:hAnsi="Times New Roman" w:cs="Times New Roman"/>
          <w:sz w:val="24"/>
          <w:szCs w:val="24"/>
        </w:rPr>
        <w:t xml:space="preserve"> acre⁻¹) and benefit–cost ratio (3.5:1) were substantially higher under ICM practices. The study concludes that ecologically safe ICM practices not only enhance productivity and profitability but also contribute to reduced drudgery and improved occupational safety of farm women, thereby promoting sustainable vegetable cultivation.</w:t>
      </w:r>
    </w:p>
    <w:p w14:paraId="716B34B8" w14:textId="77777777" w:rsidR="002B1124" w:rsidRPr="007F78C3" w:rsidRDefault="002B1124" w:rsidP="007F78C3">
      <w:pPr>
        <w:jc w:val="both"/>
        <w:rPr>
          <w:rFonts w:ascii="Times New Roman" w:hAnsi="Times New Roman" w:cs="Times New Roman"/>
          <w:sz w:val="24"/>
          <w:szCs w:val="24"/>
        </w:rPr>
      </w:pPr>
      <w:r w:rsidRPr="007F78C3">
        <w:rPr>
          <w:rFonts w:ascii="Times New Roman" w:hAnsi="Times New Roman" w:cs="Times New Roman"/>
          <w:b/>
          <w:bCs/>
          <w:sz w:val="24"/>
          <w:szCs w:val="24"/>
        </w:rPr>
        <w:t>Keywords:</w:t>
      </w:r>
      <w:r w:rsidRPr="007F78C3">
        <w:rPr>
          <w:rFonts w:ascii="Times New Roman" w:hAnsi="Times New Roman" w:cs="Times New Roman"/>
          <w:sz w:val="24"/>
          <w:szCs w:val="24"/>
        </w:rPr>
        <w:t xml:space="preserve"> Farm women, Ridge gourd, Integrated Crop Management, Ecological safety, Yield economics, Drudgery</w:t>
      </w:r>
    </w:p>
    <w:p w14:paraId="38D2601E" w14:textId="77777777" w:rsidR="00FD24C8" w:rsidRPr="007F78C3" w:rsidRDefault="00FD24C8"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INTRODUCTION</w:t>
      </w:r>
    </w:p>
    <w:p w14:paraId="79BE40AD"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Ridge gourd (</w:t>
      </w:r>
      <w:proofErr w:type="spellStart"/>
      <w:r w:rsidR="00FD24C8" w:rsidRPr="007F78C3">
        <w:rPr>
          <w:rFonts w:ascii="Times New Roman" w:hAnsi="Times New Roman" w:cs="Times New Roman"/>
          <w:i/>
          <w:iCs/>
          <w:sz w:val="24"/>
          <w:szCs w:val="24"/>
        </w:rPr>
        <w:t>Luffa</w:t>
      </w:r>
      <w:proofErr w:type="spellEnd"/>
      <w:r w:rsidR="00FD24C8" w:rsidRPr="007F78C3">
        <w:rPr>
          <w:rFonts w:ascii="Times New Roman" w:hAnsi="Times New Roman" w:cs="Times New Roman"/>
          <w:i/>
          <w:iCs/>
          <w:sz w:val="24"/>
          <w:szCs w:val="24"/>
        </w:rPr>
        <w:t xml:space="preserve"> </w:t>
      </w:r>
      <w:proofErr w:type="spellStart"/>
      <w:r w:rsidR="00FD24C8" w:rsidRPr="007F78C3">
        <w:rPr>
          <w:rFonts w:ascii="Times New Roman" w:hAnsi="Times New Roman" w:cs="Times New Roman"/>
          <w:i/>
          <w:iCs/>
          <w:sz w:val="24"/>
          <w:szCs w:val="24"/>
        </w:rPr>
        <w:t>acutangula</w:t>
      </w:r>
      <w:proofErr w:type="spellEnd"/>
      <w:r w:rsidR="00FD24C8" w:rsidRPr="007F78C3">
        <w:rPr>
          <w:rFonts w:ascii="Times New Roman" w:hAnsi="Times New Roman" w:cs="Times New Roman"/>
          <w:sz w:val="24"/>
          <w:szCs w:val="24"/>
        </w:rPr>
        <w:t xml:space="preserve"> L.) is an important cucurbitaceous vegetable crop widely cultivated in tropical and subtropical regions of India. It is valued for its high nutritive content, short duration, and steady market demand, making it a preferred crop among small and marginal farmers. In many vegetable-growing regions, farm women play a crucial role in ridge gourd cultivation, being actively involved in operations such as seed sowing, weeding, nutrient application, harvesting, and post-harvest handling. Despite their significant contribution, farm women often have limited access to scientific knowledge, skill-based training, and eco-friendly crop management technologies.</w:t>
      </w:r>
    </w:p>
    <w:p w14:paraId="12C42EA0"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 xml:space="preserve">Conventional cultivation practices in ridge gourd are often characterized by imbalanced fertilizer use, indiscriminate pesticide application, and inadequate pest management strategies, leading to increased cost of cultivation, pest resistance, environmental contamination, and health hazards to farm women who are directly exposed during field operations. Among pests, fruit fly is one of the most destructive insects in ridge gourd, causing severe yield losses and quality deterioration. The need for ecologically safe and sustainable crop management practices is therefore imperative to ensure </w:t>
      </w:r>
      <w:r w:rsidR="00FD24C8" w:rsidRPr="007F78C3">
        <w:rPr>
          <w:rFonts w:ascii="Times New Roman" w:hAnsi="Times New Roman" w:cs="Times New Roman"/>
          <w:sz w:val="24"/>
          <w:szCs w:val="24"/>
        </w:rPr>
        <w:lastRenderedPageBreak/>
        <w:t>higherproductivity, reduced chemical dependency, and improved occupational safety for farm women.</w:t>
      </w:r>
    </w:p>
    <w:p w14:paraId="0B3D7AAF"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Integrated Crop Management (ICM) offers a holistic approach that combines appropriate agronomic practices, balanced nutrient management, eco-friendly pest and disease control measures, and efficient resource utilization to achieve sustainable crop production. Adoption of ICM practices has been reported to enhance yield, improve input-use efficiency, reduce pest incidence, and increase profitability while minimizing adverse environmental impacts. However, the adoption of ICM practices among farm women remains low, primarily due to knowledge gaps in technically complex components such as seed treatment, micronutrient management, pest identification, and use of biological and mechanical control methods.</w:t>
      </w:r>
    </w:p>
    <w:p w14:paraId="509834C9"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Demonstration-based extension approaches play a vital role in bridging this knowledge gap by enabling farm women to observe, learn, and adopt improved practices under real farm conditions. Such demonstrations not only enhance technical knowledge but also help in evaluating the economic viability and practical feasibility of recommended technologies. Moreover, introduction of eco-friendly ICM practices has the potential to reduce drudgery, lower exposure to hazardous agrochemicals, and improve the overall working conditions of farm women.</w:t>
      </w:r>
    </w:p>
    <w:p w14:paraId="7A2DD91C"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 this context, the present study was undertaken to demonstrate ecologically safe Integrated Crop Management practices in ridge gourd among farm women, to evaluate their impact on yield and cost economics, and to assess drudgery-related constraints faced by farm women during ridge gourd cultivation. The findings of the study aim to provide scientific evidence for promoting women-centric, sustainable vegetable production systems through ICM interventions.</w:t>
      </w:r>
    </w:p>
    <w:p w14:paraId="4BEEFC0F"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MATERIALS AND METHODS</w:t>
      </w:r>
    </w:p>
    <w:p w14:paraId="2A48B314"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Study area and sample selection</w:t>
      </w:r>
    </w:p>
    <w:p w14:paraId="420AC1C2"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 xml:space="preserve">The study was conducted during the cropping season in selected villages where ridge gourd is an important vegetable crop cultivated by farm women. A total of </w:t>
      </w:r>
      <w:commentRangeStart w:id="0"/>
      <w:r w:rsidR="002B1124" w:rsidRPr="007F78C3">
        <w:rPr>
          <w:rFonts w:ascii="Times New Roman" w:hAnsi="Times New Roman" w:cs="Times New Roman"/>
          <w:sz w:val="24"/>
          <w:szCs w:val="24"/>
        </w:rPr>
        <w:t xml:space="preserve">25 farm women </w:t>
      </w:r>
      <w:commentRangeEnd w:id="0"/>
      <w:r w:rsidR="00813B7C">
        <w:rPr>
          <w:rStyle w:val="Marquedecommentaire"/>
        </w:rPr>
        <w:commentReference w:id="0"/>
      </w:r>
      <w:r w:rsidR="002B1124" w:rsidRPr="007F78C3">
        <w:rPr>
          <w:rFonts w:ascii="Times New Roman" w:hAnsi="Times New Roman" w:cs="Times New Roman"/>
          <w:sz w:val="24"/>
          <w:szCs w:val="24"/>
        </w:rPr>
        <w:t>actively involved in ridge gourd cultivation were selected purposively for the study to participate in on-farm demonstrations of ICM practices.</w:t>
      </w:r>
    </w:p>
    <w:p w14:paraId="31B811DC"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Description of ICM practices demonstrated</w:t>
      </w:r>
    </w:p>
    <w:p w14:paraId="7D91EB5A"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ICM demonstration included a package of ecologically safe and recommended practices, comprising selection of suitable soil, application of farmyard manure/compost, improved varieties, recommended seed rate, seed treatment, proper sowing time and spacing, pandal system of cultivation, balanced nutrient management including micronutrients, efficient irrigation scheduling, weed management, and eco-friendly pest and disease management practices such as erection of fruit fly traps. These practices were demonstrated in comparison with the farmers’ existing cultivation practices.</w:t>
      </w:r>
    </w:p>
    <w:p w14:paraId="61FED201"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Data collection</w:t>
      </w:r>
    </w:p>
    <w:p w14:paraId="07CB6960"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 xml:space="preserve">Data were collected using a pre-tested structured interview schedule through personal interviews with farm women. Information on knowledge level of ICM practices was assessed </w:t>
      </w:r>
      <w:r w:rsidR="002B1124" w:rsidRPr="007F78C3">
        <w:rPr>
          <w:rFonts w:ascii="Times New Roman" w:hAnsi="Times New Roman" w:cs="Times New Roman"/>
          <w:sz w:val="24"/>
          <w:szCs w:val="24"/>
        </w:rPr>
        <w:lastRenderedPageBreak/>
        <w:t>by categorizing responses into “having enough knowledge” and “not having enough knowledge.” In addition, data on yield attributes, fruit fly damage, cost of cultivation, gross returns, net returns, and benefit–cost ratio (BCR) were recorded separately for demonstration plots and farmers’ practice plots.</w:t>
      </w:r>
    </w:p>
    <w:p w14:paraId="219648C4"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Drudgery-related constraints were identified by documenting farm women’s perceptions regarding physically demanding operations during ridge gourd cultivation, including weeding, harvesting, pest management, and handling of produce.</w:t>
      </w:r>
    </w:p>
    <w:p w14:paraId="1D724638" w14:textId="77777777" w:rsidR="00741BE5"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741BE5" w:rsidRPr="007F78C3">
        <w:rPr>
          <w:rFonts w:ascii="Times New Roman" w:hAnsi="Times New Roman" w:cs="Times New Roman"/>
          <w:sz w:val="24"/>
          <w:szCs w:val="24"/>
        </w:rPr>
        <w:t>The data on percent fruit damage was calculated on the basis of total number of healthy fruit and infested ones [</w:t>
      </w:r>
      <w:r w:rsidR="007F78C3" w:rsidRPr="007F78C3">
        <w:rPr>
          <w:rFonts w:ascii="Times New Roman" w:hAnsi="Times New Roman" w:cs="Times New Roman"/>
          <w:sz w:val="24"/>
          <w:szCs w:val="24"/>
        </w:rPr>
        <w:t>Kumar et al., 2019</w:t>
      </w:r>
      <w:r w:rsidR="00741BE5" w:rsidRPr="007F78C3">
        <w:rPr>
          <w:rFonts w:ascii="Times New Roman" w:hAnsi="Times New Roman" w:cs="Times New Roman"/>
          <w:sz w:val="24"/>
          <w:szCs w:val="24"/>
        </w:rPr>
        <w:t>].</w:t>
      </w:r>
    </w:p>
    <w:p w14:paraId="43FCA2F7" w14:textId="77777777" w:rsidR="002B1124" w:rsidRPr="007F78C3" w:rsidRDefault="002B1124" w:rsidP="007F78C3">
      <w:pPr>
        <w:jc w:val="both"/>
        <w:rPr>
          <w:rFonts w:ascii="Times New Roman" w:hAnsi="Times New Roman" w:cs="Times New Roman"/>
          <w:b/>
          <w:bCs/>
          <w:sz w:val="24"/>
          <w:szCs w:val="24"/>
        </w:rPr>
      </w:pPr>
      <w:commentRangeStart w:id="1"/>
      <w:r w:rsidRPr="007F78C3">
        <w:rPr>
          <w:rFonts w:ascii="Times New Roman" w:hAnsi="Times New Roman" w:cs="Times New Roman"/>
          <w:b/>
          <w:bCs/>
          <w:sz w:val="24"/>
          <w:szCs w:val="24"/>
        </w:rPr>
        <w:t>Economic analysis</w:t>
      </w:r>
      <w:commentRangeEnd w:id="1"/>
      <w:r w:rsidR="00813B7C">
        <w:rPr>
          <w:rStyle w:val="Marquedecommentaire"/>
        </w:rPr>
        <w:commentReference w:id="1"/>
      </w:r>
    </w:p>
    <w:p w14:paraId="4E04C8A7"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Economic evaluation was carried out by calculating cost of cultivation, gross returns, net returns, and benefit–cost ratio for both ICM demonstration units and farmers’ practice. Gross returns were computed based on total yield and prevailing market price, while net returns were calculated by subtracting cost of cultivation from gross returns.</w:t>
      </w:r>
    </w:p>
    <w:p w14:paraId="2892903A"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Statistical analysis</w:t>
      </w:r>
    </w:p>
    <w:p w14:paraId="19B3C795"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data were analyzed using simple descriptive statistics such as frequencies, percentages, and comparative analysis between demonstration and farmers’ practice to interpret the impact of ICM practices.</w:t>
      </w:r>
    </w:p>
    <w:p w14:paraId="20FC4FAF"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RESULTS AND DISCUSSION</w:t>
      </w:r>
    </w:p>
    <w:p w14:paraId="0A89BB07"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Knowledge level of farm women on ICM practices in ridge gourd</w:t>
      </w:r>
    </w:p>
    <w:p w14:paraId="60D8B5D6" w14:textId="77777777" w:rsidR="00A748F1"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knowledge level of farm women on various Integrated Crop Management (ICM) practices in ridge gourd cultivation was assessed prior to the implementation of demonstrations. The results (Table 1) revealed that the respondents possessed adequate knowledge on basic agronomic practices, while critical gaps were observed in ecological and plant protection components.</w:t>
      </w:r>
    </w:p>
    <w:p w14:paraId="73A5BDF0" w14:textId="4D28EB1B" w:rsidR="00813B7C" w:rsidRPr="007F78C3" w:rsidRDefault="00813B7C" w:rsidP="007F78C3">
      <w:pPr>
        <w:jc w:val="both"/>
        <w:rPr>
          <w:rFonts w:ascii="Times New Roman" w:hAnsi="Times New Roman" w:cs="Times New Roman"/>
          <w:sz w:val="24"/>
          <w:szCs w:val="24"/>
        </w:rPr>
      </w:pPr>
      <w:commentRangeStart w:id="2"/>
      <w:r>
        <w:rPr>
          <w:rFonts w:ascii="Times New Roman" w:hAnsi="Times New Roman" w:cs="Times New Roman"/>
          <w:sz w:val="24"/>
          <w:szCs w:val="24"/>
        </w:rPr>
        <w:t>T</w:t>
      </w:r>
      <w:commentRangeEnd w:id="2"/>
      <w:r>
        <w:rPr>
          <w:rStyle w:val="Marquedecommentaire"/>
        </w:rPr>
        <w:commentReference w:id="2"/>
      </w:r>
      <w:r>
        <w:rPr>
          <w:rFonts w:ascii="Times New Roman" w:hAnsi="Times New Roman" w:cs="Times New Roman"/>
          <w:sz w:val="24"/>
          <w:szCs w:val="24"/>
        </w:rPr>
        <w:t xml:space="preserve"> </w:t>
      </w:r>
    </w:p>
    <w:p w14:paraId="74C4B8B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All the respondents (100%) had sufficient knowledge regarding selection of suitable soil and interval of irrigation, followed by application of FYM/compost (95.65%), sowing time (95.65%), days to first picking (91.30%), average yield (91.30%), and picking intervals (86.96%). Moderate knowledge was observed in pandal system of cultivation and sowing distance (60.86%).</w:t>
      </w:r>
    </w:p>
    <w:p w14:paraId="39EF4CDA"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However, very low knowledge levels were recorded in technically complex and ecologically important practices. Only 8.70 per cent of respondents were aware of recommended varieties and seed rate, while none of the farm women had knowledge on seed treatment. Knowledge on sex expression (13.04%), application of boron (4.35%), stage and dosage of boron application, pre-emergence weed management, and fruit fly management through traps (4.35%) was extremely poor. Similarly, limited awareness was noticed regarding major pests (34.78%) and diseases (13.04%) of ridge gourd.</w:t>
      </w:r>
    </w:p>
    <w:p w14:paraId="2C641127" w14:textId="77777777" w:rsidR="00A748F1" w:rsidRPr="007F78C3"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lastRenderedPageBreak/>
        <w:t>These findings clearly indicate that while farm women are familiar with routine cultural operations</w:t>
      </w:r>
      <w:r w:rsidR="00A07397" w:rsidRPr="00807F6F">
        <w:rPr>
          <w:rFonts w:ascii="Times New Roman" w:hAnsi="Times New Roman" w:cs="Times New Roman"/>
          <w:sz w:val="24"/>
          <w:szCs w:val="24"/>
        </w:rPr>
        <w:t xml:space="preserve">. Similar observations were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who noted that farm women are generally well acquainted with routine crop operations due to their continuous involvement in field activities. However, limited knowledge was observed in technically complex and eco-friendly practices such as seed treatment, micronutrient management (boron application), pest and disease identification, and fruit fly management, emphasizing the need for need-based demonstrations and capacity-building interventions. These findings are in agreement with Nayak and Mahapatra (2020), who </w:t>
      </w:r>
      <w:r w:rsidR="00A07397" w:rsidRPr="007F78C3">
        <w:rPr>
          <w:rFonts w:ascii="Times New Roman" w:hAnsi="Times New Roman" w:cs="Times New Roman"/>
          <w:sz w:val="24"/>
          <w:szCs w:val="24"/>
        </w:rPr>
        <w:t>identified knowledge gaps in plant protection and nutrient management among women farmers, primarily due to limited exposure to formal training and extension services.</w:t>
      </w:r>
    </w:p>
    <w:p w14:paraId="15F2C35D" w14:textId="77777777" w:rsidR="00A748F1" w:rsidRPr="007F78C3" w:rsidRDefault="002B1124" w:rsidP="007F78C3">
      <w:pPr>
        <w:spacing w:after="200" w:line="360" w:lineRule="auto"/>
        <w:ind w:left="360"/>
        <w:jc w:val="both"/>
        <w:rPr>
          <w:rFonts w:ascii="Times New Roman" w:hAnsi="Times New Roman" w:cs="Times New Roman"/>
          <w:b/>
          <w:bCs/>
          <w:sz w:val="24"/>
          <w:szCs w:val="24"/>
        </w:rPr>
      </w:pPr>
      <w:r w:rsidRPr="007F78C3">
        <w:rPr>
          <w:rFonts w:ascii="Times New Roman" w:hAnsi="Times New Roman" w:cs="Times New Roman"/>
          <w:b/>
          <w:bCs/>
          <w:sz w:val="24"/>
          <w:szCs w:val="24"/>
        </w:rPr>
        <w:t>Table 1. Knowledge level of farm women on Integrated Crop Management (ICM) practices in ridge gourd cultivation (n = 25)</w:t>
      </w:r>
    </w:p>
    <w:tbl>
      <w:tblPr>
        <w:tblStyle w:val="Grilledutableau"/>
        <w:tblW w:w="9072" w:type="dxa"/>
        <w:tblInd w:w="-5" w:type="dxa"/>
        <w:tblLook w:val="04A0" w:firstRow="1" w:lastRow="0" w:firstColumn="1" w:lastColumn="0" w:noHBand="0" w:noVBand="1"/>
      </w:tblPr>
      <w:tblGrid>
        <w:gridCol w:w="993"/>
        <w:gridCol w:w="3118"/>
        <w:gridCol w:w="2552"/>
        <w:gridCol w:w="2409"/>
      </w:tblGrid>
      <w:tr w:rsidR="00441994" w:rsidRPr="007F78C3" w14:paraId="4FBD7948" w14:textId="77777777" w:rsidTr="00807F6F">
        <w:trPr>
          <w:trHeight w:val="436"/>
        </w:trPr>
        <w:tc>
          <w:tcPr>
            <w:tcW w:w="993" w:type="dxa"/>
            <w:vMerge w:val="restart"/>
            <w:tcBorders>
              <w:top w:val="single" w:sz="4" w:space="0" w:color="auto"/>
              <w:left w:val="single" w:sz="4" w:space="0" w:color="auto"/>
              <w:bottom w:val="single" w:sz="4" w:space="0" w:color="auto"/>
              <w:right w:val="single" w:sz="4" w:space="0" w:color="auto"/>
            </w:tcBorders>
          </w:tcPr>
          <w:p w14:paraId="1D3D711F"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Sl. No.</w:t>
            </w:r>
          </w:p>
        </w:tc>
        <w:tc>
          <w:tcPr>
            <w:tcW w:w="3118" w:type="dxa"/>
            <w:vMerge w:val="restart"/>
            <w:tcBorders>
              <w:top w:val="single" w:sz="4" w:space="0" w:color="auto"/>
              <w:left w:val="single" w:sz="4" w:space="0" w:color="auto"/>
              <w:bottom w:val="single" w:sz="4" w:space="0" w:color="auto"/>
              <w:right w:val="single" w:sz="4" w:space="0" w:color="auto"/>
            </w:tcBorders>
          </w:tcPr>
          <w:p w14:paraId="59297DCA"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ICM practice</w:t>
            </w:r>
          </w:p>
        </w:tc>
        <w:tc>
          <w:tcPr>
            <w:tcW w:w="2552" w:type="dxa"/>
            <w:vMerge w:val="restar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tblGrid>
            <w:tr w:rsidR="00441994" w:rsidRPr="00807F6F" w14:paraId="46BFBE2C" w14:textId="77777777" w:rsidTr="007F78C3">
              <w:trPr>
                <w:tblCellSpacing w:w="15" w:type="dxa"/>
              </w:trPr>
              <w:tc>
                <w:tcPr>
                  <w:tcW w:w="0" w:type="auto"/>
                  <w:vAlign w:val="center"/>
                  <w:hideMark/>
                </w:tcPr>
                <w:p w14:paraId="27CB8BD2" w14:textId="77777777" w:rsidR="00441994" w:rsidRPr="00807F6F" w:rsidRDefault="00441994" w:rsidP="00807F6F">
                  <w:pPr>
                    <w:pStyle w:val="Sansinterligne"/>
                    <w:rPr>
                      <w:rFonts w:ascii="Times New Roman" w:hAnsi="Times New Roman" w:cs="Times New Roman"/>
                      <w:b/>
                      <w:bCs/>
                      <w:sz w:val="24"/>
                      <w:szCs w:val="24"/>
                    </w:rPr>
                  </w:pPr>
                  <w:r w:rsidRPr="00807F6F">
                    <w:rPr>
                      <w:rFonts w:ascii="Times New Roman" w:hAnsi="Times New Roman" w:cs="Times New Roman"/>
                      <w:b/>
                      <w:bCs/>
                      <w:sz w:val="24"/>
                      <w:szCs w:val="24"/>
                    </w:rPr>
                    <w:t>Farm womenhaving adequate knowledge (%)</w:t>
                  </w:r>
                </w:p>
              </w:tc>
            </w:tr>
          </w:tbl>
          <w:p w14:paraId="44EF7161" w14:textId="77777777" w:rsidR="00441994" w:rsidRPr="00807F6F" w:rsidRDefault="00441994" w:rsidP="007F78C3">
            <w:pPr>
              <w:rPr>
                <w:rFonts w:ascii="Times New Roman" w:hAnsi="Times New Roman" w:cs="Times New Roman"/>
                <w:b/>
                <w:bCs/>
                <w:vanish/>
                <w:sz w:val="24"/>
                <w:szCs w:val="24"/>
              </w:rPr>
            </w:pPr>
          </w:p>
          <w:p w14:paraId="30DD7673" w14:textId="77777777" w:rsidR="00441994" w:rsidRPr="00807F6F" w:rsidRDefault="00441994" w:rsidP="007F78C3">
            <w:pPr>
              <w:rPr>
                <w:rFonts w:ascii="Times New Roman" w:hAnsi="Times New Roman" w:cs="Times New Roman"/>
                <w:b/>
                <w:bCs/>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tcPr>
          <w:p w14:paraId="3B15D5F2"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Farm women having inadequate knowledge (%)</w:t>
            </w:r>
          </w:p>
        </w:tc>
      </w:tr>
      <w:tr w:rsidR="00441994" w:rsidRPr="007F78C3" w14:paraId="5BE4F582" w14:textId="77777777" w:rsidTr="00807F6F">
        <w:trPr>
          <w:trHeight w:val="447"/>
        </w:trPr>
        <w:tc>
          <w:tcPr>
            <w:tcW w:w="993" w:type="dxa"/>
            <w:vMerge/>
            <w:tcBorders>
              <w:top w:val="single" w:sz="4" w:space="0" w:color="auto"/>
              <w:left w:val="single" w:sz="4" w:space="0" w:color="auto"/>
              <w:bottom w:val="single" w:sz="4" w:space="0" w:color="auto"/>
              <w:right w:val="single" w:sz="4" w:space="0" w:color="auto"/>
            </w:tcBorders>
          </w:tcPr>
          <w:p w14:paraId="32E2AD3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D1C5D6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p>
        </w:tc>
        <w:tc>
          <w:tcPr>
            <w:tcW w:w="2552" w:type="dxa"/>
            <w:vMerge/>
            <w:tcBorders>
              <w:top w:val="single" w:sz="4" w:space="0" w:color="auto"/>
              <w:left w:val="single" w:sz="4" w:space="0" w:color="auto"/>
              <w:bottom w:val="single" w:sz="4" w:space="0" w:color="auto"/>
              <w:right w:val="single" w:sz="4" w:space="0" w:color="auto"/>
            </w:tcBorders>
          </w:tcPr>
          <w:p w14:paraId="04379E9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p>
        </w:tc>
        <w:tc>
          <w:tcPr>
            <w:tcW w:w="2409" w:type="dxa"/>
            <w:vMerge/>
            <w:tcBorders>
              <w:top w:val="single" w:sz="4" w:space="0" w:color="auto"/>
              <w:left w:val="single" w:sz="4" w:space="0" w:color="auto"/>
              <w:bottom w:val="single" w:sz="4" w:space="0" w:color="auto"/>
              <w:right w:val="single" w:sz="4" w:space="0" w:color="auto"/>
            </w:tcBorders>
          </w:tcPr>
          <w:p w14:paraId="64CB0753"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p>
        </w:tc>
      </w:tr>
      <w:tr w:rsidR="00441994" w:rsidRPr="007F78C3" w14:paraId="6AE78396" w14:textId="77777777" w:rsidTr="00807F6F">
        <w:tc>
          <w:tcPr>
            <w:tcW w:w="993" w:type="dxa"/>
            <w:tcBorders>
              <w:top w:val="single" w:sz="4" w:space="0" w:color="auto"/>
            </w:tcBorders>
          </w:tcPr>
          <w:p w14:paraId="79AB6DD1"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w:t>
            </w:r>
          </w:p>
        </w:tc>
        <w:tc>
          <w:tcPr>
            <w:tcW w:w="3118" w:type="dxa"/>
            <w:tcBorders>
              <w:top w:val="single" w:sz="4" w:space="0" w:color="auto"/>
            </w:tcBorders>
          </w:tcPr>
          <w:p w14:paraId="40A0D2D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Selection of soil</w:t>
            </w:r>
          </w:p>
        </w:tc>
        <w:tc>
          <w:tcPr>
            <w:tcW w:w="2552" w:type="dxa"/>
            <w:tcBorders>
              <w:top w:val="single" w:sz="4" w:space="0" w:color="auto"/>
            </w:tcBorders>
          </w:tcPr>
          <w:p w14:paraId="74C5CCA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Borders>
              <w:top w:val="single" w:sz="4" w:space="0" w:color="auto"/>
            </w:tcBorders>
          </w:tcPr>
          <w:p w14:paraId="6348621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23FD78D3" w14:textId="77777777" w:rsidTr="00807F6F">
        <w:tc>
          <w:tcPr>
            <w:tcW w:w="993" w:type="dxa"/>
          </w:tcPr>
          <w:p w14:paraId="4EB00807"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w:t>
            </w:r>
          </w:p>
        </w:tc>
        <w:tc>
          <w:tcPr>
            <w:tcW w:w="3118" w:type="dxa"/>
          </w:tcPr>
          <w:p w14:paraId="5230DC2B"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Application FYM/compost</w:t>
            </w:r>
          </w:p>
        </w:tc>
        <w:tc>
          <w:tcPr>
            <w:tcW w:w="2552" w:type="dxa"/>
          </w:tcPr>
          <w:p w14:paraId="377B3F7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0E3F0DB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6DB94ABA" w14:textId="77777777" w:rsidTr="00807F6F">
        <w:tc>
          <w:tcPr>
            <w:tcW w:w="993" w:type="dxa"/>
          </w:tcPr>
          <w:p w14:paraId="4E11069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w:t>
            </w:r>
          </w:p>
        </w:tc>
        <w:tc>
          <w:tcPr>
            <w:tcW w:w="3118" w:type="dxa"/>
          </w:tcPr>
          <w:p w14:paraId="7E371483"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Varieties for ridge gourd cultivation</w:t>
            </w:r>
          </w:p>
        </w:tc>
        <w:tc>
          <w:tcPr>
            <w:tcW w:w="2552" w:type="dxa"/>
          </w:tcPr>
          <w:p w14:paraId="221AEC3D"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7DE5A35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7F7A3DB0" w14:textId="77777777" w:rsidTr="00807F6F">
        <w:tc>
          <w:tcPr>
            <w:tcW w:w="993" w:type="dxa"/>
          </w:tcPr>
          <w:p w14:paraId="7874ABE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w:t>
            </w:r>
          </w:p>
        </w:tc>
        <w:tc>
          <w:tcPr>
            <w:tcW w:w="3118" w:type="dxa"/>
          </w:tcPr>
          <w:p w14:paraId="2EF34071"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Seed rate</w:t>
            </w:r>
          </w:p>
        </w:tc>
        <w:tc>
          <w:tcPr>
            <w:tcW w:w="2552" w:type="dxa"/>
          </w:tcPr>
          <w:p w14:paraId="44FBF735"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1147830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0CE7DA43" w14:textId="77777777" w:rsidTr="00807F6F">
        <w:tc>
          <w:tcPr>
            <w:tcW w:w="993" w:type="dxa"/>
          </w:tcPr>
          <w:p w14:paraId="0F9D983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5</w:t>
            </w:r>
          </w:p>
        </w:tc>
        <w:tc>
          <w:tcPr>
            <w:tcW w:w="3118" w:type="dxa"/>
          </w:tcPr>
          <w:p w14:paraId="2BE4C1C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Seed treatment </w:t>
            </w:r>
          </w:p>
        </w:tc>
        <w:tc>
          <w:tcPr>
            <w:tcW w:w="2552" w:type="dxa"/>
          </w:tcPr>
          <w:p w14:paraId="01E9F22B"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c>
          <w:tcPr>
            <w:tcW w:w="2409" w:type="dxa"/>
          </w:tcPr>
          <w:p w14:paraId="06FC0210"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r>
      <w:tr w:rsidR="00441994" w:rsidRPr="007F78C3" w14:paraId="626E2F68" w14:textId="77777777" w:rsidTr="00807F6F">
        <w:tc>
          <w:tcPr>
            <w:tcW w:w="993" w:type="dxa"/>
          </w:tcPr>
          <w:p w14:paraId="35ACFA8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w:t>
            </w:r>
          </w:p>
        </w:tc>
        <w:tc>
          <w:tcPr>
            <w:tcW w:w="3118" w:type="dxa"/>
          </w:tcPr>
          <w:p w14:paraId="4813A81F"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Pandal system of cultivation</w:t>
            </w:r>
          </w:p>
        </w:tc>
        <w:tc>
          <w:tcPr>
            <w:tcW w:w="2552" w:type="dxa"/>
          </w:tcPr>
          <w:p w14:paraId="35257E1C"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7A63D1A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8FD1122" w14:textId="77777777" w:rsidTr="00807F6F">
        <w:tc>
          <w:tcPr>
            <w:tcW w:w="993" w:type="dxa"/>
          </w:tcPr>
          <w:p w14:paraId="381D96D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7</w:t>
            </w:r>
          </w:p>
        </w:tc>
        <w:tc>
          <w:tcPr>
            <w:tcW w:w="3118" w:type="dxa"/>
          </w:tcPr>
          <w:p w14:paraId="6230FC8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distance</w:t>
            </w:r>
          </w:p>
        </w:tc>
        <w:tc>
          <w:tcPr>
            <w:tcW w:w="2552" w:type="dxa"/>
          </w:tcPr>
          <w:p w14:paraId="0C542D3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14569775"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542A210" w14:textId="77777777" w:rsidTr="00807F6F">
        <w:tc>
          <w:tcPr>
            <w:tcW w:w="993" w:type="dxa"/>
          </w:tcPr>
          <w:p w14:paraId="7F8736F0"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w:t>
            </w:r>
          </w:p>
        </w:tc>
        <w:tc>
          <w:tcPr>
            <w:tcW w:w="3118" w:type="dxa"/>
          </w:tcPr>
          <w:p w14:paraId="0153A37B"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time</w:t>
            </w:r>
          </w:p>
        </w:tc>
        <w:tc>
          <w:tcPr>
            <w:tcW w:w="2552" w:type="dxa"/>
          </w:tcPr>
          <w:p w14:paraId="00B356C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7B144FB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7E73CAC5" w14:textId="77777777" w:rsidTr="00807F6F">
        <w:tc>
          <w:tcPr>
            <w:tcW w:w="993" w:type="dxa"/>
          </w:tcPr>
          <w:p w14:paraId="78502018"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w:t>
            </w:r>
          </w:p>
        </w:tc>
        <w:tc>
          <w:tcPr>
            <w:tcW w:w="3118" w:type="dxa"/>
          </w:tcPr>
          <w:p w14:paraId="34EC2238"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More number of male flowers</w:t>
            </w:r>
          </w:p>
        </w:tc>
        <w:tc>
          <w:tcPr>
            <w:tcW w:w="2552" w:type="dxa"/>
          </w:tcPr>
          <w:p w14:paraId="61E98E97"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5810254C"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0EB9B41B" w14:textId="77777777" w:rsidTr="00807F6F">
        <w:tc>
          <w:tcPr>
            <w:tcW w:w="993" w:type="dxa"/>
          </w:tcPr>
          <w:p w14:paraId="3B36D291"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w:t>
            </w:r>
          </w:p>
        </w:tc>
        <w:tc>
          <w:tcPr>
            <w:tcW w:w="3118" w:type="dxa"/>
          </w:tcPr>
          <w:p w14:paraId="4138C6D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Application of boron </w:t>
            </w:r>
          </w:p>
        </w:tc>
        <w:tc>
          <w:tcPr>
            <w:tcW w:w="2552" w:type="dxa"/>
          </w:tcPr>
          <w:p w14:paraId="3A30E87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0154011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6E09F462" w14:textId="77777777" w:rsidTr="00807F6F">
        <w:tc>
          <w:tcPr>
            <w:tcW w:w="993" w:type="dxa"/>
          </w:tcPr>
          <w:p w14:paraId="053F3BD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11</w:t>
            </w:r>
          </w:p>
        </w:tc>
        <w:tc>
          <w:tcPr>
            <w:tcW w:w="3118" w:type="dxa"/>
          </w:tcPr>
          <w:p w14:paraId="65E85A4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Stage of application of boron</w:t>
            </w:r>
          </w:p>
        </w:tc>
        <w:tc>
          <w:tcPr>
            <w:tcW w:w="2552" w:type="dxa"/>
          </w:tcPr>
          <w:p w14:paraId="1DDC0E7B"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17.40</w:t>
            </w:r>
          </w:p>
        </w:tc>
        <w:tc>
          <w:tcPr>
            <w:tcW w:w="2409" w:type="dxa"/>
          </w:tcPr>
          <w:p w14:paraId="1E2434C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82.60</w:t>
            </w:r>
          </w:p>
        </w:tc>
      </w:tr>
      <w:tr w:rsidR="00441994" w:rsidRPr="007F78C3" w14:paraId="41A50D4D" w14:textId="77777777" w:rsidTr="00807F6F">
        <w:tc>
          <w:tcPr>
            <w:tcW w:w="993" w:type="dxa"/>
          </w:tcPr>
          <w:p w14:paraId="0EF14CFD"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12</w:t>
            </w:r>
          </w:p>
        </w:tc>
        <w:tc>
          <w:tcPr>
            <w:tcW w:w="3118" w:type="dxa"/>
          </w:tcPr>
          <w:p w14:paraId="5A23434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Dosage of boron</w:t>
            </w:r>
          </w:p>
        </w:tc>
        <w:tc>
          <w:tcPr>
            <w:tcW w:w="2552" w:type="dxa"/>
          </w:tcPr>
          <w:p w14:paraId="15D8CB9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39064C2C"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337BB4C8" w14:textId="77777777" w:rsidTr="00807F6F">
        <w:tc>
          <w:tcPr>
            <w:tcW w:w="993" w:type="dxa"/>
          </w:tcPr>
          <w:p w14:paraId="73FC0A3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w:t>
            </w:r>
          </w:p>
        </w:tc>
        <w:tc>
          <w:tcPr>
            <w:tcW w:w="3118" w:type="dxa"/>
          </w:tcPr>
          <w:p w14:paraId="2721494F"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Recommended dose of fertilizer</w:t>
            </w:r>
          </w:p>
        </w:tc>
        <w:tc>
          <w:tcPr>
            <w:tcW w:w="2552" w:type="dxa"/>
          </w:tcPr>
          <w:p w14:paraId="4306277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c>
          <w:tcPr>
            <w:tcW w:w="2409" w:type="dxa"/>
          </w:tcPr>
          <w:p w14:paraId="5E24591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r>
      <w:tr w:rsidR="00441994" w:rsidRPr="007F78C3" w14:paraId="03752A30" w14:textId="77777777" w:rsidTr="00807F6F">
        <w:tc>
          <w:tcPr>
            <w:tcW w:w="993" w:type="dxa"/>
          </w:tcPr>
          <w:p w14:paraId="2BD3312D"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14</w:t>
            </w:r>
          </w:p>
        </w:tc>
        <w:tc>
          <w:tcPr>
            <w:tcW w:w="3118" w:type="dxa"/>
          </w:tcPr>
          <w:p w14:paraId="601260FD"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Interval of irrigation</w:t>
            </w:r>
          </w:p>
        </w:tc>
        <w:tc>
          <w:tcPr>
            <w:tcW w:w="2552" w:type="dxa"/>
          </w:tcPr>
          <w:p w14:paraId="3C1FBB5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Pr>
          <w:p w14:paraId="286345B0"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085D82CF" w14:textId="77777777" w:rsidTr="00807F6F">
        <w:tc>
          <w:tcPr>
            <w:tcW w:w="993" w:type="dxa"/>
          </w:tcPr>
          <w:p w14:paraId="40E01E3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15</w:t>
            </w:r>
          </w:p>
        </w:tc>
        <w:tc>
          <w:tcPr>
            <w:tcW w:w="3118" w:type="dxa"/>
          </w:tcPr>
          <w:p w14:paraId="70F43FA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Pre emergence weedicides</w:t>
            </w:r>
          </w:p>
        </w:tc>
        <w:tc>
          <w:tcPr>
            <w:tcW w:w="2552" w:type="dxa"/>
          </w:tcPr>
          <w:p w14:paraId="653BE148"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453E76B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r>
      <w:tr w:rsidR="00441994" w:rsidRPr="007F78C3" w14:paraId="23B65DF1" w14:textId="77777777" w:rsidTr="00807F6F">
        <w:tc>
          <w:tcPr>
            <w:tcW w:w="993" w:type="dxa"/>
          </w:tcPr>
          <w:p w14:paraId="066FEC63"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16</w:t>
            </w:r>
          </w:p>
        </w:tc>
        <w:tc>
          <w:tcPr>
            <w:tcW w:w="3118" w:type="dxa"/>
          </w:tcPr>
          <w:p w14:paraId="0ECC3363"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pest of ridge gourd</w:t>
            </w:r>
          </w:p>
        </w:tc>
        <w:tc>
          <w:tcPr>
            <w:tcW w:w="2552" w:type="dxa"/>
          </w:tcPr>
          <w:p w14:paraId="4ADC10E4"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34.78</w:t>
            </w:r>
          </w:p>
        </w:tc>
        <w:tc>
          <w:tcPr>
            <w:tcW w:w="2409" w:type="dxa"/>
          </w:tcPr>
          <w:p w14:paraId="7780CFF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65.22</w:t>
            </w:r>
          </w:p>
        </w:tc>
      </w:tr>
      <w:tr w:rsidR="00441994" w:rsidRPr="007F78C3" w14:paraId="018F4A96" w14:textId="77777777" w:rsidTr="00807F6F">
        <w:tc>
          <w:tcPr>
            <w:tcW w:w="993" w:type="dxa"/>
          </w:tcPr>
          <w:p w14:paraId="263EB71A"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w:t>
            </w:r>
          </w:p>
        </w:tc>
        <w:tc>
          <w:tcPr>
            <w:tcW w:w="3118" w:type="dxa"/>
          </w:tcPr>
          <w:p w14:paraId="4F031E0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Erection of fruit fly traps for fruit fly management</w:t>
            </w:r>
          </w:p>
        </w:tc>
        <w:tc>
          <w:tcPr>
            <w:tcW w:w="2552" w:type="dxa"/>
          </w:tcPr>
          <w:p w14:paraId="45A424F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452A446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5674B79B" w14:textId="77777777" w:rsidTr="00807F6F">
        <w:tc>
          <w:tcPr>
            <w:tcW w:w="993" w:type="dxa"/>
          </w:tcPr>
          <w:p w14:paraId="712D192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lastRenderedPageBreak/>
              <w:t>18</w:t>
            </w:r>
          </w:p>
        </w:tc>
        <w:tc>
          <w:tcPr>
            <w:tcW w:w="3118" w:type="dxa"/>
          </w:tcPr>
          <w:p w14:paraId="6A2BFEDC"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disease of ridge gourd</w:t>
            </w:r>
          </w:p>
        </w:tc>
        <w:tc>
          <w:tcPr>
            <w:tcW w:w="2552" w:type="dxa"/>
          </w:tcPr>
          <w:p w14:paraId="34DD1AC2"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21586057"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415B5254" w14:textId="77777777" w:rsidTr="00807F6F">
        <w:tc>
          <w:tcPr>
            <w:tcW w:w="993" w:type="dxa"/>
          </w:tcPr>
          <w:p w14:paraId="56B49285"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19</w:t>
            </w:r>
          </w:p>
        </w:tc>
        <w:tc>
          <w:tcPr>
            <w:tcW w:w="3118" w:type="dxa"/>
          </w:tcPr>
          <w:p w14:paraId="6865D0A8"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Days to first picking</w:t>
            </w:r>
          </w:p>
        </w:tc>
        <w:tc>
          <w:tcPr>
            <w:tcW w:w="2552" w:type="dxa"/>
          </w:tcPr>
          <w:p w14:paraId="25029CCB"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7045D077"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r w:rsidR="00441994" w:rsidRPr="007F78C3" w14:paraId="000BBBA1" w14:textId="77777777" w:rsidTr="00807F6F">
        <w:tc>
          <w:tcPr>
            <w:tcW w:w="993" w:type="dxa"/>
          </w:tcPr>
          <w:p w14:paraId="677225F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20</w:t>
            </w:r>
          </w:p>
        </w:tc>
        <w:tc>
          <w:tcPr>
            <w:tcW w:w="3118" w:type="dxa"/>
          </w:tcPr>
          <w:p w14:paraId="2127A9E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Picking intervals</w:t>
            </w:r>
          </w:p>
        </w:tc>
        <w:tc>
          <w:tcPr>
            <w:tcW w:w="2552" w:type="dxa"/>
          </w:tcPr>
          <w:p w14:paraId="09AE0B11"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74EB4039"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5FDAB944" w14:textId="77777777" w:rsidTr="00807F6F">
        <w:tc>
          <w:tcPr>
            <w:tcW w:w="993" w:type="dxa"/>
          </w:tcPr>
          <w:p w14:paraId="5D29B8C6"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21</w:t>
            </w:r>
          </w:p>
        </w:tc>
        <w:tc>
          <w:tcPr>
            <w:tcW w:w="3118" w:type="dxa"/>
          </w:tcPr>
          <w:p w14:paraId="24A260FE"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Average yield</w:t>
            </w:r>
          </w:p>
        </w:tc>
        <w:tc>
          <w:tcPr>
            <w:tcW w:w="2552" w:type="dxa"/>
          </w:tcPr>
          <w:p w14:paraId="046FC851"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4F648F4F" w14:textId="77777777" w:rsidR="00441994" w:rsidRPr="007F78C3" w:rsidRDefault="00441994" w:rsidP="007F78C3">
            <w:pPr>
              <w:pStyle w:val="Paragraphedeliste"/>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bl>
    <w:p w14:paraId="6502514C" w14:textId="77777777" w:rsidR="00A54E95" w:rsidRDefault="00A54E95" w:rsidP="007F78C3">
      <w:pPr>
        <w:jc w:val="both"/>
        <w:rPr>
          <w:rFonts w:ascii="Times New Roman" w:hAnsi="Times New Roman" w:cs="Times New Roman"/>
          <w:b/>
          <w:bCs/>
          <w:sz w:val="24"/>
          <w:szCs w:val="24"/>
        </w:rPr>
      </w:pPr>
    </w:p>
    <w:p w14:paraId="24F5CA85"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Effect of ICM demonstration on yield and cost economics of ridge gourd</w:t>
      </w:r>
    </w:p>
    <w:p w14:paraId="0467181A" w14:textId="77777777" w:rsidR="00A748F1"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The impact of ecologically safe ICM practices was evaluated through on-farm demonstrations and compared with farmers’ existing practices (Table 2). The duration of the crop was extended to four months in the demonstration plots, compared to three months under farmers’ practice, indicating improved crop </w:t>
      </w:r>
      <w:proofErr w:type="spellStart"/>
      <w:r w:rsidRPr="007F78C3">
        <w:rPr>
          <w:rFonts w:ascii="Times New Roman" w:hAnsi="Times New Roman" w:cs="Times New Roman"/>
          <w:sz w:val="24"/>
          <w:szCs w:val="24"/>
        </w:rPr>
        <w:t>vigor</w:t>
      </w:r>
      <w:proofErr w:type="spellEnd"/>
      <w:r w:rsidRPr="007F78C3">
        <w:rPr>
          <w:rFonts w:ascii="Times New Roman" w:hAnsi="Times New Roman" w:cs="Times New Roman"/>
          <w:sz w:val="24"/>
          <w:szCs w:val="24"/>
        </w:rPr>
        <w:t xml:space="preserve"> and productivity under ICM.</w:t>
      </w:r>
    </w:p>
    <w:p w14:paraId="7E87D903" w14:textId="6E814F0D" w:rsidR="005F1E8F" w:rsidRPr="007F78C3" w:rsidRDefault="005F1E8F" w:rsidP="007F78C3">
      <w:pPr>
        <w:jc w:val="both"/>
        <w:rPr>
          <w:rFonts w:ascii="Times New Roman" w:hAnsi="Times New Roman" w:cs="Times New Roman"/>
          <w:sz w:val="24"/>
          <w:szCs w:val="24"/>
        </w:rPr>
      </w:pPr>
      <w:commentRangeStart w:id="3"/>
      <w:r>
        <w:rPr>
          <w:rFonts w:ascii="Times New Roman" w:hAnsi="Times New Roman" w:cs="Times New Roman"/>
          <w:sz w:val="24"/>
          <w:szCs w:val="24"/>
        </w:rPr>
        <w:t>T</w:t>
      </w:r>
      <w:commentRangeEnd w:id="3"/>
      <w:r>
        <w:rPr>
          <w:rStyle w:val="Marquedecommentaire"/>
        </w:rPr>
        <w:commentReference w:id="3"/>
      </w:r>
      <w:r>
        <w:rPr>
          <w:rFonts w:ascii="Times New Roman" w:hAnsi="Times New Roman" w:cs="Times New Roman"/>
          <w:sz w:val="24"/>
          <w:szCs w:val="24"/>
        </w:rPr>
        <w:t xml:space="preserve"> </w:t>
      </w:r>
    </w:p>
    <w:p w14:paraId="02145160" w14:textId="77777777" w:rsidR="00A07397"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The fruit yield per vine was significantly higher in the demonstration unit (4.8 kg) compared to farmers’ practice (1.8 kg). Consequently, the yield per acre increased to 13.5 t under ICM, nearly double that of farmers’ practice (7.2 t). </w:t>
      </w:r>
      <w:r w:rsidR="00A07397" w:rsidRPr="00807F6F">
        <w:rPr>
          <w:rFonts w:ascii="Times New Roman" w:hAnsi="Times New Roman" w:cs="Times New Roman"/>
          <w:sz w:val="24"/>
          <w:szCs w:val="24"/>
        </w:rPr>
        <w:t xml:space="preserve">It may be due to Improved crop duration, better vine growth under pandal system, balanced nutrient management, and effective pest control collectively contributed to enhanced productivity. Similar yield improvements under ICM or IPM-based interventions have been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where integration of recommended agronomic and pest management practices significantly improved cucurbit crop performance. </w:t>
      </w:r>
    </w:p>
    <w:p w14:paraId="60827EA1"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Adoption of eco-friendly pest management practices resulted in a substantial reduction in fruit fly damage, which was recorded as 11.6 per cent in the demonstration unit, compared to 28.0 per cent in farmers’ practice</w:t>
      </w:r>
      <w:r w:rsidR="007E20F6" w:rsidRPr="00807F6F">
        <w:rPr>
          <w:rFonts w:ascii="Times New Roman" w:hAnsi="Times New Roman" w:cs="Times New Roman"/>
          <w:sz w:val="24"/>
          <w:szCs w:val="24"/>
        </w:rPr>
        <w:t>, primarily due to the adoption of eco-friendly management practices such as erection of fruit fly traps. These results are consistent with Nayak and Mahapatra (2020)</w:t>
      </w:r>
      <w:r w:rsidR="00AB46F6" w:rsidRPr="00807F6F">
        <w:rPr>
          <w:rFonts w:ascii="Times New Roman" w:hAnsi="Times New Roman" w:cs="Times New Roman"/>
          <w:sz w:val="24"/>
          <w:szCs w:val="24"/>
        </w:rPr>
        <w:t>, Vijayashanthi et al. (2023)</w:t>
      </w:r>
      <w:r w:rsidR="007E20F6" w:rsidRPr="00807F6F">
        <w:rPr>
          <w:rFonts w:ascii="Times New Roman" w:hAnsi="Times New Roman" w:cs="Times New Roman"/>
          <w:sz w:val="24"/>
          <w:szCs w:val="24"/>
        </w:rPr>
        <w:t xml:space="preserve"> Tamilselvi et al. (2024), who reported significant reduction in fruit fly incidence through mechanical and </w:t>
      </w:r>
      <w:proofErr w:type="spellStart"/>
      <w:r w:rsidR="007E20F6" w:rsidRPr="00807F6F">
        <w:rPr>
          <w:rFonts w:ascii="Times New Roman" w:hAnsi="Times New Roman" w:cs="Times New Roman"/>
          <w:sz w:val="24"/>
          <w:szCs w:val="24"/>
        </w:rPr>
        <w:t>behavioral</w:t>
      </w:r>
      <w:proofErr w:type="spellEnd"/>
      <w:r w:rsidR="007E20F6" w:rsidRPr="00807F6F">
        <w:rPr>
          <w:rFonts w:ascii="Times New Roman" w:hAnsi="Times New Roman" w:cs="Times New Roman"/>
          <w:sz w:val="24"/>
          <w:szCs w:val="24"/>
        </w:rPr>
        <w:t xml:space="preserve"> control methods, thereby reducing reliance on chemical </w:t>
      </w:r>
      <w:proofErr w:type="spellStart"/>
      <w:r w:rsidR="007E20F6" w:rsidRPr="00807F6F">
        <w:rPr>
          <w:rFonts w:ascii="Times New Roman" w:hAnsi="Times New Roman" w:cs="Times New Roman"/>
          <w:sz w:val="24"/>
          <w:szCs w:val="24"/>
        </w:rPr>
        <w:t>pesticides.</w:t>
      </w:r>
      <w:r w:rsidR="00741BE5" w:rsidRPr="00807F6F">
        <w:rPr>
          <w:rFonts w:ascii="Times New Roman" w:hAnsi="Times New Roman" w:cs="Times New Roman"/>
          <w:sz w:val="24"/>
          <w:szCs w:val="24"/>
        </w:rPr>
        <w:t>Birah</w:t>
      </w:r>
      <w:proofErr w:type="spellEnd"/>
      <w:r w:rsidR="00741BE5" w:rsidRPr="00807F6F">
        <w:rPr>
          <w:rFonts w:ascii="Times New Roman" w:hAnsi="Times New Roman" w:cs="Times New Roman"/>
          <w:sz w:val="24"/>
          <w:szCs w:val="24"/>
        </w:rPr>
        <w:t xml:space="preserve"> et al. (2015) also observed that installation of cue-lure  </w:t>
      </w:r>
      <w:proofErr w:type="spellStart"/>
      <w:r w:rsidR="00741BE5" w:rsidRPr="00807F6F">
        <w:rPr>
          <w:rFonts w:ascii="Times New Roman" w:hAnsi="Times New Roman" w:cs="Times New Roman"/>
          <w:sz w:val="24"/>
          <w:szCs w:val="24"/>
        </w:rPr>
        <w:t>baitedtraps</w:t>
      </w:r>
      <w:proofErr w:type="spellEnd"/>
      <w:r w:rsidR="00741BE5" w:rsidRPr="00807F6F">
        <w:rPr>
          <w:rFonts w:ascii="Times New Roman" w:hAnsi="Times New Roman" w:cs="Times New Roman"/>
          <w:sz w:val="24"/>
          <w:szCs w:val="24"/>
        </w:rPr>
        <w:t xml:space="preserve">  @50  traps/ha  </w:t>
      </w:r>
      <w:proofErr w:type="spellStart"/>
      <w:r w:rsidR="00741BE5" w:rsidRPr="00807F6F">
        <w:rPr>
          <w:rFonts w:ascii="Times New Roman" w:hAnsi="Times New Roman" w:cs="Times New Roman"/>
          <w:sz w:val="24"/>
          <w:szCs w:val="24"/>
        </w:rPr>
        <w:t>formass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trappingandweekly</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clippingof</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infestedfruits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resultedin</w:t>
      </w:r>
      <w:proofErr w:type="spellEnd"/>
      <w:r w:rsidR="00741BE5" w:rsidRPr="00807F6F">
        <w:rPr>
          <w:rFonts w:ascii="Times New Roman" w:hAnsi="Times New Roman" w:cs="Times New Roman"/>
          <w:sz w:val="24"/>
          <w:szCs w:val="24"/>
        </w:rPr>
        <w:t xml:space="preserve">  56.5  %less  </w:t>
      </w:r>
      <w:proofErr w:type="spellStart"/>
      <w:r w:rsidR="00741BE5" w:rsidRPr="00807F6F">
        <w:rPr>
          <w:rFonts w:ascii="Times New Roman" w:hAnsi="Times New Roman" w:cs="Times New Roman"/>
          <w:sz w:val="24"/>
          <w:szCs w:val="24"/>
        </w:rPr>
        <w:t>fruitdamage</w:t>
      </w:r>
      <w:proofErr w:type="spellEnd"/>
      <w:r w:rsidR="00741BE5" w:rsidRPr="00807F6F">
        <w:rPr>
          <w:rFonts w:ascii="Times New Roman" w:hAnsi="Times New Roman" w:cs="Times New Roman"/>
          <w:sz w:val="24"/>
          <w:szCs w:val="24"/>
        </w:rPr>
        <w:t xml:space="preserve">  and36.0  %higher  </w:t>
      </w:r>
      <w:proofErr w:type="spellStart"/>
      <w:r w:rsidR="00741BE5" w:rsidRPr="00807F6F">
        <w:rPr>
          <w:rFonts w:ascii="Times New Roman" w:hAnsi="Times New Roman" w:cs="Times New Roman"/>
          <w:sz w:val="24"/>
          <w:szCs w:val="24"/>
        </w:rPr>
        <w:t>fruityield</w:t>
      </w:r>
      <w:proofErr w:type="spellEnd"/>
      <w:r w:rsidR="00741BE5" w:rsidRPr="00807F6F">
        <w:rPr>
          <w:rFonts w:ascii="Times New Roman" w:hAnsi="Times New Roman" w:cs="Times New Roman"/>
          <w:sz w:val="24"/>
          <w:szCs w:val="24"/>
        </w:rPr>
        <w:t xml:space="preserve">  </w:t>
      </w:r>
      <w:r w:rsidR="007E20F6" w:rsidRPr="00807F6F">
        <w:rPr>
          <w:rFonts w:ascii="Times New Roman" w:hAnsi="Times New Roman" w:cs="Times New Roman"/>
          <w:sz w:val="24"/>
          <w:szCs w:val="24"/>
        </w:rPr>
        <w:t>incomparison</w:t>
      </w:r>
      <w:r w:rsidR="00741BE5" w:rsidRPr="00807F6F">
        <w:rPr>
          <w:rFonts w:ascii="Times New Roman" w:hAnsi="Times New Roman" w:cs="Times New Roman"/>
          <w:sz w:val="24"/>
          <w:szCs w:val="24"/>
        </w:rPr>
        <w:t xml:space="preserve">  tothe  untreated  control.</w:t>
      </w:r>
    </w:p>
    <w:p w14:paraId="0940CD85"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economic analysis revealed that although the cost of cultivation was marginally higher under ICM practices (Rs. 77,200/acre) than farmers’ practice (Rs. 64,500/acre), the higher productivity and better market price (Rs. 20/kg) resulted in substantially increased returns. The gross returns under ICM were Rs. 2,70,000 per acre, compared to Rs. 1,29,600 per acre in farmers’ practice. Accordingly, net returns were Rs. 1,92,800 per acre under ICM, nearly three times higher than farmers’ practice (Rs. 65,100 per acre).</w:t>
      </w:r>
    </w:p>
    <w:p w14:paraId="1619286F"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benefit–cost ratio (BCR) further confirmed the economic superiority of ICM practices, registering 3.5:1 as against 2.0:1 under farmers’ practice. These results clearly demonstrate the economic viability and sustainability of ecologically safe ICM practices in ridge gourd cultivation.</w:t>
      </w:r>
    </w:p>
    <w:p w14:paraId="5E30D7E1" w14:textId="77777777" w:rsidR="007E20F6" w:rsidRPr="00807F6F" w:rsidRDefault="007E20F6" w:rsidP="007F78C3">
      <w:pPr>
        <w:jc w:val="both"/>
        <w:rPr>
          <w:rFonts w:ascii="Times New Roman" w:hAnsi="Times New Roman" w:cs="Times New Roman"/>
          <w:sz w:val="24"/>
          <w:szCs w:val="24"/>
        </w:rPr>
      </w:pPr>
      <w:r w:rsidRPr="00807F6F">
        <w:rPr>
          <w:rFonts w:ascii="Times New Roman" w:hAnsi="Times New Roman" w:cs="Times New Roman"/>
          <w:sz w:val="24"/>
          <w:szCs w:val="24"/>
        </w:rPr>
        <w:lastRenderedPageBreak/>
        <w:t xml:space="preserve">Although the cost of cultivation under ICM practices was marginally higher due to the use of improved inputs and eco-friendly technologies, the higher yield and better market price resulted in substantially increased gross and net returns. The higher benefit–cost ratio under ICM clearly demonstrates its economic superiority and feasibility. Comparable findings have been reported by Siva et al. (2024) and </w:t>
      </w:r>
      <w:proofErr w:type="spellStart"/>
      <w:r w:rsidRPr="00807F6F">
        <w:rPr>
          <w:rFonts w:ascii="Times New Roman" w:hAnsi="Times New Roman" w:cs="Times New Roman"/>
          <w:sz w:val="24"/>
          <w:szCs w:val="24"/>
        </w:rPr>
        <w:t>Sundharaiya</w:t>
      </w:r>
      <w:proofErr w:type="spellEnd"/>
      <w:r w:rsidRPr="00807F6F">
        <w:rPr>
          <w:rFonts w:ascii="Times New Roman" w:hAnsi="Times New Roman" w:cs="Times New Roman"/>
          <w:sz w:val="24"/>
          <w:szCs w:val="24"/>
        </w:rPr>
        <w:t xml:space="preserve"> et al. (2022), where ICM adoption led to higher profitability despite increased initial investment. These results reinforce the view that investment in sustainable crop management practices yields long-term economic benefits, particularly for small and marginal farm households.</w:t>
      </w:r>
    </w:p>
    <w:p w14:paraId="12D6BD5D" w14:textId="77777777" w:rsidR="00A748F1" w:rsidRPr="007F78C3" w:rsidRDefault="00441994" w:rsidP="00807F6F">
      <w:pPr>
        <w:spacing w:after="200" w:line="360" w:lineRule="auto"/>
        <w:jc w:val="both"/>
        <w:rPr>
          <w:rFonts w:ascii="Times New Roman" w:hAnsi="Times New Roman" w:cs="Times New Roman"/>
          <w:b/>
          <w:sz w:val="24"/>
          <w:szCs w:val="24"/>
        </w:rPr>
      </w:pPr>
      <w:r w:rsidRPr="007F78C3">
        <w:rPr>
          <w:rFonts w:ascii="Times New Roman" w:hAnsi="Times New Roman" w:cs="Times New Roman"/>
          <w:b/>
          <w:sz w:val="24"/>
          <w:szCs w:val="24"/>
        </w:rPr>
        <w:t>Table 2. Effect of ecologically safe ICM practices on yield and economics of ridge gourd cultivation</w:t>
      </w:r>
    </w:p>
    <w:tbl>
      <w:tblPr>
        <w:tblStyle w:val="Grilledutableau"/>
        <w:tblW w:w="9561" w:type="dxa"/>
        <w:tblLook w:val="0420" w:firstRow="1" w:lastRow="0" w:firstColumn="0" w:lastColumn="0" w:noHBand="0" w:noVBand="1"/>
      </w:tblPr>
      <w:tblGrid>
        <w:gridCol w:w="1195"/>
        <w:gridCol w:w="3031"/>
        <w:gridCol w:w="3140"/>
        <w:gridCol w:w="2195"/>
      </w:tblGrid>
      <w:tr w:rsidR="00A748F1" w:rsidRPr="007F78C3" w14:paraId="2EE8F524" w14:textId="77777777" w:rsidTr="00807F6F">
        <w:trPr>
          <w:trHeight w:val="374"/>
        </w:trPr>
        <w:tc>
          <w:tcPr>
            <w:tcW w:w="1195" w:type="dxa"/>
            <w:hideMark/>
          </w:tcPr>
          <w:p w14:paraId="532B5E78"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w:t>
            </w:r>
            <w:r w:rsidR="00441994" w:rsidRPr="007F78C3">
              <w:rPr>
                <w:rFonts w:ascii="Times New Roman" w:hAnsi="Times New Roman" w:cs="Times New Roman"/>
                <w:b/>
                <w:bCs/>
                <w:sz w:val="24"/>
                <w:szCs w:val="24"/>
              </w:rPr>
              <w:t>l</w:t>
            </w:r>
            <w:r w:rsidRPr="007F78C3">
              <w:rPr>
                <w:rFonts w:ascii="Times New Roman" w:hAnsi="Times New Roman" w:cs="Times New Roman"/>
                <w:b/>
                <w:bCs/>
                <w:sz w:val="24"/>
                <w:szCs w:val="24"/>
              </w:rPr>
              <w:t>.No</w:t>
            </w:r>
          </w:p>
        </w:tc>
        <w:tc>
          <w:tcPr>
            <w:tcW w:w="3031" w:type="dxa"/>
            <w:hideMark/>
          </w:tcPr>
          <w:p w14:paraId="41D3F896"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Parameter</w:t>
            </w:r>
          </w:p>
        </w:tc>
        <w:tc>
          <w:tcPr>
            <w:tcW w:w="3140" w:type="dxa"/>
            <w:hideMark/>
          </w:tcPr>
          <w:p w14:paraId="7BF467E8" w14:textId="77777777" w:rsidR="00A748F1" w:rsidRPr="007F78C3" w:rsidRDefault="0044199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ICM demonstration</w:t>
            </w:r>
          </w:p>
        </w:tc>
        <w:tc>
          <w:tcPr>
            <w:tcW w:w="2195" w:type="dxa"/>
            <w:hideMark/>
          </w:tcPr>
          <w:p w14:paraId="6A43322E"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Farmer’s practice</w:t>
            </w:r>
          </w:p>
        </w:tc>
      </w:tr>
      <w:tr w:rsidR="00A748F1" w:rsidRPr="007F78C3" w14:paraId="35B4B3D3" w14:textId="77777777" w:rsidTr="00807F6F">
        <w:trPr>
          <w:trHeight w:val="367"/>
        </w:trPr>
        <w:tc>
          <w:tcPr>
            <w:tcW w:w="1195" w:type="dxa"/>
            <w:hideMark/>
          </w:tcPr>
          <w:p w14:paraId="3A11252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01</w:t>
            </w:r>
          </w:p>
        </w:tc>
        <w:tc>
          <w:tcPr>
            <w:tcW w:w="3031" w:type="dxa"/>
            <w:hideMark/>
          </w:tcPr>
          <w:p w14:paraId="3ECBBA3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Duration of crop</w:t>
            </w:r>
            <w:r w:rsidR="00441994" w:rsidRPr="007F78C3">
              <w:rPr>
                <w:rFonts w:ascii="Times New Roman" w:hAnsi="Times New Roman" w:cs="Times New Roman"/>
                <w:sz w:val="24"/>
                <w:szCs w:val="24"/>
                <w:lang w:val="en-US"/>
              </w:rPr>
              <w:t xml:space="preserve"> (months)</w:t>
            </w:r>
          </w:p>
        </w:tc>
        <w:tc>
          <w:tcPr>
            <w:tcW w:w="3140" w:type="dxa"/>
            <w:hideMark/>
          </w:tcPr>
          <w:p w14:paraId="28B3906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4 </w:t>
            </w:r>
          </w:p>
        </w:tc>
        <w:tc>
          <w:tcPr>
            <w:tcW w:w="2195" w:type="dxa"/>
            <w:hideMark/>
          </w:tcPr>
          <w:p w14:paraId="0BB83AC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3 </w:t>
            </w:r>
          </w:p>
        </w:tc>
      </w:tr>
      <w:tr w:rsidR="00A748F1" w:rsidRPr="007F78C3" w14:paraId="4752ECB3" w14:textId="77777777" w:rsidTr="00807F6F">
        <w:trPr>
          <w:trHeight w:val="347"/>
        </w:trPr>
        <w:tc>
          <w:tcPr>
            <w:tcW w:w="1195" w:type="dxa"/>
            <w:hideMark/>
          </w:tcPr>
          <w:p w14:paraId="706367F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02</w:t>
            </w:r>
          </w:p>
        </w:tc>
        <w:tc>
          <w:tcPr>
            <w:tcW w:w="3031" w:type="dxa"/>
            <w:hideMark/>
          </w:tcPr>
          <w:p w14:paraId="30983F0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vine (kg)</w:t>
            </w:r>
          </w:p>
        </w:tc>
        <w:tc>
          <w:tcPr>
            <w:tcW w:w="3140" w:type="dxa"/>
            <w:hideMark/>
          </w:tcPr>
          <w:p w14:paraId="5BB7CB2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4.8</w:t>
            </w:r>
          </w:p>
        </w:tc>
        <w:tc>
          <w:tcPr>
            <w:tcW w:w="2195" w:type="dxa"/>
            <w:hideMark/>
          </w:tcPr>
          <w:p w14:paraId="34F8C96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1.8</w:t>
            </w:r>
          </w:p>
        </w:tc>
      </w:tr>
      <w:tr w:rsidR="00A748F1" w:rsidRPr="007F78C3" w14:paraId="4DB797EB" w14:textId="77777777" w:rsidTr="00807F6F">
        <w:trPr>
          <w:trHeight w:val="341"/>
        </w:trPr>
        <w:tc>
          <w:tcPr>
            <w:tcW w:w="1195" w:type="dxa"/>
            <w:hideMark/>
          </w:tcPr>
          <w:p w14:paraId="534F740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03</w:t>
            </w:r>
          </w:p>
        </w:tc>
        <w:tc>
          <w:tcPr>
            <w:tcW w:w="3031" w:type="dxa"/>
            <w:hideMark/>
          </w:tcPr>
          <w:p w14:paraId="2A232B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acre (t)</w:t>
            </w:r>
          </w:p>
        </w:tc>
        <w:tc>
          <w:tcPr>
            <w:tcW w:w="3140" w:type="dxa"/>
            <w:hideMark/>
          </w:tcPr>
          <w:p w14:paraId="22376AE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13.5</w:t>
            </w:r>
          </w:p>
        </w:tc>
        <w:tc>
          <w:tcPr>
            <w:tcW w:w="2195" w:type="dxa"/>
            <w:hideMark/>
          </w:tcPr>
          <w:p w14:paraId="430C662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7.2</w:t>
            </w:r>
          </w:p>
        </w:tc>
      </w:tr>
      <w:tr w:rsidR="00A748F1" w:rsidRPr="007F78C3" w14:paraId="77205BE8" w14:textId="77777777" w:rsidTr="00807F6F">
        <w:trPr>
          <w:trHeight w:val="411"/>
        </w:trPr>
        <w:tc>
          <w:tcPr>
            <w:tcW w:w="1195" w:type="dxa"/>
            <w:hideMark/>
          </w:tcPr>
          <w:p w14:paraId="174C039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04</w:t>
            </w:r>
          </w:p>
        </w:tc>
        <w:tc>
          <w:tcPr>
            <w:tcW w:w="3031" w:type="dxa"/>
            <w:hideMark/>
          </w:tcPr>
          <w:p w14:paraId="5A327CF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Average sale </w:t>
            </w:r>
            <w:r w:rsidR="00441994" w:rsidRPr="007F78C3">
              <w:rPr>
                <w:rFonts w:ascii="Times New Roman" w:hAnsi="Times New Roman" w:cs="Times New Roman"/>
                <w:sz w:val="24"/>
                <w:szCs w:val="24"/>
                <w:lang w:val="en-US"/>
              </w:rPr>
              <w:t>price</w:t>
            </w:r>
            <w:r w:rsidRPr="007F78C3">
              <w:rPr>
                <w:rFonts w:ascii="Times New Roman" w:hAnsi="Times New Roman" w:cs="Times New Roman"/>
                <w:sz w:val="24"/>
                <w:szCs w:val="24"/>
                <w:lang w:val="en-US"/>
              </w:rPr>
              <w:t xml:space="preserve"> (</w:t>
            </w:r>
            <w:r w:rsidR="00441994" w:rsidRPr="007F78C3">
              <w:rPr>
                <w:rFonts w:ascii="Times New Roman" w:hAnsi="Times New Roman" w:cs="Times New Roman"/>
                <w:sz w:val="24"/>
                <w:szCs w:val="24"/>
              </w:rPr>
              <w:t>Rs kg⁻¹</w:t>
            </w:r>
            <w:r w:rsidRPr="007F78C3">
              <w:rPr>
                <w:rFonts w:ascii="Times New Roman" w:hAnsi="Times New Roman" w:cs="Times New Roman"/>
                <w:sz w:val="24"/>
                <w:szCs w:val="24"/>
                <w:lang w:val="en-US"/>
              </w:rPr>
              <w:t>)</w:t>
            </w:r>
          </w:p>
        </w:tc>
        <w:tc>
          <w:tcPr>
            <w:tcW w:w="3140" w:type="dxa"/>
            <w:hideMark/>
          </w:tcPr>
          <w:p w14:paraId="5DEFEF2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20</w:t>
            </w:r>
          </w:p>
        </w:tc>
        <w:tc>
          <w:tcPr>
            <w:tcW w:w="2195" w:type="dxa"/>
            <w:hideMark/>
          </w:tcPr>
          <w:p w14:paraId="58B6C7E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18</w:t>
            </w:r>
          </w:p>
        </w:tc>
      </w:tr>
      <w:tr w:rsidR="00A748F1" w:rsidRPr="007F78C3" w14:paraId="31BC8FDA" w14:textId="77777777" w:rsidTr="00807F6F">
        <w:trPr>
          <w:trHeight w:val="416"/>
        </w:trPr>
        <w:tc>
          <w:tcPr>
            <w:tcW w:w="1195" w:type="dxa"/>
            <w:hideMark/>
          </w:tcPr>
          <w:p w14:paraId="2F72D5C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05</w:t>
            </w:r>
          </w:p>
        </w:tc>
        <w:tc>
          <w:tcPr>
            <w:tcW w:w="3031" w:type="dxa"/>
            <w:hideMark/>
          </w:tcPr>
          <w:p w14:paraId="638129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fly damage (%)</w:t>
            </w:r>
          </w:p>
        </w:tc>
        <w:tc>
          <w:tcPr>
            <w:tcW w:w="3140" w:type="dxa"/>
            <w:hideMark/>
          </w:tcPr>
          <w:p w14:paraId="6D2FB79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11.6</w:t>
            </w:r>
          </w:p>
        </w:tc>
        <w:tc>
          <w:tcPr>
            <w:tcW w:w="2195" w:type="dxa"/>
            <w:hideMark/>
          </w:tcPr>
          <w:p w14:paraId="5AA2C71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28</w:t>
            </w:r>
          </w:p>
        </w:tc>
      </w:tr>
      <w:tr w:rsidR="00A748F1" w:rsidRPr="007F78C3" w14:paraId="26D30977" w14:textId="77777777" w:rsidTr="00807F6F">
        <w:trPr>
          <w:trHeight w:val="408"/>
        </w:trPr>
        <w:tc>
          <w:tcPr>
            <w:tcW w:w="1195" w:type="dxa"/>
            <w:hideMark/>
          </w:tcPr>
          <w:p w14:paraId="29E77783"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06</w:t>
            </w:r>
          </w:p>
        </w:tc>
        <w:tc>
          <w:tcPr>
            <w:tcW w:w="3031" w:type="dxa"/>
            <w:hideMark/>
          </w:tcPr>
          <w:p w14:paraId="2FE0A3D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Cost of cultivation </w:t>
            </w:r>
            <w:r w:rsidR="00441994" w:rsidRPr="007F78C3">
              <w:rPr>
                <w:rFonts w:ascii="Times New Roman" w:hAnsi="Times New Roman" w:cs="Times New Roman"/>
                <w:sz w:val="24"/>
                <w:szCs w:val="24"/>
              </w:rPr>
              <w:t>(Rs acre⁻¹)</w:t>
            </w:r>
          </w:p>
        </w:tc>
        <w:tc>
          <w:tcPr>
            <w:tcW w:w="3140" w:type="dxa"/>
            <w:hideMark/>
          </w:tcPr>
          <w:p w14:paraId="57FA8BB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77,200</w:t>
            </w:r>
          </w:p>
        </w:tc>
        <w:tc>
          <w:tcPr>
            <w:tcW w:w="2195" w:type="dxa"/>
            <w:hideMark/>
          </w:tcPr>
          <w:p w14:paraId="41CE6A5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64,500</w:t>
            </w:r>
          </w:p>
        </w:tc>
      </w:tr>
      <w:tr w:rsidR="00A748F1" w:rsidRPr="007F78C3" w14:paraId="4889BF61" w14:textId="77777777" w:rsidTr="00807F6F">
        <w:trPr>
          <w:trHeight w:val="415"/>
        </w:trPr>
        <w:tc>
          <w:tcPr>
            <w:tcW w:w="1195" w:type="dxa"/>
            <w:hideMark/>
          </w:tcPr>
          <w:p w14:paraId="091EDCF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07</w:t>
            </w:r>
          </w:p>
        </w:tc>
        <w:tc>
          <w:tcPr>
            <w:tcW w:w="3031" w:type="dxa"/>
            <w:hideMark/>
          </w:tcPr>
          <w:p w14:paraId="0010D00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Gross returns </w:t>
            </w:r>
            <w:r w:rsidR="00441994" w:rsidRPr="007F78C3">
              <w:rPr>
                <w:rFonts w:ascii="Times New Roman" w:hAnsi="Times New Roman" w:cs="Times New Roman"/>
                <w:sz w:val="24"/>
                <w:szCs w:val="24"/>
              </w:rPr>
              <w:t>(Rs acre⁻¹)</w:t>
            </w:r>
          </w:p>
        </w:tc>
        <w:tc>
          <w:tcPr>
            <w:tcW w:w="3140" w:type="dxa"/>
            <w:hideMark/>
          </w:tcPr>
          <w:p w14:paraId="200A12A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2,70,000</w:t>
            </w:r>
          </w:p>
        </w:tc>
        <w:tc>
          <w:tcPr>
            <w:tcW w:w="2195" w:type="dxa"/>
            <w:hideMark/>
          </w:tcPr>
          <w:p w14:paraId="3D7B918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1,29,600</w:t>
            </w:r>
          </w:p>
        </w:tc>
      </w:tr>
      <w:tr w:rsidR="00A748F1" w:rsidRPr="007F78C3" w14:paraId="63ADC002" w14:textId="77777777" w:rsidTr="00807F6F">
        <w:trPr>
          <w:trHeight w:val="421"/>
        </w:trPr>
        <w:tc>
          <w:tcPr>
            <w:tcW w:w="1195" w:type="dxa"/>
            <w:hideMark/>
          </w:tcPr>
          <w:p w14:paraId="677FCAF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08</w:t>
            </w:r>
          </w:p>
        </w:tc>
        <w:tc>
          <w:tcPr>
            <w:tcW w:w="3031" w:type="dxa"/>
            <w:hideMark/>
          </w:tcPr>
          <w:p w14:paraId="2C99968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Net returns </w:t>
            </w:r>
            <w:r w:rsidR="00441994" w:rsidRPr="007F78C3">
              <w:rPr>
                <w:rFonts w:ascii="Times New Roman" w:hAnsi="Times New Roman" w:cs="Times New Roman"/>
                <w:sz w:val="24"/>
                <w:szCs w:val="24"/>
              </w:rPr>
              <w:t>(Rs acre⁻¹)</w:t>
            </w:r>
          </w:p>
        </w:tc>
        <w:tc>
          <w:tcPr>
            <w:tcW w:w="3140" w:type="dxa"/>
            <w:hideMark/>
          </w:tcPr>
          <w:p w14:paraId="1B30B97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1,92,800</w:t>
            </w:r>
          </w:p>
        </w:tc>
        <w:tc>
          <w:tcPr>
            <w:tcW w:w="2195" w:type="dxa"/>
            <w:hideMark/>
          </w:tcPr>
          <w:p w14:paraId="3748172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65,100</w:t>
            </w:r>
          </w:p>
        </w:tc>
      </w:tr>
      <w:tr w:rsidR="00A748F1" w:rsidRPr="007F78C3" w14:paraId="35C8D758" w14:textId="77777777" w:rsidTr="00807F6F">
        <w:trPr>
          <w:trHeight w:val="426"/>
        </w:trPr>
        <w:tc>
          <w:tcPr>
            <w:tcW w:w="1195" w:type="dxa"/>
            <w:hideMark/>
          </w:tcPr>
          <w:p w14:paraId="1BAC0271"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09</w:t>
            </w:r>
          </w:p>
        </w:tc>
        <w:tc>
          <w:tcPr>
            <w:tcW w:w="3031" w:type="dxa"/>
            <w:hideMark/>
          </w:tcPr>
          <w:p w14:paraId="30E66A3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B</w:t>
            </w:r>
            <w:r w:rsidR="00441994" w:rsidRPr="007F78C3">
              <w:rPr>
                <w:rFonts w:ascii="Times New Roman" w:hAnsi="Times New Roman" w:cs="Times New Roman"/>
                <w:sz w:val="24"/>
                <w:szCs w:val="24"/>
              </w:rPr>
              <w:t>enefit – cost ratio</w:t>
            </w:r>
          </w:p>
        </w:tc>
        <w:tc>
          <w:tcPr>
            <w:tcW w:w="3140" w:type="dxa"/>
            <w:hideMark/>
          </w:tcPr>
          <w:p w14:paraId="128681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3.5:1</w:t>
            </w:r>
          </w:p>
        </w:tc>
        <w:tc>
          <w:tcPr>
            <w:tcW w:w="2195" w:type="dxa"/>
            <w:hideMark/>
          </w:tcPr>
          <w:p w14:paraId="4D118F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w:t>
            </w:r>
            <w:r w:rsidR="00441994" w:rsidRPr="007F78C3">
              <w:rPr>
                <w:rFonts w:ascii="Times New Roman" w:hAnsi="Times New Roman" w:cs="Times New Roman"/>
                <w:sz w:val="24"/>
                <w:szCs w:val="24"/>
              </w:rPr>
              <w:t>.0</w:t>
            </w:r>
            <w:r w:rsidRPr="007F78C3">
              <w:rPr>
                <w:rFonts w:ascii="Times New Roman" w:hAnsi="Times New Roman" w:cs="Times New Roman"/>
                <w:sz w:val="24"/>
                <w:szCs w:val="24"/>
              </w:rPr>
              <w:t>:1</w:t>
            </w:r>
          </w:p>
        </w:tc>
      </w:tr>
    </w:tbl>
    <w:p w14:paraId="74FA1E70" w14:textId="77777777" w:rsidR="00A748F1" w:rsidRPr="007F78C3" w:rsidRDefault="00A748F1" w:rsidP="007F78C3">
      <w:pPr>
        <w:jc w:val="both"/>
        <w:rPr>
          <w:rFonts w:ascii="Times New Roman" w:hAnsi="Times New Roman" w:cs="Times New Roman"/>
          <w:sz w:val="24"/>
          <w:szCs w:val="24"/>
          <w:lang w:val="en-US"/>
        </w:rPr>
      </w:pPr>
    </w:p>
    <w:p w14:paraId="3A6E95DD"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3. Drudgery-related constraints among farm women in ridge gourd cultivation</w:t>
      </w:r>
    </w:p>
    <w:p w14:paraId="3F781DC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study also documented drudgery-causing operations faced by farm women during ridge gourd cultivation. Activities such as manual weeding, continuous bending during harvesting, carrying harvested produce, pest monitoring, and irrigation management were identified as physically demanding and time-consuming. Lack of access to improved tools and mechanized aids further aggravated physical strain, particularly during peak crop growth and harvesting stages.</w:t>
      </w:r>
    </w:p>
    <w:p w14:paraId="7E1AEA4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introduction of ICM practices reduced drudgery indirectly by minimizing pest incidence, improving crop uniformity, and reducing the frequency of pesticide applications. Eco-friendly pest management approaches such as fruit fly traps and improved nutrient management resulted in fewer crop losses and less repeated field operations, thereby lowering physical workload and exposure to chemical hazards among farm women.</w:t>
      </w:r>
    </w:p>
    <w:p w14:paraId="699A8C38" w14:textId="77777777" w:rsidR="005F1176" w:rsidRDefault="005F1176" w:rsidP="007F78C3">
      <w:pPr>
        <w:jc w:val="both"/>
        <w:rPr>
          <w:rFonts w:ascii="Times New Roman" w:hAnsi="Times New Roman" w:cs="Times New Roman"/>
          <w:b/>
          <w:bCs/>
          <w:sz w:val="24"/>
          <w:szCs w:val="24"/>
        </w:rPr>
      </w:pPr>
    </w:p>
    <w:p w14:paraId="4E63A0B3" w14:textId="77777777" w:rsidR="00EF4FA9" w:rsidRDefault="00EF4FA9" w:rsidP="007F78C3">
      <w:pPr>
        <w:jc w:val="both"/>
        <w:rPr>
          <w:rFonts w:ascii="Times New Roman" w:hAnsi="Times New Roman" w:cs="Times New Roman"/>
          <w:b/>
          <w:bCs/>
          <w:sz w:val="24"/>
          <w:szCs w:val="24"/>
        </w:rPr>
      </w:pPr>
    </w:p>
    <w:p w14:paraId="5F18D40F" w14:textId="77777777" w:rsidR="00EF4FA9" w:rsidRDefault="00EF4FA9" w:rsidP="007F78C3">
      <w:pPr>
        <w:jc w:val="both"/>
        <w:rPr>
          <w:rFonts w:ascii="Times New Roman" w:hAnsi="Times New Roman" w:cs="Times New Roman"/>
          <w:b/>
          <w:bCs/>
          <w:sz w:val="24"/>
          <w:szCs w:val="24"/>
        </w:rPr>
      </w:pPr>
    </w:p>
    <w:p w14:paraId="568C25E7" w14:textId="77777777" w:rsidR="00EF4FA9" w:rsidRDefault="00EF4FA9" w:rsidP="007F78C3">
      <w:pPr>
        <w:jc w:val="both"/>
        <w:rPr>
          <w:rFonts w:ascii="Times New Roman" w:hAnsi="Times New Roman" w:cs="Times New Roman"/>
          <w:b/>
          <w:bCs/>
          <w:sz w:val="24"/>
          <w:szCs w:val="24"/>
        </w:rPr>
      </w:pPr>
    </w:p>
    <w:p w14:paraId="1273BA93" w14:textId="77777777" w:rsidR="00A07397" w:rsidRPr="007F78C3" w:rsidRDefault="00A07397" w:rsidP="007F78C3">
      <w:pPr>
        <w:jc w:val="both"/>
        <w:rPr>
          <w:rFonts w:ascii="Times New Roman" w:hAnsi="Times New Roman" w:cs="Times New Roman"/>
          <w:b/>
          <w:bCs/>
          <w:sz w:val="24"/>
          <w:szCs w:val="24"/>
        </w:rPr>
      </w:pPr>
      <w:bookmarkStart w:id="4" w:name="_GoBack"/>
      <w:bookmarkEnd w:id="4"/>
      <w:r w:rsidRPr="007F78C3">
        <w:rPr>
          <w:rFonts w:ascii="Times New Roman" w:hAnsi="Times New Roman" w:cs="Times New Roman"/>
          <w:b/>
          <w:bCs/>
          <w:sz w:val="24"/>
          <w:szCs w:val="24"/>
        </w:rPr>
        <w:lastRenderedPageBreak/>
        <w:t>Conclusion</w:t>
      </w:r>
    </w:p>
    <w:p w14:paraId="7CC955B7"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The present study clearly demonstrates that ecologically safe Integrated Crop Management (ICM) practices in ridge gourd cultivation significantly enhanced the knowledge, productivity, profitability, and occupational safety of farm women. Although farm women possessed adequate knowledge of basic cultural practices, substantial gaps existed in technically critical components such as seed treatment, micronutrient management, pest and disease identification, and eco-friendly pest control measures. The on-farm demonstrations effectively addressed these gaps and facilitated adoption of improved practices.</w:t>
      </w:r>
    </w:p>
    <w:p w14:paraId="52EA5626"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Implementation of ICM practices resulted in a substantial increase in yield (13.5 t acre⁻¹), reduction in fruit fly damage (11.6%), and higher net returns (Rs. 1</w:t>
      </w:r>
      <w:proofErr w:type="gramStart"/>
      <w:r w:rsidR="00A07397" w:rsidRPr="007F78C3">
        <w:rPr>
          <w:rFonts w:ascii="Times New Roman" w:hAnsi="Times New Roman" w:cs="Times New Roman"/>
          <w:sz w:val="24"/>
          <w:szCs w:val="24"/>
        </w:rPr>
        <w:t>,92,800</w:t>
      </w:r>
      <w:proofErr w:type="gramEnd"/>
      <w:r w:rsidR="00A07397" w:rsidRPr="007F78C3">
        <w:rPr>
          <w:rFonts w:ascii="Times New Roman" w:hAnsi="Times New Roman" w:cs="Times New Roman"/>
          <w:sz w:val="24"/>
          <w:szCs w:val="24"/>
        </w:rPr>
        <w:t xml:space="preserve"> acre⁻¹) compared to farmers’ conventional practices. Despite a marginal increase in cost of cultivation, the higher benefit–cost ratio (3.5:1) under ICM confirms its economic viability and sustainability. Furthermore, adoption of eco-friendly pest management practices reduced the frequency of pesticide applications, thereby lowering drudgery and health risks among farm women.</w:t>
      </w:r>
    </w:p>
    <w:p w14:paraId="02F7D5A3" w14:textId="77777777" w:rsidR="00A07397" w:rsidRPr="007F78C3" w:rsidRDefault="005F1176" w:rsidP="007F78C3">
      <w:pPr>
        <w:jc w:val="both"/>
        <w:rPr>
          <w:rFonts w:ascii="Times New Roman" w:hAnsi="Times New Roman" w:cs="Times New Roman"/>
          <w:sz w:val="24"/>
          <w:szCs w:val="24"/>
          <w:lang w:val="en-US"/>
        </w:rPr>
      </w:pPr>
      <w:r>
        <w:rPr>
          <w:rFonts w:ascii="Times New Roman" w:hAnsi="Times New Roman" w:cs="Times New Roman"/>
          <w:sz w:val="24"/>
          <w:szCs w:val="24"/>
        </w:rPr>
        <w:tab/>
      </w:r>
      <w:r w:rsidR="00A07397" w:rsidRPr="007F78C3">
        <w:rPr>
          <w:rFonts w:ascii="Times New Roman" w:hAnsi="Times New Roman" w:cs="Times New Roman"/>
          <w:sz w:val="24"/>
          <w:szCs w:val="24"/>
        </w:rPr>
        <w:t>Overall, the study establishes that women-centric, ecologically safe ICM interventions are effective tools for promoting sustainable vegetable production while improving livelihoodsecurity and work conditions of farm women.</w:t>
      </w:r>
    </w:p>
    <w:p w14:paraId="78CB7BEB"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Recommendations</w:t>
      </w:r>
    </w:p>
    <w:p w14:paraId="315DDEEF"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Extension Recommendations</w:t>
      </w:r>
    </w:p>
    <w:p w14:paraId="793E4B44"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Large-scale demonstration and training programs on ICM practices should be conducted with special emphasis on farm women to enhance adoption of eco-friendly technologies in vegetable cultivation.</w:t>
      </w:r>
    </w:p>
    <w:p w14:paraId="65DA64BD"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Capacity-building initiatives should focus on technically weak areas such as seed treatment, micronutrient management, pest and disease diagnosis, and use of mechanical and biological pest control methods.</w:t>
      </w:r>
    </w:p>
    <w:p w14:paraId="06579C60"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Participatory and experiential learning approaches, including field demonstrations, method demonstrations, and farmer-to-farmer learning, should be promoted to ensure better understanding and sustained adoption.</w:t>
      </w:r>
    </w:p>
    <w:p w14:paraId="6A16D00F"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Extension agencies should integrate drudgery-reducing practices and tools within ICM modules to improve work efficiency and occupational health of farm women.</w:t>
      </w:r>
    </w:p>
    <w:p w14:paraId="0838D0B4" w14:textId="77777777" w:rsidR="00A748F1" w:rsidRPr="007F78C3" w:rsidRDefault="005F1176" w:rsidP="007F78C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r w:rsidR="00382279" w:rsidRPr="007F78C3">
        <w:rPr>
          <w:rFonts w:ascii="Times New Roman" w:hAnsi="Times New Roman" w:cs="Times New Roman"/>
          <w:b/>
          <w:bCs/>
          <w:sz w:val="24"/>
          <w:szCs w:val="24"/>
          <w:lang w:val="en-US"/>
        </w:rPr>
        <w:t>:</w:t>
      </w:r>
    </w:p>
    <w:p w14:paraId="06AB4988" w14:textId="77777777" w:rsidR="00AB46F6" w:rsidRPr="00030531" w:rsidRDefault="00AB46F6"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Birah</w:t>
      </w:r>
      <w:proofErr w:type="spellEnd"/>
      <w:r w:rsidRPr="00030531">
        <w:rPr>
          <w:rFonts w:ascii="Times New Roman" w:hAnsi="Times New Roman" w:cs="Times New Roman"/>
          <w:sz w:val="24"/>
          <w:szCs w:val="24"/>
        </w:rPr>
        <w:t xml:space="preserve"> A, Singh S, Singh PK and Dam Roy S (2015) Evaluation and efficacy of pest management modules for cucurbits </w:t>
      </w:r>
      <w:proofErr w:type="spellStart"/>
      <w:r w:rsidRPr="00030531">
        <w:rPr>
          <w:rFonts w:ascii="Times New Roman" w:hAnsi="Times New Roman" w:cs="Times New Roman"/>
          <w:sz w:val="24"/>
          <w:szCs w:val="24"/>
        </w:rPr>
        <w:t>againstfruit</w:t>
      </w:r>
      <w:proofErr w:type="spellEnd"/>
      <w:r w:rsidRPr="00030531">
        <w:rPr>
          <w:rFonts w:ascii="Times New Roman" w:hAnsi="Times New Roman" w:cs="Times New Roman"/>
          <w:sz w:val="24"/>
          <w:szCs w:val="24"/>
        </w:rPr>
        <w:t xml:space="preserve"> fly, </w:t>
      </w:r>
      <w:proofErr w:type="spellStart"/>
      <w:r w:rsidRPr="00030531">
        <w:rPr>
          <w:rFonts w:ascii="Times New Roman" w:hAnsi="Times New Roman" w:cs="Times New Roman"/>
          <w:i/>
          <w:iCs/>
          <w:sz w:val="24"/>
          <w:szCs w:val="24"/>
        </w:rPr>
        <w:t>Bactroceracucurbitae</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Coquillett</w:t>
      </w:r>
      <w:proofErr w:type="spellEnd"/>
      <w:r w:rsidRPr="00030531">
        <w:rPr>
          <w:rFonts w:ascii="Times New Roman" w:hAnsi="Times New Roman" w:cs="Times New Roman"/>
          <w:sz w:val="24"/>
          <w:szCs w:val="24"/>
        </w:rPr>
        <w:t xml:space="preserve">) in Andaman. </w:t>
      </w:r>
      <w:proofErr w:type="spellStart"/>
      <w:r w:rsidRPr="00030531">
        <w:rPr>
          <w:rFonts w:ascii="Times New Roman" w:hAnsi="Times New Roman" w:cs="Times New Roman"/>
          <w:sz w:val="24"/>
          <w:szCs w:val="24"/>
        </w:rPr>
        <w:t>Vegetos</w:t>
      </w:r>
      <w:proofErr w:type="spellEnd"/>
      <w:r w:rsidRPr="00030531">
        <w:rPr>
          <w:rFonts w:ascii="Times New Roman" w:hAnsi="Times New Roman" w:cs="Times New Roman"/>
          <w:sz w:val="24"/>
          <w:szCs w:val="24"/>
        </w:rPr>
        <w:t xml:space="preserve"> 28(4): 62-66.</w:t>
      </w:r>
    </w:p>
    <w:p w14:paraId="7430AC76" w14:textId="273466C4" w:rsidR="00741BE5" w:rsidRPr="00030531" w:rsidRDefault="00373F1F"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Kumar, S., Nath, S., </w:t>
      </w:r>
      <w:proofErr w:type="spellStart"/>
      <w:r w:rsidRPr="00030531">
        <w:rPr>
          <w:rFonts w:ascii="Times New Roman" w:hAnsi="Times New Roman" w:cs="Times New Roman"/>
          <w:sz w:val="24"/>
          <w:szCs w:val="24"/>
        </w:rPr>
        <w:t>Kannaujia</w:t>
      </w:r>
      <w:proofErr w:type="spellEnd"/>
      <w:r w:rsidRPr="00030531">
        <w:rPr>
          <w:rFonts w:ascii="Times New Roman" w:hAnsi="Times New Roman" w:cs="Times New Roman"/>
          <w:sz w:val="24"/>
          <w:szCs w:val="24"/>
        </w:rPr>
        <w:t xml:space="preserve">, S. K., </w:t>
      </w:r>
      <w:proofErr w:type="spellStart"/>
      <w:r w:rsidRPr="00030531">
        <w:rPr>
          <w:rFonts w:ascii="Times New Roman" w:hAnsi="Times New Roman" w:cs="Times New Roman"/>
          <w:sz w:val="24"/>
          <w:szCs w:val="24"/>
        </w:rPr>
        <w:t>Sonkar</w:t>
      </w:r>
      <w:proofErr w:type="spellEnd"/>
      <w:r w:rsidRPr="00030531">
        <w:rPr>
          <w:rFonts w:ascii="Times New Roman" w:hAnsi="Times New Roman" w:cs="Times New Roman"/>
          <w:sz w:val="24"/>
          <w:szCs w:val="24"/>
        </w:rPr>
        <w:t xml:space="preserve">, S. P., Singh, A. K., Rajput, R. K., &amp; Gautam, A. D. (2019). Study of the integrated pest management practices against bitter gourd fruit fly in district </w:t>
      </w:r>
      <w:proofErr w:type="spellStart"/>
      <w:r w:rsidRPr="00030531">
        <w:rPr>
          <w:rFonts w:ascii="Times New Roman" w:hAnsi="Times New Roman" w:cs="Times New Roman"/>
          <w:sz w:val="24"/>
          <w:szCs w:val="24"/>
        </w:rPr>
        <w:t>Jaunpur</w:t>
      </w:r>
      <w:proofErr w:type="spellEnd"/>
      <w:r w:rsidRPr="00030531">
        <w:rPr>
          <w:rFonts w:ascii="Times New Roman" w:hAnsi="Times New Roman" w:cs="Times New Roman"/>
          <w:sz w:val="24"/>
          <w:szCs w:val="24"/>
        </w:rPr>
        <w:t xml:space="preserve"> (U.P.) India. *Journal of Pharmacognosy and Phytochemistry*, *8*(4), 798-800. </w:t>
      </w:r>
      <w:hyperlink r:id="rId9" w:history="1">
        <w:r w:rsidRPr="00030531">
          <w:rPr>
            <w:rStyle w:val="Lienhypertexte"/>
            <w:rFonts w:ascii="Times New Roman" w:hAnsi="Times New Roman" w:cs="Times New Roman"/>
            <w:sz w:val="24"/>
            <w:szCs w:val="24"/>
          </w:rPr>
          <w:t>https://www.phytochemistrysociety.com/</w:t>
        </w:r>
      </w:hyperlink>
      <w:r w:rsidRPr="00030531">
        <w:rPr>
          <w:rFonts w:ascii="Times New Roman" w:hAnsi="Times New Roman" w:cs="Times New Roman"/>
          <w:sz w:val="24"/>
          <w:szCs w:val="24"/>
        </w:rPr>
        <w:t xml:space="preserve"> </w:t>
      </w:r>
    </w:p>
    <w:p w14:paraId="0A5524B4" w14:textId="18E2959E" w:rsidR="00AB46F6" w:rsidRPr="00030531" w:rsidRDefault="006D1725" w:rsidP="00030531">
      <w:pPr>
        <w:jc w:val="both"/>
        <w:rPr>
          <w:rFonts w:ascii="Times New Roman" w:hAnsi="Times New Roman" w:cs="Times New Roman"/>
          <w:sz w:val="24"/>
          <w:szCs w:val="24"/>
        </w:rPr>
      </w:pPr>
      <w:r w:rsidRPr="00030531">
        <w:rPr>
          <w:rFonts w:ascii="Times New Roman" w:hAnsi="Times New Roman" w:cs="Times New Roman"/>
          <w:sz w:val="24"/>
          <w:szCs w:val="24"/>
        </w:rPr>
        <w:lastRenderedPageBreak/>
        <w:t>Nayak, U., &amp; Mahapatra, S. (2020). Efficacy of integrated pest management (IPM) modules against fruit fly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cucurbitae</w:t>
      </w:r>
      <w:proofErr w:type="spellEnd"/>
      <w:r w:rsidRPr="00030531">
        <w:rPr>
          <w:rFonts w:ascii="Times New Roman" w:hAnsi="Times New Roman" w:cs="Times New Roman"/>
          <w:sz w:val="24"/>
          <w:szCs w:val="24"/>
        </w:rPr>
        <w:t xml:space="preserve"> C.) in bitter gourd. Vegetable Science, 47(1), 127–130. </w:t>
      </w:r>
      <w:hyperlink r:id="rId10" w:history="1">
        <w:r w:rsidRPr="00030531">
          <w:rPr>
            <w:rStyle w:val="Lienhypertexte"/>
            <w:rFonts w:ascii="Times New Roman" w:hAnsi="Times New Roman" w:cs="Times New Roman"/>
            <w:sz w:val="24"/>
            <w:szCs w:val="24"/>
          </w:rPr>
          <w:t>https://doi.org/10.61180/vegsci.2020.v47.i1.23</w:t>
        </w:r>
      </w:hyperlink>
      <w:r w:rsidRPr="00030531">
        <w:rPr>
          <w:rFonts w:ascii="Times New Roman" w:hAnsi="Times New Roman" w:cs="Times New Roman"/>
          <w:sz w:val="24"/>
          <w:szCs w:val="24"/>
        </w:rPr>
        <w:t xml:space="preserve"> </w:t>
      </w:r>
    </w:p>
    <w:p w14:paraId="7F6DCE5A" w14:textId="6F7D91E8" w:rsidR="00AB46F6" w:rsidRPr="00030531" w:rsidRDefault="004C09FD"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Sundharaiya</w:t>
      </w:r>
      <w:proofErr w:type="spellEnd"/>
      <w:r w:rsidRPr="00030531">
        <w:rPr>
          <w:rFonts w:ascii="Times New Roman" w:hAnsi="Times New Roman" w:cs="Times New Roman"/>
          <w:sz w:val="24"/>
          <w:szCs w:val="24"/>
        </w:rPr>
        <w:t xml:space="preserve">, K., Sriram, N., Sivakumar, V., &amp; Sathish, G. (2022). Integrated Crop Management Practices in Ridge Gourd Hybrid COH-1 for Increasing Yield and Income under </w:t>
      </w:r>
      <w:proofErr w:type="spellStart"/>
      <w:r w:rsidRPr="00030531">
        <w:rPr>
          <w:rFonts w:ascii="Times New Roman" w:hAnsi="Times New Roman" w:cs="Times New Roman"/>
          <w:sz w:val="24"/>
          <w:szCs w:val="24"/>
        </w:rPr>
        <w:t>Cuddalore</w:t>
      </w:r>
      <w:proofErr w:type="spellEnd"/>
      <w:r w:rsidRPr="00030531">
        <w:rPr>
          <w:rFonts w:ascii="Times New Roman" w:hAnsi="Times New Roman" w:cs="Times New Roman"/>
          <w:sz w:val="24"/>
          <w:szCs w:val="24"/>
        </w:rPr>
        <w:t xml:space="preserve"> District of Tamil Nadu, India. International Journal of Plant &amp; Soil Science, 34(22), 871–876. </w:t>
      </w:r>
      <w:hyperlink r:id="rId11" w:history="1">
        <w:r w:rsidRPr="00030531">
          <w:rPr>
            <w:rStyle w:val="Lienhypertexte"/>
            <w:rFonts w:ascii="Times New Roman" w:hAnsi="Times New Roman" w:cs="Times New Roman"/>
            <w:sz w:val="24"/>
            <w:szCs w:val="24"/>
          </w:rPr>
          <w:t>https://doi.org/10.9734/ijpss/2022/v34i2231446</w:t>
        </w:r>
      </w:hyperlink>
      <w:r w:rsidRPr="00030531">
        <w:rPr>
          <w:rFonts w:ascii="Times New Roman" w:hAnsi="Times New Roman" w:cs="Times New Roman"/>
          <w:sz w:val="24"/>
          <w:szCs w:val="24"/>
        </w:rPr>
        <w:t xml:space="preserve"> </w:t>
      </w:r>
    </w:p>
    <w:p w14:paraId="32923F0B" w14:textId="6FE6DA3E" w:rsidR="00112F57" w:rsidRPr="00030531" w:rsidRDefault="009125FC" w:rsidP="00030531">
      <w:pPr>
        <w:jc w:val="both"/>
        <w:rPr>
          <w:rFonts w:ascii="Times New Roman" w:hAnsi="Times New Roman" w:cs="Times New Roman"/>
          <w:i/>
          <w:iCs/>
          <w:sz w:val="24"/>
          <w:szCs w:val="24"/>
        </w:rPr>
      </w:pPr>
      <w:proofErr w:type="spellStart"/>
      <w:r w:rsidRPr="00030531">
        <w:rPr>
          <w:rFonts w:ascii="Times New Roman" w:hAnsi="Times New Roman" w:cs="Times New Roman"/>
          <w:sz w:val="24"/>
          <w:szCs w:val="24"/>
        </w:rPr>
        <w:t>Vijayashanthi</w:t>
      </w:r>
      <w:proofErr w:type="spellEnd"/>
      <w:r w:rsidRPr="00030531">
        <w:rPr>
          <w:rFonts w:ascii="Times New Roman" w:hAnsi="Times New Roman" w:cs="Times New Roman"/>
          <w:sz w:val="24"/>
          <w:szCs w:val="24"/>
        </w:rPr>
        <w:t xml:space="preserve">, V. A.,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w:t>
      </w:r>
      <w:proofErr w:type="spellStart"/>
      <w:r w:rsidRPr="00030531">
        <w:rPr>
          <w:rFonts w:ascii="Times New Roman" w:hAnsi="Times New Roman" w:cs="Times New Roman"/>
          <w:sz w:val="24"/>
          <w:szCs w:val="24"/>
        </w:rPr>
        <w:t>Senthilkumar</w:t>
      </w:r>
      <w:proofErr w:type="spellEnd"/>
      <w:r w:rsidRPr="00030531">
        <w:rPr>
          <w:rFonts w:ascii="Times New Roman" w:hAnsi="Times New Roman" w:cs="Times New Roman"/>
          <w:sz w:val="24"/>
          <w:szCs w:val="24"/>
        </w:rPr>
        <w:t xml:space="preserve">, M., </w:t>
      </w:r>
      <w:proofErr w:type="spellStart"/>
      <w:r w:rsidRPr="00030531">
        <w:rPr>
          <w:rFonts w:ascii="Times New Roman" w:hAnsi="Times New Roman" w:cs="Times New Roman"/>
          <w:sz w:val="24"/>
          <w:szCs w:val="24"/>
        </w:rPr>
        <w:t>Sivagamy</w:t>
      </w:r>
      <w:proofErr w:type="spellEnd"/>
      <w:r w:rsidRPr="00030531">
        <w:rPr>
          <w:rFonts w:ascii="Times New Roman" w:hAnsi="Times New Roman" w:cs="Times New Roman"/>
          <w:sz w:val="24"/>
          <w:szCs w:val="24"/>
        </w:rPr>
        <w:t xml:space="preserve">, K., </w:t>
      </w:r>
      <w:proofErr w:type="spellStart"/>
      <w:r w:rsidRPr="00030531">
        <w:rPr>
          <w:rFonts w:ascii="Times New Roman" w:hAnsi="Times New Roman" w:cs="Times New Roman"/>
          <w:sz w:val="24"/>
          <w:szCs w:val="24"/>
        </w:rPr>
        <w:t>Tamilselvi</w:t>
      </w:r>
      <w:proofErr w:type="spellEnd"/>
      <w:r w:rsidRPr="00030531">
        <w:rPr>
          <w:rFonts w:ascii="Times New Roman" w:hAnsi="Times New Roman" w:cs="Times New Roman"/>
          <w:sz w:val="24"/>
          <w:szCs w:val="24"/>
        </w:rPr>
        <w:t xml:space="preserve">, C., &amp; Arul Prasad, S. (2023). Impact of Integrated Management Practices of Fruit Fly in Bitter Gourd. International Journal of Plant &amp; Soil Science, 35(21), 301–304. </w:t>
      </w:r>
      <w:hyperlink r:id="rId12" w:history="1">
        <w:r w:rsidRPr="00030531">
          <w:rPr>
            <w:rStyle w:val="Lienhypertexte"/>
            <w:rFonts w:ascii="Times New Roman" w:hAnsi="Times New Roman" w:cs="Times New Roman"/>
            <w:sz w:val="24"/>
            <w:szCs w:val="24"/>
          </w:rPr>
          <w:t>https://doi.org/10.9734/ijpss/2023/v35i213976</w:t>
        </w:r>
      </w:hyperlink>
      <w:r w:rsidRPr="00030531">
        <w:rPr>
          <w:rFonts w:ascii="Times New Roman" w:hAnsi="Times New Roman" w:cs="Times New Roman"/>
          <w:sz w:val="24"/>
          <w:szCs w:val="24"/>
        </w:rPr>
        <w:t xml:space="preserve"> </w:t>
      </w:r>
    </w:p>
    <w:p w14:paraId="2F8955A6" w14:textId="5B2346F7" w:rsidR="007E20F6" w:rsidRPr="00030531" w:rsidRDefault="00E21F96"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Tamilselvi</w:t>
      </w:r>
      <w:proofErr w:type="spellEnd"/>
      <w:r w:rsidRPr="00030531">
        <w:rPr>
          <w:rFonts w:ascii="Times New Roman" w:hAnsi="Times New Roman" w:cs="Times New Roman"/>
          <w:sz w:val="24"/>
          <w:szCs w:val="24"/>
        </w:rPr>
        <w:t xml:space="preserve">, C., </w:t>
      </w:r>
      <w:proofErr w:type="spellStart"/>
      <w:r w:rsidRPr="00030531">
        <w:rPr>
          <w:rFonts w:ascii="Times New Roman" w:hAnsi="Times New Roman" w:cs="Times New Roman"/>
          <w:sz w:val="24"/>
          <w:szCs w:val="24"/>
        </w:rPr>
        <w:t>Vijayashanthi</w:t>
      </w:r>
      <w:proofErr w:type="spellEnd"/>
      <w:r w:rsidRPr="00030531">
        <w:rPr>
          <w:rFonts w:ascii="Times New Roman" w:hAnsi="Times New Roman" w:cs="Times New Roman"/>
          <w:sz w:val="24"/>
          <w:szCs w:val="24"/>
        </w:rPr>
        <w:t xml:space="preserve">, V. A., Sathish, G.,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Preethi, T. L., </w:t>
      </w:r>
      <w:proofErr w:type="spellStart"/>
      <w:r w:rsidRPr="00030531">
        <w:rPr>
          <w:rFonts w:ascii="Times New Roman" w:hAnsi="Times New Roman" w:cs="Times New Roman"/>
          <w:sz w:val="24"/>
          <w:szCs w:val="24"/>
        </w:rPr>
        <w:t>Sivagamy</w:t>
      </w:r>
      <w:proofErr w:type="spellEnd"/>
      <w:r w:rsidRPr="00030531">
        <w:rPr>
          <w:rFonts w:ascii="Times New Roman" w:hAnsi="Times New Roman" w:cs="Times New Roman"/>
          <w:sz w:val="24"/>
          <w:szCs w:val="24"/>
        </w:rPr>
        <w:t xml:space="preserve">, K., &amp; </w:t>
      </w:r>
      <w:proofErr w:type="spellStart"/>
      <w:r w:rsidRPr="00030531">
        <w:rPr>
          <w:rFonts w:ascii="Times New Roman" w:hAnsi="Times New Roman" w:cs="Times New Roman"/>
          <w:sz w:val="24"/>
          <w:szCs w:val="24"/>
        </w:rPr>
        <w:t>Banumathy</w:t>
      </w:r>
      <w:proofErr w:type="spellEnd"/>
      <w:r w:rsidRPr="00030531">
        <w:rPr>
          <w:rFonts w:ascii="Times New Roman" w:hAnsi="Times New Roman" w:cs="Times New Roman"/>
          <w:sz w:val="24"/>
          <w:szCs w:val="24"/>
        </w:rPr>
        <w:t xml:space="preserve">, S. (2024). Integrated Pest Management Strategies for </w:t>
      </w:r>
      <w:proofErr w:type="spellStart"/>
      <w:r w:rsidRPr="00030531">
        <w:rPr>
          <w:rFonts w:ascii="Times New Roman" w:hAnsi="Times New Roman" w:cs="Times New Roman"/>
          <w:sz w:val="24"/>
          <w:szCs w:val="24"/>
        </w:rPr>
        <w:t>Fruitfly</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cucurbitae</w:t>
      </w:r>
      <w:proofErr w:type="spellEnd"/>
      <w:r w:rsidRPr="00030531">
        <w:rPr>
          <w:rFonts w:ascii="Times New Roman" w:hAnsi="Times New Roman" w:cs="Times New Roman"/>
          <w:sz w:val="24"/>
          <w:szCs w:val="24"/>
        </w:rPr>
        <w:t xml:space="preserve">) in </w:t>
      </w:r>
      <w:proofErr w:type="spellStart"/>
      <w:r w:rsidRPr="00030531">
        <w:rPr>
          <w:rFonts w:ascii="Times New Roman" w:hAnsi="Times New Roman" w:cs="Times New Roman"/>
          <w:sz w:val="24"/>
          <w:szCs w:val="24"/>
        </w:rPr>
        <w:t>Bittergourd</w:t>
      </w:r>
      <w:proofErr w:type="spellEnd"/>
      <w:r w:rsidRPr="00030531">
        <w:rPr>
          <w:rFonts w:ascii="Times New Roman" w:hAnsi="Times New Roman" w:cs="Times New Roman"/>
          <w:sz w:val="24"/>
          <w:szCs w:val="24"/>
        </w:rPr>
        <w:t xml:space="preserve">. Uttar Pradesh Journal of Zoology, 45(6), 89–93. </w:t>
      </w:r>
      <w:hyperlink r:id="rId13" w:history="1">
        <w:r w:rsidRPr="00030531">
          <w:rPr>
            <w:rStyle w:val="Lienhypertexte"/>
            <w:rFonts w:ascii="Times New Roman" w:hAnsi="Times New Roman" w:cs="Times New Roman"/>
            <w:sz w:val="24"/>
            <w:szCs w:val="24"/>
          </w:rPr>
          <w:t>https://doi.org/10.56557/upjoz/2024/v45i63953</w:t>
        </w:r>
      </w:hyperlink>
      <w:r w:rsidRPr="00030531">
        <w:rPr>
          <w:rFonts w:ascii="Times New Roman" w:hAnsi="Times New Roman" w:cs="Times New Roman"/>
          <w:sz w:val="24"/>
          <w:szCs w:val="24"/>
        </w:rPr>
        <w:t xml:space="preserve"> </w:t>
      </w:r>
    </w:p>
    <w:p w14:paraId="42A7942D" w14:textId="18781390" w:rsidR="00AB46F6" w:rsidRPr="00030531" w:rsidRDefault="00C73730"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Siva, M., Usha, M., Durga Prasad, N. V. V. S., Chowdary, L. R., </w:t>
      </w:r>
      <w:proofErr w:type="spellStart"/>
      <w:r w:rsidRPr="00030531">
        <w:rPr>
          <w:rFonts w:ascii="Times New Roman" w:hAnsi="Times New Roman" w:cs="Times New Roman"/>
          <w:sz w:val="24"/>
          <w:szCs w:val="24"/>
        </w:rPr>
        <w:t>Jahnavi</w:t>
      </w:r>
      <w:proofErr w:type="spellEnd"/>
      <w:r w:rsidRPr="00030531">
        <w:rPr>
          <w:rFonts w:ascii="Times New Roman" w:hAnsi="Times New Roman" w:cs="Times New Roman"/>
          <w:sz w:val="24"/>
          <w:szCs w:val="24"/>
        </w:rPr>
        <w:t xml:space="preserve">, M., &amp; Reddy, T. V. (2024). Enhancing Watermelon Yield and Economic Returns through Integrated Crop Management in </w:t>
      </w:r>
      <w:proofErr w:type="spellStart"/>
      <w:r w:rsidRPr="00030531">
        <w:rPr>
          <w:rFonts w:ascii="Times New Roman" w:hAnsi="Times New Roman" w:cs="Times New Roman"/>
          <w:sz w:val="24"/>
          <w:szCs w:val="24"/>
        </w:rPr>
        <w:t>Prakasam</w:t>
      </w:r>
      <w:proofErr w:type="spellEnd"/>
      <w:r w:rsidRPr="00030531">
        <w:rPr>
          <w:rFonts w:ascii="Times New Roman" w:hAnsi="Times New Roman" w:cs="Times New Roman"/>
          <w:sz w:val="24"/>
          <w:szCs w:val="24"/>
        </w:rPr>
        <w:t xml:space="preserve"> District, Andhra Pradesh, India. Journal of Advances in Biology &amp; Biotechnology, 27(8), 974–979. </w:t>
      </w:r>
      <w:hyperlink r:id="rId14" w:history="1">
        <w:r w:rsidRPr="00030531">
          <w:rPr>
            <w:rStyle w:val="Lienhypertexte"/>
            <w:rFonts w:ascii="Times New Roman" w:hAnsi="Times New Roman" w:cs="Times New Roman"/>
            <w:sz w:val="24"/>
            <w:szCs w:val="24"/>
          </w:rPr>
          <w:t>https://doi.org/10.9734/jabb/2024/v27i81218</w:t>
        </w:r>
      </w:hyperlink>
      <w:r w:rsidRPr="00030531">
        <w:rPr>
          <w:rFonts w:ascii="Times New Roman" w:hAnsi="Times New Roman" w:cs="Times New Roman"/>
          <w:sz w:val="24"/>
          <w:szCs w:val="24"/>
        </w:rPr>
        <w:t xml:space="preserve"> </w:t>
      </w:r>
    </w:p>
    <w:p w14:paraId="31EC5824" w14:textId="77777777" w:rsidR="00AB46F6" w:rsidRPr="007F78C3" w:rsidRDefault="00AB46F6" w:rsidP="007F78C3">
      <w:pPr>
        <w:jc w:val="both"/>
        <w:rPr>
          <w:rFonts w:ascii="Times New Roman" w:hAnsi="Times New Roman" w:cs="Times New Roman"/>
          <w:sz w:val="24"/>
          <w:szCs w:val="24"/>
          <w:lang w:val="en-US"/>
        </w:rPr>
      </w:pPr>
    </w:p>
    <w:sectPr w:rsidR="00AB46F6" w:rsidRPr="007F78C3" w:rsidSect="004432B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even" w:date="2026-01-04T17:07:00Z" w:initials="s">
    <w:p w14:paraId="65AA0B78" w14:textId="4D335AB3" w:rsidR="00813B7C" w:rsidRDefault="00813B7C">
      <w:pPr>
        <w:pStyle w:val="Commentaire"/>
      </w:pPr>
      <w:r>
        <w:rPr>
          <w:rStyle w:val="Marquedecommentaire"/>
        </w:rPr>
        <w:annotationRef/>
      </w:r>
      <w:r>
        <w:t>All farm women??</w:t>
      </w:r>
    </w:p>
  </w:comment>
  <w:comment w:id="1" w:author="seven" w:date="2026-01-04T17:09:00Z" w:initials="s">
    <w:p w14:paraId="5C64BDD0" w14:textId="3609015D" w:rsidR="00813B7C" w:rsidRDefault="00813B7C">
      <w:pPr>
        <w:pStyle w:val="Commentaire"/>
      </w:pPr>
      <w:r>
        <w:rPr>
          <w:rStyle w:val="Marquedecommentaire"/>
        </w:rPr>
        <w:annotationRef/>
      </w:r>
      <w:r w:rsidRPr="00813B7C">
        <w:t>To give more details</w:t>
      </w:r>
      <w:r>
        <w:t>.</w:t>
      </w:r>
    </w:p>
  </w:comment>
  <w:comment w:id="2" w:author="seven" w:date="2026-01-04T17:10:00Z" w:initials="s">
    <w:p w14:paraId="35D058BB" w14:textId="7F096ED0" w:rsidR="00813B7C" w:rsidRDefault="00813B7C">
      <w:pPr>
        <w:pStyle w:val="Commentaire"/>
      </w:pPr>
      <w:r>
        <w:rPr>
          <w:rStyle w:val="Marquedecommentaire"/>
        </w:rPr>
        <w:annotationRef/>
      </w:r>
      <w:r w:rsidRPr="00813B7C">
        <w:t>Insert Table 1</w:t>
      </w:r>
      <w:r>
        <w:t>.</w:t>
      </w:r>
    </w:p>
  </w:comment>
  <w:comment w:id="3" w:author="seven" w:date="2026-01-04T17:11:00Z" w:initials="s">
    <w:p w14:paraId="71C299EF" w14:textId="7F769F59" w:rsidR="005F1E8F" w:rsidRDefault="005F1E8F">
      <w:pPr>
        <w:pStyle w:val="Commentaire"/>
      </w:pPr>
      <w:r>
        <w:rPr>
          <w:rStyle w:val="Marquedecommentaire"/>
        </w:rPr>
        <w:annotationRef/>
      </w:r>
      <w:r>
        <w:t>Insert Table 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2DC67" w14:textId="77777777" w:rsidR="00116782" w:rsidRDefault="00116782" w:rsidP="00057527">
      <w:pPr>
        <w:spacing w:after="0" w:line="240" w:lineRule="auto"/>
      </w:pPr>
      <w:r>
        <w:separator/>
      </w:r>
    </w:p>
  </w:endnote>
  <w:endnote w:type="continuationSeparator" w:id="0">
    <w:p w14:paraId="70B2560E" w14:textId="77777777" w:rsidR="00116782" w:rsidRDefault="00116782" w:rsidP="0005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34BB" w14:textId="77777777" w:rsidR="00057527" w:rsidRDefault="0005752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2503" w14:textId="77777777" w:rsidR="00057527" w:rsidRDefault="0005752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5C8F5" w14:textId="77777777" w:rsidR="00057527" w:rsidRDefault="000575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4DACA" w14:textId="77777777" w:rsidR="00116782" w:rsidRDefault="00116782" w:rsidP="00057527">
      <w:pPr>
        <w:spacing w:after="0" w:line="240" w:lineRule="auto"/>
      </w:pPr>
      <w:r>
        <w:separator/>
      </w:r>
    </w:p>
  </w:footnote>
  <w:footnote w:type="continuationSeparator" w:id="0">
    <w:p w14:paraId="302FF1C9" w14:textId="77777777" w:rsidR="00116782" w:rsidRDefault="00116782" w:rsidP="00057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2311" w14:textId="7A7428A7" w:rsidR="00057527" w:rsidRDefault="00116782">
    <w:pPr>
      <w:pStyle w:val="En-tte"/>
    </w:pPr>
    <w:r>
      <w:rPr>
        <w:noProof/>
      </w:rPr>
      <w:pict w14:anchorId="33CA7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0AD9A" w14:textId="77C92BC7" w:rsidR="00057527" w:rsidRDefault="00116782">
    <w:pPr>
      <w:pStyle w:val="En-tte"/>
    </w:pPr>
    <w:r>
      <w:rPr>
        <w:noProof/>
      </w:rPr>
      <w:pict w14:anchorId="65D00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0915" w14:textId="69E1FC46" w:rsidR="00057527" w:rsidRDefault="00116782">
    <w:pPr>
      <w:pStyle w:val="En-tte"/>
    </w:pPr>
    <w:r>
      <w:rPr>
        <w:noProof/>
      </w:rPr>
      <w:pict w14:anchorId="26C4E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4FE"/>
    <w:multiLevelType w:val="hybridMultilevel"/>
    <w:tmpl w:val="330245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F0663D7"/>
    <w:multiLevelType w:val="hybridMultilevel"/>
    <w:tmpl w:val="B9BAC9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69643B3"/>
    <w:multiLevelType w:val="multilevel"/>
    <w:tmpl w:val="B9A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432D97"/>
    <w:multiLevelType w:val="hybridMultilevel"/>
    <w:tmpl w:val="7EDC53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E0"/>
    <w:rsid w:val="0000795D"/>
    <w:rsid w:val="00030531"/>
    <w:rsid w:val="00057527"/>
    <w:rsid w:val="000C14D2"/>
    <w:rsid w:val="00112F57"/>
    <w:rsid w:val="00116782"/>
    <w:rsid w:val="00124566"/>
    <w:rsid w:val="001C16F2"/>
    <w:rsid w:val="001D64A1"/>
    <w:rsid w:val="00213E08"/>
    <w:rsid w:val="00263CA5"/>
    <w:rsid w:val="002B1124"/>
    <w:rsid w:val="00354A73"/>
    <w:rsid w:val="00373F1F"/>
    <w:rsid w:val="00382279"/>
    <w:rsid w:val="00441994"/>
    <w:rsid w:val="004432BD"/>
    <w:rsid w:val="004457C6"/>
    <w:rsid w:val="004C09FD"/>
    <w:rsid w:val="00584957"/>
    <w:rsid w:val="005F1176"/>
    <w:rsid w:val="005F1E8F"/>
    <w:rsid w:val="006D1725"/>
    <w:rsid w:val="007012BC"/>
    <w:rsid w:val="00723304"/>
    <w:rsid w:val="00741226"/>
    <w:rsid w:val="00741BE5"/>
    <w:rsid w:val="007C6D83"/>
    <w:rsid w:val="007E20F6"/>
    <w:rsid w:val="007F78C3"/>
    <w:rsid w:val="00807F6F"/>
    <w:rsid w:val="00813B7C"/>
    <w:rsid w:val="00887D55"/>
    <w:rsid w:val="009125FC"/>
    <w:rsid w:val="00934FD1"/>
    <w:rsid w:val="0099160E"/>
    <w:rsid w:val="009D22E0"/>
    <w:rsid w:val="00A07397"/>
    <w:rsid w:val="00A12EAA"/>
    <w:rsid w:val="00A12F74"/>
    <w:rsid w:val="00A420FF"/>
    <w:rsid w:val="00A54E95"/>
    <w:rsid w:val="00A748F1"/>
    <w:rsid w:val="00AB46F6"/>
    <w:rsid w:val="00AE1D2E"/>
    <w:rsid w:val="00B03A9F"/>
    <w:rsid w:val="00B1717A"/>
    <w:rsid w:val="00C73730"/>
    <w:rsid w:val="00D90E05"/>
    <w:rsid w:val="00E21F96"/>
    <w:rsid w:val="00EF033C"/>
    <w:rsid w:val="00EF4FA9"/>
    <w:rsid w:val="00F163A3"/>
    <w:rsid w:val="00F271E2"/>
    <w:rsid w:val="00FD24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5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BD"/>
  </w:style>
  <w:style w:type="paragraph" w:styleId="Titre1">
    <w:name w:val="heading 1"/>
    <w:basedOn w:val="Normal"/>
    <w:next w:val="Normal"/>
    <w:link w:val="Titre1Car"/>
    <w:uiPriority w:val="9"/>
    <w:qFormat/>
    <w:rsid w:val="009D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2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2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2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2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2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2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2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2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2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2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2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2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2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2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2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2E0"/>
    <w:rPr>
      <w:rFonts w:eastAsiaTheme="majorEastAsia" w:cstheme="majorBidi"/>
      <w:color w:val="272727" w:themeColor="text1" w:themeTint="D8"/>
    </w:rPr>
  </w:style>
  <w:style w:type="paragraph" w:styleId="Titre">
    <w:name w:val="Title"/>
    <w:basedOn w:val="Normal"/>
    <w:next w:val="Normal"/>
    <w:link w:val="TitreCar"/>
    <w:uiPriority w:val="10"/>
    <w:qFormat/>
    <w:rsid w:val="009D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2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2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2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2E0"/>
    <w:pPr>
      <w:spacing w:before="160"/>
      <w:jc w:val="center"/>
    </w:pPr>
    <w:rPr>
      <w:i/>
      <w:iCs/>
      <w:color w:val="404040" w:themeColor="text1" w:themeTint="BF"/>
    </w:rPr>
  </w:style>
  <w:style w:type="character" w:customStyle="1" w:styleId="CitationCar">
    <w:name w:val="Citation Car"/>
    <w:basedOn w:val="Policepardfaut"/>
    <w:link w:val="Citation"/>
    <w:uiPriority w:val="29"/>
    <w:rsid w:val="009D22E0"/>
    <w:rPr>
      <w:i/>
      <w:iCs/>
      <w:color w:val="404040" w:themeColor="text1" w:themeTint="BF"/>
    </w:rPr>
  </w:style>
  <w:style w:type="paragraph" w:styleId="Paragraphedeliste">
    <w:name w:val="List Paragraph"/>
    <w:aliases w:val="1.1.1_List Paragraph,List_Paragraph,Multilevel para_II,Colorful List - Accent 1 Char,1.1.1_List Paragraph Char,List_Paragraph Char,Multilevel para_II Char,List Paragraph1 Char,List Paragraph Char Char Char Char,b-txt,TFYP bullets,3"/>
    <w:basedOn w:val="Normal"/>
    <w:link w:val="ParagraphedelisteCar"/>
    <w:uiPriority w:val="34"/>
    <w:qFormat/>
    <w:rsid w:val="009D22E0"/>
    <w:pPr>
      <w:ind w:left="720"/>
      <w:contextualSpacing/>
    </w:pPr>
  </w:style>
  <w:style w:type="character" w:styleId="Emphaseintense">
    <w:name w:val="Intense Emphasis"/>
    <w:basedOn w:val="Policepardfaut"/>
    <w:uiPriority w:val="21"/>
    <w:qFormat/>
    <w:rsid w:val="009D22E0"/>
    <w:rPr>
      <w:i/>
      <w:iCs/>
      <w:color w:val="0F4761" w:themeColor="accent1" w:themeShade="BF"/>
    </w:rPr>
  </w:style>
  <w:style w:type="paragraph" w:styleId="Citationintense">
    <w:name w:val="Intense Quote"/>
    <w:basedOn w:val="Normal"/>
    <w:next w:val="Normal"/>
    <w:link w:val="CitationintenseCar"/>
    <w:uiPriority w:val="30"/>
    <w:qFormat/>
    <w:rsid w:val="009D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2E0"/>
    <w:rPr>
      <w:i/>
      <w:iCs/>
      <w:color w:val="0F4761" w:themeColor="accent1" w:themeShade="BF"/>
    </w:rPr>
  </w:style>
  <w:style w:type="character" w:styleId="Rfrenceintense">
    <w:name w:val="Intense Reference"/>
    <w:basedOn w:val="Policepardfaut"/>
    <w:uiPriority w:val="32"/>
    <w:qFormat/>
    <w:rsid w:val="009D22E0"/>
    <w:rPr>
      <w:b/>
      <w:bCs/>
      <w:smallCaps/>
      <w:color w:val="0F4761" w:themeColor="accent1" w:themeShade="BF"/>
      <w:spacing w:val="5"/>
    </w:rPr>
  </w:style>
  <w:style w:type="paragraph" w:styleId="NormalWeb">
    <w:name w:val="Normal (Web)"/>
    <w:basedOn w:val="Normal"/>
    <w:uiPriority w:val="99"/>
    <w:semiHidden/>
    <w:unhideWhenUsed/>
    <w:rsid w:val="00A12F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ParagraphedelisteCar">
    <w:name w:val="Paragraphe de liste Car"/>
    <w:aliases w:val="1.1.1_List Paragraph Car,List_Paragraph Car,Multilevel para_II Car,Colorful List - Accent 1 Char Car,1.1.1_List Paragraph Char Car,List_Paragraph Char Car,Multilevel para_II Char Car,List Paragraph1 Char Car,b-txt Car,3 Car"/>
    <w:link w:val="Paragraphedeliste"/>
    <w:uiPriority w:val="34"/>
    <w:qFormat/>
    <w:locked/>
    <w:rsid w:val="000C14D2"/>
  </w:style>
  <w:style w:type="table" w:styleId="Grilledutableau">
    <w:name w:val="Table Grid"/>
    <w:basedOn w:val="TableauNormal"/>
    <w:uiPriority w:val="39"/>
    <w:rsid w:val="000C1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7D5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Sansinterligne">
    <w:name w:val="No Spacing"/>
    <w:uiPriority w:val="1"/>
    <w:qFormat/>
    <w:rsid w:val="00807F6F"/>
    <w:pPr>
      <w:spacing w:after="0" w:line="240" w:lineRule="auto"/>
    </w:pPr>
  </w:style>
  <w:style w:type="character" w:styleId="Lienhypertexte">
    <w:name w:val="Hyperlink"/>
    <w:basedOn w:val="Policepardfaut"/>
    <w:uiPriority w:val="99"/>
    <w:unhideWhenUsed/>
    <w:rsid w:val="005F1176"/>
    <w:rPr>
      <w:color w:val="467886" w:themeColor="hyperlink"/>
      <w:u w:val="single"/>
    </w:rPr>
  </w:style>
  <w:style w:type="character" w:customStyle="1" w:styleId="UnresolvedMention">
    <w:name w:val="Unresolved Mention"/>
    <w:basedOn w:val="Policepardfaut"/>
    <w:uiPriority w:val="99"/>
    <w:semiHidden/>
    <w:unhideWhenUsed/>
    <w:rsid w:val="00EF033C"/>
    <w:rPr>
      <w:color w:val="605E5C"/>
      <w:shd w:val="clear" w:color="auto" w:fill="E1DFDD"/>
    </w:rPr>
  </w:style>
  <w:style w:type="paragraph" w:styleId="En-tte">
    <w:name w:val="header"/>
    <w:basedOn w:val="Normal"/>
    <w:link w:val="En-tteCar"/>
    <w:uiPriority w:val="99"/>
    <w:unhideWhenUsed/>
    <w:rsid w:val="00057527"/>
    <w:pPr>
      <w:tabs>
        <w:tab w:val="center" w:pos="4680"/>
        <w:tab w:val="right" w:pos="9360"/>
      </w:tabs>
      <w:spacing w:after="0" w:line="240" w:lineRule="auto"/>
    </w:pPr>
  </w:style>
  <w:style w:type="character" w:customStyle="1" w:styleId="En-tteCar">
    <w:name w:val="En-tête Car"/>
    <w:basedOn w:val="Policepardfaut"/>
    <w:link w:val="En-tte"/>
    <w:uiPriority w:val="99"/>
    <w:rsid w:val="00057527"/>
  </w:style>
  <w:style w:type="paragraph" w:styleId="Pieddepage">
    <w:name w:val="footer"/>
    <w:basedOn w:val="Normal"/>
    <w:link w:val="PieddepageCar"/>
    <w:uiPriority w:val="99"/>
    <w:unhideWhenUsed/>
    <w:rsid w:val="0005752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7527"/>
  </w:style>
  <w:style w:type="character" w:styleId="Marquedecommentaire">
    <w:name w:val="annotation reference"/>
    <w:basedOn w:val="Policepardfaut"/>
    <w:uiPriority w:val="99"/>
    <w:semiHidden/>
    <w:unhideWhenUsed/>
    <w:rsid w:val="00741226"/>
    <w:rPr>
      <w:sz w:val="16"/>
      <w:szCs w:val="16"/>
    </w:rPr>
  </w:style>
  <w:style w:type="paragraph" w:styleId="Commentaire">
    <w:name w:val="annotation text"/>
    <w:basedOn w:val="Normal"/>
    <w:link w:val="CommentaireCar"/>
    <w:uiPriority w:val="99"/>
    <w:semiHidden/>
    <w:unhideWhenUsed/>
    <w:rsid w:val="00741226"/>
    <w:pPr>
      <w:spacing w:line="240" w:lineRule="auto"/>
    </w:pPr>
    <w:rPr>
      <w:sz w:val="20"/>
      <w:szCs w:val="20"/>
    </w:rPr>
  </w:style>
  <w:style w:type="character" w:customStyle="1" w:styleId="CommentaireCar">
    <w:name w:val="Commentaire Car"/>
    <w:basedOn w:val="Policepardfaut"/>
    <w:link w:val="Commentaire"/>
    <w:uiPriority w:val="99"/>
    <w:semiHidden/>
    <w:rsid w:val="00741226"/>
    <w:rPr>
      <w:sz w:val="20"/>
      <w:szCs w:val="20"/>
    </w:rPr>
  </w:style>
  <w:style w:type="paragraph" w:styleId="Objetducommentaire">
    <w:name w:val="annotation subject"/>
    <w:basedOn w:val="Commentaire"/>
    <w:next w:val="Commentaire"/>
    <w:link w:val="ObjetducommentaireCar"/>
    <w:uiPriority w:val="99"/>
    <w:semiHidden/>
    <w:unhideWhenUsed/>
    <w:rsid w:val="00741226"/>
    <w:rPr>
      <w:b/>
      <w:bCs/>
    </w:rPr>
  </w:style>
  <w:style w:type="character" w:customStyle="1" w:styleId="ObjetducommentaireCar">
    <w:name w:val="Objet du commentaire Car"/>
    <w:basedOn w:val="CommentaireCar"/>
    <w:link w:val="Objetducommentaire"/>
    <w:uiPriority w:val="99"/>
    <w:semiHidden/>
    <w:rsid w:val="00741226"/>
    <w:rPr>
      <w:b/>
      <w:bCs/>
      <w:sz w:val="20"/>
      <w:szCs w:val="20"/>
    </w:rPr>
  </w:style>
  <w:style w:type="paragraph" w:styleId="Textedebulles">
    <w:name w:val="Balloon Text"/>
    <w:basedOn w:val="Normal"/>
    <w:link w:val="TextedebullesCar"/>
    <w:uiPriority w:val="99"/>
    <w:semiHidden/>
    <w:unhideWhenUsed/>
    <w:rsid w:val="007412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BD"/>
  </w:style>
  <w:style w:type="paragraph" w:styleId="Titre1">
    <w:name w:val="heading 1"/>
    <w:basedOn w:val="Normal"/>
    <w:next w:val="Normal"/>
    <w:link w:val="Titre1Car"/>
    <w:uiPriority w:val="9"/>
    <w:qFormat/>
    <w:rsid w:val="009D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2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2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2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2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2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2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2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2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2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2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2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2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2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2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2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2E0"/>
    <w:rPr>
      <w:rFonts w:eastAsiaTheme="majorEastAsia" w:cstheme="majorBidi"/>
      <w:color w:val="272727" w:themeColor="text1" w:themeTint="D8"/>
    </w:rPr>
  </w:style>
  <w:style w:type="paragraph" w:styleId="Titre">
    <w:name w:val="Title"/>
    <w:basedOn w:val="Normal"/>
    <w:next w:val="Normal"/>
    <w:link w:val="TitreCar"/>
    <w:uiPriority w:val="10"/>
    <w:qFormat/>
    <w:rsid w:val="009D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2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2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2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2E0"/>
    <w:pPr>
      <w:spacing w:before="160"/>
      <w:jc w:val="center"/>
    </w:pPr>
    <w:rPr>
      <w:i/>
      <w:iCs/>
      <w:color w:val="404040" w:themeColor="text1" w:themeTint="BF"/>
    </w:rPr>
  </w:style>
  <w:style w:type="character" w:customStyle="1" w:styleId="CitationCar">
    <w:name w:val="Citation Car"/>
    <w:basedOn w:val="Policepardfaut"/>
    <w:link w:val="Citation"/>
    <w:uiPriority w:val="29"/>
    <w:rsid w:val="009D22E0"/>
    <w:rPr>
      <w:i/>
      <w:iCs/>
      <w:color w:val="404040" w:themeColor="text1" w:themeTint="BF"/>
    </w:rPr>
  </w:style>
  <w:style w:type="paragraph" w:styleId="Paragraphedeliste">
    <w:name w:val="List Paragraph"/>
    <w:aliases w:val="1.1.1_List Paragraph,List_Paragraph,Multilevel para_II,Colorful List - Accent 1 Char,1.1.1_List Paragraph Char,List_Paragraph Char,Multilevel para_II Char,List Paragraph1 Char,List Paragraph Char Char Char Char,b-txt,TFYP bullets,3"/>
    <w:basedOn w:val="Normal"/>
    <w:link w:val="ParagraphedelisteCar"/>
    <w:uiPriority w:val="34"/>
    <w:qFormat/>
    <w:rsid w:val="009D22E0"/>
    <w:pPr>
      <w:ind w:left="720"/>
      <w:contextualSpacing/>
    </w:pPr>
  </w:style>
  <w:style w:type="character" w:styleId="Emphaseintense">
    <w:name w:val="Intense Emphasis"/>
    <w:basedOn w:val="Policepardfaut"/>
    <w:uiPriority w:val="21"/>
    <w:qFormat/>
    <w:rsid w:val="009D22E0"/>
    <w:rPr>
      <w:i/>
      <w:iCs/>
      <w:color w:val="0F4761" w:themeColor="accent1" w:themeShade="BF"/>
    </w:rPr>
  </w:style>
  <w:style w:type="paragraph" w:styleId="Citationintense">
    <w:name w:val="Intense Quote"/>
    <w:basedOn w:val="Normal"/>
    <w:next w:val="Normal"/>
    <w:link w:val="CitationintenseCar"/>
    <w:uiPriority w:val="30"/>
    <w:qFormat/>
    <w:rsid w:val="009D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2E0"/>
    <w:rPr>
      <w:i/>
      <w:iCs/>
      <w:color w:val="0F4761" w:themeColor="accent1" w:themeShade="BF"/>
    </w:rPr>
  </w:style>
  <w:style w:type="character" w:styleId="Rfrenceintense">
    <w:name w:val="Intense Reference"/>
    <w:basedOn w:val="Policepardfaut"/>
    <w:uiPriority w:val="32"/>
    <w:qFormat/>
    <w:rsid w:val="009D22E0"/>
    <w:rPr>
      <w:b/>
      <w:bCs/>
      <w:smallCaps/>
      <w:color w:val="0F4761" w:themeColor="accent1" w:themeShade="BF"/>
      <w:spacing w:val="5"/>
    </w:rPr>
  </w:style>
  <w:style w:type="paragraph" w:styleId="NormalWeb">
    <w:name w:val="Normal (Web)"/>
    <w:basedOn w:val="Normal"/>
    <w:uiPriority w:val="99"/>
    <w:semiHidden/>
    <w:unhideWhenUsed/>
    <w:rsid w:val="00A12F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ParagraphedelisteCar">
    <w:name w:val="Paragraphe de liste Car"/>
    <w:aliases w:val="1.1.1_List Paragraph Car,List_Paragraph Car,Multilevel para_II Car,Colorful List - Accent 1 Char Car,1.1.1_List Paragraph Char Car,List_Paragraph Char Car,Multilevel para_II Char Car,List Paragraph1 Char Car,b-txt Car,3 Car"/>
    <w:link w:val="Paragraphedeliste"/>
    <w:uiPriority w:val="34"/>
    <w:qFormat/>
    <w:locked/>
    <w:rsid w:val="000C14D2"/>
  </w:style>
  <w:style w:type="table" w:styleId="Grilledutableau">
    <w:name w:val="Table Grid"/>
    <w:basedOn w:val="TableauNormal"/>
    <w:uiPriority w:val="39"/>
    <w:rsid w:val="000C1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7D5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Sansinterligne">
    <w:name w:val="No Spacing"/>
    <w:uiPriority w:val="1"/>
    <w:qFormat/>
    <w:rsid w:val="00807F6F"/>
    <w:pPr>
      <w:spacing w:after="0" w:line="240" w:lineRule="auto"/>
    </w:pPr>
  </w:style>
  <w:style w:type="character" w:styleId="Lienhypertexte">
    <w:name w:val="Hyperlink"/>
    <w:basedOn w:val="Policepardfaut"/>
    <w:uiPriority w:val="99"/>
    <w:unhideWhenUsed/>
    <w:rsid w:val="005F1176"/>
    <w:rPr>
      <w:color w:val="467886" w:themeColor="hyperlink"/>
      <w:u w:val="single"/>
    </w:rPr>
  </w:style>
  <w:style w:type="character" w:customStyle="1" w:styleId="UnresolvedMention">
    <w:name w:val="Unresolved Mention"/>
    <w:basedOn w:val="Policepardfaut"/>
    <w:uiPriority w:val="99"/>
    <w:semiHidden/>
    <w:unhideWhenUsed/>
    <w:rsid w:val="00EF033C"/>
    <w:rPr>
      <w:color w:val="605E5C"/>
      <w:shd w:val="clear" w:color="auto" w:fill="E1DFDD"/>
    </w:rPr>
  </w:style>
  <w:style w:type="paragraph" w:styleId="En-tte">
    <w:name w:val="header"/>
    <w:basedOn w:val="Normal"/>
    <w:link w:val="En-tteCar"/>
    <w:uiPriority w:val="99"/>
    <w:unhideWhenUsed/>
    <w:rsid w:val="00057527"/>
    <w:pPr>
      <w:tabs>
        <w:tab w:val="center" w:pos="4680"/>
        <w:tab w:val="right" w:pos="9360"/>
      </w:tabs>
      <w:spacing w:after="0" w:line="240" w:lineRule="auto"/>
    </w:pPr>
  </w:style>
  <w:style w:type="character" w:customStyle="1" w:styleId="En-tteCar">
    <w:name w:val="En-tête Car"/>
    <w:basedOn w:val="Policepardfaut"/>
    <w:link w:val="En-tte"/>
    <w:uiPriority w:val="99"/>
    <w:rsid w:val="00057527"/>
  </w:style>
  <w:style w:type="paragraph" w:styleId="Pieddepage">
    <w:name w:val="footer"/>
    <w:basedOn w:val="Normal"/>
    <w:link w:val="PieddepageCar"/>
    <w:uiPriority w:val="99"/>
    <w:unhideWhenUsed/>
    <w:rsid w:val="0005752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7527"/>
  </w:style>
  <w:style w:type="character" w:styleId="Marquedecommentaire">
    <w:name w:val="annotation reference"/>
    <w:basedOn w:val="Policepardfaut"/>
    <w:uiPriority w:val="99"/>
    <w:semiHidden/>
    <w:unhideWhenUsed/>
    <w:rsid w:val="00741226"/>
    <w:rPr>
      <w:sz w:val="16"/>
      <w:szCs w:val="16"/>
    </w:rPr>
  </w:style>
  <w:style w:type="paragraph" w:styleId="Commentaire">
    <w:name w:val="annotation text"/>
    <w:basedOn w:val="Normal"/>
    <w:link w:val="CommentaireCar"/>
    <w:uiPriority w:val="99"/>
    <w:semiHidden/>
    <w:unhideWhenUsed/>
    <w:rsid w:val="00741226"/>
    <w:pPr>
      <w:spacing w:line="240" w:lineRule="auto"/>
    </w:pPr>
    <w:rPr>
      <w:sz w:val="20"/>
      <w:szCs w:val="20"/>
    </w:rPr>
  </w:style>
  <w:style w:type="character" w:customStyle="1" w:styleId="CommentaireCar">
    <w:name w:val="Commentaire Car"/>
    <w:basedOn w:val="Policepardfaut"/>
    <w:link w:val="Commentaire"/>
    <w:uiPriority w:val="99"/>
    <w:semiHidden/>
    <w:rsid w:val="00741226"/>
    <w:rPr>
      <w:sz w:val="20"/>
      <w:szCs w:val="20"/>
    </w:rPr>
  </w:style>
  <w:style w:type="paragraph" w:styleId="Objetducommentaire">
    <w:name w:val="annotation subject"/>
    <w:basedOn w:val="Commentaire"/>
    <w:next w:val="Commentaire"/>
    <w:link w:val="ObjetducommentaireCar"/>
    <w:uiPriority w:val="99"/>
    <w:semiHidden/>
    <w:unhideWhenUsed/>
    <w:rsid w:val="00741226"/>
    <w:rPr>
      <w:b/>
      <w:bCs/>
    </w:rPr>
  </w:style>
  <w:style w:type="character" w:customStyle="1" w:styleId="ObjetducommentaireCar">
    <w:name w:val="Objet du commentaire Car"/>
    <w:basedOn w:val="CommentaireCar"/>
    <w:link w:val="Objetducommentaire"/>
    <w:uiPriority w:val="99"/>
    <w:semiHidden/>
    <w:rsid w:val="00741226"/>
    <w:rPr>
      <w:b/>
      <w:bCs/>
      <w:sz w:val="20"/>
      <w:szCs w:val="20"/>
    </w:rPr>
  </w:style>
  <w:style w:type="paragraph" w:styleId="Textedebulles">
    <w:name w:val="Balloon Text"/>
    <w:basedOn w:val="Normal"/>
    <w:link w:val="TextedebullesCar"/>
    <w:uiPriority w:val="99"/>
    <w:semiHidden/>
    <w:unhideWhenUsed/>
    <w:rsid w:val="007412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6557/upjoz/2024/v45i63953"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34/ijpss/2023/v35i2139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9734/ijpss/2022/v34i22314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61180/vegsci.2020.v47.i1.2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hytochemistrysociety.com/" TargetMode="External"/><Relationship Id="rId14" Type="http://schemas.openxmlformats.org/officeDocument/2006/relationships/hyperlink" Target="https://doi.org/10.9734/jabb/2024/v27i812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3117</Words>
  <Characters>17145</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kumar</dc:creator>
  <cp:lastModifiedBy>seven</cp:lastModifiedBy>
  <cp:revision>6</cp:revision>
  <dcterms:created xsi:type="dcterms:W3CDTF">2026-01-04T11:38:00Z</dcterms:created>
  <dcterms:modified xsi:type="dcterms:W3CDTF">2026-01-04T16:16:00Z</dcterms:modified>
</cp:coreProperties>
</file>