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D760" w14:textId="77777777" w:rsidR="00441994" w:rsidRDefault="00441994" w:rsidP="007F78C3">
      <w:pPr>
        <w:jc w:val="center"/>
        <w:rPr>
          <w:rFonts w:ascii="Times New Roman" w:hAnsi="Times New Roman" w:cs="Times New Roman"/>
          <w:b/>
          <w:bCs/>
          <w:sz w:val="24"/>
          <w:szCs w:val="24"/>
        </w:rPr>
      </w:pPr>
      <w:r w:rsidRPr="007F78C3">
        <w:rPr>
          <w:rFonts w:ascii="Times New Roman" w:hAnsi="Times New Roman" w:cs="Times New Roman"/>
          <w:b/>
          <w:bCs/>
          <w:sz w:val="24"/>
          <w:szCs w:val="24"/>
        </w:rPr>
        <w:t>Enhancing Productivity and Livelihoods of Farm Women through Ecologically Safe Integrated Crop Management Practices in Ridge Gourd</w:t>
      </w:r>
    </w:p>
    <w:p w14:paraId="3C2BBFA5" w14:textId="77777777" w:rsidR="00EF033C" w:rsidRPr="007F78C3" w:rsidRDefault="00EF033C" w:rsidP="007F78C3">
      <w:pPr>
        <w:jc w:val="center"/>
        <w:rPr>
          <w:rFonts w:ascii="Times New Roman" w:hAnsi="Times New Roman" w:cs="Times New Roman"/>
          <w:b/>
          <w:bCs/>
          <w:sz w:val="24"/>
          <w:szCs w:val="24"/>
        </w:rPr>
      </w:pPr>
    </w:p>
    <w:p w14:paraId="278E2232" w14:textId="77777777" w:rsidR="00723304" w:rsidRPr="005F1176" w:rsidRDefault="00723304" w:rsidP="005F1176">
      <w:pPr>
        <w:spacing w:after="0" w:line="360" w:lineRule="auto"/>
        <w:ind w:right="-138"/>
        <w:rPr>
          <w:rFonts w:ascii="Times New Roman" w:hAnsi="Times New Roman" w:cs="Times New Roman"/>
          <w:b/>
          <w:sz w:val="24"/>
          <w:szCs w:val="24"/>
        </w:rPr>
      </w:pPr>
    </w:p>
    <w:p w14:paraId="4542F0D3"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ABSTRACT</w:t>
      </w:r>
    </w:p>
    <w:p w14:paraId="341DAC64" w14:textId="77777777" w:rsidR="002B1124" w:rsidRPr="007F78C3" w:rsidRDefault="002B1124"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The present study was conducted to evaluate the effectiveness of ecologically safe Integrated Crop Management (ICM) practices in ridge gourd cultivation among farm women through on-farm demonstrations. The specific objectives were to demonstrate ICM practices as an eco-friendly intervention, to assess their effect on yield and cost economics, and to study drudgery-related constraints faced by farm women. The study was carried out with 25 farm women respondents during the cropping season under frontline demonstration approach. Data were collected on knowledge level of farm women regarding ICM practices, yield parameters, pest incidence, and economic returns, and compared with farmers’ conventional practices. The results revealed that farm women possessed adequate knowledge of basic agronomic practices but had limited awareness of critical components such as improved varieties, seed treatment, micronutrient management, and eco-friendly pest control measures. Adoption of ICM practices resulted in a significant increase in fruit yield (13.5 t acre⁻¹) compared to farmers’ practice (7.2 t acre⁻¹), along with a reduction in fruit fly damage (11.6%). Despite a marginal increase in cost of cultivation, net returns (Rs. 1,92,800 </w:t>
      </w:r>
      <w:proofErr w:type="gramStart"/>
      <w:r w:rsidRPr="007F78C3">
        <w:rPr>
          <w:rFonts w:ascii="Times New Roman" w:hAnsi="Times New Roman" w:cs="Times New Roman"/>
          <w:sz w:val="24"/>
          <w:szCs w:val="24"/>
        </w:rPr>
        <w:t>acre</w:t>
      </w:r>
      <w:proofErr w:type="gramEnd"/>
      <w:r w:rsidRPr="007F78C3">
        <w:rPr>
          <w:rFonts w:ascii="Times New Roman" w:hAnsi="Times New Roman" w:cs="Times New Roman"/>
          <w:sz w:val="24"/>
          <w:szCs w:val="24"/>
        </w:rPr>
        <w:t>⁻¹) and benefit–cost ratio (3.5:1) were substantially higher under ICM practices. The study concludes that ecologically safe ICM practices not only enhance productivity and profitability but also contribute to reduced drudgery and improved occupational safety of farm women, thereby promoting sustainable vegetable cultivation.</w:t>
      </w:r>
    </w:p>
    <w:p w14:paraId="716B34B8" w14:textId="77777777" w:rsidR="002B1124" w:rsidRDefault="002B1124" w:rsidP="007F78C3">
      <w:pPr>
        <w:jc w:val="both"/>
        <w:rPr>
          <w:rFonts w:ascii="Times New Roman" w:hAnsi="Times New Roman" w:cs="Times New Roman"/>
          <w:sz w:val="24"/>
          <w:szCs w:val="24"/>
        </w:rPr>
      </w:pPr>
      <w:r w:rsidRPr="007F78C3">
        <w:rPr>
          <w:rFonts w:ascii="Times New Roman" w:hAnsi="Times New Roman" w:cs="Times New Roman"/>
          <w:b/>
          <w:bCs/>
          <w:sz w:val="24"/>
          <w:szCs w:val="24"/>
        </w:rPr>
        <w:t>Keywords:</w:t>
      </w:r>
      <w:r w:rsidRPr="007F78C3">
        <w:rPr>
          <w:rFonts w:ascii="Times New Roman" w:hAnsi="Times New Roman" w:cs="Times New Roman"/>
          <w:sz w:val="24"/>
          <w:szCs w:val="24"/>
        </w:rPr>
        <w:t xml:space="preserve"> Farm women, Ridge gourd, Integrated Crop Management, Ecological safety, Yield economics, Drudgery</w:t>
      </w:r>
    </w:p>
    <w:p w14:paraId="0C3FF9F7" w14:textId="57EAD16E" w:rsidR="0028374C" w:rsidRPr="0028374C" w:rsidRDefault="0028374C" w:rsidP="0028374C">
      <w:pPr>
        <w:pStyle w:val="ListParagraph"/>
        <w:numPr>
          <w:ilvl w:val="0"/>
          <w:numId w:val="14"/>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 xml:space="preserve">Clearly mention the </w:t>
      </w:r>
      <w:r w:rsidRPr="0028374C">
        <w:rPr>
          <w:rFonts w:ascii="Times New Roman" w:hAnsi="Times New Roman" w:cs="Times New Roman"/>
          <w:b/>
          <w:bCs/>
          <w:color w:val="FF0000"/>
          <w:sz w:val="24"/>
          <w:szCs w:val="24"/>
          <w:lang w:val="en-US"/>
        </w:rPr>
        <w:t>study location</w:t>
      </w:r>
      <w:r w:rsidRPr="0028374C">
        <w:rPr>
          <w:rFonts w:ascii="Times New Roman" w:hAnsi="Times New Roman" w:cs="Times New Roman"/>
          <w:color w:val="FF0000"/>
          <w:sz w:val="24"/>
          <w:szCs w:val="24"/>
          <w:lang w:val="en-US"/>
        </w:rPr>
        <w:t xml:space="preserve"> (district/state).</w:t>
      </w:r>
    </w:p>
    <w:p w14:paraId="0D651D4D" w14:textId="4AE42916" w:rsidR="0028374C" w:rsidRPr="0028374C" w:rsidRDefault="0028374C" w:rsidP="0028374C">
      <w:pPr>
        <w:pStyle w:val="ListParagraph"/>
        <w:numPr>
          <w:ilvl w:val="0"/>
          <w:numId w:val="14"/>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 xml:space="preserve">Quantify major findings in terms of </w:t>
      </w:r>
      <w:r w:rsidRPr="0028374C">
        <w:rPr>
          <w:rFonts w:ascii="Times New Roman" w:hAnsi="Times New Roman" w:cs="Times New Roman"/>
          <w:b/>
          <w:bCs/>
          <w:color w:val="FF0000"/>
          <w:sz w:val="24"/>
          <w:szCs w:val="24"/>
          <w:lang w:val="en-US"/>
        </w:rPr>
        <w:t>percentage increase in yield and returns</w:t>
      </w:r>
      <w:r w:rsidRPr="0028374C">
        <w:rPr>
          <w:rFonts w:ascii="Times New Roman" w:hAnsi="Times New Roman" w:cs="Times New Roman"/>
          <w:color w:val="FF0000"/>
          <w:sz w:val="24"/>
          <w:szCs w:val="24"/>
          <w:lang w:val="en-US"/>
        </w:rPr>
        <w:t>.</w:t>
      </w:r>
    </w:p>
    <w:p w14:paraId="7B21B8A9" w14:textId="64A5B36E" w:rsidR="0028374C" w:rsidRPr="0028374C" w:rsidRDefault="0028374C" w:rsidP="0028374C">
      <w:pPr>
        <w:pStyle w:val="ListParagraph"/>
        <w:numPr>
          <w:ilvl w:val="0"/>
          <w:numId w:val="14"/>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 xml:space="preserve">Explicitly state the </w:t>
      </w:r>
      <w:r w:rsidRPr="0028374C">
        <w:rPr>
          <w:rFonts w:ascii="Times New Roman" w:hAnsi="Times New Roman" w:cs="Times New Roman"/>
          <w:b/>
          <w:bCs/>
          <w:color w:val="FF0000"/>
          <w:sz w:val="24"/>
          <w:szCs w:val="24"/>
          <w:lang w:val="en-US"/>
        </w:rPr>
        <w:t>methodology</w:t>
      </w:r>
      <w:r w:rsidRPr="0028374C">
        <w:rPr>
          <w:rFonts w:ascii="Times New Roman" w:hAnsi="Times New Roman" w:cs="Times New Roman"/>
          <w:color w:val="FF0000"/>
          <w:sz w:val="24"/>
          <w:szCs w:val="24"/>
          <w:lang w:val="en-US"/>
        </w:rPr>
        <w:t xml:space="preserve"> (on-farm demonstration/extension research).</w:t>
      </w:r>
    </w:p>
    <w:p w14:paraId="57B6133E" w14:textId="062CCF63" w:rsidR="0028374C" w:rsidRPr="0028374C" w:rsidRDefault="0028374C" w:rsidP="0028374C">
      <w:pPr>
        <w:pStyle w:val="ListParagraph"/>
        <w:numPr>
          <w:ilvl w:val="0"/>
          <w:numId w:val="14"/>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Improve conciseness by avoiding repetition of results already detailed later.</w:t>
      </w:r>
    </w:p>
    <w:p w14:paraId="2ACE6C11" w14:textId="77777777" w:rsidR="006D7B4E" w:rsidRPr="007F78C3" w:rsidRDefault="006D7B4E" w:rsidP="007F78C3">
      <w:pPr>
        <w:jc w:val="both"/>
        <w:rPr>
          <w:rFonts w:ascii="Times New Roman" w:hAnsi="Times New Roman" w:cs="Times New Roman"/>
          <w:sz w:val="24"/>
          <w:szCs w:val="24"/>
        </w:rPr>
      </w:pPr>
    </w:p>
    <w:p w14:paraId="38D2601E" w14:textId="77777777" w:rsidR="00FD24C8" w:rsidRPr="007F78C3" w:rsidRDefault="00FD24C8"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INTRODUCTION</w:t>
      </w:r>
    </w:p>
    <w:p w14:paraId="79BE40AD"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Ridge gourd (</w:t>
      </w:r>
      <w:r w:rsidR="00FD24C8" w:rsidRPr="007F78C3">
        <w:rPr>
          <w:rFonts w:ascii="Times New Roman" w:hAnsi="Times New Roman" w:cs="Times New Roman"/>
          <w:i/>
          <w:iCs/>
          <w:sz w:val="24"/>
          <w:szCs w:val="24"/>
        </w:rPr>
        <w:t xml:space="preserve">Luffa </w:t>
      </w:r>
      <w:proofErr w:type="spellStart"/>
      <w:r w:rsidR="00FD24C8" w:rsidRPr="007F78C3">
        <w:rPr>
          <w:rFonts w:ascii="Times New Roman" w:hAnsi="Times New Roman" w:cs="Times New Roman"/>
          <w:i/>
          <w:iCs/>
          <w:sz w:val="24"/>
          <w:szCs w:val="24"/>
        </w:rPr>
        <w:t>acutangula</w:t>
      </w:r>
      <w:proofErr w:type="spellEnd"/>
      <w:r w:rsidR="00FD24C8" w:rsidRPr="007F78C3">
        <w:rPr>
          <w:rFonts w:ascii="Times New Roman" w:hAnsi="Times New Roman" w:cs="Times New Roman"/>
          <w:sz w:val="24"/>
          <w:szCs w:val="24"/>
        </w:rPr>
        <w:t xml:space="preserve"> L.) is an important cucurbitaceous vegetable crop widely cultivated in tropical and subtropical regions of India. It is valued for its high nutritive content, short duration, and steady market demand, making it a preferred crop among small and marginal farmers. In many vegetable-growing regions, farm women play a crucial role in ridge gourd cultivation, being actively involved in operations such as seed sowing, weeding, nutrient application, harvesting, and post-harvest handling. Despite their significant contribution, farm women often have limited access to scientific knowledge, skill-based training, and eco-friendly crop management technologies.</w:t>
      </w:r>
    </w:p>
    <w:p w14:paraId="12C42EA0"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 xml:space="preserve">Conventional cultivation practices in ridge gourd are often characterized by imbalanced fertilizer use, indiscriminate pesticide application, and inadequate pest </w:t>
      </w:r>
      <w:r w:rsidR="00FD24C8" w:rsidRPr="007F78C3">
        <w:rPr>
          <w:rFonts w:ascii="Times New Roman" w:hAnsi="Times New Roman" w:cs="Times New Roman"/>
          <w:sz w:val="24"/>
          <w:szCs w:val="24"/>
        </w:rPr>
        <w:lastRenderedPageBreak/>
        <w:t>management strategies, leading to increased cost of cultivation, pest resistance, environmental contamination, and health hazards to farm women who are directly exposed during field operations. Among pests, fruit fly is one of the most destructive insects in ridge gourd, causing severe yield losses and quality deterioration. The need for ecologically safe and sustainable crop management practices is therefore imperative to ensure higherproductivity, reduced chemical dependency, and improved occupational safety for farm women.</w:t>
      </w:r>
    </w:p>
    <w:p w14:paraId="0B3D7AAF"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Integrated Crop Management (ICM) offers a holistic approach that combines appropriate agronomic practices, balanced nutrient management, eco-friendly pest and disease control measures, and efficient resource utilization to achieve sustainable crop production. Adoption of ICM practices has been reported to enhance yield, improve input-use efficiency, reduce pest incidence, and increase profitability while minimizing adverse environmental impacts. However, the adoption of ICM practices among farm women remains low, primarily due to knowledge gaps in technically complex components such as seed treatment, micronutrient management, pest identification, and use of biological and mechanical control methods.</w:t>
      </w:r>
    </w:p>
    <w:p w14:paraId="509834C9"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Demonstration-based extension approaches play a vital role in bridging this knowledge gap by enabling farm women to observe, learn, and adopt improved practices under real farm conditions. Such demonstrations not only enhance technical knowledge but also help in evaluating the economic viability and practical feasibility of recommended technologies. Moreover, introduction of eco-friendly ICM practices has the potential to reduce drudgery, lower exposure to hazardous agrochemicals, and improve the overall working conditions of farm women.</w:t>
      </w:r>
    </w:p>
    <w:p w14:paraId="7A2DD91C" w14:textId="77777777" w:rsidR="00FD24C8"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In this context, the present study was undertaken to demonstrate ecologically safe Integrated Crop Management practices in ridge gourd among farm women, to evaluate their impact on yield and cost economics, and to assess drudgery-related constraints faced by farm women during ridge gourd cultivation. The findings of the study aim to provide scientific evidence for promoting women-centric, sustainable vegetable production systems through ICM interventions.</w:t>
      </w:r>
    </w:p>
    <w:p w14:paraId="63AE3357" w14:textId="53832A53" w:rsidR="006D7B4E" w:rsidRPr="006D7B4E" w:rsidRDefault="006D7B4E" w:rsidP="0028374C">
      <w:pPr>
        <w:pStyle w:val="ListParagraph"/>
        <w:numPr>
          <w:ilvl w:val="0"/>
          <w:numId w:val="13"/>
        </w:numPr>
        <w:jc w:val="both"/>
        <w:rPr>
          <w:rFonts w:ascii="Times New Roman" w:hAnsi="Times New Roman" w:cs="Times New Roman"/>
          <w:color w:val="FF0000"/>
          <w:sz w:val="24"/>
          <w:szCs w:val="24"/>
          <w:lang w:val="en-US"/>
        </w:rPr>
      </w:pPr>
      <w:r w:rsidRPr="006D7B4E">
        <w:rPr>
          <w:rFonts w:ascii="Times New Roman" w:hAnsi="Times New Roman" w:cs="Times New Roman"/>
          <w:color w:val="FF0000"/>
          <w:sz w:val="24"/>
          <w:szCs w:val="24"/>
          <w:lang w:val="en-US"/>
        </w:rPr>
        <w:t>Add a brief citation on pesticide exposure risks to farm women.</w:t>
      </w:r>
    </w:p>
    <w:p w14:paraId="2CF48B7E" w14:textId="5BBD9592" w:rsidR="006D7B4E" w:rsidRPr="006D7B4E" w:rsidRDefault="006D7B4E" w:rsidP="0028374C">
      <w:pPr>
        <w:pStyle w:val="ListParagraph"/>
        <w:numPr>
          <w:ilvl w:val="0"/>
          <w:numId w:val="13"/>
        </w:numPr>
        <w:jc w:val="both"/>
        <w:rPr>
          <w:rFonts w:ascii="Times New Roman" w:hAnsi="Times New Roman" w:cs="Times New Roman"/>
          <w:color w:val="FF0000"/>
          <w:sz w:val="24"/>
          <w:szCs w:val="24"/>
          <w:lang w:val="en-US"/>
        </w:rPr>
      </w:pPr>
      <w:r w:rsidRPr="006D7B4E">
        <w:rPr>
          <w:rFonts w:ascii="Times New Roman" w:hAnsi="Times New Roman" w:cs="Times New Roman"/>
          <w:color w:val="FF0000"/>
          <w:sz w:val="24"/>
          <w:szCs w:val="24"/>
          <w:lang w:val="en-US"/>
        </w:rPr>
        <w:t>Explicit stat</w:t>
      </w:r>
      <w:r w:rsidR="006D2D1A">
        <w:rPr>
          <w:rFonts w:ascii="Times New Roman" w:hAnsi="Times New Roman" w:cs="Times New Roman"/>
          <w:color w:val="FF0000"/>
          <w:sz w:val="24"/>
          <w:szCs w:val="24"/>
          <w:lang w:val="en-US"/>
        </w:rPr>
        <w:t>e</w:t>
      </w:r>
      <w:r w:rsidRPr="006D7B4E">
        <w:rPr>
          <w:rFonts w:ascii="Times New Roman" w:hAnsi="Times New Roman" w:cs="Times New Roman"/>
          <w:color w:val="FF0000"/>
          <w:sz w:val="24"/>
          <w:szCs w:val="24"/>
          <w:lang w:val="en-US"/>
        </w:rPr>
        <w:t xml:space="preserve"> the </w:t>
      </w:r>
      <w:r w:rsidRPr="006D7B4E">
        <w:rPr>
          <w:rFonts w:ascii="Times New Roman" w:hAnsi="Times New Roman" w:cs="Times New Roman"/>
          <w:b/>
          <w:bCs/>
          <w:color w:val="FF0000"/>
          <w:sz w:val="24"/>
          <w:szCs w:val="24"/>
          <w:lang w:val="en-US"/>
        </w:rPr>
        <w:t>research gap</w:t>
      </w:r>
      <w:r w:rsidRPr="006D7B4E">
        <w:rPr>
          <w:rFonts w:ascii="Times New Roman" w:hAnsi="Times New Roman" w:cs="Times New Roman"/>
          <w:color w:val="FF0000"/>
          <w:sz w:val="24"/>
          <w:szCs w:val="24"/>
          <w:lang w:val="en-US"/>
        </w:rPr>
        <w:t>: limited women-focused ICM validation in ridge gourd.</w:t>
      </w:r>
    </w:p>
    <w:p w14:paraId="00ACC845" w14:textId="06F8C06E" w:rsidR="006D7B4E" w:rsidRPr="006D7B4E" w:rsidRDefault="006D7B4E" w:rsidP="0028374C">
      <w:pPr>
        <w:pStyle w:val="ListParagraph"/>
        <w:numPr>
          <w:ilvl w:val="0"/>
          <w:numId w:val="13"/>
        </w:numPr>
        <w:jc w:val="both"/>
        <w:rPr>
          <w:rFonts w:ascii="Times New Roman" w:hAnsi="Times New Roman" w:cs="Times New Roman"/>
          <w:color w:val="FF0000"/>
          <w:sz w:val="24"/>
          <w:szCs w:val="24"/>
        </w:rPr>
      </w:pPr>
      <w:r w:rsidRPr="006D7B4E">
        <w:rPr>
          <w:rFonts w:ascii="Times New Roman" w:hAnsi="Times New Roman" w:cs="Times New Roman"/>
          <w:color w:val="FF0000"/>
          <w:sz w:val="24"/>
          <w:szCs w:val="24"/>
        </w:rPr>
        <w:t xml:space="preserve">Clearly end the section with </w:t>
      </w:r>
      <w:r w:rsidRPr="006D7B4E">
        <w:rPr>
          <w:rFonts w:ascii="Times New Roman" w:hAnsi="Times New Roman" w:cs="Times New Roman"/>
          <w:b/>
          <w:bCs/>
          <w:color w:val="FF0000"/>
          <w:sz w:val="24"/>
          <w:szCs w:val="24"/>
        </w:rPr>
        <w:t>research justification and objectives linkage</w:t>
      </w:r>
      <w:r w:rsidRPr="006D7B4E">
        <w:rPr>
          <w:rFonts w:ascii="Times New Roman" w:hAnsi="Times New Roman" w:cs="Times New Roman"/>
          <w:color w:val="FF0000"/>
          <w:sz w:val="24"/>
          <w:szCs w:val="24"/>
        </w:rPr>
        <w:t>.</w:t>
      </w:r>
    </w:p>
    <w:p w14:paraId="4BEEFC0F"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MATERIALS AND METHODS</w:t>
      </w:r>
    </w:p>
    <w:p w14:paraId="2A48B314"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Study area and sample selection</w:t>
      </w:r>
    </w:p>
    <w:p w14:paraId="420AC1C2"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The study was conducted during the cropping season in selected villages where ridge gourd is an important vegetable crop cultivated by farm women. A total of 25 farm women actively involved in ridge gourd cultivation were selected purposively for the study to participate in on-farm demonstrations of ICM practices.</w:t>
      </w:r>
    </w:p>
    <w:p w14:paraId="31B811DC"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Description of ICM practices demonstrated</w:t>
      </w:r>
    </w:p>
    <w:p w14:paraId="7D91EB5A"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 xml:space="preserve">The ICM demonstration included a package of ecologically safe and recommended practices, comprising selection of suitable soil, application of farmyard manure/compost, </w:t>
      </w:r>
      <w:r w:rsidR="002B1124" w:rsidRPr="007F78C3">
        <w:rPr>
          <w:rFonts w:ascii="Times New Roman" w:hAnsi="Times New Roman" w:cs="Times New Roman"/>
          <w:sz w:val="24"/>
          <w:szCs w:val="24"/>
        </w:rPr>
        <w:lastRenderedPageBreak/>
        <w:t>improved varieties, recommended seed rate, seed treatment, proper sowing time and spacing, pandal system of cultivation, balanced nutrient management including micronutrients, efficient irrigation scheduling, weed management, and eco-friendly pest and disease management practices such as erection of fruit fly traps. These practices were demonstrated in comparison with the farmers’ existing cultivation practices.</w:t>
      </w:r>
    </w:p>
    <w:p w14:paraId="61FED201"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Data collection</w:t>
      </w:r>
    </w:p>
    <w:p w14:paraId="07CB6960"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Data were collected using a pre-tested structured interview schedule through personal interviews with farm women. Information on knowledge level of ICM practices was assessed by categorizing responses into “having enough knowledge” and “not having enough knowledge.” In addition, data on yield attributes, fruit fly damage, cost of cultivation, gross returns, net returns, and benefit–cost ratio (BCR) were recorded separately for demonstration plots and farmers’ practice plots.</w:t>
      </w:r>
    </w:p>
    <w:p w14:paraId="219648C4"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Drudgery-related constraints were identified by documenting farm women’s perceptions regarding physically demanding operations during ridge gourd cultivation, including weeding, harvesting, pest management, and handling of produce.</w:t>
      </w:r>
    </w:p>
    <w:p w14:paraId="1D724638" w14:textId="77777777" w:rsidR="00741BE5"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741BE5" w:rsidRPr="007F78C3">
        <w:rPr>
          <w:rFonts w:ascii="Times New Roman" w:hAnsi="Times New Roman" w:cs="Times New Roman"/>
          <w:sz w:val="24"/>
          <w:szCs w:val="24"/>
        </w:rPr>
        <w:t>The data on percent fruit damage was calculated on the basis of total number of healthy fruit and infested ones [</w:t>
      </w:r>
      <w:r w:rsidR="007F78C3" w:rsidRPr="007F78C3">
        <w:rPr>
          <w:rFonts w:ascii="Times New Roman" w:hAnsi="Times New Roman" w:cs="Times New Roman"/>
          <w:sz w:val="24"/>
          <w:szCs w:val="24"/>
        </w:rPr>
        <w:t>Kumar et al., 2019</w:t>
      </w:r>
      <w:r w:rsidR="00741BE5" w:rsidRPr="007F78C3">
        <w:rPr>
          <w:rFonts w:ascii="Times New Roman" w:hAnsi="Times New Roman" w:cs="Times New Roman"/>
          <w:sz w:val="24"/>
          <w:szCs w:val="24"/>
        </w:rPr>
        <w:t>].</w:t>
      </w:r>
    </w:p>
    <w:p w14:paraId="43FCA2F7"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Economic analysis</w:t>
      </w:r>
    </w:p>
    <w:p w14:paraId="4E04C8A7"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Economic evaluation was carried out by calculating cost of cultivation, gross returns, net returns, and benefit–cost ratio for both ICM demonstration units and farmers’ practice. Gross returns were computed based on total yield and prevailing market price, while net returns were calculated by subtracting cost of cultivation from gross returns.</w:t>
      </w:r>
    </w:p>
    <w:p w14:paraId="2892903A"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Statistical analysis</w:t>
      </w:r>
    </w:p>
    <w:p w14:paraId="19B3C795" w14:textId="77777777" w:rsidR="002B1124"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The data were analyzed using simple descriptive statistics such as frequencies, percentages, and comparative analysis between demonstration and farmers’ practice to interpret the impact of ICM practices.</w:t>
      </w:r>
    </w:p>
    <w:p w14:paraId="22629FE0" w14:textId="77777777" w:rsidR="0028374C" w:rsidRPr="0028374C" w:rsidRDefault="0028374C" w:rsidP="0028374C">
      <w:pPr>
        <w:jc w:val="both"/>
        <w:rPr>
          <w:rFonts w:ascii="Times New Roman" w:hAnsi="Times New Roman" w:cs="Times New Roman"/>
          <w:color w:val="FF0000"/>
          <w:sz w:val="24"/>
          <w:szCs w:val="24"/>
          <w:lang w:val="en-US"/>
        </w:rPr>
      </w:pPr>
      <w:proofErr w:type="gramStart"/>
      <w:r w:rsidRPr="0028374C">
        <w:rPr>
          <w:rFonts w:ascii="Times New Roman" w:hAnsi="Times New Roman" w:cs="Times New Roman"/>
          <w:sz w:val="24"/>
          <w:szCs w:val="24"/>
          <w:lang w:val="en-US"/>
        </w:rPr>
        <w:t xml:space="preserve">  </w:t>
      </w:r>
      <w:r w:rsidRPr="0028374C">
        <w:rPr>
          <w:rFonts w:ascii="Times New Roman" w:hAnsi="Times New Roman" w:cs="Times New Roman"/>
          <w:color w:val="FF0000"/>
          <w:sz w:val="24"/>
          <w:szCs w:val="24"/>
          <w:lang w:val="en-US"/>
        </w:rPr>
        <w:t>Clarify</w:t>
      </w:r>
      <w:proofErr w:type="gramEnd"/>
      <w:r w:rsidRPr="0028374C">
        <w:rPr>
          <w:rFonts w:ascii="Times New Roman" w:hAnsi="Times New Roman" w:cs="Times New Roman"/>
          <w:color w:val="FF0000"/>
          <w:sz w:val="24"/>
          <w:szCs w:val="24"/>
          <w:lang w:val="en-US"/>
        </w:rPr>
        <w:t xml:space="preserve"> whether demonstration and farmers’ practice plots were:</w:t>
      </w:r>
    </w:p>
    <w:p w14:paraId="3C9C11E4" w14:textId="77777777" w:rsidR="0028374C" w:rsidRPr="0028374C" w:rsidRDefault="0028374C" w:rsidP="0028374C">
      <w:pPr>
        <w:numPr>
          <w:ilvl w:val="0"/>
          <w:numId w:val="11"/>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On the same farms or on different farms.</w:t>
      </w:r>
    </w:p>
    <w:p w14:paraId="4A67368A" w14:textId="77777777" w:rsidR="0028374C" w:rsidRPr="0028374C" w:rsidRDefault="0028374C" w:rsidP="0028374C">
      <w:pPr>
        <w:jc w:val="both"/>
        <w:rPr>
          <w:rFonts w:ascii="Times New Roman" w:hAnsi="Times New Roman" w:cs="Times New Roman"/>
          <w:color w:val="FF0000"/>
          <w:sz w:val="24"/>
          <w:szCs w:val="24"/>
          <w:lang w:val="en-US"/>
        </w:rPr>
      </w:pPr>
      <w:proofErr w:type="gramStart"/>
      <w:r w:rsidRPr="0028374C">
        <w:rPr>
          <w:rFonts w:ascii="Times New Roman" w:hAnsi="Times New Roman" w:cs="Times New Roman"/>
          <w:color w:val="FF0000"/>
          <w:sz w:val="24"/>
          <w:szCs w:val="24"/>
          <w:lang w:val="en-US"/>
        </w:rPr>
        <w:t>  Provide</w:t>
      </w:r>
      <w:proofErr w:type="gramEnd"/>
      <w:r w:rsidRPr="0028374C">
        <w:rPr>
          <w:rFonts w:ascii="Times New Roman" w:hAnsi="Times New Roman" w:cs="Times New Roman"/>
          <w:color w:val="FF0000"/>
          <w:sz w:val="24"/>
          <w:szCs w:val="24"/>
          <w:lang w:val="en-US"/>
        </w:rPr>
        <w:t xml:space="preserve"> more specificity on:</w:t>
      </w:r>
    </w:p>
    <w:p w14:paraId="74A41662" w14:textId="77777777" w:rsidR="0028374C" w:rsidRPr="0028374C" w:rsidRDefault="0028374C" w:rsidP="0028374C">
      <w:pPr>
        <w:numPr>
          <w:ilvl w:val="0"/>
          <w:numId w:val="12"/>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Improved variety used</w:t>
      </w:r>
    </w:p>
    <w:p w14:paraId="55FBAE07" w14:textId="77777777" w:rsidR="0028374C" w:rsidRPr="0028374C" w:rsidRDefault="0028374C" w:rsidP="0028374C">
      <w:pPr>
        <w:numPr>
          <w:ilvl w:val="0"/>
          <w:numId w:val="12"/>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Boron source and method of application</w:t>
      </w:r>
    </w:p>
    <w:p w14:paraId="33502945" w14:textId="77777777" w:rsidR="0028374C" w:rsidRPr="0028374C" w:rsidRDefault="0028374C" w:rsidP="0028374C">
      <w:pPr>
        <w:numPr>
          <w:ilvl w:val="0"/>
          <w:numId w:val="12"/>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Number and type of fruit fly traps</w:t>
      </w:r>
    </w:p>
    <w:p w14:paraId="254C1708" w14:textId="77777777" w:rsidR="0028374C" w:rsidRPr="0028374C" w:rsidRDefault="0028374C" w:rsidP="0028374C">
      <w:pPr>
        <w:jc w:val="both"/>
        <w:rPr>
          <w:rFonts w:ascii="Times New Roman" w:hAnsi="Times New Roman" w:cs="Times New Roman"/>
          <w:color w:val="FF0000"/>
          <w:sz w:val="24"/>
          <w:szCs w:val="24"/>
          <w:lang w:val="en-US"/>
        </w:rPr>
      </w:pPr>
      <w:proofErr w:type="gramStart"/>
      <w:r w:rsidRPr="0028374C">
        <w:rPr>
          <w:rFonts w:ascii="Times New Roman" w:hAnsi="Times New Roman" w:cs="Times New Roman"/>
          <w:color w:val="FF0000"/>
          <w:sz w:val="24"/>
          <w:szCs w:val="24"/>
          <w:lang w:val="en-US"/>
        </w:rPr>
        <w:t>  Explain</w:t>
      </w:r>
      <w:proofErr w:type="gramEnd"/>
      <w:r w:rsidRPr="0028374C">
        <w:rPr>
          <w:rFonts w:ascii="Times New Roman" w:hAnsi="Times New Roman" w:cs="Times New Roman"/>
          <w:color w:val="FF0000"/>
          <w:sz w:val="24"/>
          <w:szCs w:val="24"/>
          <w:lang w:val="en-US"/>
        </w:rPr>
        <w:t xml:space="preserve"> the </w:t>
      </w:r>
      <w:r w:rsidRPr="0028374C">
        <w:rPr>
          <w:rFonts w:ascii="Times New Roman" w:hAnsi="Times New Roman" w:cs="Times New Roman"/>
          <w:b/>
          <w:bCs/>
          <w:color w:val="FF0000"/>
          <w:sz w:val="24"/>
          <w:szCs w:val="24"/>
          <w:lang w:val="en-US"/>
        </w:rPr>
        <w:t>knowledge assessment method</w:t>
      </w:r>
      <w:r w:rsidRPr="0028374C">
        <w:rPr>
          <w:rFonts w:ascii="Times New Roman" w:hAnsi="Times New Roman" w:cs="Times New Roman"/>
          <w:color w:val="FF0000"/>
          <w:sz w:val="24"/>
          <w:szCs w:val="24"/>
          <w:lang w:val="en-US"/>
        </w:rPr>
        <w:t xml:space="preserve"> and basis for classification.</w:t>
      </w:r>
    </w:p>
    <w:p w14:paraId="731C5503" w14:textId="77777777" w:rsidR="0028374C" w:rsidRPr="0028374C" w:rsidRDefault="0028374C" w:rsidP="0028374C">
      <w:pPr>
        <w:jc w:val="both"/>
        <w:rPr>
          <w:rFonts w:ascii="Times New Roman" w:hAnsi="Times New Roman" w:cs="Times New Roman"/>
          <w:color w:val="FF0000"/>
          <w:sz w:val="24"/>
          <w:szCs w:val="24"/>
          <w:lang w:val="en-US"/>
        </w:rPr>
      </w:pPr>
      <w:proofErr w:type="gramStart"/>
      <w:r w:rsidRPr="0028374C">
        <w:rPr>
          <w:rFonts w:ascii="Times New Roman" w:hAnsi="Times New Roman" w:cs="Times New Roman"/>
          <w:color w:val="FF0000"/>
          <w:sz w:val="24"/>
          <w:szCs w:val="24"/>
          <w:lang w:val="en-US"/>
        </w:rPr>
        <w:t>  Mention</w:t>
      </w:r>
      <w:proofErr w:type="gramEnd"/>
      <w:r w:rsidRPr="0028374C">
        <w:rPr>
          <w:rFonts w:ascii="Times New Roman" w:hAnsi="Times New Roman" w:cs="Times New Roman"/>
          <w:color w:val="FF0000"/>
          <w:sz w:val="24"/>
          <w:szCs w:val="24"/>
          <w:lang w:val="en-US"/>
        </w:rPr>
        <w:t xml:space="preserve"> source of </w:t>
      </w:r>
      <w:r w:rsidRPr="0028374C">
        <w:rPr>
          <w:rFonts w:ascii="Times New Roman" w:hAnsi="Times New Roman" w:cs="Times New Roman"/>
          <w:b/>
          <w:bCs/>
          <w:color w:val="FF0000"/>
          <w:sz w:val="24"/>
          <w:szCs w:val="24"/>
          <w:lang w:val="en-US"/>
        </w:rPr>
        <w:t>market price data</w:t>
      </w:r>
      <w:r w:rsidRPr="0028374C">
        <w:rPr>
          <w:rFonts w:ascii="Times New Roman" w:hAnsi="Times New Roman" w:cs="Times New Roman"/>
          <w:color w:val="FF0000"/>
          <w:sz w:val="24"/>
          <w:szCs w:val="24"/>
          <w:lang w:val="en-US"/>
        </w:rPr>
        <w:t xml:space="preserve"> used for economic analysis.</w:t>
      </w:r>
    </w:p>
    <w:p w14:paraId="20F63C64" w14:textId="77777777" w:rsidR="0028374C" w:rsidRPr="0028374C" w:rsidRDefault="0028374C" w:rsidP="0028374C">
      <w:pPr>
        <w:jc w:val="both"/>
        <w:rPr>
          <w:rFonts w:ascii="Times New Roman" w:hAnsi="Times New Roman" w:cs="Times New Roman"/>
          <w:color w:val="FF0000"/>
          <w:sz w:val="24"/>
          <w:szCs w:val="24"/>
          <w:lang w:val="en-US"/>
        </w:rPr>
      </w:pPr>
      <w:proofErr w:type="gramStart"/>
      <w:r w:rsidRPr="0028374C">
        <w:rPr>
          <w:rFonts w:ascii="Times New Roman" w:hAnsi="Times New Roman" w:cs="Times New Roman"/>
          <w:color w:val="FF0000"/>
          <w:sz w:val="24"/>
          <w:szCs w:val="24"/>
          <w:lang w:val="en-US"/>
        </w:rPr>
        <w:t>  Consider</w:t>
      </w:r>
      <w:proofErr w:type="gramEnd"/>
      <w:r w:rsidRPr="0028374C">
        <w:rPr>
          <w:rFonts w:ascii="Times New Roman" w:hAnsi="Times New Roman" w:cs="Times New Roman"/>
          <w:color w:val="FF0000"/>
          <w:sz w:val="24"/>
          <w:szCs w:val="24"/>
          <w:lang w:val="en-US"/>
        </w:rPr>
        <w:t xml:space="preserve"> including </w:t>
      </w:r>
      <w:r w:rsidRPr="0028374C">
        <w:rPr>
          <w:rFonts w:ascii="Times New Roman" w:hAnsi="Times New Roman" w:cs="Times New Roman"/>
          <w:b/>
          <w:bCs/>
          <w:color w:val="FF0000"/>
          <w:sz w:val="24"/>
          <w:szCs w:val="24"/>
          <w:lang w:val="en-US"/>
        </w:rPr>
        <w:t>extension gap or yield gap analysis</w:t>
      </w:r>
      <w:r w:rsidRPr="0028374C">
        <w:rPr>
          <w:rFonts w:ascii="Times New Roman" w:hAnsi="Times New Roman" w:cs="Times New Roman"/>
          <w:color w:val="FF0000"/>
          <w:sz w:val="24"/>
          <w:szCs w:val="24"/>
          <w:lang w:val="en-US"/>
        </w:rPr>
        <w:t xml:space="preserve"> to strengthen impact assessment.</w:t>
      </w:r>
    </w:p>
    <w:p w14:paraId="39C0AB5B" w14:textId="77777777" w:rsidR="0028374C" w:rsidRPr="007F78C3" w:rsidRDefault="0028374C" w:rsidP="007F78C3">
      <w:pPr>
        <w:jc w:val="both"/>
        <w:rPr>
          <w:rFonts w:ascii="Times New Roman" w:hAnsi="Times New Roman" w:cs="Times New Roman"/>
          <w:sz w:val="24"/>
          <w:szCs w:val="24"/>
        </w:rPr>
      </w:pPr>
    </w:p>
    <w:p w14:paraId="20FC4FAF"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lastRenderedPageBreak/>
        <w:t>RESULTS AND DISCUSSION</w:t>
      </w:r>
    </w:p>
    <w:p w14:paraId="0A89BB07"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Knowledge level of farm women on ICM practices in ridge gourd</w:t>
      </w:r>
    </w:p>
    <w:p w14:paraId="60D8B5D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knowledge level of farm women on various Integrated Crop Management (ICM) practices in ridge gourd cultivation was assessed prior to the implementation of demonstrations. The results (Table 1) revealed that the respondents possessed adequate knowledge on basic agronomic practices, while critical gaps were observed in ecological and plant protection components.</w:t>
      </w:r>
    </w:p>
    <w:p w14:paraId="74C4B8B7"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All the respondents (100%) had sufficient knowledge regarding selection of suitable soil and interval of irrigation, followed by application of FYM/compost (95.65%), sowing time (95.65%), days to first picking (91.30%), average yield (91.30%), and picking intervals (86.96%). Moderate knowledge was observed in pandal system of cultivation and sowing distance (60.86%).</w:t>
      </w:r>
    </w:p>
    <w:p w14:paraId="39EF4CDA"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However, very low knowledge levels were recorded in technically complex and ecologically important practices. Only 8.70 per cent of respondents were aware of recommended varieties and seed rate, while none of the farm women had knowledge on seed treatment. Knowledge on sex expression (13.04%), application of boron (4.35%), stage and dosage of boron application, pre-emergence weed management, and fruit fly management through traps (4.35%) was extremely poor. Similarly, limited awareness was noticed regarding major pests (34.78%) and diseases (13.04%) of ridge gourd.</w:t>
      </w:r>
    </w:p>
    <w:p w14:paraId="2C641127" w14:textId="77777777" w:rsidR="00A748F1" w:rsidRPr="007F78C3"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These findings clearly indicate that while farm women are familiar with routine cultural operations</w:t>
      </w:r>
      <w:r w:rsidR="00A07397" w:rsidRPr="00807F6F">
        <w:rPr>
          <w:rFonts w:ascii="Times New Roman" w:hAnsi="Times New Roman" w:cs="Times New Roman"/>
          <w:sz w:val="24"/>
          <w:szCs w:val="24"/>
        </w:rPr>
        <w:t xml:space="preserve">. Similar observations were reported by </w:t>
      </w:r>
      <w:proofErr w:type="spellStart"/>
      <w:r w:rsidR="00A07397" w:rsidRPr="00807F6F">
        <w:rPr>
          <w:rFonts w:ascii="Times New Roman" w:hAnsi="Times New Roman" w:cs="Times New Roman"/>
          <w:sz w:val="24"/>
          <w:szCs w:val="24"/>
        </w:rPr>
        <w:t>Sundharaiya</w:t>
      </w:r>
      <w:proofErr w:type="spellEnd"/>
      <w:r w:rsidR="00A07397" w:rsidRPr="00807F6F">
        <w:rPr>
          <w:rFonts w:ascii="Times New Roman" w:hAnsi="Times New Roman" w:cs="Times New Roman"/>
          <w:sz w:val="24"/>
          <w:szCs w:val="24"/>
        </w:rPr>
        <w:t xml:space="preserve"> et al. (2022) and Siva et al. (2024), who noted that farm women are generally well acquainted with routine crop operations due to their continuous involvement in field activities. However, limited knowledge was observed in technically complex and eco-friendly practices such as seed treatment, micronutrient management (boron application), pest and disease identification, and fruit fly management, emphasizing the need for need-based demonstrations and capacity-building interventions. These findings are in agreement with Nayak and Mahapatra (2020), who </w:t>
      </w:r>
      <w:r w:rsidR="00A07397" w:rsidRPr="007F78C3">
        <w:rPr>
          <w:rFonts w:ascii="Times New Roman" w:hAnsi="Times New Roman" w:cs="Times New Roman"/>
          <w:sz w:val="24"/>
          <w:szCs w:val="24"/>
        </w:rPr>
        <w:t>identified knowledge gaps in plant protection and nutrient management among women farmers, primarily due to limited exposure to formal training and extension services.</w:t>
      </w:r>
    </w:p>
    <w:p w14:paraId="15F2C35D" w14:textId="77777777" w:rsidR="00A748F1" w:rsidRPr="007F78C3" w:rsidRDefault="002B1124" w:rsidP="007F78C3">
      <w:pPr>
        <w:spacing w:after="200" w:line="360" w:lineRule="auto"/>
        <w:ind w:left="360"/>
        <w:jc w:val="both"/>
        <w:rPr>
          <w:rFonts w:ascii="Times New Roman" w:hAnsi="Times New Roman" w:cs="Times New Roman"/>
          <w:b/>
          <w:bCs/>
          <w:sz w:val="24"/>
          <w:szCs w:val="24"/>
        </w:rPr>
      </w:pPr>
      <w:r w:rsidRPr="007F78C3">
        <w:rPr>
          <w:rFonts w:ascii="Times New Roman" w:hAnsi="Times New Roman" w:cs="Times New Roman"/>
          <w:b/>
          <w:bCs/>
          <w:sz w:val="24"/>
          <w:szCs w:val="24"/>
        </w:rPr>
        <w:t>Table 1. Knowledge level of farm women on Integrated Crop Management (ICM) practices in ridge gourd cultivation (n = 25)</w:t>
      </w:r>
    </w:p>
    <w:tbl>
      <w:tblPr>
        <w:tblStyle w:val="TableGrid"/>
        <w:tblW w:w="9072" w:type="dxa"/>
        <w:tblInd w:w="-5" w:type="dxa"/>
        <w:tblLook w:val="04A0" w:firstRow="1" w:lastRow="0" w:firstColumn="1" w:lastColumn="0" w:noHBand="0" w:noVBand="1"/>
      </w:tblPr>
      <w:tblGrid>
        <w:gridCol w:w="993"/>
        <w:gridCol w:w="3118"/>
        <w:gridCol w:w="2552"/>
        <w:gridCol w:w="2409"/>
      </w:tblGrid>
      <w:tr w:rsidR="00441994" w:rsidRPr="007F78C3" w14:paraId="4FBD7948" w14:textId="77777777" w:rsidTr="00807F6F">
        <w:trPr>
          <w:trHeight w:val="436"/>
        </w:trPr>
        <w:tc>
          <w:tcPr>
            <w:tcW w:w="993" w:type="dxa"/>
            <w:vMerge w:val="restart"/>
            <w:tcBorders>
              <w:top w:val="single" w:sz="4" w:space="0" w:color="auto"/>
              <w:left w:val="single" w:sz="4" w:space="0" w:color="auto"/>
              <w:bottom w:val="single" w:sz="4" w:space="0" w:color="auto"/>
              <w:right w:val="single" w:sz="4" w:space="0" w:color="auto"/>
            </w:tcBorders>
          </w:tcPr>
          <w:p w14:paraId="1D3D711F"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Sl. No.</w:t>
            </w:r>
          </w:p>
        </w:tc>
        <w:tc>
          <w:tcPr>
            <w:tcW w:w="3118" w:type="dxa"/>
            <w:vMerge w:val="restart"/>
            <w:tcBorders>
              <w:top w:val="single" w:sz="4" w:space="0" w:color="auto"/>
              <w:left w:val="single" w:sz="4" w:space="0" w:color="auto"/>
              <w:bottom w:val="single" w:sz="4" w:space="0" w:color="auto"/>
              <w:right w:val="single" w:sz="4" w:space="0" w:color="auto"/>
            </w:tcBorders>
          </w:tcPr>
          <w:p w14:paraId="59297DCA"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ICM practice</w:t>
            </w:r>
          </w:p>
        </w:tc>
        <w:tc>
          <w:tcPr>
            <w:tcW w:w="2552" w:type="dxa"/>
            <w:vMerge w:val="restar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6"/>
            </w:tblGrid>
            <w:tr w:rsidR="00441994" w:rsidRPr="00807F6F" w14:paraId="46BFBE2C" w14:textId="77777777" w:rsidTr="007F78C3">
              <w:trPr>
                <w:tblCellSpacing w:w="15" w:type="dxa"/>
              </w:trPr>
              <w:tc>
                <w:tcPr>
                  <w:tcW w:w="0" w:type="auto"/>
                  <w:vAlign w:val="center"/>
                  <w:hideMark/>
                </w:tcPr>
                <w:p w14:paraId="27CB8BD2" w14:textId="77777777" w:rsidR="00441994" w:rsidRPr="00807F6F" w:rsidRDefault="00441994" w:rsidP="00807F6F">
                  <w:pPr>
                    <w:pStyle w:val="NoSpacing"/>
                    <w:rPr>
                      <w:rFonts w:ascii="Times New Roman" w:hAnsi="Times New Roman" w:cs="Times New Roman"/>
                      <w:b/>
                      <w:bCs/>
                      <w:sz w:val="24"/>
                      <w:szCs w:val="24"/>
                    </w:rPr>
                  </w:pPr>
                  <w:r w:rsidRPr="00807F6F">
                    <w:rPr>
                      <w:rFonts w:ascii="Times New Roman" w:hAnsi="Times New Roman" w:cs="Times New Roman"/>
                      <w:b/>
                      <w:bCs/>
                      <w:sz w:val="24"/>
                      <w:szCs w:val="24"/>
                    </w:rPr>
                    <w:t>Farm womenhaving adequate knowledge (%)</w:t>
                  </w:r>
                </w:p>
              </w:tc>
            </w:tr>
          </w:tbl>
          <w:p w14:paraId="44EF7161" w14:textId="77777777" w:rsidR="00441994" w:rsidRPr="00807F6F" w:rsidRDefault="00441994" w:rsidP="007F78C3">
            <w:pPr>
              <w:rPr>
                <w:rFonts w:ascii="Times New Roman" w:hAnsi="Times New Roman" w:cs="Times New Roman"/>
                <w:b/>
                <w:bCs/>
                <w:vanish/>
                <w:sz w:val="24"/>
                <w:szCs w:val="24"/>
              </w:rPr>
            </w:pPr>
          </w:p>
          <w:p w14:paraId="30DD7673" w14:textId="77777777" w:rsidR="00441994" w:rsidRPr="00807F6F" w:rsidRDefault="00441994" w:rsidP="007F78C3">
            <w:pPr>
              <w:rPr>
                <w:rFonts w:ascii="Times New Roman" w:hAnsi="Times New Roman" w:cs="Times New Roman"/>
                <w:b/>
                <w:bCs/>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tcPr>
          <w:p w14:paraId="3B15D5F2"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Farm women having inadequate knowledge (%)</w:t>
            </w:r>
          </w:p>
        </w:tc>
      </w:tr>
      <w:tr w:rsidR="00441994" w:rsidRPr="007F78C3" w14:paraId="5BE4F582" w14:textId="77777777" w:rsidTr="00807F6F">
        <w:trPr>
          <w:trHeight w:val="447"/>
        </w:trPr>
        <w:tc>
          <w:tcPr>
            <w:tcW w:w="993" w:type="dxa"/>
            <w:vMerge/>
            <w:tcBorders>
              <w:top w:val="single" w:sz="4" w:space="0" w:color="auto"/>
              <w:left w:val="single" w:sz="4" w:space="0" w:color="auto"/>
              <w:bottom w:val="single" w:sz="4" w:space="0" w:color="auto"/>
              <w:right w:val="single" w:sz="4" w:space="0" w:color="auto"/>
            </w:tcBorders>
          </w:tcPr>
          <w:p w14:paraId="32E2AD3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D1C5D6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p>
        </w:tc>
        <w:tc>
          <w:tcPr>
            <w:tcW w:w="2552" w:type="dxa"/>
            <w:vMerge/>
            <w:tcBorders>
              <w:top w:val="single" w:sz="4" w:space="0" w:color="auto"/>
              <w:left w:val="single" w:sz="4" w:space="0" w:color="auto"/>
              <w:bottom w:val="single" w:sz="4" w:space="0" w:color="auto"/>
              <w:right w:val="single" w:sz="4" w:space="0" w:color="auto"/>
            </w:tcBorders>
          </w:tcPr>
          <w:p w14:paraId="04379E9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p>
        </w:tc>
        <w:tc>
          <w:tcPr>
            <w:tcW w:w="2409" w:type="dxa"/>
            <w:vMerge/>
            <w:tcBorders>
              <w:top w:val="single" w:sz="4" w:space="0" w:color="auto"/>
              <w:left w:val="single" w:sz="4" w:space="0" w:color="auto"/>
              <w:bottom w:val="single" w:sz="4" w:space="0" w:color="auto"/>
              <w:right w:val="single" w:sz="4" w:space="0" w:color="auto"/>
            </w:tcBorders>
          </w:tcPr>
          <w:p w14:paraId="64CB0753" w14:textId="77777777" w:rsidR="00441994" w:rsidRPr="007F78C3" w:rsidRDefault="00441994" w:rsidP="007F78C3">
            <w:pPr>
              <w:pStyle w:val="ListParagraph"/>
              <w:spacing w:after="200"/>
              <w:ind w:left="0"/>
              <w:jc w:val="both"/>
              <w:rPr>
                <w:rFonts w:ascii="Times New Roman" w:hAnsi="Times New Roman" w:cs="Times New Roman"/>
                <w:bCs/>
                <w:sz w:val="24"/>
                <w:szCs w:val="24"/>
              </w:rPr>
            </w:pPr>
          </w:p>
        </w:tc>
      </w:tr>
      <w:tr w:rsidR="00441994" w:rsidRPr="007F78C3" w14:paraId="6AE78396" w14:textId="77777777" w:rsidTr="00807F6F">
        <w:tc>
          <w:tcPr>
            <w:tcW w:w="993" w:type="dxa"/>
            <w:tcBorders>
              <w:top w:val="single" w:sz="4" w:space="0" w:color="auto"/>
            </w:tcBorders>
          </w:tcPr>
          <w:p w14:paraId="79AB6DD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w:t>
            </w:r>
          </w:p>
        </w:tc>
        <w:tc>
          <w:tcPr>
            <w:tcW w:w="3118" w:type="dxa"/>
            <w:tcBorders>
              <w:top w:val="single" w:sz="4" w:space="0" w:color="auto"/>
            </w:tcBorders>
          </w:tcPr>
          <w:p w14:paraId="40A0D2D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Selection of soil</w:t>
            </w:r>
          </w:p>
        </w:tc>
        <w:tc>
          <w:tcPr>
            <w:tcW w:w="2552" w:type="dxa"/>
            <w:tcBorders>
              <w:top w:val="single" w:sz="4" w:space="0" w:color="auto"/>
            </w:tcBorders>
          </w:tcPr>
          <w:p w14:paraId="74C5CCA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c>
          <w:tcPr>
            <w:tcW w:w="2409" w:type="dxa"/>
            <w:tcBorders>
              <w:top w:val="single" w:sz="4" w:space="0" w:color="auto"/>
            </w:tcBorders>
          </w:tcPr>
          <w:p w14:paraId="6348621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r>
      <w:tr w:rsidR="00441994" w:rsidRPr="007F78C3" w14:paraId="23FD78D3" w14:textId="77777777" w:rsidTr="00807F6F">
        <w:tc>
          <w:tcPr>
            <w:tcW w:w="993" w:type="dxa"/>
          </w:tcPr>
          <w:p w14:paraId="4EB00807"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2</w:t>
            </w:r>
          </w:p>
        </w:tc>
        <w:tc>
          <w:tcPr>
            <w:tcW w:w="3118" w:type="dxa"/>
          </w:tcPr>
          <w:p w14:paraId="5230DC2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Application FYM/compost</w:t>
            </w:r>
          </w:p>
        </w:tc>
        <w:tc>
          <w:tcPr>
            <w:tcW w:w="2552" w:type="dxa"/>
          </w:tcPr>
          <w:p w14:paraId="377B3F7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c>
          <w:tcPr>
            <w:tcW w:w="2409" w:type="dxa"/>
          </w:tcPr>
          <w:p w14:paraId="0E3F0DB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r>
      <w:tr w:rsidR="00441994" w:rsidRPr="007F78C3" w14:paraId="6DB94ABA" w14:textId="77777777" w:rsidTr="00807F6F">
        <w:tc>
          <w:tcPr>
            <w:tcW w:w="993" w:type="dxa"/>
          </w:tcPr>
          <w:p w14:paraId="4E11069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w:t>
            </w:r>
          </w:p>
        </w:tc>
        <w:tc>
          <w:tcPr>
            <w:tcW w:w="3118" w:type="dxa"/>
          </w:tcPr>
          <w:p w14:paraId="7E371483"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Varieties for ridge gourd cultivation</w:t>
            </w:r>
          </w:p>
        </w:tc>
        <w:tc>
          <w:tcPr>
            <w:tcW w:w="2552" w:type="dxa"/>
          </w:tcPr>
          <w:p w14:paraId="221AEC3D"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7DE5A35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w:t>
            </w:r>
          </w:p>
        </w:tc>
      </w:tr>
      <w:tr w:rsidR="00441994" w:rsidRPr="007F78C3" w14:paraId="7F7A3DB0" w14:textId="77777777" w:rsidTr="00807F6F">
        <w:tc>
          <w:tcPr>
            <w:tcW w:w="993" w:type="dxa"/>
          </w:tcPr>
          <w:p w14:paraId="7874ABE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w:t>
            </w:r>
          </w:p>
        </w:tc>
        <w:tc>
          <w:tcPr>
            <w:tcW w:w="3118" w:type="dxa"/>
          </w:tcPr>
          <w:p w14:paraId="2EF3407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Seed rate</w:t>
            </w:r>
          </w:p>
        </w:tc>
        <w:tc>
          <w:tcPr>
            <w:tcW w:w="2552" w:type="dxa"/>
          </w:tcPr>
          <w:p w14:paraId="44FBF735"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1147830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w:t>
            </w:r>
          </w:p>
        </w:tc>
      </w:tr>
      <w:tr w:rsidR="00441994" w:rsidRPr="007F78C3" w14:paraId="0CE7DA43" w14:textId="77777777" w:rsidTr="00807F6F">
        <w:tc>
          <w:tcPr>
            <w:tcW w:w="993" w:type="dxa"/>
          </w:tcPr>
          <w:p w14:paraId="0F9D983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lastRenderedPageBreak/>
              <w:t>5</w:t>
            </w:r>
          </w:p>
        </w:tc>
        <w:tc>
          <w:tcPr>
            <w:tcW w:w="3118" w:type="dxa"/>
          </w:tcPr>
          <w:p w14:paraId="2BE4C1C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 xml:space="preserve">Seed treatment </w:t>
            </w:r>
          </w:p>
        </w:tc>
        <w:tc>
          <w:tcPr>
            <w:tcW w:w="2552" w:type="dxa"/>
          </w:tcPr>
          <w:p w14:paraId="01E9F22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c>
          <w:tcPr>
            <w:tcW w:w="2409" w:type="dxa"/>
          </w:tcPr>
          <w:p w14:paraId="06FC0210"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r>
      <w:tr w:rsidR="00441994" w:rsidRPr="007F78C3" w14:paraId="626E2F68" w14:textId="77777777" w:rsidTr="00807F6F">
        <w:tc>
          <w:tcPr>
            <w:tcW w:w="993" w:type="dxa"/>
          </w:tcPr>
          <w:p w14:paraId="35ACFA8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w:t>
            </w:r>
          </w:p>
        </w:tc>
        <w:tc>
          <w:tcPr>
            <w:tcW w:w="3118" w:type="dxa"/>
          </w:tcPr>
          <w:p w14:paraId="4813A81F"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Pandal system of cultivation</w:t>
            </w:r>
          </w:p>
        </w:tc>
        <w:tc>
          <w:tcPr>
            <w:tcW w:w="2552" w:type="dxa"/>
          </w:tcPr>
          <w:p w14:paraId="35257E1C"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c>
          <w:tcPr>
            <w:tcW w:w="2409" w:type="dxa"/>
          </w:tcPr>
          <w:p w14:paraId="7A63D1A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r>
      <w:tr w:rsidR="00441994" w:rsidRPr="007F78C3" w14:paraId="58FD1122" w14:textId="77777777" w:rsidTr="00807F6F">
        <w:tc>
          <w:tcPr>
            <w:tcW w:w="993" w:type="dxa"/>
          </w:tcPr>
          <w:p w14:paraId="381D96D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7</w:t>
            </w:r>
          </w:p>
        </w:tc>
        <w:tc>
          <w:tcPr>
            <w:tcW w:w="3118" w:type="dxa"/>
          </w:tcPr>
          <w:p w14:paraId="6230FC8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Sowing distance</w:t>
            </w:r>
          </w:p>
        </w:tc>
        <w:tc>
          <w:tcPr>
            <w:tcW w:w="2552" w:type="dxa"/>
          </w:tcPr>
          <w:p w14:paraId="0C542D3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c>
          <w:tcPr>
            <w:tcW w:w="2409" w:type="dxa"/>
          </w:tcPr>
          <w:p w14:paraId="14569775"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r>
      <w:tr w:rsidR="00441994" w:rsidRPr="007F78C3" w14:paraId="5542A210" w14:textId="77777777" w:rsidTr="00807F6F">
        <w:tc>
          <w:tcPr>
            <w:tcW w:w="993" w:type="dxa"/>
          </w:tcPr>
          <w:p w14:paraId="7F8736F0"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w:t>
            </w:r>
          </w:p>
        </w:tc>
        <w:tc>
          <w:tcPr>
            <w:tcW w:w="3118" w:type="dxa"/>
          </w:tcPr>
          <w:p w14:paraId="0153A37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Sowing time</w:t>
            </w:r>
          </w:p>
        </w:tc>
        <w:tc>
          <w:tcPr>
            <w:tcW w:w="2552" w:type="dxa"/>
          </w:tcPr>
          <w:p w14:paraId="00B356C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c>
          <w:tcPr>
            <w:tcW w:w="2409" w:type="dxa"/>
          </w:tcPr>
          <w:p w14:paraId="7B144FB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r>
      <w:tr w:rsidR="00441994" w:rsidRPr="007F78C3" w14:paraId="7E73CAC5" w14:textId="77777777" w:rsidTr="00807F6F">
        <w:tc>
          <w:tcPr>
            <w:tcW w:w="993" w:type="dxa"/>
          </w:tcPr>
          <w:p w14:paraId="78502018"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w:t>
            </w:r>
          </w:p>
        </w:tc>
        <w:tc>
          <w:tcPr>
            <w:tcW w:w="3118" w:type="dxa"/>
          </w:tcPr>
          <w:p w14:paraId="34EC2238"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More number of male flowers</w:t>
            </w:r>
          </w:p>
        </w:tc>
        <w:tc>
          <w:tcPr>
            <w:tcW w:w="2552" w:type="dxa"/>
          </w:tcPr>
          <w:p w14:paraId="61E98E97"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5810254C"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0EB9B41B" w14:textId="77777777" w:rsidTr="00807F6F">
        <w:tc>
          <w:tcPr>
            <w:tcW w:w="993" w:type="dxa"/>
          </w:tcPr>
          <w:p w14:paraId="3B36D29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w:t>
            </w:r>
          </w:p>
        </w:tc>
        <w:tc>
          <w:tcPr>
            <w:tcW w:w="3118" w:type="dxa"/>
          </w:tcPr>
          <w:p w14:paraId="4138C6D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 xml:space="preserve">Application of boron </w:t>
            </w:r>
          </w:p>
        </w:tc>
        <w:tc>
          <w:tcPr>
            <w:tcW w:w="2552" w:type="dxa"/>
          </w:tcPr>
          <w:p w14:paraId="3A30E87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0154011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6E09F462" w14:textId="77777777" w:rsidTr="00807F6F">
        <w:tc>
          <w:tcPr>
            <w:tcW w:w="993" w:type="dxa"/>
          </w:tcPr>
          <w:p w14:paraId="053F3BD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11</w:t>
            </w:r>
          </w:p>
        </w:tc>
        <w:tc>
          <w:tcPr>
            <w:tcW w:w="3118" w:type="dxa"/>
          </w:tcPr>
          <w:p w14:paraId="65E85A4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Stage of application of boron</w:t>
            </w:r>
          </w:p>
        </w:tc>
        <w:tc>
          <w:tcPr>
            <w:tcW w:w="2552" w:type="dxa"/>
          </w:tcPr>
          <w:p w14:paraId="1DDC0E7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17.40</w:t>
            </w:r>
          </w:p>
        </w:tc>
        <w:tc>
          <w:tcPr>
            <w:tcW w:w="2409" w:type="dxa"/>
          </w:tcPr>
          <w:p w14:paraId="1E2434C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82.60</w:t>
            </w:r>
          </w:p>
        </w:tc>
      </w:tr>
      <w:tr w:rsidR="00441994" w:rsidRPr="007F78C3" w14:paraId="41A50D4D" w14:textId="77777777" w:rsidTr="00807F6F">
        <w:tc>
          <w:tcPr>
            <w:tcW w:w="993" w:type="dxa"/>
          </w:tcPr>
          <w:p w14:paraId="0EF14CFD"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12</w:t>
            </w:r>
          </w:p>
        </w:tc>
        <w:tc>
          <w:tcPr>
            <w:tcW w:w="3118" w:type="dxa"/>
          </w:tcPr>
          <w:p w14:paraId="5A23434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Dosage of boron</w:t>
            </w:r>
          </w:p>
        </w:tc>
        <w:tc>
          <w:tcPr>
            <w:tcW w:w="2552" w:type="dxa"/>
          </w:tcPr>
          <w:p w14:paraId="15D8CB9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39064C2C"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337BB4C8" w14:textId="77777777" w:rsidTr="00807F6F">
        <w:tc>
          <w:tcPr>
            <w:tcW w:w="993" w:type="dxa"/>
          </w:tcPr>
          <w:p w14:paraId="73FC0A3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w:t>
            </w:r>
          </w:p>
        </w:tc>
        <w:tc>
          <w:tcPr>
            <w:tcW w:w="3118" w:type="dxa"/>
          </w:tcPr>
          <w:p w14:paraId="2721494F"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Recommended dose of fertilizer</w:t>
            </w:r>
          </w:p>
        </w:tc>
        <w:tc>
          <w:tcPr>
            <w:tcW w:w="2552" w:type="dxa"/>
          </w:tcPr>
          <w:p w14:paraId="4306277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c>
          <w:tcPr>
            <w:tcW w:w="2409" w:type="dxa"/>
          </w:tcPr>
          <w:p w14:paraId="5E24591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r>
      <w:tr w:rsidR="00441994" w:rsidRPr="007F78C3" w14:paraId="03752A30" w14:textId="77777777" w:rsidTr="00807F6F">
        <w:tc>
          <w:tcPr>
            <w:tcW w:w="993" w:type="dxa"/>
          </w:tcPr>
          <w:p w14:paraId="2BD3312D"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14</w:t>
            </w:r>
          </w:p>
        </w:tc>
        <w:tc>
          <w:tcPr>
            <w:tcW w:w="3118" w:type="dxa"/>
          </w:tcPr>
          <w:p w14:paraId="601260FD"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Interval of irrigation</w:t>
            </w:r>
          </w:p>
        </w:tc>
        <w:tc>
          <w:tcPr>
            <w:tcW w:w="2552" w:type="dxa"/>
          </w:tcPr>
          <w:p w14:paraId="3C1FBB5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c>
          <w:tcPr>
            <w:tcW w:w="2409" w:type="dxa"/>
          </w:tcPr>
          <w:p w14:paraId="286345B0"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r>
      <w:tr w:rsidR="00441994" w:rsidRPr="007F78C3" w14:paraId="085D82CF" w14:textId="77777777" w:rsidTr="00807F6F">
        <w:tc>
          <w:tcPr>
            <w:tcW w:w="993" w:type="dxa"/>
          </w:tcPr>
          <w:p w14:paraId="40E01E3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15</w:t>
            </w:r>
          </w:p>
        </w:tc>
        <w:tc>
          <w:tcPr>
            <w:tcW w:w="3118" w:type="dxa"/>
          </w:tcPr>
          <w:p w14:paraId="70F43FA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Pre emergence weedicides</w:t>
            </w:r>
          </w:p>
        </w:tc>
        <w:tc>
          <w:tcPr>
            <w:tcW w:w="2552" w:type="dxa"/>
          </w:tcPr>
          <w:p w14:paraId="653BE148"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453E76B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r>
      <w:tr w:rsidR="00441994" w:rsidRPr="007F78C3" w14:paraId="23B65DF1" w14:textId="77777777" w:rsidTr="00807F6F">
        <w:tc>
          <w:tcPr>
            <w:tcW w:w="993" w:type="dxa"/>
          </w:tcPr>
          <w:p w14:paraId="066FEC63"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16</w:t>
            </w:r>
          </w:p>
        </w:tc>
        <w:tc>
          <w:tcPr>
            <w:tcW w:w="3118" w:type="dxa"/>
          </w:tcPr>
          <w:p w14:paraId="0ECC3363"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Major pest of ridge gourd</w:t>
            </w:r>
          </w:p>
        </w:tc>
        <w:tc>
          <w:tcPr>
            <w:tcW w:w="2552" w:type="dxa"/>
          </w:tcPr>
          <w:p w14:paraId="4ADC10E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34.78</w:t>
            </w:r>
          </w:p>
        </w:tc>
        <w:tc>
          <w:tcPr>
            <w:tcW w:w="2409" w:type="dxa"/>
          </w:tcPr>
          <w:p w14:paraId="7780CFF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65.22</w:t>
            </w:r>
          </w:p>
        </w:tc>
      </w:tr>
      <w:tr w:rsidR="00441994" w:rsidRPr="007F78C3" w14:paraId="018F4A96" w14:textId="77777777" w:rsidTr="00807F6F">
        <w:tc>
          <w:tcPr>
            <w:tcW w:w="993" w:type="dxa"/>
          </w:tcPr>
          <w:p w14:paraId="263EB71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17</w:t>
            </w:r>
          </w:p>
        </w:tc>
        <w:tc>
          <w:tcPr>
            <w:tcW w:w="3118" w:type="dxa"/>
          </w:tcPr>
          <w:p w14:paraId="4F031E0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Erection of fruit fly traps for fruit fly management</w:t>
            </w:r>
          </w:p>
        </w:tc>
        <w:tc>
          <w:tcPr>
            <w:tcW w:w="2552" w:type="dxa"/>
          </w:tcPr>
          <w:p w14:paraId="45A424F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452A446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5674B79B" w14:textId="77777777" w:rsidTr="00807F6F">
        <w:tc>
          <w:tcPr>
            <w:tcW w:w="993" w:type="dxa"/>
          </w:tcPr>
          <w:p w14:paraId="712D192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18</w:t>
            </w:r>
          </w:p>
        </w:tc>
        <w:tc>
          <w:tcPr>
            <w:tcW w:w="3118" w:type="dxa"/>
          </w:tcPr>
          <w:p w14:paraId="6A2BFEDC"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Major disease of ridge gourd</w:t>
            </w:r>
          </w:p>
        </w:tc>
        <w:tc>
          <w:tcPr>
            <w:tcW w:w="2552" w:type="dxa"/>
          </w:tcPr>
          <w:p w14:paraId="34DD1AC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21586057"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415B5254" w14:textId="77777777" w:rsidTr="00807F6F">
        <w:tc>
          <w:tcPr>
            <w:tcW w:w="993" w:type="dxa"/>
          </w:tcPr>
          <w:p w14:paraId="56B49285"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19</w:t>
            </w:r>
          </w:p>
        </w:tc>
        <w:tc>
          <w:tcPr>
            <w:tcW w:w="3118" w:type="dxa"/>
          </w:tcPr>
          <w:p w14:paraId="6865D0A8"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Days to first picking</w:t>
            </w:r>
          </w:p>
        </w:tc>
        <w:tc>
          <w:tcPr>
            <w:tcW w:w="2552" w:type="dxa"/>
          </w:tcPr>
          <w:p w14:paraId="25029CC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c>
          <w:tcPr>
            <w:tcW w:w="2409" w:type="dxa"/>
          </w:tcPr>
          <w:p w14:paraId="7045D077"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r>
      <w:tr w:rsidR="00441994" w:rsidRPr="007F78C3" w14:paraId="000BBBA1" w14:textId="77777777" w:rsidTr="00807F6F">
        <w:tc>
          <w:tcPr>
            <w:tcW w:w="993" w:type="dxa"/>
          </w:tcPr>
          <w:p w14:paraId="677225F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20</w:t>
            </w:r>
          </w:p>
        </w:tc>
        <w:tc>
          <w:tcPr>
            <w:tcW w:w="3118" w:type="dxa"/>
          </w:tcPr>
          <w:p w14:paraId="2127A9E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Picking intervals</w:t>
            </w:r>
          </w:p>
        </w:tc>
        <w:tc>
          <w:tcPr>
            <w:tcW w:w="2552" w:type="dxa"/>
          </w:tcPr>
          <w:p w14:paraId="09AE0B1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74EB403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5FDAB944" w14:textId="77777777" w:rsidTr="00807F6F">
        <w:tc>
          <w:tcPr>
            <w:tcW w:w="993" w:type="dxa"/>
          </w:tcPr>
          <w:p w14:paraId="5D29B8C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21</w:t>
            </w:r>
          </w:p>
        </w:tc>
        <w:tc>
          <w:tcPr>
            <w:tcW w:w="3118" w:type="dxa"/>
          </w:tcPr>
          <w:p w14:paraId="24A260F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Average yield</w:t>
            </w:r>
          </w:p>
        </w:tc>
        <w:tc>
          <w:tcPr>
            <w:tcW w:w="2552" w:type="dxa"/>
          </w:tcPr>
          <w:p w14:paraId="046FC85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c>
          <w:tcPr>
            <w:tcW w:w="2409" w:type="dxa"/>
          </w:tcPr>
          <w:p w14:paraId="4F648F4F"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r>
    </w:tbl>
    <w:p w14:paraId="6502514C" w14:textId="77777777" w:rsidR="00A54E95" w:rsidRDefault="00A54E95" w:rsidP="007F78C3">
      <w:pPr>
        <w:jc w:val="both"/>
        <w:rPr>
          <w:rFonts w:ascii="Times New Roman" w:hAnsi="Times New Roman" w:cs="Times New Roman"/>
          <w:b/>
          <w:bCs/>
          <w:sz w:val="24"/>
          <w:szCs w:val="24"/>
        </w:rPr>
      </w:pPr>
    </w:p>
    <w:p w14:paraId="24F5CA85"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Effect of ICM demonstration on yield and cost economics of ridge gourd</w:t>
      </w:r>
    </w:p>
    <w:p w14:paraId="0467181A"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The impact of ecologically safe ICM practices was evaluated through on-farm demonstrations and compared with farmers’ existing practices (Table 2). The duration of the crop was extended to four months in the demonstration plots, compared to three months under farmers’ practice, indicating improved crop </w:t>
      </w:r>
      <w:proofErr w:type="spellStart"/>
      <w:r w:rsidRPr="007F78C3">
        <w:rPr>
          <w:rFonts w:ascii="Times New Roman" w:hAnsi="Times New Roman" w:cs="Times New Roman"/>
          <w:sz w:val="24"/>
          <w:szCs w:val="24"/>
        </w:rPr>
        <w:t>vigor</w:t>
      </w:r>
      <w:proofErr w:type="spellEnd"/>
      <w:r w:rsidRPr="007F78C3">
        <w:rPr>
          <w:rFonts w:ascii="Times New Roman" w:hAnsi="Times New Roman" w:cs="Times New Roman"/>
          <w:sz w:val="24"/>
          <w:szCs w:val="24"/>
        </w:rPr>
        <w:t xml:space="preserve"> and productivity under ICM.</w:t>
      </w:r>
    </w:p>
    <w:p w14:paraId="02145160" w14:textId="77777777" w:rsidR="00A07397"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 xml:space="preserve">The fruit yield per vine was significantly higher in the demonstration unit (4.8 kg) compared to farmers’ practice (1.8 kg). Consequently, the yield per acre increased to 13.5 t under ICM, nearly double that of farmers’ practice (7.2 t). </w:t>
      </w:r>
      <w:r w:rsidR="00A07397" w:rsidRPr="00807F6F">
        <w:rPr>
          <w:rFonts w:ascii="Times New Roman" w:hAnsi="Times New Roman" w:cs="Times New Roman"/>
          <w:sz w:val="24"/>
          <w:szCs w:val="24"/>
        </w:rPr>
        <w:t xml:space="preserve">It may be due to Improved crop duration, better vine growth under pandal system, balanced nutrient management, and effective pest control collectively contributed to enhanced productivity. Similar yield improvements under ICM or IPM-based interventions have been reported by </w:t>
      </w:r>
      <w:proofErr w:type="spellStart"/>
      <w:r w:rsidR="00A07397" w:rsidRPr="00807F6F">
        <w:rPr>
          <w:rFonts w:ascii="Times New Roman" w:hAnsi="Times New Roman" w:cs="Times New Roman"/>
          <w:sz w:val="24"/>
          <w:szCs w:val="24"/>
        </w:rPr>
        <w:t>Sundharaiya</w:t>
      </w:r>
      <w:proofErr w:type="spellEnd"/>
      <w:r w:rsidR="00A07397" w:rsidRPr="00807F6F">
        <w:rPr>
          <w:rFonts w:ascii="Times New Roman" w:hAnsi="Times New Roman" w:cs="Times New Roman"/>
          <w:sz w:val="24"/>
          <w:szCs w:val="24"/>
        </w:rPr>
        <w:t xml:space="preserve"> et al. (2022) and Siva et al. (2024), where integration of recommended agronomic and pest management practices significantly improved cucurbit crop performance. </w:t>
      </w:r>
    </w:p>
    <w:p w14:paraId="60827EA1"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 xml:space="preserve">Adoption of eco-friendly pest management practices resulted in a substantial reduction in fruit fly damage, which was recorded as 11.6 per cent in the demonstration unit, compared to </w:t>
      </w:r>
      <w:r w:rsidRPr="00807F6F">
        <w:rPr>
          <w:rFonts w:ascii="Times New Roman" w:hAnsi="Times New Roman" w:cs="Times New Roman"/>
          <w:sz w:val="24"/>
          <w:szCs w:val="24"/>
        </w:rPr>
        <w:lastRenderedPageBreak/>
        <w:t>28.0 per cent in farmers’ practice</w:t>
      </w:r>
      <w:r w:rsidR="007E20F6" w:rsidRPr="00807F6F">
        <w:rPr>
          <w:rFonts w:ascii="Times New Roman" w:hAnsi="Times New Roman" w:cs="Times New Roman"/>
          <w:sz w:val="24"/>
          <w:szCs w:val="24"/>
        </w:rPr>
        <w:t>, primarily due to the adoption of eco-friendly management practices such as erection of fruit fly traps. These results are consistent with Nayak and Mahapatra (2020)</w:t>
      </w:r>
      <w:r w:rsidR="00AB46F6" w:rsidRPr="00807F6F">
        <w:rPr>
          <w:rFonts w:ascii="Times New Roman" w:hAnsi="Times New Roman" w:cs="Times New Roman"/>
          <w:sz w:val="24"/>
          <w:szCs w:val="24"/>
        </w:rPr>
        <w:t>, Vijayashanthi et al. (2023)</w:t>
      </w:r>
      <w:r w:rsidR="007E20F6" w:rsidRPr="00807F6F">
        <w:rPr>
          <w:rFonts w:ascii="Times New Roman" w:hAnsi="Times New Roman" w:cs="Times New Roman"/>
          <w:sz w:val="24"/>
          <w:szCs w:val="24"/>
        </w:rPr>
        <w:t xml:space="preserve"> Tamilselvi et al. (2024), who reported significant reduction in fruit fly incidence through mechanical and </w:t>
      </w:r>
      <w:proofErr w:type="spellStart"/>
      <w:r w:rsidR="007E20F6" w:rsidRPr="00807F6F">
        <w:rPr>
          <w:rFonts w:ascii="Times New Roman" w:hAnsi="Times New Roman" w:cs="Times New Roman"/>
          <w:sz w:val="24"/>
          <w:szCs w:val="24"/>
        </w:rPr>
        <w:t>behavioral</w:t>
      </w:r>
      <w:proofErr w:type="spellEnd"/>
      <w:r w:rsidR="007E20F6" w:rsidRPr="00807F6F">
        <w:rPr>
          <w:rFonts w:ascii="Times New Roman" w:hAnsi="Times New Roman" w:cs="Times New Roman"/>
          <w:sz w:val="24"/>
          <w:szCs w:val="24"/>
        </w:rPr>
        <w:t xml:space="preserve"> control methods, thereby reducing reliance on chemical </w:t>
      </w:r>
      <w:proofErr w:type="spellStart"/>
      <w:r w:rsidR="007E20F6" w:rsidRPr="00807F6F">
        <w:rPr>
          <w:rFonts w:ascii="Times New Roman" w:hAnsi="Times New Roman" w:cs="Times New Roman"/>
          <w:sz w:val="24"/>
          <w:szCs w:val="24"/>
        </w:rPr>
        <w:t>pesticides.</w:t>
      </w:r>
      <w:r w:rsidR="00741BE5" w:rsidRPr="00807F6F">
        <w:rPr>
          <w:rFonts w:ascii="Times New Roman" w:hAnsi="Times New Roman" w:cs="Times New Roman"/>
          <w:sz w:val="24"/>
          <w:szCs w:val="24"/>
        </w:rPr>
        <w:t>Birah</w:t>
      </w:r>
      <w:proofErr w:type="spellEnd"/>
      <w:r w:rsidR="00741BE5" w:rsidRPr="00807F6F">
        <w:rPr>
          <w:rFonts w:ascii="Times New Roman" w:hAnsi="Times New Roman" w:cs="Times New Roman"/>
          <w:sz w:val="24"/>
          <w:szCs w:val="24"/>
        </w:rPr>
        <w:t xml:space="preserve"> et al. (2015) also observed that installation of cue-lure  </w:t>
      </w:r>
      <w:proofErr w:type="spellStart"/>
      <w:r w:rsidR="00741BE5" w:rsidRPr="00807F6F">
        <w:rPr>
          <w:rFonts w:ascii="Times New Roman" w:hAnsi="Times New Roman" w:cs="Times New Roman"/>
          <w:sz w:val="24"/>
          <w:szCs w:val="24"/>
        </w:rPr>
        <w:t>baitedtraps</w:t>
      </w:r>
      <w:proofErr w:type="spellEnd"/>
      <w:r w:rsidR="00741BE5" w:rsidRPr="00807F6F">
        <w:rPr>
          <w:rFonts w:ascii="Times New Roman" w:hAnsi="Times New Roman" w:cs="Times New Roman"/>
          <w:sz w:val="24"/>
          <w:szCs w:val="24"/>
        </w:rPr>
        <w:t xml:space="preserve">  @50  traps/ha  </w:t>
      </w:r>
      <w:proofErr w:type="spellStart"/>
      <w:r w:rsidR="00741BE5" w:rsidRPr="00807F6F">
        <w:rPr>
          <w:rFonts w:ascii="Times New Roman" w:hAnsi="Times New Roman" w:cs="Times New Roman"/>
          <w:sz w:val="24"/>
          <w:szCs w:val="24"/>
        </w:rPr>
        <w:t>formass</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trappingandweekly</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clippingof</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infestedfruits</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resultedin</w:t>
      </w:r>
      <w:proofErr w:type="spellEnd"/>
      <w:r w:rsidR="00741BE5" w:rsidRPr="00807F6F">
        <w:rPr>
          <w:rFonts w:ascii="Times New Roman" w:hAnsi="Times New Roman" w:cs="Times New Roman"/>
          <w:sz w:val="24"/>
          <w:szCs w:val="24"/>
        </w:rPr>
        <w:t xml:space="preserve">  56.5  %less  </w:t>
      </w:r>
      <w:proofErr w:type="spellStart"/>
      <w:r w:rsidR="00741BE5" w:rsidRPr="00807F6F">
        <w:rPr>
          <w:rFonts w:ascii="Times New Roman" w:hAnsi="Times New Roman" w:cs="Times New Roman"/>
          <w:sz w:val="24"/>
          <w:szCs w:val="24"/>
        </w:rPr>
        <w:t>fruitdamage</w:t>
      </w:r>
      <w:proofErr w:type="spellEnd"/>
      <w:r w:rsidR="00741BE5" w:rsidRPr="00807F6F">
        <w:rPr>
          <w:rFonts w:ascii="Times New Roman" w:hAnsi="Times New Roman" w:cs="Times New Roman"/>
          <w:sz w:val="24"/>
          <w:szCs w:val="24"/>
        </w:rPr>
        <w:t xml:space="preserve">  and36.0  %higher  </w:t>
      </w:r>
      <w:proofErr w:type="spellStart"/>
      <w:r w:rsidR="00741BE5" w:rsidRPr="00807F6F">
        <w:rPr>
          <w:rFonts w:ascii="Times New Roman" w:hAnsi="Times New Roman" w:cs="Times New Roman"/>
          <w:sz w:val="24"/>
          <w:szCs w:val="24"/>
        </w:rPr>
        <w:t>fruityield</w:t>
      </w:r>
      <w:proofErr w:type="spellEnd"/>
      <w:r w:rsidR="00741BE5" w:rsidRPr="00807F6F">
        <w:rPr>
          <w:rFonts w:ascii="Times New Roman" w:hAnsi="Times New Roman" w:cs="Times New Roman"/>
          <w:sz w:val="24"/>
          <w:szCs w:val="24"/>
        </w:rPr>
        <w:t xml:space="preserve">  </w:t>
      </w:r>
      <w:r w:rsidR="007E20F6" w:rsidRPr="00807F6F">
        <w:rPr>
          <w:rFonts w:ascii="Times New Roman" w:hAnsi="Times New Roman" w:cs="Times New Roman"/>
          <w:sz w:val="24"/>
          <w:szCs w:val="24"/>
        </w:rPr>
        <w:t>incomparison</w:t>
      </w:r>
      <w:r w:rsidR="00741BE5" w:rsidRPr="00807F6F">
        <w:rPr>
          <w:rFonts w:ascii="Times New Roman" w:hAnsi="Times New Roman" w:cs="Times New Roman"/>
          <w:sz w:val="24"/>
          <w:szCs w:val="24"/>
        </w:rPr>
        <w:t xml:space="preserve">  tothe  untreated  control.</w:t>
      </w:r>
    </w:p>
    <w:p w14:paraId="0940CD85"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The economic analysis revealed that although the cost of cultivation was marginally higher under ICM practices (Rs. 77,200/acre) than farmers’ practice (Rs. 64,500/acre), the higher productivity and better market price (Rs. 20/kg) resulted in substantially increased returns. The gross returns under ICM were Rs. 2,70,000 per acre, compared to Rs. 1,29,600 per acre in farmers’ practice. Accordingly, net returns were Rs. 1,92,800 per acre under ICM, nearly three times higher than farmers’ practice (Rs. 65,100 per acre).</w:t>
      </w:r>
    </w:p>
    <w:p w14:paraId="1619286F"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The benefit–cost ratio (BCR) further confirmed the economic superiority of ICM practices, registering 3.5:1 as against 2.0:1 under farmers’ practice. These results clearly demonstrate the economic viability and sustainability of ecologically safe ICM practices in ridge gourd cultivation.</w:t>
      </w:r>
    </w:p>
    <w:p w14:paraId="5E30D7E1" w14:textId="77777777" w:rsidR="007E20F6" w:rsidRPr="00807F6F" w:rsidRDefault="007E20F6" w:rsidP="007F78C3">
      <w:pPr>
        <w:jc w:val="both"/>
        <w:rPr>
          <w:rFonts w:ascii="Times New Roman" w:hAnsi="Times New Roman" w:cs="Times New Roman"/>
          <w:sz w:val="24"/>
          <w:szCs w:val="24"/>
        </w:rPr>
      </w:pPr>
      <w:r w:rsidRPr="00807F6F">
        <w:rPr>
          <w:rFonts w:ascii="Times New Roman" w:hAnsi="Times New Roman" w:cs="Times New Roman"/>
          <w:sz w:val="24"/>
          <w:szCs w:val="24"/>
        </w:rPr>
        <w:t xml:space="preserve">Although the cost of cultivation under ICM practices was marginally higher due to the use of improved inputs and eco-friendly technologies, the higher yield and better market price resulted in substantially increased gross and net returns. The higher benefit–cost ratio under ICM clearly demonstrates its economic superiority and feasibility. Comparable findings have been reported by Siva et al. (2024) and </w:t>
      </w:r>
      <w:proofErr w:type="spellStart"/>
      <w:r w:rsidRPr="00807F6F">
        <w:rPr>
          <w:rFonts w:ascii="Times New Roman" w:hAnsi="Times New Roman" w:cs="Times New Roman"/>
          <w:sz w:val="24"/>
          <w:szCs w:val="24"/>
        </w:rPr>
        <w:t>Sundharaiya</w:t>
      </w:r>
      <w:proofErr w:type="spellEnd"/>
      <w:r w:rsidRPr="00807F6F">
        <w:rPr>
          <w:rFonts w:ascii="Times New Roman" w:hAnsi="Times New Roman" w:cs="Times New Roman"/>
          <w:sz w:val="24"/>
          <w:szCs w:val="24"/>
        </w:rPr>
        <w:t xml:space="preserve"> et al. (2022), where ICM adoption led to higher profitability despite increased initial investment. These results reinforce the view that investment in sustainable crop management practices yields long-term economic benefits, particularly for small and marginal farm households.</w:t>
      </w:r>
    </w:p>
    <w:p w14:paraId="12D6BD5D" w14:textId="77777777" w:rsidR="00A748F1" w:rsidRPr="007F78C3" w:rsidRDefault="00441994" w:rsidP="00807F6F">
      <w:pPr>
        <w:spacing w:after="200" w:line="360" w:lineRule="auto"/>
        <w:jc w:val="both"/>
        <w:rPr>
          <w:rFonts w:ascii="Times New Roman" w:hAnsi="Times New Roman" w:cs="Times New Roman"/>
          <w:b/>
          <w:sz w:val="24"/>
          <w:szCs w:val="24"/>
        </w:rPr>
      </w:pPr>
      <w:r w:rsidRPr="007F78C3">
        <w:rPr>
          <w:rFonts w:ascii="Times New Roman" w:hAnsi="Times New Roman" w:cs="Times New Roman"/>
          <w:b/>
          <w:sz w:val="24"/>
          <w:szCs w:val="24"/>
        </w:rPr>
        <w:t>Table 2. Effect of ecologically safe ICM practices on yield and economics of ridge gourd cultivation</w:t>
      </w:r>
    </w:p>
    <w:tbl>
      <w:tblPr>
        <w:tblStyle w:val="TableGrid"/>
        <w:tblW w:w="9561" w:type="dxa"/>
        <w:tblLook w:val="0420" w:firstRow="1" w:lastRow="0" w:firstColumn="0" w:lastColumn="0" w:noHBand="0" w:noVBand="1"/>
      </w:tblPr>
      <w:tblGrid>
        <w:gridCol w:w="1195"/>
        <w:gridCol w:w="3031"/>
        <w:gridCol w:w="3140"/>
        <w:gridCol w:w="2195"/>
      </w:tblGrid>
      <w:tr w:rsidR="00A748F1" w:rsidRPr="007F78C3" w14:paraId="2EE8F524" w14:textId="77777777" w:rsidTr="00807F6F">
        <w:trPr>
          <w:trHeight w:val="374"/>
        </w:trPr>
        <w:tc>
          <w:tcPr>
            <w:tcW w:w="1195" w:type="dxa"/>
            <w:hideMark/>
          </w:tcPr>
          <w:p w14:paraId="532B5E78"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w:t>
            </w:r>
            <w:r w:rsidR="00441994" w:rsidRPr="007F78C3">
              <w:rPr>
                <w:rFonts w:ascii="Times New Roman" w:hAnsi="Times New Roman" w:cs="Times New Roman"/>
                <w:b/>
                <w:bCs/>
                <w:sz w:val="24"/>
                <w:szCs w:val="24"/>
              </w:rPr>
              <w:t>l</w:t>
            </w:r>
            <w:r w:rsidRPr="007F78C3">
              <w:rPr>
                <w:rFonts w:ascii="Times New Roman" w:hAnsi="Times New Roman" w:cs="Times New Roman"/>
                <w:b/>
                <w:bCs/>
                <w:sz w:val="24"/>
                <w:szCs w:val="24"/>
              </w:rPr>
              <w:t>.No</w:t>
            </w:r>
          </w:p>
        </w:tc>
        <w:tc>
          <w:tcPr>
            <w:tcW w:w="3031" w:type="dxa"/>
            <w:hideMark/>
          </w:tcPr>
          <w:p w14:paraId="41D3F896"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Parameter</w:t>
            </w:r>
          </w:p>
        </w:tc>
        <w:tc>
          <w:tcPr>
            <w:tcW w:w="3140" w:type="dxa"/>
            <w:hideMark/>
          </w:tcPr>
          <w:p w14:paraId="7BF467E8" w14:textId="77777777" w:rsidR="00A748F1" w:rsidRPr="007F78C3" w:rsidRDefault="0044199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ICM demonstration</w:t>
            </w:r>
          </w:p>
        </w:tc>
        <w:tc>
          <w:tcPr>
            <w:tcW w:w="2195" w:type="dxa"/>
            <w:hideMark/>
          </w:tcPr>
          <w:p w14:paraId="6A43322E"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Farmer’s practice</w:t>
            </w:r>
          </w:p>
        </w:tc>
      </w:tr>
      <w:tr w:rsidR="00A748F1" w:rsidRPr="007F78C3" w14:paraId="35B4B3D3" w14:textId="77777777" w:rsidTr="00807F6F">
        <w:trPr>
          <w:trHeight w:val="367"/>
        </w:trPr>
        <w:tc>
          <w:tcPr>
            <w:tcW w:w="1195" w:type="dxa"/>
            <w:hideMark/>
          </w:tcPr>
          <w:p w14:paraId="3A11252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01</w:t>
            </w:r>
          </w:p>
        </w:tc>
        <w:tc>
          <w:tcPr>
            <w:tcW w:w="3031" w:type="dxa"/>
            <w:hideMark/>
          </w:tcPr>
          <w:p w14:paraId="3ECBBA3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Duration of crop</w:t>
            </w:r>
            <w:r w:rsidR="00441994" w:rsidRPr="007F78C3">
              <w:rPr>
                <w:rFonts w:ascii="Times New Roman" w:hAnsi="Times New Roman" w:cs="Times New Roman"/>
                <w:sz w:val="24"/>
                <w:szCs w:val="24"/>
                <w:lang w:val="en-US"/>
              </w:rPr>
              <w:t xml:space="preserve"> (months)</w:t>
            </w:r>
          </w:p>
        </w:tc>
        <w:tc>
          <w:tcPr>
            <w:tcW w:w="3140" w:type="dxa"/>
            <w:hideMark/>
          </w:tcPr>
          <w:p w14:paraId="28B3906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4 </w:t>
            </w:r>
          </w:p>
        </w:tc>
        <w:tc>
          <w:tcPr>
            <w:tcW w:w="2195" w:type="dxa"/>
            <w:hideMark/>
          </w:tcPr>
          <w:p w14:paraId="0BB83ACE"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3 </w:t>
            </w:r>
          </w:p>
        </w:tc>
      </w:tr>
      <w:tr w:rsidR="00A748F1" w:rsidRPr="007F78C3" w14:paraId="4752ECB3" w14:textId="77777777" w:rsidTr="00807F6F">
        <w:trPr>
          <w:trHeight w:val="347"/>
        </w:trPr>
        <w:tc>
          <w:tcPr>
            <w:tcW w:w="1195" w:type="dxa"/>
            <w:hideMark/>
          </w:tcPr>
          <w:p w14:paraId="706367F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02</w:t>
            </w:r>
          </w:p>
        </w:tc>
        <w:tc>
          <w:tcPr>
            <w:tcW w:w="3031" w:type="dxa"/>
            <w:hideMark/>
          </w:tcPr>
          <w:p w14:paraId="30983F0E"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Fruit yield</w:t>
            </w:r>
            <w:r w:rsidR="00441994" w:rsidRPr="007F78C3">
              <w:rPr>
                <w:rFonts w:ascii="Times New Roman" w:hAnsi="Times New Roman" w:cs="Times New Roman"/>
                <w:sz w:val="24"/>
                <w:szCs w:val="24"/>
              </w:rPr>
              <w:t xml:space="preserve"> per </w:t>
            </w:r>
            <w:r w:rsidRPr="007F78C3">
              <w:rPr>
                <w:rFonts w:ascii="Times New Roman" w:hAnsi="Times New Roman" w:cs="Times New Roman"/>
                <w:sz w:val="24"/>
                <w:szCs w:val="24"/>
              </w:rPr>
              <w:t>vine (kg)</w:t>
            </w:r>
          </w:p>
        </w:tc>
        <w:tc>
          <w:tcPr>
            <w:tcW w:w="3140" w:type="dxa"/>
            <w:hideMark/>
          </w:tcPr>
          <w:p w14:paraId="5BB7CB22"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4.8</w:t>
            </w:r>
          </w:p>
        </w:tc>
        <w:tc>
          <w:tcPr>
            <w:tcW w:w="2195" w:type="dxa"/>
            <w:hideMark/>
          </w:tcPr>
          <w:p w14:paraId="34F8C96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1.8</w:t>
            </w:r>
          </w:p>
        </w:tc>
      </w:tr>
      <w:tr w:rsidR="00A748F1" w:rsidRPr="007F78C3" w14:paraId="4DB797EB" w14:textId="77777777" w:rsidTr="00807F6F">
        <w:trPr>
          <w:trHeight w:val="341"/>
        </w:trPr>
        <w:tc>
          <w:tcPr>
            <w:tcW w:w="1195" w:type="dxa"/>
            <w:hideMark/>
          </w:tcPr>
          <w:p w14:paraId="534F740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03</w:t>
            </w:r>
          </w:p>
        </w:tc>
        <w:tc>
          <w:tcPr>
            <w:tcW w:w="3031" w:type="dxa"/>
            <w:hideMark/>
          </w:tcPr>
          <w:p w14:paraId="2A232B0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Yield</w:t>
            </w:r>
            <w:r w:rsidR="00441994" w:rsidRPr="007F78C3">
              <w:rPr>
                <w:rFonts w:ascii="Times New Roman" w:hAnsi="Times New Roman" w:cs="Times New Roman"/>
                <w:sz w:val="24"/>
                <w:szCs w:val="24"/>
              </w:rPr>
              <w:t xml:space="preserve"> per </w:t>
            </w:r>
            <w:r w:rsidRPr="007F78C3">
              <w:rPr>
                <w:rFonts w:ascii="Times New Roman" w:hAnsi="Times New Roman" w:cs="Times New Roman"/>
                <w:sz w:val="24"/>
                <w:szCs w:val="24"/>
              </w:rPr>
              <w:t>acre (t)</w:t>
            </w:r>
          </w:p>
        </w:tc>
        <w:tc>
          <w:tcPr>
            <w:tcW w:w="3140" w:type="dxa"/>
            <w:hideMark/>
          </w:tcPr>
          <w:p w14:paraId="22376AE4"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13.5</w:t>
            </w:r>
          </w:p>
        </w:tc>
        <w:tc>
          <w:tcPr>
            <w:tcW w:w="2195" w:type="dxa"/>
            <w:hideMark/>
          </w:tcPr>
          <w:p w14:paraId="430C662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7.2</w:t>
            </w:r>
          </w:p>
        </w:tc>
      </w:tr>
      <w:tr w:rsidR="00A748F1" w:rsidRPr="007F78C3" w14:paraId="77205BE8" w14:textId="77777777" w:rsidTr="00807F6F">
        <w:trPr>
          <w:trHeight w:val="411"/>
        </w:trPr>
        <w:tc>
          <w:tcPr>
            <w:tcW w:w="1195" w:type="dxa"/>
            <w:hideMark/>
          </w:tcPr>
          <w:p w14:paraId="174C0397"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04</w:t>
            </w:r>
          </w:p>
        </w:tc>
        <w:tc>
          <w:tcPr>
            <w:tcW w:w="3031" w:type="dxa"/>
            <w:hideMark/>
          </w:tcPr>
          <w:p w14:paraId="5A327CF0"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Average sale </w:t>
            </w:r>
            <w:r w:rsidR="00441994" w:rsidRPr="007F78C3">
              <w:rPr>
                <w:rFonts w:ascii="Times New Roman" w:hAnsi="Times New Roman" w:cs="Times New Roman"/>
                <w:sz w:val="24"/>
                <w:szCs w:val="24"/>
                <w:lang w:val="en-US"/>
              </w:rPr>
              <w:t>price</w:t>
            </w:r>
            <w:r w:rsidRPr="007F78C3">
              <w:rPr>
                <w:rFonts w:ascii="Times New Roman" w:hAnsi="Times New Roman" w:cs="Times New Roman"/>
                <w:sz w:val="24"/>
                <w:szCs w:val="24"/>
                <w:lang w:val="en-US"/>
              </w:rPr>
              <w:t xml:space="preserve"> (</w:t>
            </w:r>
            <w:r w:rsidR="00441994" w:rsidRPr="007F78C3">
              <w:rPr>
                <w:rFonts w:ascii="Times New Roman" w:hAnsi="Times New Roman" w:cs="Times New Roman"/>
                <w:sz w:val="24"/>
                <w:szCs w:val="24"/>
              </w:rPr>
              <w:t>Rs kg⁻¹</w:t>
            </w:r>
            <w:r w:rsidRPr="007F78C3">
              <w:rPr>
                <w:rFonts w:ascii="Times New Roman" w:hAnsi="Times New Roman" w:cs="Times New Roman"/>
                <w:sz w:val="24"/>
                <w:szCs w:val="24"/>
                <w:lang w:val="en-US"/>
              </w:rPr>
              <w:t>)</w:t>
            </w:r>
          </w:p>
        </w:tc>
        <w:tc>
          <w:tcPr>
            <w:tcW w:w="3140" w:type="dxa"/>
            <w:hideMark/>
          </w:tcPr>
          <w:p w14:paraId="5DEFEF2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20</w:t>
            </w:r>
          </w:p>
        </w:tc>
        <w:tc>
          <w:tcPr>
            <w:tcW w:w="2195" w:type="dxa"/>
            <w:hideMark/>
          </w:tcPr>
          <w:p w14:paraId="58B6C7E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18</w:t>
            </w:r>
          </w:p>
        </w:tc>
      </w:tr>
      <w:tr w:rsidR="00A748F1" w:rsidRPr="007F78C3" w14:paraId="31BC8FDA" w14:textId="77777777" w:rsidTr="00807F6F">
        <w:trPr>
          <w:trHeight w:val="416"/>
        </w:trPr>
        <w:tc>
          <w:tcPr>
            <w:tcW w:w="1195" w:type="dxa"/>
            <w:hideMark/>
          </w:tcPr>
          <w:p w14:paraId="2F72D5C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05</w:t>
            </w:r>
          </w:p>
        </w:tc>
        <w:tc>
          <w:tcPr>
            <w:tcW w:w="3031" w:type="dxa"/>
            <w:hideMark/>
          </w:tcPr>
          <w:p w14:paraId="638129D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Fruit fly damage (%)</w:t>
            </w:r>
          </w:p>
        </w:tc>
        <w:tc>
          <w:tcPr>
            <w:tcW w:w="3140" w:type="dxa"/>
            <w:hideMark/>
          </w:tcPr>
          <w:p w14:paraId="6D2FB79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11.6</w:t>
            </w:r>
          </w:p>
        </w:tc>
        <w:tc>
          <w:tcPr>
            <w:tcW w:w="2195" w:type="dxa"/>
            <w:hideMark/>
          </w:tcPr>
          <w:p w14:paraId="5AA2C71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28</w:t>
            </w:r>
          </w:p>
        </w:tc>
      </w:tr>
      <w:tr w:rsidR="00A748F1" w:rsidRPr="007F78C3" w14:paraId="26D30977" w14:textId="77777777" w:rsidTr="00807F6F">
        <w:trPr>
          <w:trHeight w:val="408"/>
        </w:trPr>
        <w:tc>
          <w:tcPr>
            <w:tcW w:w="1195" w:type="dxa"/>
            <w:hideMark/>
          </w:tcPr>
          <w:p w14:paraId="29E77783"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06</w:t>
            </w:r>
          </w:p>
        </w:tc>
        <w:tc>
          <w:tcPr>
            <w:tcW w:w="3031" w:type="dxa"/>
            <w:hideMark/>
          </w:tcPr>
          <w:p w14:paraId="2FE0A3D9"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Cost of cultivation </w:t>
            </w:r>
            <w:r w:rsidR="00441994" w:rsidRPr="007F78C3">
              <w:rPr>
                <w:rFonts w:ascii="Times New Roman" w:hAnsi="Times New Roman" w:cs="Times New Roman"/>
                <w:sz w:val="24"/>
                <w:szCs w:val="24"/>
              </w:rPr>
              <w:t>(Rs acre⁻¹)</w:t>
            </w:r>
          </w:p>
        </w:tc>
        <w:tc>
          <w:tcPr>
            <w:tcW w:w="3140" w:type="dxa"/>
            <w:hideMark/>
          </w:tcPr>
          <w:p w14:paraId="57FA8BB4"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77,200</w:t>
            </w:r>
          </w:p>
        </w:tc>
        <w:tc>
          <w:tcPr>
            <w:tcW w:w="2195" w:type="dxa"/>
            <w:hideMark/>
          </w:tcPr>
          <w:p w14:paraId="41CE6A5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64,500</w:t>
            </w:r>
          </w:p>
        </w:tc>
      </w:tr>
      <w:tr w:rsidR="00A748F1" w:rsidRPr="007F78C3" w14:paraId="4889BF61" w14:textId="77777777" w:rsidTr="00807F6F">
        <w:trPr>
          <w:trHeight w:val="415"/>
        </w:trPr>
        <w:tc>
          <w:tcPr>
            <w:tcW w:w="1195" w:type="dxa"/>
            <w:hideMark/>
          </w:tcPr>
          <w:p w14:paraId="091EDCF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07</w:t>
            </w:r>
          </w:p>
        </w:tc>
        <w:tc>
          <w:tcPr>
            <w:tcW w:w="3031" w:type="dxa"/>
            <w:hideMark/>
          </w:tcPr>
          <w:p w14:paraId="0010D00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Gross returns </w:t>
            </w:r>
            <w:r w:rsidR="00441994" w:rsidRPr="007F78C3">
              <w:rPr>
                <w:rFonts w:ascii="Times New Roman" w:hAnsi="Times New Roman" w:cs="Times New Roman"/>
                <w:sz w:val="24"/>
                <w:szCs w:val="24"/>
              </w:rPr>
              <w:t>(Rs acre⁻¹)</w:t>
            </w:r>
          </w:p>
        </w:tc>
        <w:tc>
          <w:tcPr>
            <w:tcW w:w="3140" w:type="dxa"/>
            <w:hideMark/>
          </w:tcPr>
          <w:p w14:paraId="200A12A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2,70,000</w:t>
            </w:r>
          </w:p>
        </w:tc>
        <w:tc>
          <w:tcPr>
            <w:tcW w:w="2195" w:type="dxa"/>
            <w:hideMark/>
          </w:tcPr>
          <w:p w14:paraId="3D7B9180"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1,29,600</w:t>
            </w:r>
          </w:p>
        </w:tc>
      </w:tr>
      <w:tr w:rsidR="00A748F1" w:rsidRPr="007F78C3" w14:paraId="63ADC002" w14:textId="77777777" w:rsidTr="00807F6F">
        <w:trPr>
          <w:trHeight w:val="421"/>
        </w:trPr>
        <w:tc>
          <w:tcPr>
            <w:tcW w:w="1195" w:type="dxa"/>
            <w:hideMark/>
          </w:tcPr>
          <w:p w14:paraId="677FCAF2"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08</w:t>
            </w:r>
          </w:p>
        </w:tc>
        <w:tc>
          <w:tcPr>
            <w:tcW w:w="3031" w:type="dxa"/>
            <w:hideMark/>
          </w:tcPr>
          <w:p w14:paraId="2C99968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Net returns </w:t>
            </w:r>
            <w:r w:rsidR="00441994" w:rsidRPr="007F78C3">
              <w:rPr>
                <w:rFonts w:ascii="Times New Roman" w:hAnsi="Times New Roman" w:cs="Times New Roman"/>
                <w:sz w:val="24"/>
                <w:szCs w:val="24"/>
              </w:rPr>
              <w:t>(Rs acre⁻¹)</w:t>
            </w:r>
          </w:p>
        </w:tc>
        <w:tc>
          <w:tcPr>
            <w:tcW w:w="3140" w:type="dxa"/>
            <w:hideMark/>
          </w:tcPr>
          <w:p w14:paraId="1B30B979"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1,92,800</w:t>
            </w:r>
          </w:p>
        </w:tc>
        <w:tc>
          <w:tcPr>
            <w:tcW w:w="2195" w:type="dxa"/>
            <w:hideMark/>
          </w:tcPr>
          <w:p w14:paraId="3748172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65,100</w:t>
            </w:r>
          </w:p>
        </w:tc>
      </w:tr>
      <w:tr w:rsidR="00A748F1" w:rsidRPr="007F78C3" w14:paraId="35C8D758" w14:textId="77777777" w:rsidTr="00807F6F">
        <w:trPr>
          <w:trHeight w:val="426"/>
        </w:trPr>
        <w:tc>
          <w:tcPr>
            <w:tcW w:w="1195" w:type="dxa"/>
            <w:hideMark/>
          </w:tcPr>
          <w:p w14:paraId="1BAC0271"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09</w:t>
            </w:r>
          </w:p>
        </w:tc>
        <w:tc>
          <w:tcPr>
            <w:tcW w:w="3031" w:type="dxa"/>
            <w:hideMark/>
          </w:tcPr>
          <w:p w14:paraId="30E66A3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B</w:t>
            </w:r>
            <w:r w:rsidR="00441994" w:rsidRPr="007F78C3">
              <w:rPr>
                <w:rFonts w:ascii="Times New Roman" w:hAnsi="Times New Roman" w:cs="Times New Roman"/>
                <w:sz w:val="24"/>
                <w:szCs w:val="24"/>
              </w:rPr>
              <w:t>enefit – cost ratio</w:t>
            </w:r>
          </w:p>
        </w:tc>
        <w:tc>
          <w:tcPr>
            <w:tcW w:w="3140" w:type="dxa"/>
            <w:hideMark/>
          </w:tcPr>
          <w:p w14:paraId="1286810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3.5:1</w:t>
            </w:r>
          </w:p>
        </w:tc>
        <w:tc>
          <w:tcPr>
            <w:tcW w:w="2195" w:type="dxa"/>
            <w:hideMark/>
          </w:tcPr>
          <w:p w14:paraId="4D118FD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w:t>
            </w:r>
            <w:r w:rsidR="00441994" w:rsidRPr="007F78C3">
              <w:rPr>
                <w:rFonts w:ascii="Times New Roman" w:hAnsi="Times New Roman" w:cs="Times New Roman"/>
                <w:sz w:val="24"/>
                <w:szCs w:val="24"/>
              </w:rPr>
              <w:t>.0</w:t>
            </w:r>
            <w:r w:rsidRPr="007F78C3">
              <w:rPr>
                <w:rFonts w:ascii="Times New Roman" w:hAnsi="Times New Roman" w:cs="Times New Roman"/>
                <w:sz w:val="24"/>
                <w:szCs w:val="24"/>
              </w:rPr>
              <w:t>:1</w:t>
            </w:r>
          </w:p>
        </w:tc>
      </w:tr>
    </w:tbl>
    <w:p w14:paraId="74FA1E70" w14:textId="77777777" w:rsidR="00A748F1" w:rsidRPr="007F78C3" w:rsidRDefault="00A748F1" w:rsidP="007F78C3">
      <w:pPr>
        <w:jc w:val="both"/>
        <w:rPr>
          <w:rFonts w:ascii="Times New Roman" w:hAnsi="Times New Roman" w:cs="Times New Roman"/>
          <w:sz w:val="24"/>
          <w:szCs w:val="24"/>
          <w:lang w:val="en-US"/>
        </w:rPr>
      </w:pPr>
    </w:p>
    <w:p w14:paraId="3A6E95DD"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lastRenderedPageBreak/>
        <w:t>3. Drudgery-related constraints among farm women in ridge gourd cultivation</w:t>
      </w:r>
    </w:p>
    <w:p w14:paraId="3F781DC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study also documented drudgery-causing operations faced by farm women during ridge gourd cultivation. Activities such as manual weeding, continuous bending during harvesting, carrying harvested produce, pest monitoring, and irrigation management were identified as physically demanding and time-consuming. Lack of access to improved tools and mechanized aids further aggravated physical strain, particularly during peak crop growth and harvesting stages.</w:t>
      </w:r>
    </w:p>
    <w:p w14:paraId="7E1AEA46" w14:textId="77777777" w:rsidR="00A748F1"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introduction of ICM practices reduced drudgery indirectly by minimizing pest incidence, improving crop uniformity, and reducing the frequency of pesticide applications. Eco-friendly pest management approaches such as fruit fly traps and improved nutrient management resulted in fewer crop losses and less repeated field operations, thereby lowering physical workload and exposure to chemical hazards among farm women.</w:t>
      </w:r>
    </w:p>
    <w:p w14:paraId="57C0FF41" w14:textId="77777777" w:rsidR="0028374C" w:rsidRPr="0028374C" w:rsidRDefault="0028374C" w:rsidP="0028374C">
      <w:pPr>
        <w:jc w:val="both"/>
        <w:rPr>
          <w:rFonts w:ascii="Times New Roman" w:hAnsi="Times New Roman" w:cs="Times New Roman"/>
          <w:color w:val="FF0000"/>
          <w:sz w:val="24"/>
          <w:szCs w:val="24"/>
          <w:lang w:val="en-US"/>
        </w:rPr>
      </w:pPr>
      <w:proofErr w:type="gramStart"/>
      <w:r w:rsidRPr="0028374C">
        <w:rPr>
          <w:rFonts w:ascii="Times New Roman" w:hAnsi="Times New Roman" w:cs="Times New Roman"/>
          <w:sz w:val="24"/>
          <w:szCs w:val="24"/>
          <w:lang w:val="en-US"/>
        </w:rPr>
        <w:t xml:space="preserve">  </w:t>
      </w:r>
      <w:r w:rsidRPr="0028374C">
        <w:rPr>
          <w:rFonts w:ascii="Times New Roman" w:hAnsi="Times New Roman" w:cs="Times New Roman"/>
          <w:color w:val="FF0000"/>
          <w:sz w:val="24"/>
          <w:szCs w:val="24"/>
          <w:lang w:val="en-US"/>
        </w:rPr>
        <w:t>Discussion</w:t>
      </w:r>
      <w:proofErr w:type="gramEnd"/>
      <w:r w:rsidRPr="0028374C">
        <w:rPr>
          <w:rFonts w:ascii="Times New Roman" w:hAnsi="Times New Roman" w:cs="Times New Roman"/>
          <w:color w:val="FF0000"/>
          <w:sz w:val="24"/>
          <w:szCs w:val="24"/>
          <w:lang w:val="en-US"/>
        </w:rPr>
        <w:t xml:space="preserve"> should be strengthened by:</w:t>
      </w:r>
    </w:p>
    <w:p w14:paraId="220D386E" w14:textId="77777777" w:rsidR="0028374C" w:rsidRPr="0028374C" w:rsidRDefault="0028374C" w:rsidP="0028374C">
      <w:pPr>
        <w:numPr>
          <w:ilvl w:val="0"/>
          <w:numId w:val="15"/>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Avoiding repetition of results</w:t>
      </w:r>
    </w:p>
    <w:p w14:paraId="703AA94D" w14:textId="6321FB0D" w:rsidR="0028374C" w:rsidRPr="0028374C" w:rsidRDefault="0028374C" w:rsidP="0028374C">
      <w:pPr>
        <w:numPr>
          <w:ilvl w:val="0"/>
          <w:numId w:val="15"/>
        </w:numPr>
        <w:jc w:val="both"/>
        <w:rPr>
          <w:rFonts w:ascii="Times New Roman" w:hAnsi="Times New Roman" w:cs="Times New Roman"/>
          <w:color w:val="FF0000"/>
          <w:sz w:val="24"/>
          <w:szCs w:val="24"/>
          <w:lang w:val="en-US"/>
        </w:rPr>
      </w:pPr>
      <w:r w:rsidRPr="0028374C">
        <w:rPr>
          <w:rFonts w:ascii="Times New Roman" w:hAnsi="Times New Roman" w:cs="Times New Roman"/>
          <w:color w:val="FF0000"/>
          <w:sz w:val="24"/>
          <w:szCs w:val="24"/>
          <w:lang w:val="en-US"/>
        </w:rPr>
        <w:t xml:space="preserve">Explaining </w:t>
      </w:r>
      <w:r w:rsidRPr="0028374C">
        <w:rPr>
          <w:rFonts w:ascii="Times New Roman" w:hAnsi="Times New Roman" w:cs="Times New Roman"/>
          <w:b/>
          <w:bCs/>
          <w:color w:val="FF0000"/>
          <w:sz w:val="24"/>
          <w:szCs w:val="24"/>
          <w:lang w:val="en-US"/>
        </w:rPr>
        <w:t>cause–effect relationships</w:t>
      </w:r>
      <w:r w:rsidRPr="0028374C">
        <w:rPr>
          <w:rFonts w:ascii="Times New Roman" w:hAnsi="Times New Roman" w:cs="Times New Roman"/>
          <w:color w:val="FF0000"/>
          <w:sz w:val="24"/>
          <w:szCs w:val="24"/>
          <w:lang w:val="en-US"/>
        </w:rPr>
        <w:t xml:space="preserve"> (e.g., micronutrients, pest control)</w:t>
      </w:r>
    </w:p>
    <w:p w14:paraId="032407B5" w14:textId="77777777" w:rsidR="0028374C" w:rsidRPr="0028374C" w:rsidRDefault="0028374C" w:rsidP="0028374C">
      <w:pPr>
        <w:jc w:val="both"/>
        <w:rPr>
          <w:rFonts w:ascii="Times New Roman" w:hAnsi="Times New Roman" w:cs="Times New Roman"/>
          <w:color w:val="FF0000"/>
          <w:sz w:val="24"/>
          <w:szCs w:val="24"/>
          <w:lang w:val="en-US"/>
        </w:rPr>
      </w:pPr>
      <w:proofErr w:type="gramStart"/>
      <w:r w:rsidRPr="0028374C">
        <w:rPr>
          <w:rFonts w:ascii="Times New Roman" w:hAnsi="Times New Roman" w:cs="Times New Roman"/>
          <w:color w:val="FF0000"/>
          <w:sz w:val="24"/>
          <w:szCs w:val="24"/>
          <w:lang w:val="en-US"/>
        </w:rPr>
        <w:t>  Drudgery</w:t>
      </w:r>
      <w:proofErr w:type="gramEnd"/>
      <w:r w:rsidRPr="0028374C">
        <w:rPr>
          <w:rFonts w:ascii="Times New Roman" w:hAnsi="Times New Roman" w:cs="Times New Roman"/>
          <w:color w:val="FF0000"/>
          <w:sz w:val="24"/>
          <w:szCs w:val="24"/>
          <w:lang w:val="en-US"/>
        </w:rPr>
        <w:t xml:space="preserve"> analysis is important but largely qualitative; inclusion of </w:t>
      </w:r>
      <w:r w:rsidRPr="0028374C">
        <w:rPr>
          <w:rFonts w:ascii="Times New Roman" w:hAnsi="Times New Roman" w:cs="Times New Roman"/>
          <w:b/>
          <w:bCs/>
          <w:color w:val="FF0000"/>
          <w:sz w:val="24"/>
          <w:szCs w:val="24"/>
          <w:lang w:val="en-US"/>
        </w:rPr>
        <w:t>rankings or indirect indicators</w:t>
      </w:r>
      <w:r w:rsidRPr="0028374C">
        <w:rPr>
          <w:rFonts w:ascii="Times New Roman" w:hAnsi="Times New Roman" w:cs="Times New Roman"/>
          <w:color w:val="FF0000"/>
          <w:sz w:val="24"/>
          <w:szCs w:val="24"/>
          <w:lang w:val="en-US"/>
        </w:rPr>
        <w:t xml:space="preserve"> (time saved, reduced spray frequency) is suggested.</w:t>
      </w:r>
    </w:p>
    <w:p w14:paraId="21484D47" w14:textId="77777777" w:rsidR="0028374C" w:rsidRPr="007F78C3" w:rsidRDefault="0028374C" w:rsidP="007F78C3">
      <w:pPr>
        <w:jc w:val="both"/>
        <w:rPr>
          <w:rFonts w:ascii="Times New Roman" w:hAnsi="Times New Roman" w:cs="Times New Roman"/>
          <w:sz w:val="24"/>
          <w:szCs w:val="24"/>
        </w:rPr>
      </w:pPr>
    </w:p>
    <w:p w14:paraId="699A8C38" w14:textId="77777777" w:rsidR="005F1176" w:rsidRDefault="005F1176" w:rsidP="007F78C3">
      <w:pPr>
        <w:jc w:val="both"/>
        <w:rPr>
          <w:rFonts w:ascii="Times New Roman" w:hAnsi="Times New Roman" w:cs="Times New Roman"/>
          <w:b/>
          <w:bCs/>
          <w:sz w:val="24"/>
          <w:szCs w:val="24"/>
        </w:rPr>
      </w:pPr>
    </w:p>
    <w:p w14:paraId="690225DF" w14:textId="77777777" w:rsidR="005F1176" w:rsidRDefault="005F1176" w:rsidP="007F78C3">
      <w:pPr>
        <w:jc w:val="both"/>
        <w:rPr>
          <w:rFonts w:ascii="Times New Roman" w:hAnsi="Times New Roman" w:cs="Times New Roman"/>
          <w:b/>
          <w:bCs/>
          <w:sz w:val="24"/>
          <w:szCs w:val="24"/>
        </w:rPr>
      </w:pPr>
    </w:p>
    <w:p w14:paraId="1273BA93" w14:textId="77777777" w:rsidR="00A07397" w:rsidRPr="007F78C3" w:rsidRDefault="00A07397"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Conclusion</w:t>
      </w:r>
    </w:p>
    <w:p w14:paraId="7CC955B7" w14:textId="77777777" w:rsidR="00A07397"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A07397" w:rsidRPr="007F78C3">
        <w:rPr>
          <w:rFonts w:ascii="Times New Roman" w:hAnsi="Times New Roman" w:cs="Times New Roman"/>
          <w:sz w:val="24"/>
          <w:szCs w:val="24"/>
        </w:rPr>
        <w:t>The present study clearly demonstrates that ecologically safe Integrated Crop Management (ICM) practices in ridge gourd cultivation significantly enhanced the knowledge, productivity, profitability, and occupational safety of farm women. Although farm women possessed adequate knowledge of basic cultural practices, substantial gaps existed in technically critical components such as seed treatment, micronutrient management, pest and disease identification, and eco-friendly pest control measures. The on-farm demonstrations effectively addressed these gaps and facilitated adoption of improved practices.</w:t>
      </w:r>
    </w:p>
    <w:p w14:paraId="52EA5626" w14:textId="77777777" w:rsidR="00A07397"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A07397" w:rsidRPr="007F78C3">
        <w:rPr>
          <w:rFonts w:ascii="Times New Roman" w:hAnsi="Times New Roman" w:cs="Times New Roman"/>
          <w:sz w:val="24"/>
          <w:szCs w:val="24"/>
        </w:rPr>
        <w:t xml:space="preserve">Implementation of ICM practices resulted in a substantial increase in yield (13.5 t acre⁻¹), reduction in fruit fly damage (11.6%), and higher net returns (Rs. 1,92,800 </w:t>
      </w:r>
      <w:proofErr w:type="gramStart"/>
      <w:r w:rsidR="00A07397" w:rsidRPr="007F78C3">
        <w:rPr>
          <w:rFonts w:ascii="Times New Roman" w:hAnsi="Times New Roman" w:cs="Times New Roman"/>
          <w:sz w:val="24"/>
          <w:szCs w:val="24"/>
        </w:rPr>
        <w:t>acre</w:t>
      </w:r>
      <w:proofErr w:type="gramEnd"/>
      <w:r w:rsidR="00A07397" w:rsidRPr="007F78C3">
        <w:rPr>
          <w:rFonts w:ascii="Times New Roman" w:hAnsi="Times New Roman" w:cs="Times New Roman"/>
          <w:sz w:val="24"/>
          <w:szCs w:val="24"/>
        </w:rPr>
        <w:t>⁻¹) compared to farmers’ conventional practices. Despite a marginal increase in cost of cultivation, the higher benefit–cost ratio (3.5:1) under ICM confirms its economic viability and sustainability. Furthermore, adoption of eco-friendly pest management practices reduced the frequency of pesticide applications, thereby lowering drudgery and health risks among farm women.</w:t>
      </w:r>
    </w:p>
    <w:p w14:paraId="02F7D5A3" w14:textId="77777777" w:rsidR="00A07397"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A07397" w:rsidRPr="007F78C3">
        <w:rPr>
          <w:rFonts w:ascii="Times New Roman" w:hAnsi="Times New Roman" w:cs="Times New Roman"/>
          <w:sz w:val="24"/>
          <w:szCs w:val="24"/>
        </w:rPr>
        <w:t>Overall, the study establishes that women-centric, ecologically safe ICM interventions are effective tools for promoting sustainable vegetable production while improving livelihoodsecurity and work conditions of farm women.</w:t>
      </w:r>
    </w:p>
    <w:p w14:paraId="5A13B1F5" w14:textId="77777777" w:rsidR="00E91831" w:rsidRPr="00E91831" w:rsidRDefault="00E91831" w:rsidP="00E91831">
      <w:pPr>
        <w:pStyle w:val="ListParagraph"/>
        <w:numPr>
          <w:ilvl w:val="0"/>
          <w:numId w:val="18"/>
        </w:numPr>
        <w:jc w:val="both"/>
        <w:rPr>
          <w:rFonts w:ascii="Times New Roman" w:hAnsi="Times New Roman" w:cs="Times New Roman"/>
          <w:color w:val="FF0000"/>
          <w:sz w:val="24"/>
          <w:szCs w:val="24"/>
          <w:lang w:val="en-US"/>
        </w:rPr>
      </w:pPr>
      <w:r w:rsidRPr="00E91831">
        <w:rPr>
          <w:rFonts w:ascii="Times New Roman" w:hAnsi="Times New Roman" w:cs="Times New Roman"/>
          <w:color w:val="FF0000"/>
          <w:sz w:val="24"/>
          <w:szCs w:val="24"/>
          <w:lang w:val="en-US"/>
        </w:rPr>
        <w:lastRenderedPageBreak/>
        <w:t>Emphasize:</w:t>
      </w:r>
    </w:p>
    <w:p w14:paraId="409EDD52" w14:textId="77777777" w:rsidR="00E91831" w:rsidRPr="00E91831" w:rsidRDefault="00E91831" w:rsidP="00E91831">
      <w:pPr>
        <w:pStyle w:val="ListParagraph"/>
        <w:numPr>
          <w:ilvl w:val="0"/>
          <w:numId w:val="19"/>
        </w:numPr>
        <w:jc w:val="both"/>
        <w:rPr>
          <w:rFonts w:ascii="Times New Roman" w:hAnsi="Times New Roman" w:cs="Times New Roman"/>
          <w:color w:val="FF0000"/>
          <w:sz w:val="24"/>
          <w:szCs w:val="24"/>
          <w:lang w:val="en-US"/>
        </w:rPr>
      </w:pPr>
      <w:r w:rsidRPr="00E91831">
        <w:rPr>
          <w:rFonts w:ascii="Times New Roman" w:hAnsi="Times New Roman" w:cs="Times New Roman"/>
          <w:color w:val="FF0000"/>
          <w:sz w:val="24"/>
          <w:szCs w:val="24"/>
          <w:lang w:val="en-US"/>
        </w:rPr>
        <w:t>Extension relevance</w:t>
      </w:r>
    </w:p>
    <w:p w14:paraId="299D5A0C" w14:textId="77777777" w:rsidR="00E91831" w:rsidRPr="00E91831" w:rsidRDefault="00E91831" w:rsidP="00E91831">
      <w:pPr>
        <w:pStyle w:val="ListParagraph"/>
        <w:numPr>
          <w:ilvl w:val="0"/>
          <w:numId w:val="19"/>
        </w:numPr>
        <w:jc w:val="both"/>
        <w:rPr>
          <w:rFonts w:ascii="Times New Roman" w:hAnsi="Times New Roman" w:cs="Times New Roman"/>
          <w:color w:val="FF0000"/>
          <w:sz w:val="24"/>
          <w:szCs w:val="24"/>
          <w:lang w:val="en-US"/>
        </w:rPr>
      </w:pPr>
      <w:r w:rsidRPr="00E91831">
        <w:rPr>
          <w:rFonts w:ascii="Times New Roman" w:hAnsi="Times New Roman" w:cs="Times New Roman"/>
          <w:color w:val="FF0000"/>
          <w:sz w:val="24"/>
          <w:szCs w:val="24"/>
          <w:lang w:val="en-US"/>
        </w:rPr>
        <w:t>Sustainability and women empowerment outcomes</w:t>
      </w:r>
    </w:p>
    <w:p w14:paraId="14944E3C" w14:textId="77777777" w:rsidR="00E91831" w:rsidRPr="00E91831" w:rsidRDefault="00E91831" w:rsidP="00E91831">
      <w:pPr>
        <w:pStyle w:val="ListParagraph"/>
        <w:numPr>
          <w:ilvl w:val="0"/>
          <w:numId w:val="19"/>
        </w:numPr>
        <w:jc w:val="both"/>
        <w:rPr>
          <w:rFonts w:ascii="Times New Roman" w:hAnsi="Times New Roman" w:cs="Times New Roman"/>
          <w:color w:val="FF0000"/>
          <w:sz w:val="24"/>
          <w:szCs w:val="24"/>
          <w:lang w:val="en-US"/>
        </w:rPr>
      </w:pPr>
      <w:r w:rsidRPr="00E91831">
        <w:rPr>
          <w:rFonts w:ascii="Times New Roman" w:hAnsi="Times New Roman" w:cs="Times New Roman"/>
          <w:color w:val="FF0000"/>
          <w:sz w:val="24"/>
          <w:szCs w:val="24"/>
          <w:lang w:val="en-US"/>
        </w:rPr>
        <w:t>Policy implications for women-centric agricultural programs</w:t>
      </w:r>
    </w:p>
    <w:p w14:paraId="13C01249" w14:textId="77777777" w:rsidR="00E91831" w:rsidRPr="007F78C3" w:rsidRDefault="00E91831" w:rsidP="007F78C3">
      <w:pPr>
        <w:jc w:val="both"/>
        <w:rPr>
          <w:rFonts w:ascii="Times New Roman" w:hAnsi="Times New Roman" w:cs="Times New Roman"/>
          <w:sz w:val="24"/>
          <w:szCs w:val="24"/>
          <w:lang w:val="en-US"/>
        </w:rPr>
      </w:pPr>
    </w:p>
    <w:p w14:paraId="78CB7BEB" w14:textId="77777777" w:rsidR="00A07397" w:rsidRPr="007F78C3" w:rsidRDefault="00A07397"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Recommendations</w:t>
      </w:r>
    </w:p>
    <w:p w14:paraId="315DDEEF" w14:textId="77777777" w:rsidR="00A07397" w:rsidRPr="007F78C3" w:rsidRDefault="00A07397"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Extension Recommendations</w:t>
      </w:r>
    </w:p>
    <w:p w14:paraId="793E4B44"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Large-scale demonstration and training programs on ICM practices should be conducted with special emphasis on farm women to enhance adoption of eco-friendly technologies in vegetable cultivation.</w:t>
      </w:r>
    </w:p>
    <w:p w14:paraId="65DA64BD"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Capacity-building initiatives should focus on technically weak areas such as seed treatment, micronutrient management, pest and disease diagnosis, and use of mechanical and biological pest control methods.</w:t>
      </w:r>
    </w:p>
    <w:p w14:paraId="06579C60"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Participatory and experiential learning approaches, including field demonstrations, method demonstrations, and farmer-to-farmer learning, should be promoted to ensure better understanding and sustained adoption.</w:t>
      </w:r>
    </w:p>
    <w:p w14:paraId="6A16D00F"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Extension agencies should integrate drudgery-reducing practices and tools within ICM modules to improve work efficiency and occupational health of farm women.</w:t>
      </w:r>
    </w:p>
    <w:p w14:paraId="0838D0B4" w14:textId="77777777" w:rsidR="00A748F1" w:rsidRPr="007F78C3" w:rsidRDefault="005F1176" w:rsidP="007F78C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r w:rsidR="00382279" w:rsidRPr="007F78C3">
        <w:rPr>
          <w:rFonts w:ascii="Times New Roman" w:hAnsi="Times New Roman" w:cs="Times New Roman"/>
          <w:b/>
          <w:bCs/>
          <w:sz w:val="24"/>
          <w:szCs w:val="24"/>
          <w:lang w:val="en-US"/>
        </w:rPr>
        <w:t>:</w:t>
      </w:r>
    </w:p>
    <w:p w14:paraId="06AB4988" w14:textId="77777777" w:rsidR="00AB46F6" w:rsidRPr="00030531" w:rsidRDefault="00AB46F6" w:rsidP="00030531">
      <w:pPr>
        <w:jc w:val="both"/>
        <w:rPr>
          <w:rFonts w:ascii="Times New Roman" w:hAnsi="Times New Roman" w:cs="Times New Roman"/>
          <w:sz w:val="24"/>
          <w:szCs w:val="24"/>
        </w:rPr>
      </w:pPr>
      <w:proofErr w:type="spellStart"/>
      <w:r w:rsidRPr="00030531">
        <w:rPr>
          <w:rFonts w:ascii="Times New Roman" w:hAnsi="Times New Roman" w:cs="Times New Roman"/>
          <w:sz w:val="24"/>
          <w:szCs w:val="24"/>
        </w:rPr>
        <w:t>Birah</w:t>
      </w:r>
      <w:proofErr w:type="spellEnd"/>
      <w:r w:rsidRPr="00030531">
        <w:rPr>
          <w:rFonts w:ascii="Times New Roman" w:hAnsi="Times New Roman" w:cs="Times New Roman"/>
          <w:sz w:val="24"/>
          <w:szCs w:val="24"/>
        </w:rPr>
        <w:t xml:space="preserve"> A, Singh S, Singh PK and Dam Roy S (2015) Evaluation and efficacy of pest management modules for cucurbits </w:t>
      </w:r>
      <w:proofErr w:type="spellStart"/>
      <w:r w:rsidRPr="00030531">
        <w:rPr>
          <w:rFonts w:ascii="Times New Roman" w:hAnsi="Times New Roman" w:cs="Times New Roman"/>
          <w:sz w:val="24"/>
          <w:szCs w:val="24"/>
        </w:rPr>
        <w:t>againstfruit</w:t>
      </w:r>
      <w:proofErr w:type="spellEnd"/>
      <w:r w:rsidRPr="00030531">
        <w:rPr>
          <w:rFonts w:ascii="Times New Roman" w:hAnsi="Times New Roman" w:cs="Times New Roman"/>
          <w:sz w:val="24"/>
          <w:szCs w:val="24"/>
        </w:rPr>
        <w:t xml:space="preserve"> fly, </w:t>
      </w:r>
      <w:proofErr w:type="spellStart"/>
      <w:r w:rsidRPr="00030531">
        <w:rPr>
          <w:rFonts w:ascii="Times New Roman" w:hAnsi="Times New Roman" w:cs="Times New Roman"/>
          <w:i/>
          <w:iCs/>
          <w:sz w:val="24"/>
          <w:szCs w:val="24"/>
        </w:rPr>
        <w:t>Bactroceracucurbitae</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Coquillett</w:t>
      </w:r>
      <w:proofErr w:type="spellEnd"/>
      <w:r w:rsidRPr="00030531">
        <w:rPr>
          <w:rFonts w:ascii="Times New Roman" w:hAnsi="Times New Roman" w:cs="Times New Roman"/>
          <w:sz w:val="24"/>
          <w:szCs w:val="24"/>
        </w:rPr>
        <w:t xml:space="preserve">) in Andaman. </w:t>
      </w:r>
      <w:proofErr w:type="spellStart"/>
      <w:r w:rsidRPr="00030531">
        <w:rPr>
          <w:rFonts w:ascii="Times New Roman" w:hAnsi="Times New Roman" w:cs="Times New Roman"/>
          <w:sz w:val="24"/>
          <w:szCs w:val="24"/>
        </w:rPr>
        <w:t>Vegetos</w:t>
      </w:r>
      <w:proofErr w:type="spellEnd"/>
      <w:r w:rsidRPr="00030531">
        <w:rPr>
          <w:rFonts w:ascii="Times New Roman" w:hAnsi="Times New Roman" w:cs="Times New Roman"/>
          <w:sz w:val="24"/>
          <w:szCs w:val="24"/>
        </w:rPr>
        <w:t xml:space="preserve"> 28(4): 62-66.</w:t>
      </w:r>
    </w:p>
    <w:p w14:paraId="7430AC76" w14:textId="273466C4" w:rsidR="00741BE5" w:rsidRPr="00030531" w:rsidRDefault="00373F1F" w:rsidP="00030531">
      <w:pPr>
        <w:jc w:val="both"/>
        <w:rPr>
          <w:rFonts w:ascii="Times New Roman" w:hAnsi="Times New Roman" w:cs="Times New Roman"/>
          <w:sz w:val="24"/>
          <w:szCs w:val="24"/>
        </w:rPr>
      </w:pPr>
      <w:r w:rsidRPr="00030531">
        <w:rPr>
          <w:rFonts w:ascii="Times New Roman" w:hAnsi="Times New Roman" w:cs="Times New Roman"/>
          <w:sz w:val="24"/>
          <w:szCs w:val="24"/>
        </w:rPr>
        <w:t xml:space="preserve">Kumar, S., Nath, S., </w:t>
      </w:r>
      <w:proofErr w:type="spellStart"/>
      <w:r w:rsidRPr="00030531">
        <w:rPr>
          <w:rFonts w:ascii="Times New Roman" w:hAnsi="Times New Roman" w:cs="Times New Roman"/>
          <w:sz w:val="24"/>
          <w:szCs w:val="24"/>
        </w:rPr>
        <w:t>Kannaujia</w:t>
      </w:r>
      <w:proofErr w:type="spellEnd"/>
      <w:r w:rsidRPr="00030531">
        <w:rPr>
          <w:rFonts w:ascii="Times New Roman" w:hAnsi="Times New Roman" w:cs="Times New Roman"/>
          <w:sz w:val="24"/>
          <w:szCs w:val="24"/>
        </w:rPr>
        <w:t xml:space="preserve">, S. K., Sonkar, S. P., Singh, A. K., Rajput, R. K., &amp; Gautam, A. D. (2019). Study of the integrated pest management practices against bitter gourd fruit fly in district </w:t>
      </w:r>
      <w:proofErr w:type="spellStart"/>
      <w:r w:rsidRPr="00030531">
        <w:rPr>
          <w:rFonts w:ascii="Times New Roman" w:hAnsi="Times New Roman" w:cs="Times New Roman"/>
          <w:sz w:val="24"/>
          <w:szCs w:val="24"/>
        </w:rPr>
        <w:t>Jaunpur</w:t>
      </w:r>
      <w:proofErr w:type="spellEnd"/>
      <w:r w:rsidRPr="00030531">
        <w:rPr>
          <w:rFonts w:ascii="Times New Roman" w:hAnsi="Times New Roman" w:cs="Times New Roman"/>
          <w:sz w:val="24"/>
          <w:szCs w:val="24"/>
        </w:rPr>
        <w:t xml:space="preserve"> (U.P.) India. *Journal of Pharmacognosy and Phytochemistry*, *8*(4), 798-800. </w:t>
      </w:r>
      <w:hyperlink r:id="rId7" w:history="1">
        <w:r w:rsidRPr="00030531">
          <w:rPr>
            <w:rStyle w:val="Hyperlink"/>
            <w:rFonts w:ascii="Times New Roman" w:hAnsi="Times New Roman" w:cs="Times New Roman"/>
            <w:sz w:val="24"/>
            <w:szCs w:val="24"/>
          </w:rPr>
          <w:t>https://www.phytochemistrysociety.com/</w:t>
        </w:r>
      </w:hyperlink>
      <w:r w:rsidRPr="00030531">
        <w:rPr>
          <w:rFonts w:ascii="Times New Roman" w:hAnsi="Times New Roman" w:cs="Times New Roman"/>
          <w:sz w:val="24"/>
          <w:szCs w:val="24"/>
        </w:rPr>
        <w:t xml:space="preserve"> </w:t>
      </w:r>
    </w:p>
    <w:p w14:paraId="0A5524B4" w14:textId="18E2959E" w:rsidR="00AB46F6" w:rsidRPr="00030531" w:rsidRDefault="006D1725" w:rsidP="00030531">
      <w:pPr>
        <w:jc w:val="both"/>
        <w:rPr>
          <w:rFonts w:ascii="Times New Roman" w:hAnsi="Times New Roman" w:cs="Times New Roman"/>
          <w:sz w:val="24"/>
          <w:szCs w:val="24"/>
        </w:rPr>
      </w:pPr>
      <w:r w:rsidRPr="00030531">
        <w:rPr>
          <w:rFonts w:ascii="Times New Roman" w:hAnsi="Times New Roman" w:cs="Times New Roman"/>
          <w:sz w:val="24"/>
          <w:szCs w:val="24"/>
        </w:rPr>
        <w:t>Nayak, U., &amp; Mahapatra, S. (2020). Efficacy of integrated pest management (IPM) modules against fruit fly (</w:t>
      </w:r>
      <w:proofErr w:type="spellStart"/>
      <w:r w:rsidRPr="00030531">
        <w:rPr>
          <w:rFonts w:ascii="Times New Roman" w:hAnsi="Times New Roman" w:cs="Times New Roman"/>
          <w:sz w:val="24"/>
          <w:szCs w:val="24"/>
        </w:rPr>
        <w:t>Bactrocera</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cucurbitae</w:t>
      </w:r>
      <w:proofErr w:type="spellEnd"/>
      <w:r w:rsidRPr="00030531">
        <w:rPr>
          <w:rFonts w:ascii="Times New Roman" w:hAnsi="Times New Roman" w:cs="Times New Roman"/>
          <w:sz w:val="24"/>
          <w:szCs w:val="24"/>
        </w:rPr>
        <w:t xml:space="preserve"> C.) in bitter gourd. Vegetable Science, 47(1), 127–130. </w:t>
      </w:r>
      <w:hyperlink r:id="rId8" w:history="1">
        <w:r w:rsidRPr="00030531">
          <w:rPr>
            <w:rStyle w:val="Hyperlink"/>
            <w:rFonts w:ascii="Times New Roman" w:hAnsi="Times New Roman" w:cs="Times New Roman"/>
            <w:sz w:val="24"/>
            <w:szCs w:val="24"/>
          </w:rPr>
          <w:t>https://doi.org/10.61180/vegsci.2020.v47.i1.23</w:t>
        </w:r>
      </w:hyperlink>
      <w:r w:rsidRPr="00030531">
        <w:rPr>
          <w:rFonts w:ascii="Times New Roman" w:hAnsi="Times New Roman" w:cs="Times New Roman"/>
          <w:sz w:val="24"/>
          <w:szCs w:val="24"/>
        </w:rPr>
        <w:t xml:space="preserve"> </w:t>
      </w:r>
    </w:p>
    <w:p w14:paraId="7F6DCE5A" w14:textId="6F7D91E8" w:rsidR="00AB46F6" w:rsidRPr="00030531" w:rsidRDefault="004C09FD" w:rsidP="00030531">
      <w:pPr>
        <w:jc w:val="both"/>
        <w:rPr>
          <w:rFonts w:ascii="Times New Roman" w:hAnsi="Times New Roman" w:cs="Times New Roman"/>
          <w:sz w:val="24"/>
          <w:szCs w:val="24"/>
        </w:rPr>
      </w:pPr>
      <w:proofErr w:type="spellStart"/>
      <w:r w:rsidRPr="00030531">
        <w:rPr>
          <w:rFonts w:ascii="Times New Roman" w:hAnsi="Times New Roman" w:cs="Times New Roman"/>
          <w:sz w:val="24"/>
          <w:szCs w:val="24"/>
        </w:rPr>
        <w:t>Sundharaiya</w:t>
      </w:r>
      <w:proofErr w:type="spellEnd"/>
      <w:r w:rsidRPr="00030531">
        <w:rPr>
          <w:rFonts w:ascii="Times New Roman" w:hAnsi="Times New Roman" w:cs="Times New Roman"/>
          <w:sz w:val="24"/>
          <w:szCs w:val="24"/>
        </w:rPr>
        <w:t xml:space="preserve">, K., Sriram, N., Sivakumar, V., &amp; Sathish, G. (2022). Integrated Crop Management Practices in Ridge Gourd Hybrid COH-1 for Increasing Yield and Income under </w:t>
      </w:r>
      <w:proofErr w:type="spellStart"/>
      <w:r w:rsidRPr="00030531">
        <w:rPr>
          <w:rFonts w:ascii="Times New Roman" w:hAnsi="Times New Roman" w:cs="Times New Roman"/>
          <w:sz w:val="24"/>
          <w:szCs w:val="24"/>
        </w:rPr>
        <w:t>Cuddalore</w:t>
      </w:r>
      <w:proofErr w:type="spellEnd"/>
      <w:r w:rsidRPr="00030531">
        <w:rPr>
          <w:rFonts w:ascii="Times New Roman" w:hAnsi="Times New Roman" w:cs="Times New Roman"/>
          <w:sz w:val="24"/>
          <w:szCs w:val="24"/>
        </w:rPr>
        <w:t xml:space="preserve"> District of Tamil Nadu, India. International Journal of Plant &amp; Soil Science, 34(22), 871–876. </w:t>
      </w:r>
      <w:hyperlink r:id="rId9" w:history="1">
        <w:r w:rsidRPr="00030531">
          <w:rPr>
            <w:rStyle w:val="Hyperlink"/>
            <w:rFonts w:ascii="Times New Roman" w:hAnsi="Times New Roman" w:cs="Times New Roman"/>
            <w:sz w:val="24"/>
            <w:szCs w:val="24"/>
          </w:rPr>
          <w:t>https://doi.org/10.9734/ijpss/2022/v34i2231446</w:t>
        </w:r>
      </w:hyperlink>
      <w:r w:rsidRPr="00030531">
        <w:rPr>
          <w:rFonts w:ascii="Times New Roman" w:hAnsi="Times New Roman" w:cs="Times New Roman"/>
          <w:sz w:val="24"/>
          <w:szCs w:val="24"/>
        </w:rPr>
        <w:t xml:space="preserve"> </w:t>
      </w:r>
    </w:p>
    <w:p w14:paraId="32923F0B" w14:textId="6FE6DA3E" w:rsidR="00112F57" w:rsidRPr="00030531" w:rsidRDefault="009125FC" w:rsidP="00030531">
      <w:pPr>
        <w:jc w:val="both"/>
        <w:rPr>
          <w:rFonts w:ascii="Times New Roman" w:hAnsi="Times New Roman" w:cs="Times New Roman"/>
          <w:i/>
          <w:iCs/>
          <w:sz w:val="24"/>
          <w:szCs w:val="24"/>
        </w:rPr>
      </w:pPr>
      <w:r w:rsidRPr="00030531">
        <w:rPr>
          <w:rFonts w:ascii="Times New Roman" w:hAnsi="Times New Roman" w:cs="Times New Roman"/>
          <w:sz w:val="24"/>
          <w:szCs w:val="24"/>
        </w:rPr>
        <w:t xml:space="preserve">Vijayashanthi, V. A., </w:t>
      </w:r>
      <w:proofErr w:type="spellStart"/>
      <w:r w:rsidRPr="00030531">
        <w:rPr>
          <w:rFonts w:ascii="Times New Roman" w:hAnsi="Times New Roman" w:cs="Times New Roman"/>
          <w:sz w:val="24"/>
          <w:szCs w:val="24"/>
        </w:rPr>
        <w:t>Yogameenakshi</w:t>
      </w:r>
      <w:proofErr w:type="spellEnd"/>
      <w:r w:rsidRPr="00030531">
        <w:rPr>
          <w:rFonts w:ascii="Times New Roman" w:hAnsi="Times New Roman" w:cs="Times New Roman"/>
          <w:sz w:val="24"/>
          <w:szCs w:val="24"/>
        </w:rPr>
        <w:t xml:space="preserve">, P., Senthilkumar, M., Sivagamy, K., Tamilselvi, C., &amp; Arul Prasad, S. (2023). Impact of Integrated Management Practices of Fruit Fly in Bitter Gourd. International Journal of Plant &amp; Soil Science, 35(21), 301–304. </w:t>
      </w:r>
      <w:hyperlink r:id="rId10" w:history="1">
        <w:r w:rsidRPr="00030531">
          <w:rPr>
            <w:rStyle w:val="Hyperlink"/>
            <w:rFonts w:ascii="Times New Roman" w:hAnsi="Times New Roman" w:cs="Times New Roman"/>
            <w:sz w:val="24"/>
            <w:szCs w:val="24"/>
          </w:rPr>
          <w:t>https://doi.org/10.9734/ijpss/2023/v35i213976</w:t>
        </w:r>
      </w:hyperlink>
      <w:r w:rsidRPr="00030531">
        <w:rPr>
          <w:rFonts w:ascii="Times New Roman" w:hAnsi="Times New Roman" w:cs="Times New Roman"/>
          <w:sz w:val="24"/>
          <w:szCs w:val="24"/>
        </w:rPr>
        <w:t xml:space="preserve"> </w:t>
      </w:r>
    </w:p>
    <w:p w14:paraId="2F8955A6" w14:textId="5B2346F7" w:rsidR="007E20F6" w:rsidRPr="00030531" w:rsidRDefault="00E21F96" w:rsidP="00030531">
      <w:pPr>
        <w:jc w:val="both"/>
        <w:rPr>
          <w:rFonts w:ascii="Times New Roman" w:hAnsi="Times New Roman" w:cs="Times New Roman"/>
          <w:sz w:val="24"/>
          <w:szCs w:val="24"/>
        </w:rPr>
      </w:pPr>
      <w:r w:rsidRPr="00030531">
        <w:rPr>
          <w:rFonts w:ascii="Times New Roman" w:hAnsi="Times New Roman" w:cs="Times New Roman"/>
          <w:sz w:val="24"/>
          <w:szCs w:val="24"/>
        </w:rPr>
        <w:t xml:space="preserve">Tamilselvi, C., Vijayashanthi, V. A., Sathish, G., </w:t>
      </w:r>
      <w:proofErr w:type="spellStart"/>
      <w:r w:rsidRPr="00030531">
        <w:rPr>
          <w:rFonts w:ascii="Times New Roman" w:hAnsi="Times New Roman" w:cs="Times New Roman"/>
          <w:sz w:val="24"/>
          <w:szCs w:val="24"/>
        </w:rPr>
        <w:t>Yogameenakshi</w:t>
      </w:r>
      <w:proofErr w:type="spellEnd"/>
      <w:r w:rsidRPr="00030531">
        <w:rPr>
          <w:rFonts w:ascii="Times New Roman" w:hAnsi="Times New Roman" w:cs="Times New Roman"/>
          <w:sz w:val="24"/>
          <w:szCs w:val="24"/>
        </w:rPr>
        <w:t xml:space="preserve">, P., Preethi, T. L., Sivagamy, K., &amp; Banumathy, S. (2024). Integrated Pest Management Strategies for </w:t>
      </w:r>
      <w:proofErr w:type="spellStart"/>
      <w:r w:rsidRPr="00030531">
        <w:rPr>
          <w:rFonts w:ascii="Times New Roman" w:hAnsi="Times New Roman" w:cs="Times New Roman"/>
          <w:sz w:val="24"/>
          <w:szCs w:val="24"/>
        </w:rPr>
        <w:t>Fruitfly</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Bactrocera</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lastRenderedPageBreak/>
        <w:t>cucurbitae</w:t>
      </w:r>
      <w:proofErr w:type="spellEnd"/>
      <w:r w:rsidRPr="00030531">
        <w:rPr>
          <w:rFonts w:ascii="Times New Roman" w:hAnsi="Times New Roman" w:cs="Times New Roman"/>
          <w:sz w:val="24"/>
          <w:szCs w:val="24"/>
        </w:rPr>
        <w:t xml:space="preserve">) in </w:t>
      </w:r>
      <w:proofErr w:type="spellStart"/>
      <w:r w:rsidRPr="00030531">
        <w:rPr>
          <w:rFonts w:ascii="Times New Roman" w:hAnsi="Times New Roman" w:cs="Times New Roman"/>
          <w:sz w:val="24"/>
          <w:szCs w:val="24"/>
        </w:rPr>
        <w:t>Bittergourd</w:t>
      </w:r>
      <w:proofErr w:type="spellEnd"/>
      <w:r w:rsidRPr="00030531">
        <w:rPr>
          <w:rFonts w:ascii="Times New Roman" w:hAnsi="Times New Roman" w:cs="Times New Roman"/>
          <w:sz w:val="24"/>
          <w:szCs w:val="24"/>
        </w:rPr>
        <w:t xml:space="preserve">. Uttar Pradesh Journal of Zoology, 45(6), 89–93. </w:t>
      </w:r>
      <w:hyperlink r:id="rId11" w:history="1">
        <w:r w:rsidRPr="00030531">
          <w:rPr>
            <w:rStyle w:val="Hyperlink"/>
            <w:rFonts w:ascii="Times New Roman" w:hAnsi="Times New Roman" w:cs="Times New Roman"/>
            <w:sz w:val="24"/>
            <w:szCs w:val="24"/>
          </w:rPr>
          <w:t>https://doi.org/10.56557/upjoz/2024/v45i63953</w:t>
        </w:r>
      </w:hyperlink>
      <w:r w:rsidRPr="00030531">
        <w:rPr>
          <w:rFonts w:ascii="Times New Roman" w:hAnsi="Times New Roman" w:cs="Times New Roman"/>
          <w:sz w:val="24"/>
          <w:szCs w:val="24"/>
        </w:rPr>
        <w:t xml:space="preserve"> </w:t>
      </w:r>
    </w:p>
    <w:p w14:paraId="42A7942D" w14:textId="18781390" w:rsidR="00AB46F6" w:rsidRPr="00030531" w:rsidRDefault="00C73730" w:rsidP="00030531">
      <w:pPr>
        <w:jc w:val="both"/>
        <w:rPr>
          <w:rFonts w:ascii="Times New Roman" w:hAnsi="Times New Roman" w:cs="Times New Roman"/>
          <w:sz w:val="24"/>
          <w:szCs w:val="24"/>
        </w:rPr>
      </w:pPr>
      <w:r w:rsidRPr="00030531">
        <w:rPr>
          <w:rFonts w:ascii="Times New Roman" w:hAnsi="Times New Roman" w:cs="Times New Roman"/>
          <w:sz w:val="24"/>
          <w:szCs w:val="24"/>
        </w:rPr>
        <w:t xml:space="preserve">Siva, M., Usha, M., Durga Prasad, N. V. V. S., Chowdary, L. R., Jahnavi, M., &amp; Reddy, T. V. (2024). Enhancing Watermelon Yield and Economic Returns through Integrated Crop Management in Prakasam District, Andhra Pradesh, India. Journal of Advances in Biology &amp; Biotechnology, 27(8), 974–979. </w:t>
      </w:r>
      <w:hyperlink r:id="rId12" w:history="1">
        <w:r w:rsidRPr="00030531">
          <w:rPr>
            <w:rStyle w:val="Hyperlink"/>
            <w:rFonts w:ascii="Times New Roman" w:hAnsi="Times New Roman" w:cs="Times New Roman"/>
            <w:sz w:val="24"/>
            <w:szCs w:val="24"/>
          </w:rPr>
          <w:t>https://doi.org/10.9734/jabb/2024/v27i81218</w:t>
        </w:r>
      </w:hyperlink>
      <w:r w:rsidRPr="00030531">
        <w:rPr>
          <w:rFonts w:ascii="Times New Roman" w:hAnsi="Times New Roman" w:cs="Times New Roman"/>
          <w:sz w:val="24"/>
          <w:szCs w:val="24"/>
        </w:rPr>
        <w:t xml:space="preserve"> </w:t>
      </w:r>
    </w:p>
    <w:p w14:paraId="31EC5824" w14:textId="77777777" w:rsidR="00AB46F6" w:rsidRPr="007F78C3" w:rsidRDefault="00AB46F6" w:rsidP="007F78C3">
      <w:pPr>
        <w:jc w:val="both"/>
        <w:rPr>
          <w:rFonts w:ascii="Times New Roman" w:hAnsi="Times New Roman" w:cs="Times New Roman"/>
          <w:sz w:val="24"/>
          <w:szCs w:val="24"/>
          <w:lang w:val="en-US"/>
        </w:rPr>
      </w:pPr>
    </w:p>
    <w:sectPr w:rsidR="00AB46F6" w:rsidRPr="007F78C3" w:rsidSect="004432B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EEC2" w14:textId="77777777" w:rsidR="008D3FC5" w:rsidRDefault="008D3FC5" w:rsidP="00057527">
      <w:pPr>
        <w:spacing w:after="0" w:line="240" w:lineRule="auto"/>
      </w:pPr>
      <w:r>
        <w:separator/>
      </w:r>
    </w:p>
  </w:endnote>
  <w:endnote w:type="continuationSeparator" w:id="0">
    <w:p w14:paraId="0A812450" w14:textId="77777777" w:rsidR="008D3FC5" w:rsidRDefault="008D3FC5" w:rsidP="0005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34BB" w14:textId="77777777" w:rsidR="00057527" w:rsidRDefault="0005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503" w14:textId="77777777" w:rsidR="00057527" w:rsidRDefault="00057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C8F5" w14:textId="77777777" w:rsidR="00057527" w:rsidRDefault="0005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04B4" w14:textId="77777777" w:rsidR="008D3FC5" w:rsidRDefault="008D3FC5" w:rsidP="00057527">
      <w:pPr>
        <w:spacing w:after="0" w:line="240" w:lineRule="auto"/>
      </w:pPr>
      <w:r>
        <w:separator/>
      </w:r>
    </w:p>
  </w:footnote>
  <w:footnote w:type="continuationSeparator" w:id="0">
    <w:p w14:paraId="6A76A2A9" w14:textId="77777777" w:rsidR="008D3FC5" w:rsidRDefault="008D3FC5" w:rsidP="0005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2311" w14:textId="7A7428A7" w:rsidR="00057527" w:rsidRDefault="00000000">
    <w:pPr>
      <w:pStyle w:val="Header"/>
    </w:pPr>
    <w:r>
      <w:rPr>
        <w:noProof/>
      </w:rPr>
      <w:pict w14:anchorId="33CA7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AD9A" w14:textId="77C92BC7" w:rsidR="00057527" w:rsidRDefault="00000000">
    <w:pPr>
      <w:pStyle w:val="Header"/>
    </w:pPr>
    <w:r>
      <w:rPr>
        <w:noProof/>
      </w:rPr>
      <w:pict w14:anchorId="65D00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0915" w14:textId="69E1FC46" w:rsidR="00057527" w:rsidRDefault="00000000">
    <w:pPr>
      <w:pStyle w:val="Header"/>
    </w:pPr>
    <w:r>
      <w:rPr>
        <w:noProof/>
      </w:rPr>
      <w:pict w14:anchorId="26C4E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6"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99B"/>
    <w:multiLevelType w:val="multilevel"/>
    <w:tmpl w:val="B1AA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8107A"/>
    <w:multiLevelType w:val="hybridMultilevel"/>
    <w:tmpl w:val="7ECE2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54510"/>
    <w:multiLevelType w:val="hybridMultilevel"/>
    <w:tmpl w:val="03A07108"/>
    <w:lvl w:ilvl="0" w:tplc="ED8A722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5214FE"/>
    <w:multiLevelType w:val="hybridMultilevel"/>
    <w:tmpl w:val="330245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6C6050"/>
    <w:multiLevelType w:val="multilevel"/>
    <w:tmpl w:val="7470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E5B53"/>
    <w:multiLevelType w:val="multilevel"/>
    <w:tmpl w:val="7F54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663D7"/>
    <w:multiLevelType w:val="hybridMultilevel"/>
    <w:tmpl w:val="B9BAC9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B013BC"/>
    <w:multiLevelType w:val="hybridMultilevel"/>
    <w:tmpl w:val="9404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55BF4"/>
    <w:multiLevelType w:val="multilevel"/>
    <w:tmpl w:val="D4E4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57DC0"/>
    <w:multiLevelType w:val="hybridMultilevel"/>
    <w:tmpl w:val="BF68B31C"/>
    <w:lvl w:ilvl="0" w:tplc="ED8A722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7D2344"/>
    <w:multiLevelType w:val="multilevel"/>
    <w:tmpl w:val="1ABA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820AB"/>
    <w:multiLevelType w:val="hybridMultilevel"/>
    <w:tmpl w:val="BB1CD5FC"/>
    <w:lvl w:ilvl="0" w:tplc="ED8A722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678D9"/>
    <w:multiLevelType w:val="hybridMultilevel"/>
    <w:tmpl w:val="F4A26AD8"/>
    <w:lvl w:ilvl="0" w:tplc="ED8A72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777F4"/>
    <w:multiLevelType w:val="hybridMultilevel"/>
    <w:tmpl w:val="4218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643B3"/>
    <w:multiLevelType w:val="multilevel"/>
    <w:tmpl w:val="B9AE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32D97"/>
    <w:multiLevelType w:val="hybridMultilevel"/>
    <w:tmpl w:val="7EDC53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BB0A61"/>
    <w:multiLevelType w:val="multilevel"/>
    <w:tmpl w:val="CF3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E6A15"/>
    <w:multiLevelType w:val="hybridMultilevel"/>
    <w:tmpl w:val="C54EB8AA"/>
    <w:lvl w:ilvl="0" w:tplc="ED8A72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45E3C"/>
    <w:multiLevelType w:val="hybridMultilevel"/>
    <w:tmpl w:val="EBACA8FA"/>
    <w:lvl w:ilvl="0" w:tplc="ED8A72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854719">
    <w:abstractNumId w:val="6"/>
  </w:num>
  <w:num w:numId="2" w16cid:durableId="1102267046">
    <w:abstractNumId w:val="3"/>
  </w:num>
  <w:num w:numId="3" w16cid:durableId="101657217">
    <w:abstractNumId w:val="14"/>
  </w:num>
  <w:num w:numId="4" w16cid:durableId="2054454634">
    <w:abstractNumId w:val="15"/>
  </w:num>
  <w:num w:numId="5" w16cid:durableId="1270165983">
    <w:abstractNumId w:val="13"/>
  </w:num>
  <w:num w:numId="6" w16cid:durableId="1451123978">
    <w:abstractNumId w:val="18"/>
  </w:num>
  <w:num w:numId="7" w16cid:durableId="45495197">
    <w:abstractNumId w:val="10"/>
  </w:num>
  <w:num w:numId="8" w16cid:durableId="183642510">
    <w:abstractNumId w:val="12"/>
  </w:num>
  <w:num w:numId="9" w16cid:durableId="110364469">
    <w:abstractNumId w:val="7"/>
  </w:num>
  <w:num w:numId="10" w16cid:durableId="151527211">
    <w:abstractNumId w:val="11"/>
  </w:num>
  <w:num w:numId="11" w16cid:durableId="214513184">
    <w:abstractNumId w:val="16"/>
  </w:num>
  <w:num w:numId="12" w16cid:durableId="764690843">
    <w:abstractNumId w:val="5"/>
  </w:num>
  <w:num w:numId="13" w16cid:durableId="355817213">
    <w:abstractNumId w:val="9"/>
  </w:num>
  <w:num w:numId="14" w16cid:durableId="969358629">
    <w:abstractNumId w:val="2"/>
  </w:num>
  <w:num w:numId="15" w16cid:durableId="202253800">
    <w:abstractNumId w:val="8"/>
  </w:num>
  <w:num w:numId="16" w16cid:durableId="932973700">
    <w:abstractNumId w:val="0"/>
  </w:num>
  <w:num w:numId="17" w16cid:durableId="1049183020">
    <w:abstractNumId w:val="4"/>
  </w:num>
  <w:num w:numId="18" w16cid:durableId="34356734">
    <w:abstractNumId w:val="17"/>
  </w:num>
  <w:num w:numId="19" w16cid:durableId="1152987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22E0"/>
    <w:rsid w:val="0000795D"/>
    <w:rsid w:val="00030531"/>
    <w:rsid w:val="00057527"/>
    <w:rsid w:val="000C14D2"/>
    <w:rsid w:val="00112F57"/>
    <w:rsid w:val="00124566"/>
    <w:rsid w:val="001C16F2"/>
    <w:rsid w:val="001D64A1"/>
    <w:rsid w:val="00213E08"/>
    <w:rsid w:val="00263CA5"/>
    <w:rsid w:val="0028374C"/>
    <w:rsid w:val="002B1124"/>
    <w:rsid w:val="00373F1F"/>
    <w:rsid w:val="00382279"/>
    <w:rsid w:val="00441994"/>
    <w:rsid w:val="004432BD"/>
    <w:rsid w:val="004457C6"/>
    <w:rsid w:val="004C09FD"/>
    <w:rsid w:val="00584957"/>
    <w:rsid w:val="005F1176"/>
    <w:rsid w:val="006D1725"/>
    <w:rsid w:val="006D2D1A"/>
    <w:rsid w:val="006D7B4E"/>
    <w:rsid w:val="007012BC"/>
    <w:rsid w:val="00723304"/>
    <w:rsid w:val="00741BE5"/>
    <w:rsid w:val="007E20F6"/>
    <w:rsid w:val="007F78C3"/>
    <w:rsid w:val="00807F6F"/>
    <w:rsid w:val="00887D55"/>
    <w:rsid w:val="008D3FC5"/>
    <w:rsid w:val="009125FC"/>
    <w:rsid w:val="00934FD1"/>
    <w:rsid w:val="00957435"/>
    <w:rsid w:val="0099160E"/>
    <w:rsid w:val="009D22E0"/>
    <w:rsid w:val="00A07397"/>
    <w:rsid w:val="00A12EAA"/>
    <w:rsid w:val="00A12F74"/>
    <w:rsid w:val="00A420FF"/>
    <w:rsid w:val="00A54E95"/>
    <w:rsid w:val="00A748F1"/>
    <w:rsid w:val="00AB46F6"/>
    <w:rsid w:val="00AE1D2E"/>
    <w:rsid w:val="00B03A9F"/>
    <w:rsid w:val="00B1717A"/>
    <w:rsid w:val="00C73730"/>
    <w:rsid w:val="00D90E05"/>
    <w:rsid w:val="00E21F96"/>
    <w:rsid w:val="00E91831"/>
    <w:rsid w:val="00EF033C"/>
    <w:rsid w:val="00F163A3"/>
    <w:rsid w:val="00F271E2"/>
    <w:rsid w:val="00FD24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5741C"/>
  <w15:docId w15:val="{327B69F8-C199-4C30-B36B-6FAA0E4F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BD"/>
  </w:style>
  <w:style w:type="paragraph" w:styleId="Heading1">
    <w:name w:val="heading 1"/>
    <w:basedOn w:val="Normal"/>
    <w:next w:val="Normal"/>
    <w:link w:val="Heading1Char"/>
    <w:uiPriority w:val="9"/>
    <w:qFormat/>
    <w:rsid w:val="009D2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2E0"/>
    <w:rPr>
      <w:rFonts w:eastAsiaTheme="majorEastAsia" w:cstheme="majorBidi"/>
      <w:color w:val="272727" w:themeColor="text1" w:themeTint="D8"/>
    </w:rPr>
  </w:style>
  <w:style w:type="paragraph" w:styleId="Title">
    <w:name w:val="Title"/>
    <w:basedOn w:val="Normal"/>
    <w:next w:val="Normal"/>
    <w:link w:val="TitleChar"/>
    <w:uiPriority w:val="10"/>
    <w:qFormat/>
    <w:rsid w:val="009D2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2E0"/>
    <w:pPr>
      <w:spacing w:before="160"/>
      <w:jc w:val="center"/>
    </w:pPr>
    <w:rPr>
      <w:i/>
      <w:iCs/>
      <w:color w:val="404040" w:themeColor="text1" w:themeTint="BF"/>
    </w:rPr>
  </w:style>
  <w:style w:type="character" w:customStyle="1" w:styleId="QuoteChar">
    <w:name w:val="Quote Char"/>
    <w:basedOn w:val="DefaultParagraphFont"/>
    <w:link w:val="Quote"/>
    <w:uiPriority w:val="29"/>
    <w:rsid w:val="009D22E0"/>
    <w:rPr>
      <w:i/>
      <w:iCs/>
      <w:color w:val="404040" w:themeColor="text1" w:themeTint="BF"/>
    </w:rPr>
  </w:style>
  <w:style w:type="paragraph" w:styleId="ListParagraph">
    <w:name w:val="List Paragraph"/>
    <w:aliases w:val="1.1.1_List Paragraph,List_Paragraph,Multilevel para_II,Colorful List - Accent 1 Char,1.1.1_List Paragraph Char,List_Paragraph Char,Multilevel para_II Char,List Paragraph1 Char,List Paragraph Char Char Char Char,b-txt,TFYP bullets,Dot pt,3"/>
    <w:basedOn w:val="Normal"/>
    <w:link w:val="ListParagraphChar"/>
    <w:uiPriority w:val="34"/>
    <w:qFormat/>
    <w:rsid w:val="009D22E0"/>
    <w:pPr>
      <w:ind w:left="720"/>
      <w:contextualSpacing/>
    </w:pPr>
  </w:style>
  <w:style w:type="character" w:styleId="IntenseEmphasis">
    <w:name w:val="Intense Emphasis"/>
    <w:basedOn w:val="DefaultParagraphFont"/>
    <w:uiPriority w:val="21"/>
    <w:qFormat/>
    <w:rsid w:val="009D22E0"/>
    <w:rPr>
      <w:i/>
      <w:iCs/>
      <w:color w:val="0F4761" w:themeColor="accent1" w:themeShade="BF"/>
    </w:rPr>
  </w:style>
  <w:style w:type="paragraph" w:styleId="IntenseQuote">
    <w:name w:val="Intense Quote"/>
    <w:basedOn w:val="Normal"/>
    <w:next w:val="Normal"/>
    <w:link w:val="IntenseQuoteChar"/>
    <w:uiPriority w:val="30"/>
    <w:qFormat/>
    <w:rsid w:val="009D2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2E0"/>
    <w:rPr>
      <w:i/>
      <w:iCs/>
      <w:color w:val="0F4761" w:themeColor="accent1" w:themeShade="BF"/>
    </w:rPr>
  </w:style>
  <w:style w:type="character" w:styleId="IntenseReference">
    <w:name w:val="Intense Reference"/>
    <w:basedOn w:val="DefaultParagraphFont"/>
    <w:uiPriority w:val="32"/>
    <w:qFormat/>
    <w:rsid w:val="009D22E0"/>
    <w:rPr>
      <w:b/>
      <w:bCs/>
      <w:smallCaps/>
      <w:color w:val="0F4761" w:themeColor="accent1" w:themeShade="BF"/>
      <w:spacing w:val="5"/>
    </w:rPr>
  </w:style>
  <w:style w:type="paragraph" w:styleId="NormalWeb">
    <w:name w:val="Normal (Web)"/>
    <w:basedOn w:val="Normal"/>
    <w:uiPriority w:val="99"/>
    <w:unhideWhenUsed/>
    <w:rsid w:val="00A12F7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ListParagraphChar">
    <w:name w:val="List Paragraph Char"/>
    <w:aliases w:val="1.1.1_List Paragraph Char1,List_Paragraph Char1,Multilevel para_II Char1,Colorful List - Accent 1 Char Char,1.1.1_List Paragraph Char Char,List_Paragraph Char Char,Multilevel para_II Char Char,List Paragraph1 Char Char,b-txt Char"/>
    <w:link w:val="ListParagraph"/>
    <w:uiPriority w:val="34"/>
    <w:qFormat/>
    <w:locked/>
    <w:rsid w:val="000C14D2"/>
  </w:style>
  <w:style w:type="table" w:styleId="TableGrid">
    <w:name w:val="Table Grid"/>
    <w:basedOn w:val="TableNormal"/>
    <w:uiPriority w:val="39"/>
    <w:rsid w:val="000C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7D5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rPr>
  </w:style>
  <w:style w:type="paragraph" w:styleId="NoSpacing">
    <w:name w:val="No Spacing"/>
    <w:uiPriority w:val="1"/>
    <w:qFormat/>
    <w:rsid w:val="00807F6F"/>
    <w:pPr>
      <w:spacing w:after="0" w:line="240" w:lineRule="auto"/>
    </w:pPr>
  </w:style>
  <w:style w:type="character" w:styleId="Hyperlink">
    <w:name w:val="Hyperlink"/>
    <w:basedOn w:val="DefaultParagraphFont"/>
    <w:uiPriority w:val="99"/>
    <w:unhideWhenUsed/>
    <w:rsid w:val="005F1176"/>
    <w:rPr>
      <w:color w:val="467886" w:themeColor="hyperlink"/>
      <w:u w:val="single"/>
    </w:rPr>
  </w:style>
  <w:style w:type="character" w:styleId="UnresolvedMention">
    <w:name w:val="Unresolved Mention"/>
    <w:basedOn w:val="DefaultParagraphFont"/>
    <w:uiPriority w:val="99"/>
    <w:semiHidden/>
    <w:unhideWhenUsed/>
    <w:rsid w:val="00EF033C"/>
    <w:rPr>
      <w:color w:val="605E5C"/>
      <w:shd w:val="clear" w:color="auto" w:fill="E1DFDD"/>
    </w:rPr>
  </w:style>
  <w:style w:type="paragraph" w:styleId="Header">
    <w:name w:val="header"/>
    <w:basedOn w:val="Normal"/>
    <w:link w:val="HeaderChar"/>
    <w:uiPriority w:val="99"/>
    <w:unhideWhenUsed/>
    <w:rsid w:val="00057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527"/>
  </w:style>
  <w:style w:type="paragraph" w:styleId="Footer">
    <w:name w:val="footer"/>
    <w:basedOn w:val="Normal"/>
    <w:link w:val="FooterChar"/>
    <w:uiPriority w:val="99"/>
    <w:unhideWhenUsed/>
    <w:rsid w:val="00057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527"/>
  </w:style>
  <w:style w:type="character" w:styleId="Strong">
    <w:name w:val="Strong"/>
    <w:basedOn w:val="DefaultParagraphFont"/>
    <w:uiPriority w:val="22"/>
    <w:qFormat/>
    <w:rsid w:val="006D7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180/vegsci.2020.v47.i1.2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hytochemistrysociety.com/" TargetMode="External"/><Relationship Id="rId12" Type="http://schemas.openxmlformats.org/officeDocument/2006/relationships/hyperlink" Target="https://doi.org/10.9734/jabb/2024/v27i8121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upjoz/2024/v45i6395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ijpss/2023/v35i2139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pss/2022/v34i223144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9</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kumar</dc:creator>
  <cp:lastModifiedBy>sonamniharika@gmail.com</cp:lastModifiedBy>
  <cp:revision>15</cp:revision>
  <dcterms:created xsi:type="dcterms:W3CDTF">2025-07-29T13:24:00Z</dcterms:created>
  <dcterms:modified xsi:type="dcterms:W3CDTF">2026-01-01T16:38:00Z</dcterms:modified>
</cp:coreProperties>
</file>