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3630" w14:textId="77777777" w:rsidR="0083641F" w:rsidRDefault="0083641F" w:rsidP="0083641F">
      <w:pPr>
        <w:spacing w:line="360" w:lineRule="auto"/>
        <w:jc w:val="center"/>
        <w:rPr>
          <w:rFonts w:ascii="Times New Roman" w:hAnsi="Times New Roman" w:cs="Times New Roman"/>
          <w:b/>
          <w:sz w:val="24"/>
          <w:szCs w:val="24"/>
        </w:rPr>
      </w:pPr>
      <w:commentRangeStart w:id="0"/>
      <w:r w:rsidRPr="00EF2810">
        <w:rPr>
          <w:rFonts w:ascii="Times New Roman" w:hAnsi="Times New Roman" w:cs="Times New Roman"/>
          <w:b/>
          <w:sz w:val="24"/>
          <w:szCs w:val="24"/>
        </w:rPr>
        <w:t xml:space="preserve">Morpho-Molecular Characterization of Antagonistic </w:t>
      </w:r>
      <w:r w:rsidR="00587709" w:rsidRPr="00587709">
        <w:rPr>
          <w:rFonts w:ascii="Times New Roman" w:hAnsi="Times New Roman" w:cs="Times New Roman"/>
          <w:b/>
          <w:i/>
          <w:sz w:val="24"/>
          <w:szCs w:val="24"/>
        </w:rPr>
        <w:t xml:space="preserve">Pseudomonas </w:t>
      </w:r>
      <w:r w:rsidRPr="00EF2810">
        <w:rPr>
          <w:rFonts w:ascii="Times New Roman" w:hAnsi="Times New Roman" w:cs="Times New Roman"/>
          <w:b/>
          <w:sz w:val="24"/>
          <w:szCs w:val="24"/>
        </w:rPr>
        <w:t>spp. Isolated from Different Brinjal (</w:t>
      </w:r>
      <w:r w:rsidR="00587709" w:rsidRPr="00587709">
        <w:rPr>
          <w:rFonts w:ascii="Times New Roman" w:hAnsi="Times New Roman" w:cs="Times New Roman"/>
          <w:b/>
          <w:i/>
          <w:sz w:val="24"/>
          <w:szCs w:val="24"/>
        </w:rPr>
        <w:t xml:space="preserve">Solanum melongena </w:t>
      </w:r>
      <w:r w:rsidRPr="00EF2810">
        <w:rPr>
          <w:rFonts w:ascii="Times New Roman" w:hAnsi="Times New Roman" w:cs="Times New Roman"/>
          <w:b/>
          <w:sz w:val="24"/>
          <w:szCs w:val="24"/>
        </w:rPr>
        <w:t>L.) Cultivars across Tamil Nadu and Andhra Pradesh, India</w:t>
      </w:r>
      <w:r>
        <w:rPr>
          <w:rFonts w:ascii="Times New Roman" w:hAnsi="Times New Roman" w:cs="Times New Roman"/>
          <w:b/>
          <w:sz w:val="24"/>
          <w:szCs w:val="24"/>
        </w:rPr>
        <w:t>.</w:t>
      </w:r>
      <w:commentRangeEnd w:id="0"/>
      <w:r w:rsidR="00B34458">
        <w:rPr>
          <w:rStyle w:val="Marquedecommentaire"/>
        </w:rPr>
        <w:commentReference w:id="0"/>
      </w:r>
    </w:p>
    <w:p w14:paraId="0F0A7780" w14:textId="77777777" w:rsidR="00152492" w:rsidRDefault="00152492" w:rsidP="0083641F">
      <w:pPr>
        <w:spacing w:line="360" w:lineRule="auto"/>
        <w:rPr>
          <w:rFonts w:ascii="Times New Roman" w:hAnsi="Times New Roman" w:cs="Times New Roman"/>
          <w:b/>
          <w:sz w:val="24"/>
          <w:szCs w:val="24"/>
        </w:rPr>
      </w:pPr>
    </w:p>
    <w:p w14:paraId="25F9E58C" w14:textId="17395F51" w:rsidR="0083641F" w:rsidRDefault="0083641F" w:rsidP="0083641F">
      <w:pPr>
        <w:spacing w:line="360" w:lineRule="auto"/>
        <w:rPr>
          <w:rFonts w:ascii="Times New Roman" w:hAnsi="Times New Roman" w:cs="Times New Roman"/>
          <w:b/>
          <w:sz w:val="24"/>
          <w:szCs w:val="24"/>
        </w:rPr>
      </w:pPr>
      <w:r w:rsidRPr="00094F26">
        <w:rPr>
          <w:rFonts w:ascii="Times New Roman" w:hAnsi="Times New Roman" w:cs="Times New Roman"/>
          <w:b/>
          <w:sz w:val="24"/>
          <w:szCs w:val="24"/>
        </w:rPr>
        <w:t>ABSTRACT</w:t>
      </w:r>
    </w:p>
    <w:p w14:paraId="7EE7E88C" w14:textId="77777777" w:rsidR="00587709" w:rsidRDefault="00587709" w:rsidP="0058770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587709">
        <w:rPr>
          <w:rFonts w:ascii="Times New Roman" w:hAnsi="Times New Roman" w:cs="Times New Roman"/>
          <w:sz w:val="24"/>
          <w:szCs w:val="24"/>
        </w:rPr>
        <w:t>rinjal (</w:t>
      </w:r>
      <w:r w:rsidRPr="00587709">
        <w:rPr>
          <w:rFonts w:ascii="Times New Roman" w:hAnsi="Times New Roman" w:cs="Times New Roman"/>
          <w:i/>
          <w:sz w:val="24"/>
          <w:szCs w:val="24"/>
        </w:rPr>
        <w:t xml:space="preserve">Solanum melongena </w:t>
      </w:r>
      <w:r w:rsidRPr="00587709">
        <w:rPr>
          <w:rFonts w:ascii="Times New Roman" w:hAnsi="Times New Roman" w:cs="Times New Roman"/>
          <w:sz w:val="24"/>
          <w:szCs w:val="24"/>
        </w:rPr>
        <w:t xml:space="preserve">L.) cultivation is often constrained by soil-borne pathogens, necessitating the exploration of eco-friendly microbial alternatives for sustainable crop management. The present study aimed to isolate, characterize, and identify rhizosphere-associated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 xml:space="preserve">spp. from major brinjal-growing regions of Tamil Nadu and Andhra Pradesh, India. A systematic field survey conducted during 2023–2024 resulted in the isolation of twenty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 xml:space="preserve">isolates (AUPI-1 to AUPI-20) from healthy and wilt-affected brinjal fields. The isolates were characterized based on morphological, biochemical, and molecular attributes. Morphological observations revealed uniform colony features typical of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 xml:space="preserve">spp., with minor variations in elevation, margin, and pigmentation. Biochemical analysis confirmed that all isolates were Gram-negative and exhibited key functional traits such as catalase and oxidase activity, siderophore production, phosphate solubilization, nitrate reduction, and citrate utilization, indicating their rhizosphere competence and plant growth-promoting potential. Based on combined morphological and biochemical performance, isolate AUPI-2 was selected for molecular identification. 16S rRNA gene sequencing confirmed the isolate as </w:t>
      </w:r>
      <w:r w:rsidR="004A3071" w:rsidRPr="004A3071">
        <w:rPr>
          <w:rFonts w:ascii="Times New Roman" w:hAnsi="Times New Roman" w:cs="Times New Roman"/>
          <w:i/>
          <w:sz w:val="24"/>
          <w:szCs w:val="24"/>
        </w:rPr>
        <w:t>Pseudomonas fluorescens</w:t>
      </w:r>
      <w:r w:rsidRPr="00587709">
        <w:rPr>
          <w:rFonts w:ascii="Times New Roman" w:hAnsi="Times New Roman" w:cs="Times New Roman"/>
          <w:sz w:val="24"/>
          <w:szCs w:val="24"/>
        </w:rPr>
        <w:t xml:space="preserve"> (GenBank accession no. PX737072</w:t>
      </w:r>
      <w:r w:rsidR="000A101E">
        <w:rPr>
          <w:rFonts w:ascii="Times New Roman" w:hAnsi="Times New Roman" w:cs="Times New Roman"/>
          <w:sz w:val="24"/>
          <w:szCs w:val="24"/>
        </w:rPr>
        <w:t>.1</w:t>
      </w:r>
      <w:r w:rsidRPr="00587709">
        <w:rPr>
          <w:rFonts w:ascii="Times New Roman" w:hAnsi="Times New Roman" w:cs="Times New Roman"/>
          <w:sz w:val="24"/>
          <w:szCs w:val="24"/>
        </w:rPr>
        <w:t xml:space="preserve">). The study highlights the diversity and functional potential of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spp. associated with brinjal rhizosphere, offering promising candidates for sustainable disease management strategies.</w:t>
      </w:r>
    </w:p>
    <w:p w14:paraId="21D14802" w14:textId="77777777" w:rsidR="00587709" w:rsidRDefault="00587709" w:rsidP="00587709">
      <w:pPr>
        <w:spacing w:line="360" w:lineRule="auto"/>
        <w:jc w:val="both"/>
        <w:rPr>
          <w:rFonts w:ascii="Times New Roman" w:hAnsi="Times New Roman" w:cs="Times New Roman"/>
          <w:sz w:val="24"/>
          <w:szCs w:val="24"/>
        </w:rPr>
      </w:pPr>
      <w:commentRangeStart w:id="1"/>
      <w:r w:rsidRPr="00587709">
        <w:rPr>
          <w:rFonts w:ascii="Times New Roman" w:hAnsi="Times New Roman" w:cs="Times New Roman"/>
          <w:b/>
          <w:sz w:val="24"/>
          <w:szCs w:val="24"/>
        </w:rPr>
        <w:t>Keywords:</w:t>
      </w:r>
      <w:r>
        <w:rPr>
          <w:rFonts w:ascii="Times New Roman" w:hAnsi="Times New Roman" w:cs="Times New Roman"/>
          <w:sz w:val="24"/>
          <w:szCs w:val="24"/>
        </w:rPr>
        <w:t xml:space="preserve"> </w:t>
      </w:r>
      <w:r w:rsidRPr="00587709">
        <w:rPr>
          <w:rFonts w:ascii="Times New Roman" w:hAnsi="Times New Roman" w:cs="Times New Roman"/>
          <w:sz w:val="24"/>
          <w:szCs w:val="24"/>
        </w:rPr>
        <w:t>Brinjal (</w:t>
      </w:r>
      <w:r w:rsidRPr="00587709">
        <w:rPr>
          <w:rFonts w:ascii="Times New Roman" w:hAnsi="Times New Roman" w:cs="Times New Roman"/>
          <w:i/>
          <w:sz w:val="24"/>
          <w:szCs w:val="24"/>
        </w:rPr>
        <w:t xml:space="preserve">Solanum melongena </w:t>
      </w:r>
      <w:r>
        <w:rPr>
          <w:rFonts w:ascii="Times New Roman" w:hAnsi="Times New Roman" w:cs="Times New Roman"/>
          <w:sz w:val="24"/>
          <w:szCs w:val="24"/>
        </w:rPr>
        <w:t>L.</w:t>
      </w:r>
      <w:r w:rsidRPr="00587709">
        <w:rPr>
          <w:rFonts w:ascii="Times New Roman" w:hAnsi="Times New Roman" w:cs="Times New Roman"/>
          <w:sz w:val="24"/>
          <w:szCs w:val="24"/>
        </w:rPr>
        <w:t xml:space="preserve">), </w:t>
      </w:r>
      <w:r w:rsidR="004A3071" w:rsidRPr="004A3071">
        <w:rPr>
          <w:rFonts w:ascii="Times New Roman" w:hAnsi="Times New Roman" w:cs="Times New Roman"/>
          <w:i/>
          <w:sz w:val="24"/>
          <w:szCs w:val="24"/>
        </w:rPr>
        <w:t>Pseudomonas fluorescens</w:t>
      </w:r>
      <w:r w:rsidRPr="00587709">
        <w:rPr>
          <w:rFonts w:ascii="Times New Roman" w:hAnsi="Times New Roman" w:cs="Times New Roman"/>
          <w:sz w:val="24"/>
          <w:szCs w:val="24"/>
        </w:rPr>
        <w:t>, Rhizosphere bacteria, Biochemical characterization, 16S rRNA gene sequencing, Biocontrol potential, Plant growth–promoting rhizobacteria (PGPR)</w:t>
      </w:r>
      <w:commentRangeEnd w:id="1"/>
      <w:r w:rsidR="004B22C3">
        <w:rPr>
          <w:rStyle w:val="Marquedecommentaire"/>
        </w:rPr>
        <w:commentReference w:id="1"/>
      </w:r>
    </w:p>
    <w:p w14:paraId="74C44605" w14:textId="77777777" w:rsidR="0083641F" w:rsidRDefault="0083641F" w:rsidP="0083641F">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094F26">
        <w:rPr>
          <w:rFonts w:ascii="Times New Roman" w:hAnsi="Times New Roman" w:cs="Times New Roman"/>
          <w:b/>
          <w:sz w:val="24"/>
          <w:szCs w:val="24"/>
        </w:rPr>
        <w:t>. INTRODUCTION</w:t>
      </w:r>
    </w:p>
    <w:p w14:paraId="28BF3118" w14:textId="1158EA1D" w:rsidR="00284C58" w:rsidRPr="00284C58" w:rsidRDefault="00284C58" w:rsidP="00284C58">
      <w:pPr>
        <w:spacing w:line="360" w:lineRule="auto"/>
        <w:jc w:val="both"/>
        <w:rPr>
          <w:rFonts w:ascii="Times New Roman" w:hAnsi="Times New Roman" w:cs="Times New Roman"/>
          <w:sz w:val="24"/>
          <w:szCs w:val="24"/>
        </w:rPr>
      </w:pPr>
      <w:r w:rsidRPr="00284C58">
        <w:rPr>
          <w:rFonts w:ascii="Times New Roman" w:hAnsi="Times New Roman" w:cs="Times New Roman"/>
          <w:sz w:val="24"/>
          <w:szCs w:val="24"/>
        </w:rPr>
        <w:t>Brinjal (</w:t>
      </w:r>
      <w:r w:rsidR="00587709" w:rsidRPr="00587709">
        <w:rPr>
          <w:rFonts w:ascii="Times New Roman" w:hAnsi="Times New Roman" w:cs="Times New Roman"/>
          <w:i/>
          <w:sz w:val="24"/>
          <w:szCs w:val="24"/>
        </w:rPr>
        <w:t xml:space="preserve">Solanum melongena </w:t>
      </w:r>
      <w:r w:rsidRPr="00284C58">
        <w:rPr>
          <w:rFonts w:ascii="Times New Roman" w:hAnsi="Times New Roman" w:cs="Times New Roman"/>
          <w:sz w:val="24"/>
          <w:szCs w:val="24"/>
        </w:rPr>
        <w:t xml:space="preserve">L.) is one of the most important vegetable crops cultivated extensively across India due to its wide adaptability, nutritional value, and economic significance. India ranks among the leading producers of brinjal, with Tamil Nadu and Andhra Pradesh </w:t>
      </w:r>
      <w:r w:rsidRPr="00284C58">
        <w:rPr>
          <w:rFonts w:ascii="Times New Roman" w:hAnsi="Times New Roman" w:cs="Times New Roman"/>
          <w:sz w:val="24"/>
          <w:szCs w:val="24"/>
        </w:rPr>
        <w:lastRenderedPageBreak/>
        <w:t xml:space="preserve">contributing substantially to its total production owing to diverse </w:t>
      </w:r>
      <w:proofErr w:type="spellStart"/>
      <w:r w:rsidRPr="00284C58">
        <w:rPr>
          <w:rFonts w:ascii="Times New Roman" w:hAnsi="Times New Roman" w:cs="Times New Roman"/>
          <w:sz w:val="24"/>
          <w:szCs w:val="24"/>
        </w:rPr>
        <w:t>agro</w:t>
      </w:r>
      <w:proofErr w:type="spellEnd"/>
      <w:r w:rsidRPr="00284C58">
        <w:rPr>
          <w:rFonts w:ascii="Times New Roman" w:hAnsi="Times New Roman" w:cs="Times New Roman"/>
          <w:sz w:val="24"/>
          <w:szCs w:val="24"/>
        </w:rPr>
        <w:t xml:space="preserve">-climatic conditions and intensive cultivation </w:t>
      </w:r>
      <w:commentRangeStart w:id="2"/>
      <w:r w:rsidRPr="00284C58">
        <w:rPr>
          <w:rFonts w:ascii="Times New Roman" w:hAnsi="Times New Roman" w:cs="Times New Roman"/>
          <w:sz w:val="24"/>
          <w:szCs w:val="24"/>
        </w:rPr>
        <w:t>practices</w:t>
      </w:r>
      <w:commentRangeEnd w:id="2"/>
      <w:r w:rsidR="004C06B7">
        <w:rPr>
          <w:rStyle w:val="Marquedecommentaire"/>
        </w:rPr>
        <w:commentReference w:id="2"/>
      </w:r>
      <w:r w:rsidRPr="00284C58">
        <w:rPr>
          <w:rFonts w:ascii="Times New Roman" w:hAnsi="Times New Roman" w:cs="Times New Roman"/>
          <w:sz w:val="24"/>
          <w:szCs w:val="24"/>
        </w:rPr>
        <w:t xml:space="preserve">. However, continuous cropping, heavy input use, and soil health deterioration have raised concerns regarding sustainability and long-term productivity of brinjal-based production systems. </w:t>
      </w:r>
      <w:commentRangeStart w:id="3"/>
      <w:r w:rsidRPr="00284C58">
        <w:rPr>
          <w:rFonts w:ascii="Times New Roman" w:hAnsi="Times New Roman" w:cs="Times New Roman"/>
          <w:sz w:val="24"/>
          <w:szCs w:val="24"/>
        </w:rPr>
        <w:t>These challenges have emphasized the need for eco-friendly approaches that support plant health while maintaining soil microbial balance</w:t>
      </w:r>
      <w:commentRangeStart w:id="4"/>
      <w:r w:rsidRPr="00284C58">
        <w:rPr>
          <w:rFonts w:ascii="Times New Roman" w:hAnsi="Times New Roman" w:cs="Times New Roman"/>
          <w:sz w:val="24"/>
          <w:szCs w:val="24"/>
        </w:rPr>
        <w:t>.</w:t>
      </w:r>
      <w:r w:rsidR="0001768B">
        <w:rPr>
          <w:rFonts w:ascii="Times New Roman" w:hAnsi="Times New Roman" w:cs="Times New Roman"/>
          <w:sz w:val="24"/>
          <w:szCs w:val="24"/>
        </w:rPr>
        <w:t xml:space="preserve"> </w:t>
      </w:r>
      <w:commentRangeEnd w:id="4"/>
      <w:r w:rsidR="00220553">
        <w:rPr>
          <w:rStyle w:val="Marquedecommentaire"/>
        </w:rPr>
        <w:commentReference w:id="4"/>
      </w:r>
      <w:r w:rsidR="0001768B">
        <w:rPr>
          <w:rFonts w:ascii="Times New Roman" w:hAnsi="Times New Roman" w:cs="Times New Roman"/>
          <w:sz w:val="24"/>
          <w:szCs w:val="24"/>
        </w:rPr>
        <w:t>(Karbhari</w:t>
      </w:r>
      <w:r w:rsidR="00F93B58">
        <w:rPr>
          <w:rFonts w:ascii="Times New Roman" w:hAnsi="Times New Roman" w:cs="Times New Roman"/>
          <w:sz w:val="24"/>
          <w:szCs w:val="24"/>
        </w:rPr>
        <w:t xml:space="preserve">, </w:t>
      </w:r>
      <w:r w:rsidR="0001768B">
        <w:rPr>
          <w:rFonts w:ascii="Times New Roman" w:hAnsi="Times New Roman" w:cs="Times New Roman"/>
          <w:sz w:val="24"/>
          <w:szCs w:val="24"/>
        </w:rPr>
        <w:t>2021</w:t>
      </w:r>
      <w:r w:rsidR="00F93B58">
        <w:rPr>
          <w:rFonts w:ascii="Times New Roman" w:hAnsi="Times New Roman" w:cs="Times New Roman"/>
          <w:sz w:val="24"/>
          <w:szCs w:val="24"/>
        </w:rPr>
        <w:t>;</w:t>
      </w:r>
      <w:r w:rsidR="0001768B">
        <w:rPr>
          <w:rFonts w:ascii="Times New Roman" w:hAnsi="Times New Roman" w:cs="Times New Roman"/>
          <w:sz w:val="24"/>
          <w:szCs w:val="24"/>
        </w:rPr>
        <w:t xml:space="preserve"> </w:t>
      </w:r>
      <w:r w:rsidR="0072623C">
        <w:rPr>
          <w:rFonts w:ascii="Times New Roman" w:hAnsi="Times New Roman" w:cs="Times New Roman"/>
          <w:sz w:val="24"/>
          <w:szCs w:val="24"/>
        </w:rPr>
        <w:t>Sihag</w:t>
      </w:r>
      <w:r w:rsidR="00F93B58">
        <w:rPr>
          <w:rFonts w:ascii="Times New Roman" w:hAnsi="Times New Roman" w:cs="Times New Roman"/>
          <w:sz w:val="24"/>
          <w:szCs w:val="24"/>
        </w:rPr>
        <w:t>,</w:t>
      </w:r>
      <w:r w:rsidR="0072623C">
        <w:rPr>
          <w:rFonts w:ascii="Times New Roman" w:hAnsi="Times New Roman" w:cs="Times New Roman"/>
          <w:sz w:val="24"/>
          <w:szCs w:val="24"/>
        </w:rPr>
        <w:t xml:space="preserve"> </w:t>
      </w:r>
      <w:r w:rsidR="0001768B" w:rsidRPr="0001768B">
        <w:rPr>
          <w:rFonts w:ascii="Times New Roman" w:hAnsi="Times New Roman" w:cs="Times New Roman"/>
          <w:sz w:val="24"/>
          <w:szCs w:val="24"/>
        </w:rPr>
        <w:t>2021).</w:t>
      </w:r>
      <w:r w:rsidR="0001768B">
        <w:rPr>
          <w:rFonts w:ascii="Times New Roman" w:hAnsi="Times New Roman" w:cs="Times New Roman"/>
          <w:sz w:val="24"/>
          <w:szCs w:val="24"/>
        </w:rPr>
        <w:t xml:space="preserve"> </w:t>
      </w:r>
      <w:r w:rsidRPr="00284C58">
        <w:rPr>
          <w:rFonts w:ascii="Times New Roman" w:hAnsi="Times New Roman" w:cs="Times New Roman"/>
          <w:sz w:val="24"/>
          <w:szCs w:val="24"/>
        </w:rPr>
        <w:t xml:space="preserve">The rhizosphere of brinjal harbors a diverse population of beneficial microorganisms that play a critical role in nutrient cycling, plant growth promotion, and suppression of soil-borne pathogens. </w:t>
      </w:r>
      <w:commentRangeEnd w:id="3"/>
      <w:r w:rsidR="00220553">
        <w:rPr>
          <w:rStyle w:val="Marquedecommentaire"/>
        </w:rPr>
        <w:commentReference w:id="3"/>
      </w:r>
      <w:r w:rsidRPr="00284C58">
        <w:rPr>
          <w:rFonts w:ascii="Times New Roman" w:hAnsi="Times New Roman" w:cs="Times New Roman"/>
          <w:sz w:val="24"/>
          <w:szCs w:val="24"/>
        </w:rPr>
        <w:t xml:space="preserve">Among these beneficial microbes,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are widely recognized as dominant and functionally important rhizobacteria due to their rapid colonization ability, metabolic versatility, and adaptability to varied soil </w:t>
      </w:r>
      <w:commentRangeStart w:id="5"/>
      <w:r w:rsidRPr="00284C58">
        <w:rPr>
          <w:rFonts w:ascii="Times New Roman" w:hAnsi="Times New Roman" w:cs="Times New Roman"/>
          <w:sz w:val="24"/>
          <w:szCs w:val="24"/>
        </w:rPr>
        <w:t>environments</w:t>
      </w:r>
      <w:commentRangeEnd w:id="5"/>
      <w:r w:rsidR="00220553">
        <w:rPr>
          <w:rStyle w:val="Marquedecommentaire"/>
        </w:rPr>
        <w:commentReference w:id="5"/>
      </w:r>
      <w:r w:rsidRPr="00284C58">
        <w:rPr>
          <w:rFonts w:ascii="Times New Roman" w:hAnsi="Times New Roman" w:cs="Times New Roman"/>
          <w:sz w:val="24"/>
          <w:szCs w:val="24"/>
        </w:rPr>
        <w:t xml:space="preserve">. </w:t>
      </w:r>
      <w:commentRangeStart w:id="6"/>
      <w:r w:rsidRPr="00284C58">
        <w:rPr>
          <w:rFonts w:ascii="Times New Roman" w:hAnsi="Times New Roman" w:cs="Times New Roman"/>
          <w:sz w:val="24"/>
          <w:szCs w:val="24"/>
        </w:rPr>
        <w:t>Several species of Pseudomonas, particularly fluorescent Pseudomonas, are known to enhance plant growth and contribute to soil health through mechanisms such as siderophore production, phosphate solubilization, nitrate reduction, and synthesis of bioactive metabolites</w:t>
      </w:r>
      <w:commentRangeStart w:id="7"/>
      <w:r w:rsidRPr="00284C58">
        <w:rPr>
          <w:rFonts w:ascii="Times New Roman" w:hAnsi="Times New Roman" w:cs="Times New Roman"/>
          <w:sz w:val="24"/>
          <w:szCs w:val="24"/>
        </w:rPr>
        <w:t>.</w:t>
      </w:r>
      <w:r w:rsidR="0001768B">
        <w:rPr>
          <w:rFonts w:ascii="Times New Roman" w:hAnsi="Times New Roman" w:cs="Times New Roman"/>
          <w:sz w:val="24"/>
          <w:szCs w:val="24"/>
        </w:rPr>
        <w:t xml:space="preserve"> </w:t>
      </w:r>
      <w:commentRangeEnd w:id="7"/>
      <w:r w:rsidR="007E2CD0">
        <w:rPr>
          <w:rStyle w:val="Marquedecommentaire"/>
        </w:rPr>
        <w:commentReference w:id="7"/>
      </w:r>
      <w:r w:rsidR="0001768B">
        <w:rPr>
          <w:rFonts w:ascii="Times New Roman" w:hAnsi="Times New Roman" w:cs="Times New Roman"/>
          <w:sz w:val="24"/>
          <w:szCs w:val="24"/>
        </w:rPr>
        <w:t>(</w:t>
      </w:r>
      <w:r w:rsidR="0072623C">
        <w:rPr>
          <w:rFonts w:ascii="Times New Roman" w:hAnsi="Times New Roman" w:cs="Times New Roman"/>
          <w:sz w:val="24"/>
          <w:szCs w:val="24"/>
        </w:rPr>
        <w:t xml:space="preserve">Singh </w:t>
      </w:r>
      <w:r w:rsidR="0001768B">
        <w:rPr>
          <w:rFonts w:ascii="Times New Roman" w:hAnsi="Times New Roman" w:cs="Times New Roman"/>
          <w:sz w:val="24"/>
          <w:szCs w:val="24"/>
        </w:rPr>
        <w:t>et al.,</w:t>
      </w:r>
      <w:r w:rsidR="0072623C">
        <w:rPr>
          <w:rFonts w:ascii="Times New Roman" w:hAnsi="Times New Roman" w:cs="Times New Roman"/>
          <w:sz w:val="24"/>
          <w:szCs w:val="24"/>
        </w:rPr>
        <w:t xml:space="preserve"> 2022; Saranraj</w:t>
      </w:r>
      <w:r w:rsidR="0001768B" w:rsidRPr="0001768B">
        <w:rPr>
          <w:rFonts w:ascii="Times New Roman" w:hAnsi="Times New Roman" w:cs="Times New Roman"/>
          <w:sz w:val="24"/>
          <w:szCs w:val="24"/>
        </w:rPr>
        <w:t xml:space="preserve"> </w:t>
      </w:r>
      <w:r w:rsidR="0072623C">
        <w:rPr>
          <w:rFonts w:ascii="Times New Roman" w:hAnsi="Times New Roman" w:cs="Times New Roman"/>
          <w:sz w:val="24"/>
          <w:szCs w:val="24"/>
        </w:rPr>
        <w:t xml:space="preserve">et al., </w:t>
      </w:r>
      <w:r w:rsidR="0001768B" w:rsidRPr="0001768B">
        <w:rPr>
          <w:rFonts w:ascii="Times New Roman" w:hAnsi="Times New Roman" w:cs="Times New Roman"/>
          <w:sz w:val="24"/>
          <w:szCs w:val="24"/>
        </w:rPr>
        <w:t>2022).</w:t>
      </w:r>
      <w:r w:rsidR="0001768B">
        <w:rPr>
          <w:rFonts w:ascii="Times New Roman" w:hAnsi="Times New Roman" w:cs="Times New Roman"/>
          <w:sz w:val="24"/>
          <w:szCs w:val="24"/>
        </w:rPr>
        <w:t xml:space="preserve"> </w:t>
      </w:r>
      <w:commentRangeEnd w:id="6"/>
      <w:r w:rsidR="00220553">
        <w:rPr>
          <w:rStyle w:val="Marquedecommentaire"/>
        </w:rPr>
        <w:commentReference w:id="6"/>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populations isolated from crop-specific rhizospheres are often better adapted to local environmental conditions and exhibit superior functional traits compared to introduced strains. Their effectiveness is strongly influenced by </w:t>
      </w:r>
      <w:proofErr w:type="spellStart"/>
      <w:r w:rsidRPr="00284C58">
        <w:rPr>
          <w:rFonts w:ascii="Times New Roman" w:hAnsi="Times New Roman" w:cs="Times New Roman"/>
          <w:sz w:val="24"/>
          <w:szCs w:val="24"/>
        </w:rPr>
        <w:t>agro</w:t>
      </w:r>
      <w:proofErr w:type="spellEnd"/>
      <w:r w:rsidRPr="00284C58">
        <w:rPr>
          <w:rFonts w:ascii="Times New Roman" w:hAnsi="Times New Roman" w:cs="Times New Roman"/>
          <w:sz w:val="24"/>
          <w:szCs w:val="24"/>
        </w:rPr>
        <w:t xml:space="preserve">-climatic factors, soil properties, and host plant interactions. Tamil Nadu and Andhra Pradesh encompass diverse ecological zones, making these regions ideal for exploring indigenous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diversity associated with brinjal cultivation. Despite numerous reports highlighting the agricultural importance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systematic studies integrating survey-based isolation, morphological, biochemical, and molecular characterization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isolates from brinjal-growing regions of southern India remain limited.</w:t>
      </w:r>
      <w:r w:rsidR="00BE0F0A">
        <w:rPr>
          <w:rFonts w:ascii="Times New Roman" w:hAnsi="Times New Roman" w:cs="Times New Roman"/>
          <w:sz w:val="24"/>
          <w:szCs w:val="24"/>
        </w:rPr>
        <w:t xml:space="preserve"> (</w:t>
      </w:r>
      <w:proofErr w:type="spellStart"/>
      <w:r w:rsidR="00BE0F0A" w:rsidRPr="00BE0F0A">
        <w:rPr>
          <w:rFonts w:ascii="Times New Roman" w:hAnsi="Times New Roman" w:cs="Times New Roman"/>
          <w:sz w:val="24"/>
          <w:szCs w:val="24"/>
        </w:rPr>
        <w:t>Ph</w:t>
      </w:r>
      <w:r w:rsidR="00BE0F0A">
        <w:rPr>
          <w:rFonts w:ascii="Times New Roman" w:hAnsi="Times New Roman" w:cs="Times New Roman"/>
          <w:sz w:val="24"/>
          <w:szCs w:val="24"/>
        </w:rPr>
        <w:t>our</w:t>
      </w:r>
      <w:proofErr w:type="spellEnd"/>
      <w:r w:rsidR="00BE0F0A">
        <w:rPr>
          <w:rFonts w:ascii="Times New Roman" w:hAnsi="Times New Roman" w:cs="Times New Roman"/>
          <w:sz w:val="24"/>
          <w:szCs w:val="24"/>
        </w:rPr>
        <w:t>, &amp; Sindhu,</w:t>
      </w:r>
      <w:r w:rsidR="00F93B58">
        <w:rPr>
          <w:rFonts w:ascii="Times New Roman" w:hAnsi="Times New Roman" w:cs="Times New Roman"/>
          <w:sz w:val="24"/>
          <w:szCs w:val="24"/>
        </w:rPr>
        <w:t xml:space="preserve"> </w:t>
      </w:r>
      <w:r w:rsidR="00BE0F0A">
        <w:rPr>
          <w:rFonts w:ascii="Times New Roman" w:hAnsi="Times New Roman" w:cs="Times New Roman"/>
          <w:sz w:val="24"/>
          <w:szCs w:val="24"/>
        </w:rPr>
        <w:t>2023</w:t>
      </w:r>
      <w:r w:rsidR="00F93B58">
        <w:rPr>
          <w:rFonts w:ascii="Times New Roman" w:hAnsi="Times New Roman" w:cs="Times New Roman"/>
          <w:sz w:val="24"/>
          <w:szCs w:val="24"/>
        </w:rPr>
        <w:t>;</w:t>
      </w:r>
      <w:r w:rsidR="00BE0F0A">
        <w:rPr>
          <w:rFonts w:ascii="Times New Roman" w:hAnsi="Times New Roman" w:cs="Times New Roman"/>
          <w:sz w:val="24"/>
          <w:szCs w:val="24"/>
        </w:rPr>
        <w:t xml:space="preserve"> </w:t>
      </w:r>
      <w:r w:rsidR="00BE0F0A" w:rsidRPr="00BE0F0A">
        <w:rPr>
          <w:rFonts w:ascii="Times New Roman" w:hAnsi="Times New Roman" w:cs="Times New Roman"/>
          <w:sz w:val="24"/>
          <w:szCs w:val="24"/>
        </w:rPr>
        <w:t>Sherpa,</w:t>
      </w:r>
      <w:r w:rsidR="00F93B58">
        <w:rPr>
          <w:rFonts w:ascii="Times New Roman" w:hAnsi="Times New Roman" w:cs="Times New Roman"/>
          <w:sz w:val="24"/>
          <w:szCs w:val="24"/>
        </w:rPr>
        <w:t xml:space="preserve"> </w:t>
      </w:r>
      <w:r w:rsidR="00BE0F0A">
        <w:rPr>
          <w:rFonts w:ascii="Times New Roman" w:hAnsi="Times New Roman" w:cs="Times New Roman"/>
          <w:sz w:val="24"/>
          <w:szCs w:val="24"/>
        </w:rPr>
        <w:t>et al.,</w:t>
      </w:r>
      <w:r w:rsidR="00F93B58">
        <w:rPr>
          <w:rFonts w:ascii="Times New Roman" w:hAnsi="Times New Roman" w:cs="Times New Roman"/>
          <w:sz w:val="24"/>
          <w:szCs w:val="24"/>
        </w:rPr>
        <w:t xml:space="preserve"> </w:t>
      </w:r>
      <w:r w:rsidR="00BE0F0A" w:rsidRPr="00BE0F0A">
        <w:rPr>
          <w:rFonts w:ascii="Times New Roman" w:hAnsi="Times New Roman" w:cs="Times New Roman"/>
          <w:sz w:val="24"/>
          <w:szCs w:val="24"/>
        </w:rPr>
        <w:t>2021).</w:t>
      </w:r>
      <w:r w:rsidR="00BE0F0A">
        <w:rPr>
          <w:rFonts w:ascii="Times New Roman" w:hAnsi="Times New Roman" w:cs="Times New Roman"/>
          <w:sz w:val="24"/>
          <w:szCs w:val="24"/>
        </w:rPr>
        <w:t xml:space="preserve"> </w:t>
      </w:r>
      <w:r w:rsidRPr="00284C58">
        <w:rPr>
          <w:rFonts w:ascii="Times New Roman" w:hAnsi="Times New Roman" w:cs="Times New Roman"/>
          <w:sz w:val="24"/>
          <w:szCs w:val="24"/>
        </w:rPr>
        <w:t xml:space="preserve">Accurate identification and characterization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are essential for understanding their ecological roles and functional potential. Conventional morphological and biochemical characterization provides preliminary identification, while molecular approaches, particularly 16S rRNA gene sequencing, offer precise taxonomic resolution. An integrated morpho-molecular approach therefore serves as a robust strategy for documenting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diversity and selecting promising isolates for future agricultural </w:t>
      </w:r>
      <w:proofErr w:type="gramStart"/>
      <w:r w:rsidRPr="00284C58">
        <w:rPr>
          <w:rFonts w:ascii="Times New Roman" w:hAnsi="Times New Roman" w:cs="Times New Roman"/>
          <w:sz w:val="24"/>
          <w:szCs w:val="24"/>
        </w:rPr>
        <w:t>applications.</w:t>
      </w:r>
      <w:r w:rsidR="008416FF">
        <w:rPr>
          <w:rFonts w:ascii="Times New Roman" w:hAnsi="Times New Roman" w:cs="Times New Roman"/>
          <w:sz w:val="24"/>
          <w:szCs w:val="24"/>
        </w:rPr>
        <w:t>(</w:t>
      </w:r>
      <w:proofErr w:type="gramEnd"/>
      <w:r w:rsidR="008416FF" w:rsidRPr="008416FF">
        <w:t xml:space="preserve"> </w:t>
      </w:r>
      <w:r w:rsidR="008416FF" w:rsidRPr="008416FF">
        <w:rPr>
          <w:rFonts w:ascii="Times New Roman" w:hAnsi="Times New Roman" w:cs="Times New Roman"/>
          <w:sz w:val="24"/>
          <w:szCs w:val="24"/>
        </w:rPr>
        <w:t>Balla,</w:t>
      </w:r>
      <w:r w:rsidR="00F93B58">
        <w:rPr>
          <w:rFonts w:ascii="Times New Roman" w:hAnsi="Times New Roman" w:cs="Times New Roman"/>
          <w:sz w:val="24"/>
          <w:szCs w:val="24"/>
        </w:rPr>
        <w:t xml:space="preserve"> </w:t>
      </w:r>
      <w:r w:rsidR="008416FF">
        <w:rPr>
          <w:rFonts w:ascii="Times New Roman" w:hAnsi="Times New Roman" w:cs="Times New Roman"/>
          <w:sz w:val="24"/>
          <w:szCs w:val="24"/>
        </w:rPr>
        <w:t xml:space="preserve">et al., </w:t>
      </w:r>
      <w:r w:rsidR="00F93B58">
        <w:rPr>
          <w:rFonts w:ascii="Times New Roman" w:hAnsi="Times New Roman" w:cs="Times New Roman"/>
          <w:sz w:val="24"/>
          <w:szCs w:val="24"/>
        </w:rPr>
        <w:t>2021;</w:t>
      </w:r>
      <w:r w:rsidR="008416FF">
        <w:rPr>
          <w:rFonts w:ascii="Times New Roman" w:hAnsi="Times New Roman" w:cs="Times New Roman"/>
          <w:sz w:val="24"/>
          <w:szCs w:val="24"/>
        </w:rPr>
        <w:t xml:space="preserve"> </w:t>
      </w:r>
      <w:proofErr w:type="spellStart"/>
      <w:r w:rsidR="008416FF" w:rsidRPr="008416FF">
        <w:rPr>
          <w:rFonts w:ascii="Times New Roman" w:hAnsi="Times New Roman" w:cs="Times New Roman"/>
          <w:sz w:val="24"/>
          <w:szCs w:val="24"/>
        </w:rPr>
        <w:t>Garello</w:t>
      </w:r>
      <w:proofErr w:type="spellEnd"/>
      <w:r w:rsidR="008416FF" w:rsidRPr="008416FF">
        <w:rPr>
          <w:rFonts w:ascii="Times New Roman" w:hAnsi="Times New Roman" w:cs="Times New Roman"/>
          <w:sz w:val="24"/>
          <w:szCs w:val="24"/>
        </w:rPr>
        <w:t>,</w:t>
      </w:r>
      <w:r w:rsidR="00F93B58">
        <w:rPr>
          <w:rFonts w:ascii="Times New Roman" w:hAnsi="Times New Roman" w:cs="Times New Roman"/>
          <w:sz w:val="24"/>
          <w:szCs w:val="24"/>
        </w:rPr>
        <w:t xml:space="preserve"> </w:t>
      </w:r>
      <w:r w:rsidR="008416FF">
        <w:rPr>
          <w:rFonts w:ascii="Times New Roman" w:hAnsi="Times New Roman" w:cs="Times New Roman"/>
          <w:sz w:val="24"/>
          <w:szCs w:val="24"/>
        </w:rPr>
        <w:t>et al.,</w:t>
      </w:r>
      <w:r w:rsidR="008416FF" w:rsidRPr="008416FF">
        <w:rPr>
          <w:rFonts w:ascii="Times New Roman" w:hAnsi="Times New Roman" w:cs="Times New Roman"/>
          <w:sz w:val="24"/>
          <w:szCs w:val="24"/>
        </w:rPr>
        <w:t xml:space="preserve"> 2</w:t>
      </w:r>
      <w:r w:rsidR="00F93B58">
        <w:rPr>
          <w:rFonts w:ascii="Times New Roman" w:hAnsi="Times New Roman" w:cs="Times New Roman"/>
          <w:sz w:val="24"/>
          <w:szCs w:val="24"/>
        </w:rPr>
        <w:t>023)</w:t>
      </w:r>
      <w:r w:rsidR="008416FF" w:rsidRPr="008416FF">
        <w:rPr>
          <w:rFonts w:ascii="Times New Roman" w:hAnsi="Times New Roman" w:cs="Times New Roman"/>
          <w:sz w:val="24"/>
          <w:szCs w:val="24"/>
        </w:rPr>
        <w:t>.</w:t>
      </w:r>
      <w:r w:rsidR="008416FF">
        <w:rPr>
          <w:rFonts w:ascii="Times New Roman" w:hAnsi="Times New Roman" w:cs="Times New Roman"/>
          <w:sz w:val="24"/>
          <w:szCs w:val="24"/>
        </w:rPr>
        <w:t xml:space="preserve"> </w:t>
      </w:r>
      <w:r w:rsidRPr="00284C58">
        <w:rPr>
          <w:rFonts w:ascii="Times New Roman" w:hAnsi="Times New Roman" w:cs="Times New Roman"/>
          <w:sz w:val="24"/>
          <w:szCs w:val="24"/>
        </w:rPr>
        <w:t>In this context, the present study was undertaken to (</w:t>
      </w:r>
      <w:proofErr w:type="spellStart"/>
      <w:r w:rsidRPr="00284C58">
        <w:rPr>
          <w:rFonts w:ascii="Times New Roman" w:hAnsi="Times New Roman" w:cs="Times New Roman"/>
          <w:sz w:val="24"/>
          <w:szCs w:val="24"/>
        </w:rPr>
        <w:t>i</w:t>
      </w:r>
      <w:proofErr w:type="spellEnd"/>
      <w:r w:rsidRPr="00284C58">
        <w:rPr>
          <w:rFonts w:ascii="Times New Roman" w:hAnsi="Times New Roman" w:cs="Times New Roman"/>
          <w:sz w:val="24"/>
          <w:szCs w:val="24"/>
        </w:rPr>
        <w:t xml:space="preserve">) conduct a systematic survey of major brinjal-growing regions of Tamil Nadu and Andhra Pradesh, (ii) isolate rhizosphere-associated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spp., (iii) characterize the isolates based on morphological and bi</w:t>
      </w:r>
      <w:r>
        <w:rPr>
          <w:rFonts w:ascii="Times New Roman" w:hAnsi="Times New Roman" w:cs="Times New Roman"/>
          <w:sz w:val="24"/>
          <w:szCs w:val="24"/>
        </w:rPr>
        <w:t>ochemical attributes, and (iv) M</w:t>
      </w:r>
      <w:r w:rsidRPr="00284C58">
        <w:rPr>
          <w:rFonts w:ascii="Times New Roman" w:hAnsi="Times New Roman" w:cs="Times New Roman"/>
          <w:sz w:val="24"/>
          <w:szCs w:val="24"/>
        </w:rPr>
        <w:t xml:space="preserve">olecularly identify selected </w:t>
      </w:r>
      <w:r w:rsidRPr="00284C58">
        <w:rPr>
          <w:rFonts w:ascii="Times New Roman" w:hAnsi="Times New Roman" w:cs="Times New Roman"/>
          <w:sz w:val="24"/>
          <w:szCs w:val="24"/>
        </w:rPr>
        <w:lastRenderedPageBreak/>
        <w:t xml:space="preserve">isolates using 16S rRNA gene sequencing. The findings of this study aim to provide baseline information on indigenous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diversity associated with brinjal and contribute to the development of sustainable, microbe-based strategies for improved crop and soil health.</w:t>
      </w:r>
    </w:p>
    <w:p w14:paraId="49CB2230" w14:textId="77777777" w:rsidR="0083641F" w:rsidRPr="0071038B" w:rsidRDefault="0083641F" w:rsidP="0083641F">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2. MATERIALS AND METHODS</w:t>
      </w:r>
    </w:p>
    <w:p w14:paraId="10EB5552" w14:textId="77777777" w:rsidR="0083641F" w:rsidRPr="0071038B" w:rsidRDefault="0083641F" w:rsidP="0083641F">
      <w:pPr>
        <w:spacing w:line="360" w:lineRule="auto"/>
        <w:jc w:val="both"/>
        <w:rPr>
          <w:rFonts w:ascii="Times New Roman" w:hAnsi="Times New Roman" w:cs="Times New Roman"/>
          <w:sz w:val="24"/>
          <w:szCs w:val="24"/>
        </w:rPr>
      </w:pPr>
      <w:r w:rsidRPr="0071038B">
        <w:rPr>
          <w:rFonts w:ascii="Times New Roman" w:hAnsi="Times New Roman" w:cs="Times New Roman"/>
          <w:b/>
          <w:sz w:val="24"/>
          <w:szCs w:val="24"/>
        </w:rPr>
        <w:t>2.1 Survey and Sample Collection</w:t>
      </w:r>
      <w:r>
        <w:rPr>
          <w:rFonts w:ascii="Times New Roman" w:hAnsi="Times New Roman" w:cs="Times New Roman"/>
          <w:b/>
          <w:sz w:val="24"/>
          <w:szCs w:val="24"/>
        </w:rPr>
        <w:t xml:space="preserve"> </w:t>
      </w:r>
    </w:p>
    <w:p w14:paraId="2F34E203" w14:textId="77777777" w:rsidR="0083641F" w:rsidRPr="0083641F" w:rsidRDefault="006C1A25" w:rsidP="006C1A25">
      <w:pPr>
        <w:spacing w:line="360" w:lineRule="auto"/>
        <w:jc w:val="both"/>
        <w:rPr>
          <w:rFonts w:ascii="Times New Roman" w:hAnsi="Times New Roman" w:cs="Times New Roman"/>
          <w:color w:val="C00000"/>
          <w:sz w:val="24"/>
          <w:szCs w:val="24"/>
        </w:rPr>
      </w:pPr>
      <w:r w:rsidRPr="006C1A25">
        <w:rPr>
          <w:rFonts w:ascii="Times New Roman" w:hAnsi="Times New Roman" w:cs="Times New Roman"/>
          <w:sz w:val="24"/>
          <w:szCs w:val="24"/>
        </w:rPr>
        <w:t xml:space="preserve">A comprehensive field survey was carried out </w:t>
      </w:r>
      <w:commentRangeStart w:id="8"/>
      <w:r w:rsidRPr="006C1A25">
        <w:rPr>
          <w:rFonts w:ascii="Times New Roman" w:hAnsi="Times New Roman" w:cs="Times New Roman"/>
          <w:sz w:val="24"/>
          <w:szCs w:val="24"/>
        </w:rPr>
        <w:t xml:space="preserve">during 2023–2024 </w:t>
      </w:r>
      <w:commentRangeEnd w:id="8"/>
      <w:r w:rsidR="00A6664A">
        <w:rPr>
          <w:rStyle w:val="Marquedecommentaire"/>
        </w:rPr>
        <w:commentReference w:id="8"/>
      </w:r>
      <w:r w:rsidRPr="006C1A25">
        <w:rPr>
          <w:rFonts w:ascii="Times New Roman" w:hAnsi="Times New Roman" w:cs="Times New Roman"/>
          <w:sz w:val="24"/>
          <w:szCs w:val="24"/>
        </w:rPr>
        <w:t>in the principal brinjal (</w:t>
      </w:r>
      <w:r w:rsidR="00587709" w:rsidRPr="00587709">
        <w:rPr>
          <w:rFonts w:ascii="Times New Roman" w:hAnsi="Times New Roman" w:cs="Times New Roman"/>
          <w:i/>
          <w:sz w:val="24"/>
          <w:szCs w:val="24"/>
        </w:rPr>
        <w:t xml:space="preserve">Solanum melongena </w:t>
      </w:r>
      <w:r w:rsidRPr="006C1A25">
        <w:rPr>
          <w:rFonts w:ascii="Times New Roman" w:hAnsi="Times New Roman" w:cs="Times New Roman"/>
          <w:sz w:val="24"/>
          <w:szCs w:val="24"/>
        </w:rPr>
        <w:t xml:space="preserve">L.) cultivating regions of Tamil Nadu and Andhra Pradesh, India, for the collection of </w:t>
      </w:r>
      <w:commentRangeStart w:id="9"/>
      <w:r w:rsidRPr="006C1A25">
        <w:rPr>
          <w:rFonts w:ascii="Times New Roman" w:hAnsi="Times New Roman" w:cs="Times New Roman"/>
          <w:sz w:val="24"/>
          <w:szCs w:val="24"/>
        </w:rPr>
        <w:t xml:space="preserve">rhizosphere soil samples </w:t>
      </w:r>
      <w:commentRangeEnd w:id="9"/>
      <w:r w:rsidR="00A6664A">
        <w:rPr>
          <w:rStyle w:val="Marquedecommentaire"/>
        </w:rPr>
        <w:commentReference w:id="9"/>
      </w:r>
      <w:r w:rsidRPr="006C1A25">
        <w:rPr>
          <w:rFonts w:ascii="Times New Roman" w:hAnsi="Times New Roman" w:cs="Times New Roman"/>
          <w:sz w:val="24"/>
          <w:szCs w:val="24"/>
        </w:rPr>
        <w:t xml:space="preserve">aimed at isolating antagonistic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The survey sites were strategically chosen to encompass a wide range of </w:t>
      </w:r>
      <w:proofErr w:type="spellStart"/>
      <w:r w:rsidRPr="006C1A25">
        <w:rPr>
          <w:rFonts w:ascii="Times New Roman" w:hAnsi="Times New Roman" w:cs="Times New Roman"/>
          <w:sz w:val="24"/>
          <w:szCs w:val="24"/>
        </w:rPr>
        <w:t>agro</w:t>
      </w:r>
      <w:proofErr w:type="spellEnd"/>
      <w:r w:rsidRPr="006C1A25">
        <w:rPr>
          <w:rFonts w:ascii="Times New Roman" w:hAnsi="Times New Roman" w:cs="Times New Roman"/>
          <w:sz w:val="24"/>
          <w:szCs w:val="24"/>
        </w:rPr>
        <w:t xml:space="preserve">-climatic zones, soil characteristics, and brinjal production systems In Tamil Nadu, sampling was undertaken in </w:t>
      </w:r>
      <w:proofErr w:type="spellStart"/>
      <w:r w:rsidRPr="006C1A25">
        <w:rPr>
          <w:rFonts w:ascii="Times New Roman" w:hAnsi="Times New Roman" w:cs="Times New Roman"/>
          <w:sz w:val="24"/>
          <w:szCs w:val="24"/>
        </w:rPr>
        <w:t>Cuddalore</w:t>
      </w:r>
      <w:proofErr w:type="spellEnd"/>
      <w:r w:rsidRPr="006C1A25">
        <w:rPr>
          <w:rFonts w:ascii="Times New Roman" w:hAnsi="Times New Roman" w:cs="Times New Roman"/>
          <w:sz w:val="24"/>
          <w:szCs w:val="24"/>
        </w:rPr>
        <w:t xml:space="preserve"> district (</w:t>
      </w:r>
      <w:proofErr w:type="spellStart"/>
      <w:r w:rsidRPr="006C1A25">
        <w:rPr>
          <w:rFonts w:ascii="Times New Roman" w:hAnsi="Times New Roman" w:cs="Times New Roman"/>
          <w:sz w:val="24"/>
          <w:szCs w:val="24"/>
        </w:rPr>
        <w:t>Sivapuri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Parathurchavadi</w:t>
      </w:r>
      <w:proofErr w:type="spellEnd"/>
      <w:r w:rsidRPr="006C1A25">
        <w:rPr>
          <w:rFonts w:ascii="Times New Roman" w:hAnsi="Times New Roman" w:cs="Times New Roman"/>
          <w:sz w:val="24"/>
          <w:szCs w:val="24"/>
        </w:rPr>
        <w:t>), Salem district (</w:t>
      </w:r>
      <w:proofErr w:type="spellStart"/>
      <w:r w:rsidRPr="006C1A25">
        <w:rPr>
          <w:rFonts w:ascii="Times New Roman" w:hAnsi="Times New Roman" w:cs="Times New Roman"/>
          <w:sz w:val="24"/>
          <w:szCs w:val="24"/>
        </w:rPr>
        <w:t>Attur</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Thalaivasal</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Gangavalli</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Dindigul</w:t>
      </w:r>
      <w:proofErr w:type="spellEnd"/>
      <w:r w:rsidRPr="006C1A25">
        <w:rPr>
          <w:rFonts w:ascii="Times New Roman" w:hAnsi="Times New Roman" w:cs="Times New Roman"/>
          <w:sz w:val="24"/>
          <w:szCs w:val="24"/>
        </w:rPr>
        <w:t xml:space="preserve"> district (</w:t>
      </w:r>
      <w:proofErr w:type="spellStart"/>
      <w:r w:rsidRPr="006C1A25">
        <w:rPr>
          <w:rFonts w:ascii="Times New Roman" w:hAnsi="Times New Roman" w:cs="Times New Roman"/>
          <w:sz w:val="24"/>
          <w:szCs w:val="24"/>
        </w:rPr>
        <w:t>Seelapadi</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Anaipatti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Siluvathur</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Krishnagiri</w:t>
      </w:r>
      <w:proofErr w:type="spellEnd"/>
      <w:r w:rsidRPr="006C1A25">
        <w:rPr>
          <w:rFonts w:ascii="Times New Roman" w:hAnsi="Times New Roman" w:cs="Times New Roman"/>
          <w:sz w:val="24"/>
          <w:szCs w:val="24"/>
        </w:rPr>
        <w:t xml:space="preserve"> district (KK Nagar, Hosur, and </w:t>
      </w:r>
      <w:proofErr w:type="spellStart"/>
      <w:r w:rsidRPr="006C1A25">
        <w:rPr>
          <w:rFonts w:ascii="Times New Roman" w:hAnsi="Times New Roman" w:cs="Times New Roman"/>
          <w:sz w:val="24"/>
          <w:szCs w:val="24"/>
        </w:rPr>
        <w:t>Sundekuppam</w:t>
      </w:r>
      <w:proofErr w:type="spellEnd"/>
      <w:r w:rsidRPr="006C1A25">
        <w:rPr>
          <w:rFonts w:ascii="Times New Roman" w:hAnsi="Times New Roman" w:cs="Times New Roman"/>
          <w:sz w:val="24"/>
          <w:szCs w:val="24"/>
        </w:rPr>
        <w:t>). In Andhra Pradesh, samples were collected from Chittoor district (</w:t>
      </w:r>
      <w:proofErr w:type="spellStart"/>
      <w:r w:rsidRPr="006C1A25">
        <w:rPr>
          <w:rFonts w:ascii="Times New Roman" w:hAnsi="Times New Roman" w:cs="Times New Roman"/>
          <w:sz w:val="24"/>
          <w:szCs w:val="24"/>
        </w:rPr>
        <w:t>Kuppam</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Madanapalli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Ramakuppam</w:t>
      </w:r>
      <w:proofErr w:type="spellEnd"/>
      <w:r w:rsidRPr="006C1A25">
        <w:rPr>
          <w:rFonts w:ascii="Times New Roman" w:hAnsi="Times New Roman" w:cs="Times New Roman"/>
          <w:sz w:val="24"/>
          <w:szCs w:val="24"/>
        </w:rPr>
        <w:t>), Kurnool district (</w:t>
      </w:r>
      <w:proofErr w:type="spellStart"/>
      <w:r w:rsidRPr="006C1A25">
        <w:rPr>
          <w:rFonts w:ascii="Times New Roman" w:hAnsi="Times New Roman" w:cs="Times New Roman"/>
          <w:sz w:val="24"/>
          <w:szCs w:val="24"/>
        </w:rPr>
        <w:t>Velugodu</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Peddapadu</w:t>
      </w:r>
      <w:proofErr w:type="spellEnd"/>
      <w:r w:rsidRPr="006C1A25">
        <w:rPr>
          <w:rFonts w:ascii="Times New Roman" w:hAnsi="Times New Roman" w:cs="Times New Roman"/>
          <w:sz w:val="24"/>
          <w:szCs w:val="24"/>
        </w:rPr>
        <w:t xml:space="preserve">, and Atmakur), and Guntur district (Tenali, </w:t>
      </w:r>
      <w:proofErr w:type="spellStart"/>
      <w:r w:rsidRPr="006C1A25">
        <w:rPr>
          <w:rFonts w:ascii="Times New Roman" w:hAnsi="Times New Roman" w:cs="Times New Roman"/>
          <w:sz w:val="24"/>
          <w:szCs w:val="24"/>
        </w:rPr>
        <w:t>Rompicharala</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Ponnur</w:t>
      </w:r>
      <w:proofErr w:type="spellEnd"/>
      <w:r w:rsidRPr="006C1A25">
        <w:rPr>
          <w:rFonts w:ascii="Times New Roman" w:hAnsi="Times New Roman" w:cs="Times New Roman"/>
          <w:sz w:val="24"/>
          <w:szCs w:val="24"/>
        </w:rPr>
        <w:t>) (Reddy et al., 2024</w:t>
      </w:r>
      <w:commentRangeStart w:id="10"/>
      <w:r w:rsidRPr="006C1A25">
        <w:rPr>
          <w:rFonts w:ascii="Times New Roman" w:hAnsi="Times New Roman" w:cs="Times New Roman"/>
          <w:sz w:val="24"/>
          <w:szCs w:val="24"/>
        </w:rPr>
        <w:t>).</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At each sampling site, both healthy and wilt-affected brinjal plants were selected at random, and rhizosphere soil tightly adhering to the root zone was collected using sterile implements. The collected samples were transferred into sterile polyethylene bags, appropriately labelled, and transported to the laboratory under insulated conditions. All samples were processed within 24 hours of collection to ensure microbial viability </w:t>
      </w:r>
      <w:commentRangeEnd w:id="10"/>
      <w:r w:rsidR="00A6664A">
        <w:rPr>
          <w:rStyle w:val="Marquedecommentaire"/>
        </w:rPr>
        <w:commentReference w:id="10"/>
      </w:r>
    </w:p>
    <w:p w14:paraId="1ACF61E9" w14:textId="77777777" w:rsidR="0083641F" w:rsidRPr="0071038B" w:rsidRDefault="0083641F" w:rsidP="0083641F">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 xml:space="preserve">2.2 Isolation of </w:t>
      </w:r>
      <w:r w:rsidR="00587709" w:rsidRPr="00587709">
        <w:rPr>
          <w:rFonts w:ascii="Times New Roman" w:hAnsi="Times New Roman" w:cs="Times New Roman"/>
          <w:b/>
          <w:i/>
          <w:sz w:val="24"/>
          <w:szCs w:val="24"/>
        </w:rPr>
        <w:t xml:space="preserve">Pseudomonas </w:t>
      </w:r>
      <w:r w:rsidRPr="0071038B">
        <w:rPr>
          <w:rFonts w:ascii="Times New Roman" w:hAnsi="Times New Roman" w:cs="Times New Roman"/>
          <w:b/>
          <w:sz w:val="24"/>
          <w:szCs w:val="24"/>
        </w:rPr>
        <w:t>spp.</w:t>
      </w:r>
    </w:p>
    <w:p w14:paraId="20EBF2CD" w14:textId="77777777" w:rsidR="00284C58" w:rsidRDefault="006C1A25" w:rsidP="006C1A25">
      <w:pPr>
        <w:pStyle w:val="Titre3"/>
        <w:spacing w:line="360" w:lineRule="auto"/>
        <w:jc w:val="both"/>
        <w:rPr>
          <w:rFonts w:ascii="Times New Roman" w:eastAsiaTheme="minorHAnsi" w:hAnsi="Times New Roman" w:cs="Times New Roman"/>
          <w:color w:val="auto"/>
        </w:rPr>
      </w:pPr>
      <w:r w:rsidRPr="006C1A25">
        <w:rPr>
          <w:rFonts w:ascii="Times New Roman" w:eastAsiaTheme="minorHAnsi" w:hAnsi="Times New Roman" w:cs="Times New Roman"/>
          <w:color w:val="auto"/>
        </w:rPr>
        <w:lastRenderedPageBreak/>
        <w:t xml:space="preserve">Isolation of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 xml:space="preserve">spp. was performed using the standard serial dilution and spread plate method. Rhizosphere soil samples (10 g) were homogenized in 90 mL of sterile distilled water and agitated thoroughly for 10 minutes. The resulting suspension was serially diluted up to 10⁻⁶, and 0.1 mL from appropriate dilutions was evenly spread onto King’s B agar medium, which is selective for fluorescent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species (King et al., 1954). The inoculated plates were incubat</w:t>
      </w:r>
      <w:r>
        <w:rPr>
          <w:rFonts w:ascii="Times New Roman" w:eastAsiaTheme="minorHAnsi" w:hAnsi="Times New Roman" w:cs="Times New Roman"/>
          <w:color w:val="auto"/>
        </w:rPr>
        <w:t xml:space="preserve">ed at 28 ± 2 °C for 24–48 hours. </w:t>
      </w:r>
      <w:commentRangeStart w:id="11"/>
      <w:r w:rsidRPr="006C1A25">
        <w:rPr>
          <w:rFonts w:ascii="Times New Roman" w:eastAsiaTheme="minorHAnsi" w:hAnsi="Times New Roman" w:cs="Times New Roman"/>
          <w:color w:val="auto"/>
        </w:rPr>
        <w:t xml:space="preserve">After incubation, colonies displaying characteristic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 xml:space="preserve">features—such as smooth, circular morphology and yellow-green to bluish-green pigmentation—were selected. Fluorescent activity was verified by exposing the plates to ultraviolet light at 365 nm. Selected colonies were purified through repeated streaking on King’s B agar. Pure cultures were preserved on King’s B agar slants at 4 °C for short-term storage and maintained in 50% glycerol at −80 °C for long-term preservation (Weller, 2007; Haas &amp; </w:t>
      </w:r>
      <w:proofErr w:type="spellStart"/>
      <w:r w:rsidRPr="006C1A25">
        <w:rPr>
          <w:rFonts w:ascii="Times New Roman" w:eastAsiaTheme="minorHAnsi" w:hAnsi="Times New Roman" w:cs="Times New Roman"/>
          <w:color w:val="auto"/>
        </w:rPr>
        <w:t>Défago</w:t>
      </w:r>
      <w:proofErr w:type="spellEnd"/>
      <w:r w:rsidRPr="006C1A25">
        <w:rPr>
          <w:rFonts w:ascii="Times New Roman" w:eastAsiaTheme="minorHAnsi" w:hAnsi="Times New Roman" w:cs="Times New Roman"/>
          <w:color w:val="auto"/>
        </w:rPr>
        <w:t>, 2005).</w:t>
      </w:r>
      <w:commentRangeEnd w:id="11"/>
      <w:r w:rsidR="00D45247">
        <w:rPr>
          <w:rStyle w:val="Marquedecommentaire"/>
          <w:rFonts w:asciiTheme="minorHAnsi" w:eastAsiaTheme="minorHAnsi" w:hAnsiTheme="minorHAnsi" w:cstheme="minorBidi"/>
          <w:color w:val="auto"/>
        </w:rPr>
        <w:commentReference w:id="11"/>
      </w:r>
    </w:p>
    <w:p w14:paraId="16CE5D12" w14:textId="77777777" w:rsidR="0083641F" w:rsidRPr="0083641F" w:rsidRDefault="0083641F" w:rsidP="006C1A25">
      <w:pPr>
        <w:pStyle w:val="Titre3"/>
        <w:spacing w:line="360" w:lineRule="auto"/>
        <w:jc w:val="both"/>
        <w:rPr>
          <w:rFonts w:ascii="Times New Roman" w:hAnsi="Times New Roman" w:cs="Times New Roman"/>
          <w:b/>
          <w:color w:val="auto"/>
        </w:rPr>
      </w:pPr>
      <w:r w:rsidRPr="0083641F">
        <w:rPr>
          <w:rFonts w:ascii="Times New Roman" w:hAnsi="Times New Roman" w:cs="Times New Roman"/>
          <w:b/>
          <w:color w:val="auto"/>
        </w:rPr>
        <w:t>2.3 Morphological Characterization</w:t>
      </w:r>
    </w:p>
    <w:p w14:paraId="05D530AB" w14:textId="77777777" w:rsidR="00284C58" w:rsidRDefault="00284C58" w:rsidP="0083641F">
      <w:pPr>
        <w:pStyle w:val="NormalWeb"/>
        <w:spacing w:line="360" w:lineRule="auto"/>
        <w:jc w:val="both"/>
      </w:pPr>
      <w:commentRangeStart w:id="12"/>
      <w:r w:rsidRPr="00284C58">
        <w:t xml:space="preserve">Morphological characterization of antagonistic </w:t>
      </w:r>
      <w:r w:rsidR="00587709" w:rsidRPr="00587709">
        <w:rPr>
          <w:i/>
        </w:rPr>
        <w:t xml:space="preserve">Pseudomonas </w:t>
      </w:r>
      <w:r w:rsidRPr="00284C58">
        <w:t xml:space="preserve">isolates was carried out by observing colony features on King’s B agar medium following 24–48 hours of incubation at 28 ± 2 °C. </w:t>
      </w:r>
      <w:commentRangeEnd w:id="12"/>
      <w:r w:rsidR="00D45247">
        <w:rPr>
          <w:rStyle w:val="Marquedecommentaire"/>
          <w:rFonts w:asciiTheme="minorHAnsi" w:eastAsiaTheme="minorHAnsi" w:hAnsiTheme="minorHAnsi" w:cstheme="minorBidi"/>
        </w:rPr>
        <w:commentReference w:id="12"/>
      </w:r>
      <w:r w:rsidRPr="00284C58">
        <w:t xml:space="preserve">Colony characteristics including size, shape, margin, elevation, surface texture, pigmentation, and fluorescence were systematically recorded. Cellular morphology and Gram reaction were examined using Gram staining followed by microscopic observation under oil immersion (100× magnification). Bacterial motility was assessed using the </w:t>
      </w:r>
      <w:commentRangeStart w:id="13"/>
      <w:r w:rsidRPr="00284C58">
        <w:t>hanging drop technique</w:t>
      </w:r>
      <w:commentRangeEnd w:id="13"/>
      <w:r w:rsidR="00D45247">
        <w:rPr>
          <w:rStyle w:val="Marquedecommentaire"/>
          <w:rFonts w:asciiTheme="minorHAnsi" w:eastAsiaTheme="minorHAnsi" w:hAnsiTheme="minorHAnsi" w:cstheme="minorBidi"/>
        </w:rPr>
        <w:commentReference w:id="13"/>
      </w:r>
      <w:r w:rsidRPr="00284C58">
        <w:t xml:space="preserve">. Since </w:t>
      </w:r>
      <w:r w:rsidR="00587709" w:rsidRPr="00587709">
        <w:rPr>
          <w:i/>
        </w:rPr>
        <w:t xml:space="preserve">Pseudomonas </w:t>
      </w:r>
      <w:r w:rsidRPr="00284C58">
        <w:t>species are non-spore-forming organisms, endospore staining was not conducted (</w:t>
      </w:r>
      <w:proofErr w:type="spellStart"/>
      <w:r w:rsidRPr="00284C58">
        <w:t>Palleroni</w:t>
      </w:r>
      <w:proofErr w:type="spellEnd"/>
      <w:r w:rsidRPr="00284C58">
        <w:t xml:space="preserve">, 2010; </w:t>
      </w:r>
      <w:r w:rsidR="00524F6A">
        <w:t>Baker,</w:t>
      </w:r>
      <w:r w:rsidRPr="00284C58">
        <w:t xml:space="preserve"> et al., 2019).</w:t>
      </w:r>
    </w:p>
    <w:p w14:paraId="5EB8BB47" w14:textId="77777777" w:rsidR="0083641F" w:rsidRPr="00D4761C" w:rsidRDefault="0083641F" w:rsidP="0083641F">
      <w:pPr>
        <w:pStyle w:val="NormalWeb"/>
        <w:spacing w:line="360" w:lineRule="auto"/>
        <w:jc w:val="both"/>
        <w:rPr>
          <w:b/>
        </w:rPr>
      </w:pPr>
      <w:r>
        <w:rPr>
          <w:b/>
        </w:rPr>
        <w:t xml:space="preserve">2.4 </w:t>
      </w:r>
      <w:r w:rsidRPr="00D4761C">
        <w:rPr>
          <w:b/>
        </w:rPr>
        <w:t>Biochemical Characterization</w:t>
      </w:r>
    </w:p>
    <w:p w14:paraId="6FF5849B" w14:textId="77777777" w:rsidR="00284C58" w:rsidRDefault="00284C58" w:rsidP="0083641F">
      <w:pPr>
        <w:spacing w:line="360" w:lineRule="auto"/>
        <w:jc w:val="both"/>
        <w:rPr>
          <w:rFonts w:ascii="Times New Roman" w:eastAsia="Times New Roman" w:hAnsi="Times New Roman" w:cs="Times New Roman"/>
          <w:sz w:val="24"/>
          <w:szCs w:val="24"/>
        </w:rPr>
      </w:pPr>
      <w:r w:rsidRPr="00284C58">
        <w:rPr>
          <w:rFonts w:ascii="Times New Roman" w:eastAsia="Times New Roman" w:hAnsi="Times New Roman" w:cs="Times New Roman"/>
          <w:sz w:val="24"/>
          <w:szCs w:val="24"/>
        </w:rPr>
        <w:t xml:space="preserve">Biochemical characterization of the antagonistic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isolates was performed using standard bacteriological methods. The isolates were subjected to Gram staining, oxidase and catalase tests, citrate utilization, nitrate reduction, siderophore production, phosphate solubilization, and fluorescent pigment production on King’s B agar medium. The methyl red test was also conducted to distinguish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spp. from other Gram-negative bacteria. </w:t>
      </w:r>
      <w:commentRangeStart w:id="14"/>
      <w:r w:rsidRPr="00284C58">
        <w:rPr>
          <w:rFonts w:ascii="Times New Roman" w:eastAsia="Times New Roman" w:hAnsi="Times New Roman" w:cs="Times New Roman"/>
          <w:sz w:val="24"/>
          <w:szCs w:val="24"/>
        </w:rPr>
        <w:t>All biochemical assays were carried out in triplicate, and the results were interpreted according to established proto</w:t>
      </w:r>
      <w:r w:rsidR="008416FF">
        <w:rPr>
          <w:rFonts w:ascii="Times New Roman" w:eastAsia="Times New Roman" w:hAnsi="Times New Roman" w:cs="Times New Roman"/>
          <w:sz w:val="24"/>
          <w:szCs w:val="24"/>
        </w:rPr>
        <w:t>cols (</w:t>
      </w:r>
      <w:r w:rsidR="008416FF" w:rsidRPr="008416FF">
        <w:rPr>
          <w:rFonts w:ascii="Times New Roman" w:eastAsia="Times New Roman" w:hAnsi="Times New Roman" w:cs="Times New Roman"/>
          <w:sz w:val="24"/>
          <w:szCs w:val="24"/>
        </w:rPr>
        <w:t>Chakra</w:t>
      </w:r>
      <w:r w:rsidR="008416FF">
        <w:rPr>
          <w:rFonts w:ascii="Times New Roman" w:eastAsia="Times New Roman" w:hAnsi="Times New Roman" w:cs="Times New Roman"/>
          <w:sz w:val="24"/>
          <w:szCs w:val="24"/>
        </w:rPr>
        <w:t>, 2019</w:t>
      </w:r>
      <w:r w:rsidRPr="00284C58">
        <w:rPr>
          <w:rFonts w:ascii="Times New Roman" w:eastAsia="Times New Roman" w:hAnsi="Times New Roman" w:cs="Times New Roman"/>
          <w:sz w:val="24"/>
          <w:szCs w:val="24"/>
        </w:rPr>
        <w:t>; Rajashekhar et al., 2017).</w:t>
      </w:r>
      <w:commentRangeEnd w:id="14"/>
      <w:r w:rsidR="005A0837">
        <w:rPr>
          <w:rStyle w:val="Marquedecommentaire"/>
        </w:rPr>
        <w:commentReference w:id="14"/>
      </w:r>
    </w:p>
    <w:p w14:paraId="38ED2B24" w14:textId="77777777" w:rsidR="0083641F" w:rsidRPr="00B17854" w:rsidRDefault="0083641F" w:rsidP="008364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2.5</w:t>
      </w:r>
      <w:r w:rsidRPr="00B17854">
        <w:rPr>
          <w:rFonts w:ascii="Times New Roman" w:eastAsia="Times New Roman" w:hAnsi="Times New Roman" w:cs="Times New Roman"/>
          <w:b/>
          <w:sz w:val="24"/>
          <w:szCs w:val="24"/>
        </w:rPr>
        <w:t xml:space="preserve"> Molecular Identification of </w:t>
      </w:r>
      <w:r w:rsidR="00C24921" w:rsidRPr="00C24921">
        <w:rPr>
          <w:rFonts w:ascii="Times New Roman" w:eastAsia="Times New Roman" w:hAnsi="Times New Roman" w:cs="Times New Roman"/>
          <w:b/>
          <w:i/>
          <w:sz w:val="24"/>
          <w:szCs w:val="24"/>
        </w:rPr>
        <w:t xml:space="preserve">Pseudomonas </w:t>
      </w:r>
      <w:r w:rsidRPr="00B17854">
        <w:rPr>
          <w:rFonts w:ascii="Times New Roman" w:eastAsia="Times New Roman" w:hAnsi="Times New Roman" w:cs="Times New Roman"/>
          <w:b/>
          <w:sz w:val="24"/>
          <w:szCs w:val="24"/>
        </w:rPr>
        <w:t>Isolates</w:t>
      </w:r>
    </w:p>
    <w:p w14:paraId="7D9CCF3A" w14:textId="77777777" w:rsidR="00AE0907" w:rsidRDefault="00284C58" w:rsidP="0083641F">
      <w:pPr>
        <w:spacing w:after="0" w:line="360" w:lineRule="auto"/>
        <w:jc w:val="both"/>
        <w:rPr>
          <w:rFonts w:ascii="Times New Roman" w:eastAsia="Times New Roman" w:hAnsi="Times New Roman" w:cs="Times New Roman"/>
          <w:sz w:val="24"/>
          <w:szCs w:val="24"/>
        </w:rPr>
      </w:pPr>
      <w:commentRangeStart w:id="15"/>
      <w:r w:rsidRPr="00284C58">
        <w:rPr>
          <w:rFonts w:ascii="Times New Roman" w:eastAsia="Times New Roman" w:hAnsi="Times New Roman" w:cs="Times New Roman"/>
          <w:sz w:val="24"/>
          <w:szCs w:val="24"/>
        </w:rPr>
        <w:t xml:space="preserve">Genomic DNA was extracted from 24-hour-old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cultures grown in King’s B broth using a modified cetyltrimethylammonium bromide (CTAB) method. The quality and concentration of the extracted DNA were assessed using a </w:t>
      </w:r>
      <w:proofErr w:type="spellStart"/>
      <w:r w:rsidRPr="00284C58">
        <w:rPr>
          <w:rFonts w:ascii="Times New Roman" w:eastAsia="Times New Roman" w:hAnsi="Times New Roman" w:cs="Times New Roman"/>
          <w:sz w:val="24"/>
          <w:szCs w:val="24"/>
        </w:rPr>
        <w:t>NanoDrop</w:t>
      </w:r>
      <w:proofErr w:type="spellEnd"/>
      <w:r w:rsidRPr="00284C58">
        <w:rPr>
          <w:rFonts w:ascii="Times New Roman" w:eastAsia="Times New Roman" w:hAnsi="Times New Roman" w:cs="Times New Roman"/>
          <w:sz w:val="24"/>
          <w:szCs w:val="24"/>
        </w:rPr>
        <w:t xml:space="preserve"> spectrophotometer. Molecular identification of the isolates was carried out by amplifying the 16S rRNA gene using universal bacterial primers 27F and 1492R. PCR amplification was performed in a 25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reaction mixture comprising 12.5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2× PCR Master Mix, 0.5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each primer (10 </w:t>
      </w:r>
      <w:proofErr w:type="spellStart"/>
      <w:r w:rsidRPr="00284C58">
        <w:rPr>
          <w:rFonts w:ascii="Times New Roman" w:eastAsia="Times New Roman" w:hAnsi="Times New Roman" w:cs="Times New Roman"/>
          <w:sz w:val="24"/>
          <w:szCs w:val="24"/>
        </w:rPr>
        <w:t>μM</w:t>
      </w:r>
      <w:proofErr w:type="spellEnd"/>
      <w:r w:rsidRPr="00284C58">
        <w:rPr>
          <w:rFonts w:ascii="Times New Roman" w:eastAsia="Times New Roman" w:hAnsi="Times New Roman" w:cs="Times New Roman"/>
          <w:sz w:val="24"/>
          <w:szCs w:val="24"/>
        </w:rPr>
        <w:t xml:space="preserve">), 2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template DNA, and nuclease-free water to make up the final volume. The thermal cycling conditions included an initial denaturation at 95 °C for 3 minutes, followed by 35 cycles of denaturation at 95 °C for 30 seconds, annealing at 55 °C for 30 seconds, and extension at 72 °C for 90 seconds, with a final extension at 72 °C for 10 minutes. The amplified PCR products (~1.5 kb) were resolved on 1% agarose gel, purified, and sequenced bi-directionally. </w:t>
      </w:r>
      <w:commentRangeEnd w:id="15"/>
      <w:r w:rsidR="005A0837">
        <w:rPr>
          <w:rStyle w:val="Marquedecommentaire"/>
        </w:rPr>
        <w:commentReference w:id="15"/>
      </w:r>
      <w:r w:rsidRPr="00284C58">
        <w:rPr>
          <w:rFonts w:ascii="Times New Roman" w:eastAsia="Times New Roman" w:hAnsi="Times New Roman" w:cs="Times New Roman"/>
          <w:sz w:val="24"/>
          <w:szCs w:val="24"/>
        </w:rPr>
        <w:t xml:space="preserve">The resulting sequences were edited using </w:t>
      </w:r>
      <w:proofErr w:type="spellStart"/>
      <w:r w:rsidRPr="00284C58">
        <w:rPr>
          <w:rFonts w:ascii="Times New Roman" w:eastAsia="Times New Roman" w:hAnsi="Times New Roman" w:cs="Times New Roman"/>
          <w:sz w:val="24"/>
          <w:szCs w:val="24"/>
        </w:rPr>
        <w:t>BioEdit</w:t>
      </w:r>
      <w:proofErr w:type="spellEnd"/>
      <w:r w:rsidRPr="00284C58">
        <w:rPr>
          <w:rFonts w:ascii="Times New Roman" w:eastAsia="Times New Roman" w:hAnsi="Times New Roman" w:cs="Times New Roman"/>
          <w:sz w:val="24"/>
          <w:szCs w:val="24"/>
        </w:rPr>
        <w:t xml:space="preserve"> software and compared with reference sequences available in the NCBI GenBank database using </w:t>
      </w:r>
      <w:proofErr w:type="spellStart"/>
      <w:r w:rsidRPr="00284C58">
        <w:rPr>
          <w:rFonts w:ascii="Times New Roman" w:eastAsia="Times New Roman" w:hAnsi="Times New Roman" w:cs="Times New Roman"/>
          <w:sz w:val="24"/>
          <w:szCs w:val="24"/>
        </w:rPr>
        <w:t>BLASTn</w:t>
      </w:r>
      <w:proofErr w:type="spellEnd"/>
      <w:r w:rsidRPr="00284C58">
        <w:rPr>
          <w:rFonts w:ascii="Times New Roman" w:eastAsia="Times New Roman" w:hAnsi="Times New Roman" w:cs="Times New Roman"/>
          <w:sz w:val="24"/>
          <w:szCs w:val="24"/>
        </w:rPr>
        <w:t>. Phylogenetic relationships were inferred using MEGA software (version X/11) by constructing a Neighbor-Joining tree with 1000 bootstrap replications to assess branch reliability (</w:t>
      </w:r>
      <w:r w:rsidR="00AE0907" w:rsidRPr="00AE0907">
        <w:rPr>
          <w:rFonts w:ascii="Times New Roman" w:eastAsia="Times New Roman" w:hAnsi="Times New Roman" w:cs="Times New Roman"/>
          <w:sz w:val="24"/>
          <w:szCs w:val="24"/>
        </w:rPr>
        <w:t>Nikbin,</w:t>
      </w:r>
      <w:r w:rsidR="00524F6A">
        <w:rPr>
          <w:rFonts w:ascii="Times New Roman" w:eastAsia="Times New Roman" w:hAnsi="Times New Roman" w:cs="Times New Roman"/>
          <w:sz w:val="24"/>
          <w:szCs w:val="24"/>
        </w:rPr>
        <w:t xml:space="preserve"> </w:t>
      </w:r>
      <w:r w:rsidR="00AE0907">
        <w:rPr>
          <w:rFonts w:ascii="Times New Roman" w:eastAsia="Times New Roman" w:hAnsi="Times New Roman" w:cs="Times New Roman"/>
          <w:sz w:val="24"/>
          <w:szCs w:val="24"/>
        </w:rPr>
        <w:t>et al., 2012</w:t>
      </w:r>
      <w:r w:rsidR="00524F6A">
        <w:rPr>
          <w:rFonts w:ascii="Times New Roman" w:eastAsia="Times New Roman" w:hAnsi="Times New Roman" w:cs="Times New Roman"/>
          <w:sz w:val="24"/>
          <w:szCs w:val="24"/>
        </w:rPr>
        <w:t>;</w:t>
      </w:r>
      <w:r w:rsidR="00AE0907">
        <w:rPr>
          <w:rFonts w:ascii="Times New Roman" w:eastAsia="Times New Roman" w:hAnsi="Times New Roman" w:cs="Times New Roman"/>
          <w:sz w:val="24"/>
          <w:szCs w:val="24"/>
        </w:rPr>
        <w:t xml:space="preserve"> </w:t>
      </w:r>
      <w:r w:rsidR="00AE0907" w:rsidRPr="00AE0907">
        <w:rPr>
          <w:rFonts w:ascii="Times New Roman" w:eastAsia="Times New Roman" w:hAnsi="Times New Roman" w:cs="Times New Roman"/>
          <w:sz w:val="24"/>
          <w:szCs w:val="24"/>
        </w:rPr>
        <w:t>Jaafar,</w:t>
      </w:r>
      <w:r w:rsidR="00524F6A">
        <w:rPr>
          <w:rFonts w:ascii="Times New Roman" w:eastAsia="Times New Roman" w:hAnsi="Times New Roman" w:cs="Times New Roman"/>
          <w:sz w:val="24"/>
          <w:szCs w:val="24"/>
        </w:rPr>
        <w:t xml:space="preserve"> </w:t>
      </w:r>
      <w:r w:rsidR="00AE0907">
        <w:rPr>
          <w:rFonts w:ascii="Times New Roman" w:eastAsia="Times New Roman" w:hAnsi="Times New Roman" w:cs="Times New Roman"/>
          <w:sz w:val="24"/>
          <w:szCs w:val="24"/>
        </w:rPr>
        <w:t xml:space="preserve">et al., </w:t>
      </w:r>
      <w:r w:rsidR="00AE0907" w:rsidRPr="00AE0907">
        <w:rPr>
          <w:rFonts w:ascii="Times New Roman" w:eastAsia="Times New Roman" w:hAnsi="Times New Roman" w:cs="Times New Roman"/>
          <w:sz w:val="24"/>
          <w:szCs w:val="24"/>
        </w:rPr>
        <w:t>2014</w:t>
      </w:r>
      <w:r w:rsidR="00AE0907">
        <w:rPr>
          <w:rFonts w:ascii="Times New Roman" w:eastAsia="Times New Roman" w:hAnsi="Times New Roman" w:cs="Times New Roman"/>
          <w:sz w:val="24"/>
          <w:szCs w:val="24"/>
        </w:rPr>
        <w:t>)</w:t>
      </w:r>
    </w:p>
    <w:p w14:paraId="03C6EB65" w14:textId="77777777" w:rsidR="00F42C48" w:rsidRDefault="00F42C48" w:rsidP="0083641F">
      <w:pPr>
        <w:spacing w:after="0" w:line="360" w:lineRule="auto"/>
        <w:jc w:val="both"/>
        <w:rPr>
          <w:rFonts w:ascii="Times New Roman" w:eastAsia="Times New Roman" w:hAnsi="Times New Roman" w:cs="Times New Roman"/>
          <w:sz w:val="24"/>
          <w:szCs w:val="24"/>
        </w:rPr>
      </w:pPr>
    </w:p>
    <w:p w14:paraId="014136F8"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 </w:t>
      </w:r>
      <w:commentRangeStart w:id="16"/>
      <w:r w:rsidRPr="006C1A25">
        <w:rPr>
          <w:rFonts w:ascii="Times New Roman" w:hAnsi="Times New Roman" w:cs="Times New Roman"/>
          <w:b/>
          <w:sz w:val="24"/>
          <w:szCs w:val="24"/>
        </w:rPr>
        <w:t>RESULTS AND DISCUSSION</w:t>
      </w:r>
      <w:commentRangeEnd w:id="16"/>
      <w:r w:rsidR="008F2498">
        <w:rPr>
          <w:rStyle w:val="Marquedecommentaire"/>
        </w:rPr>
        <w:commentReference w:id="16"/>
      </w:r>
    </w:p>
    <w:p w14:paraId="3DE68131"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3.1 Survey and Isolation of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spp.</w:t>
      </w:r>
    </w:p>
    <w:p w14:paraId="4EF6F803" w14:textId="77777777" w:rsidR="00783D27" w:rsidRDefault="006C1A25" w:rsidP="006C1A25">
      <w:pPr>
        <w:spacing w:line="360" w:lineRule="auto"/>
        <w:jc w:val="both"/>
        <w:rPr>
          <w:rFonts w:ascii="Times New Roman" w:hAnsi="Times New Roman" w:cs="Times New Roman"/>
          <w:sz w:val="24"/>
          <w:szCs w:val="24"/>
        </w:rPr>
        <w:sectPr w:rsidR="00783D27" w:rsidSect="00511DD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r w:rsidRPr="006C1A25">
        <w:rPr>
          <w:rFonts w:ascii="Times New Roman" w:hAnsi="Times New Roman" w:cs="Times New Roman"/>
          <w:sz w:val="24"/>
          <w:szCs w:val="24"/>
        </w:rPr>
        <w:t xml:space="preserve">A systematic survey conducted across major brinjal-growing regions of Tamil Nadu and Andhra Pradesh resulted in the isolation of twenty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isolates, designated as AUPI-1 to AUPI-20 (Table 1). </w:t>
      </w:r>
      <w:commentRangeStart w:id="17"/>
      <w:r w:rsidRPr="006C1A25">
        <w:rPr>
          <w:rFonts w:ascii="Times New Roman" w:hAnsi="Times New Roman" w:cs="Times New Roman"/>
          <w:sz w:val="24"/>
          <w:szCs w:val="24"/>
        </w:rPr>
        <w:t xml:space="preserve">The isolates were obtained from diverse </w:t>
      </w:r>
      <w:proofErr w:type="spellStart"/>
      <w:r w:rsidRPr="006C1A25">
        <w:rPr>
          <w:rFonts w:ascii="Times New Roman" w:hAnsi="Times New Roman" w:cs="Times New Roman"/>
          <w:sz w:val="24"/>
          <w:szCs w:val="24"/>
        </w:rPr>
        <w:t>agro</w:t>
      </w:r>
      <w:proofErr w:type="spellEnd"/>
      <w:r w:rsidRPr="006C1A25">
        <w:rPr>
          <w:rFonts w:ascii="Times New Roman" w:hAnsi="Times New Roman" w:cs="Times New Roman"/>
          <w:sz w:val="24"/>
          <w:szCs w:val="24"/>
        </w:rPr>
        <w:t>-ecological zones encompassing different soil types, climatic conditions, and cultivation practices</w:t>
      </w:r>
      <w:commentRangeEnd w:id="17"/>
      <w:r w:rsidR="005A0837">
        <w:rPr>
          <w:rStyle w:val="Marquedecommentaire"/>
        </w:rPr>
        <w:commentReference w:id="17"/>
      </w:r>
      <w:r w:rsidRPr="006C1A25">
        <w:rPr>
          <w:rFonts w:ascii="Times New Roman" w:hAnsi="Times New Roman" w:cs="Times New Roman"/>
          <w:sz w:val="24"/>
          <w:szCs w:val="24"/>
        </w:rPr>
        <w:t xml:space="preserve">. In Tamil Nadu, isolates were recovered from </w:t>
      </w:r>
      <w:proofErr w:type="spellStart"/>
      <w:r w:rsidRPr="006C1A25">
        <w:rPr>
          <w:rFonts w:ascii="Times New Roman" w:hAnsi="Times New Roman" w:cs="Times New Roman"/>
          <w:sz w:val="24"/>
          <w:szCs w:val="24"/>
        </w:rPr>
        <w:t>Cuddalore</w:t>
      </w:r>
      <w:proofErr w:type="spellEnd"/>
      <w:r w:rsidRPr="006C1A25">
        <w:rPr>
          <w:rFonts w:ascii="Times New Roman" w:hAnsi="Times New Roman" w:cs="Times New Roman"/>
          <w:sz w:val="24"/>
          <w:szCs w:val="24"/>
        </w:rPr>
        <w:t xml:space="preserve">, Salem, </w:t>
      </w:r>
      <w:proofErr w:type="spellStart"/>
      <w:r w:rsidRPr="006C1A25">
        <w:rPr>
          <w:rFonts w:ascii="Times New Roman" w:hAnsi="Times New Roman" w:cs="Times New Roman"/>
          <w:sz w:val="24"/>
          <w:szCs w:val="24"/>
        </w:rPr>
        <w:t>Dindigul</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Krishnagiri</w:t>
      </w:r>
      <w:proofErr w:type="spellEnd"/>
      <w:r w:rsidRPr="006C1A25">
        <w:rPr>
          <w:rFonts w:ascii="Times New Roman" w:hAnsi="Times New Roman" w:cs="Times New Roman"/>
          <w:sz w:val="24"/>
          <w:szCs w:val="24"/>
        </w:rPr>
        <w:t xml:space="preserve"> districts, while in Andhra Pradesh, isolates were obtained from Chittoor, Kurnool, and Guntur districts. The recovery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isolates from all surveyed locations highlights their widespread distribution and strong rhizosphere competence in brinjal-growing soils.</w:t>
      </w:r>
      <w:r>
        <w:rPr>
          <w:rFonts w:ascii="Times New Roman" w:hAnsi="Times New Roman" w:cs="Times New Roman"/>
          <w:sz w:val="24"/>
          <w:szCs w:val="24"/>
        </w:rPr>
        <w:t xml:space="preserve"> </w:t>
      </w:r>
      <w:r w:rsidR="002636B3">
        <w:rPr>
          <w:rFonts w:ascii="Times New Roman" w:hAnsi="Times New Roman" w:cs="Times New Roman"/>
          <w:sz w:val="24"/>
          <w:szCs w:val="24"/>
        </w:rPr>
        <w:t xml:space="preserve">(Ghane </w:t>
      </w:r>
      <w:r w:rsidR="00AE0907">
        <w:rPr>
          <w:rFonts w:ascii="Times New Roman" w:hAnsi="Times New Roman" w:cs="Times New Roman"/>
          <w:sz w:val="24"/>
          <w:szCs w:val="24"/>
        </w:rPr>
        <w:t>&amp; Azimi,</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2014</w:t>
      </w:r>
      <w:r w:rsidR="002636B3">
        <w:rPr>
          <w:rFonts w:ascii="Times New Roman" w:hAnsi="Times New Roman" w:cs="Times New Roman"/>
          <w:sz w:val="24"/>
          <w:szCs w:val="24"/>
        </w:rPr>
        <w:t>;</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Uzair,</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w:t>
      </w:r>
      <w:r w:rsidR="00AE0907" w:rsidRPr="00AE0907">
        <w:rPr>
          <w:rFonts w:ascii="Times New Roman" w:hAnsi="Times New Roman" w:cs="Times New Roman"/>
          <w:sz w:val="24"/>
          <w:szCs w:val="24"/>
        </w:rPr>
        <w:t xml:space="preserve"> 2006</w:t>
      </w:r>
      <w:r w:rsidR="00AE0907">
        <w:rPr>
          <w:rFonts w:ascii="Times New Roman" w:hAnsi="Times New Roman" w:cs="Times New Roman"/>
          <w:sz w:val="24"/>
          <w:szCs w:val="24"/>
        </w:rPr>
        <w:t>)</w:t>
      </w:r>
    </w:p>
    <w:p w14:paraId="73956DC5" w14:textId="77777777" w:rsidR="00783D27" w:rsidRDefault="00783D27" w:rsidP="00783D27">
      <w:pPr>
        <w:jc w:val="center"/>
        <w:rPr>
          <w:rFonts w:ascii="Times New Roman" w:hAnsi="Times New Roman" w:cs="Times New Roman"/>
          <w:b/>
          <w:sz w:val="24"/>
          <w:szCs w:val="20"/>
        </w:rPr>
      </w:pPr>
      <w:commentRangeStart w:id="18"/>
      <w:r>
        <w:rPr>
          <w:rFonts w:ascii="Times New Roman" w:hAnsi="Times New Roman" w:cs="Times New Roman"/>
          <w:b/>
          <w:sz w:val="24"/>
          <w:szCs w:val="20"/>
        </w:rPr>
        <w:lastRenderedPageBreak/>
        <w:t xml:space="preserve">Table </w:t>
      </w:r>
      <w:r w:rsidR="008A2C2B">
        <w:rPr>
          <w:rFonts w:ascii="Times New Roman" w:hAnsi="Times New Roman" w:cs="Times New Roman"/>
          <w:b/>
          <w:sz w:val="24"/>
          <w:szCs w:val="20"/>
        </w:rPr>
        <w:t>1</w:t>
      </w:r>
      <w:r w:rsidRPr="00450563">
        <w:rPr>
          <w:rFonts w:ascii="Times New Roman" w:hAnsi="Times New Roman" w:cs="Times New Roman"/>
          <w:b/>
          <w:sz w:val="24"/>
          <w:szCs w:val="20"/>
        </w:rPr>
        <w:t xml:space="preserve">.  </w:t>
      </w:r>
      <w:r w:rsidR="008A2C2B">
        <w:rPr>
          <w:rFonts w:ascii="Times New Roman" w:hAnsi="Times New Roman" w:cs="Times New Roman"/>
          <w:b/>
          <w:szCs w:val="24"/>
        </w:rPr>
        <w:t>Survey and</w:t>
      </w:r>
      <w:r w:rsidR="008A2C2B" w:rsidRPr="00450563">
        <w:rPr>
          <w:rFonts w:ascii="Times New Roman" w:hAnsi="Times New Roman" w:cs="Times New Roman"/>
          <w:b/>
          <w:color w:val="FF0000"/>
          <w:sz w:val="24"/>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00587709" w:rsidRPr="00587709">
        <w:rPr>
          <w:rFonts w:ascii="Times New Roman" w:hAnsi="Times New Roman" w:cs="Times New Roman"/>
          <w:b/>
          <w:i/>
          <w:sz w:val="24"/>
          <w:szCs w:val="20"/>
        </w:rPr>
        <w:t xml:space="preserve">Pseudomonas </w:t>
      </w:r>
      <w:r>
        <w:rPr>
          <w:rFonts w:ascii="Times New Roman" w:hAnsi="Times New Roman" w:cs="Times New Roman"/>
          <w:b/>
          <w:sz w:val="24"/>
          <w:szCs w:val="20"/>
        </w:rPr>
        <w:t>s</w:t>
      </w:r>
      <w:r w:rsidRPr="00450563">
        <w:rPr>
          <w:rFonts w:ascii="Times New Roman" w:hAnsi="Times New Roman" w:cs="Times New Roman"/>
          <w:b/>
          <w:sz w:val="24"/>
          <w:szCs w:val="20"/>
        </w:rPr>
        <w:t>p.</w:t>
      </w:r>
      <w:commentRangeEnd w:id="18"/>
      <w:r w:rsidR="005A0837">
        <w:rPr>
          <w:rStyle w:val="Marquedecommentaire"/>
        </w:rPr>
        <w:commentReference w:id="18"/>
      </w:r>
    </w:p>
    <w:tbl>
      <w:tblPr>
        <w:tblStyle w:val="Grilledutableau"/>
        <w:tblW w:w="13675" w:type="dxa"/>
        <w:jc w:val="center"/>
        <w:tblLook w:val="04A0" w:firstRow="1" w:lastRow="0" w:firstColumn="1" w:lastColumn="0" w:noHBand="0" w:noVBand="1"/>
      </w:tblPr>
      <w:tblGrid>
        <w:gridCol w:w="511"/>
        <w:gridCol w:w="971"/>
        <w:gridCol w:w="1548"/>
        <w:gridCol w:w="1702"/>
        <w:gridCol w:w="1500"/>
        <w:gridCol w:w="1250"/>
        <w:gridCol w:w="1502"/>
        <w:gridCol w:w="987"/>
        <w:gridCol w:w="1153"/>
        <w:gridCol w:w="1028"/>
        <w:gridCol w:w="1523"/>
      </w:tblGrid>
      <w:tr w:rsidR="008A2C2B" w:rsidRPr="008A2C2B" w14:paraId="062B5A25" w14:textId="77777777" w:rsidTr="008A2C2B">
        <w:trPr>
          <w:trHeight w:val="610"/>
          <w:jc w:val="center"/>
        </w:trPr>
        <w:tc>
          <w:tcPr>
            <w:tcW w:w="512" w:type="dxa"/>
            <w:vAlign w:val="center"/>
          </w:tcPr>
          <w:p w14:paraId="46A100DF"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Sl. No</w:t>
            </w:r>
          </w:p>
        </w:tc>
        <w:tc>
          <w:tcPr>
            <w:tcW w:w="976" w:type="dxa"/>
            <w:vAlign w:val="center"/>
          </w:tcPr>
          <w:p w14:paraId="29AB50D7"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State</w:t>
            </w:r>
          </w:p>
        </w:tc>
        <w:tc>
          <w:tcPr>
            <w:tcW w:w="1567" w:type="dxa"/>
            <w:vAlign w:val="center"/>
          </w:tcPr>
          <w:p w14:paraId="2C491C2D"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District</w:t>
            </w:r>
          </w:p>
        </w:tc>
        <w:tc>
          <w:tcPr>
            <w:tcW w:w="1710" w:type="dxa"/>
            <w:vAlign w:val="center"/>
          </w:tcPr>
          <w:p w14:paraId="0BCABC8C" w14:textId="77777777" w:rsidR="008A2C2B" w:rsidRPr="008A2C2B" w:rsidRDefault="008A2C2B" w:rsidP="008A2C2B">
            <w:pPr>
              <w:jc w:val="center"/>
              <w:rPr>
                <w:rFonts w:ascii="Times New Roman" w:hAnsi="Times New Roman" w:cs="Times New Roman"/>
                <w:b/>
                <w:sz w:val="20"/>
              </w:rPr>
            </w:pPr>
            <w:r w:rsidRPr="008A2C2B">
              <w:rPr>
                <w:rFonts w:ascii="Times New Roman" w:hAnsi="Times New Roman" w:cs="Times New Roman"/>
                <w:b/>
                <w:sz w:val="20"/>
              </w:rPr>
              <w:t>Place of collection</w:t>
            </w:r>
          </w:p>
        </w:tc>
        <w:tc>
          <w:tcPr>
            <w:tcW w:w="1530" w:type="dxa"/>
            <w:vAlign w:val="center"/>
          </w:tcPr>
          <w:p w14:paraId="7BB0044C"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Colony</w:t>
            </w:r>
          </w:p>
        </w:tc>
        <w:tc>
          <w:tcPr>
            <w:tcW w:w="1260" w:type="dxa"/>
            <w:vAlign w:val="center"/>
          </w:tcPr>
          <w:p w14:paraId="2AA1D5B7"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Elevation</w:t>
            </w:r>
          </w:p>
        </w:tc>
        <w:tc>
          <w:tcPr>
            <w:tcW w:w="1530" w:type="dxa"/>
            <w:vAlign w:val="center"/>
          </w:tcPr>
          <w:p w14:paraId="1D909BEF"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Surface </w:t>
            </w:r>
          </w:p>
        </w:tc>
        <w:tc>
          <w:tcPr>
            <w:tcW w:w="990" w:type="dxa"/>
            <w:vAlign w:val="center"/>
          </w:tcPr>
          <w:p w14:paraId="4FBADA1E"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Margin </w:t>
            </w:r>
          </w:p>
        </w:tc>
        <w:tc>
          <w:tcPr>
            <w:tcW w:w="1170" w:type="dxa"/>
            <w:vAlign w:val="center"/>
          </w:tcPr>
          <w:p w14:paraId="4E4E96E0"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Color </w:t>
            </w:r>
          </w:p>
        </w:tc>
        <w:tc>
          <w:tcPr>
            <w:tcW w:w="900" w:type="dxa"/>
            <w:vAlign w:val="center"/>
          </w:tcPr>
          <w:p w14:paraId="37FEF162" w14:textId="77777777" w:rsidR="008A2C2B" w:rsidRPr="008A2C2B" w:rsidRDefault="008A2C2B" w:rsidP="008A2C2B">
            <w:pPr>
              <w:jc w:val="center"/>
              <w:rPr>
                <w:rFonts w:ascii="Times New Roman" w:hAnsi="Times New Roman" w:cs="Times New Roman"/>
                <w:b/>
                <w:sz w:val="20"/>
                <w:szCs w:val="24"/>
              </w:rPr>
            </w:pPr>
            <w:proofErr w:type="spellStart"/>
            <w:r w:rsidRPr="008A2C2B">
              <w:rPr>
                <w:rFonts w:ascii="Times New Roman" w:hAnsi="Times New Roman" w:cs="Times New Roman"/>
                <w:b/>
                <w:sz w:val="20"/>
                <w:szCs w:val="24"/>
              </w:rPr>
              <w:t>Odour</w:t>
            </w:r>
            <w:proofErr w:type="spellEnd"/>
          </w:p>
        </w:tc>
        <w:tc>
          <w:tcPr>
            <w:tcW w:w="1530" w:type="dxa"/>
            <w:vAlign w:val="center"/>
          </w:tcPr>
          <w:p w14:paraId="4A7F068E"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Isolate </w:t>
            </w:r>
            <w:r w:rsidRPr="008A2C2B">
              <w:rPr>
                <w:rFonts w:ascii="Times New Roman" w:hAnsi="Times New Roman" w:cs="Times New Roman"/>
                <w:b/>
                <w:sz w:val="20"/>
                <w:szCs w:val="24"/>
                <w:lang w:eastAsia="en-IN"/>
              </w:rPr>
              <w:t>Identification code</w:t>
            </w:r>
          </w:p>
        </w:tc>
      </w:tr>
      <w:tr w:rsidR="008A2C2B" w:rsidRPr="008A2C2B" w14:paraId="5BC025AF" w14:textId="77777777" w:rsidTr="008A2C2B">
        <w:trPr>
          <w:trHeight w:val="320"/>
          <w:jc w:val="center"/>
        </w:trPr>
        <w:tc>
          <w:tcPr>
            <w:tcW w:w="512" w:type="dxa"/>
            <w:vAlign w:val="center"/>
          </w:tcPr>
          <w:p w14:paraId="482DE7C7"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w:t>
            </w:r>
          </w:p>
        </w:tc>
        <w:tc>
          <w:tcPr>
            <w:tcW w:w="976" w:type="dxa"/>
            <w:vMerge w:val="restart"/>
            <w:vAlign w:val="center"/>
          </w:tcPr>
          <w:p w14:paraId="242188D3"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Tamil Nadu</w:t>
            </w:r>
          </w:p>
        </w:tc>
        <w:tc>
          <w:tcPr>
            <w:tcW w:w="1567" w:type="dxa"/>
            <w:vMerge w:val="restart"/>
            <w:vAlign w:val="center"/>
          </w:tcPr>
          <w:p w14:paraId="358ABDBA"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Cuddalore</w:t>
            </w:r>
            <w:proofErr w:type="spellEnd"/>
          </w:p>
        </w:tc>
        <w:tc>
          <w:tcPr>
            <w:tcW w:w="1710" w:type="dxa"/>
            <w:vAlign w:val="center"/>
          </w:tcPr>
          <w:p w14:paraId="269D4F74"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Sivapuri</w:t>
            </w:r>
            <w:proofErr w:type="spellEnd"/>
          </w:p>
        </w:tc>
        <w:tc>
          <w:tcPr>
            <w:tcW w:w="1530" w:type="dxa"/>
          </w:tcPr>
          <w:p w14:paraId="7BFDE888" w14:textId="77777777" w:rsidR="008A2C2B" w:rsidRPr="008A2C2B" w:rsidRDefault="008A2C2B" w:rsidP="008A2C2B">
            <w:pPr>
              <w:jc w:val="center"/>
              <w:rPr>
                <w:rFonts w:ascii="Times New Roman" w:hAnsi="Times New Roman" w:cs="Times New Roman"/>
                <w:sz w:val="20"/>
                <w:szCs w:val="20"/>
              </w:rPr>
            </w:pPr>
            <w:r w:rsidRPr="008A2C2B">
              <w:rPr>
                <w:rFonts w:ascii="Times New Roman" w:hAnsi="Times New Roman" w:cs="Times New Roman"/>
                <w:sz w:val="20"/>
                <w:szCs w:val="20"/>
              </w:rPr>
              <w:t xml:space="preserve">Round </w:t>
            </w:r>
          </w:p>
        </w:tc>
        <w:tc>
          <w:tcPr>
            <w:tcW w:w="1260" w:type="dxa"/>
          </w:tcPr>
          <w:p w14:paraId="56CEAFF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5241EC5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6150D1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30A30CE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Light yellow </w:t>
            </w:r>
          </w:p>
        </w:tc>
        <w:tc>
          <w:tcPr>
            <w:tcW w:w="900" w:type="dxa"/>
            <w:vAlign w:val="center"/>
          </w:tcPr>
          <w:p w14:paraId="7A320D6B"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Odourless</w:t>
            </w:r>
            <w:proofErr w:type="spellEnd"/>
          </w:p>
        </w:tc>
        <w:tc>
          <w:tcPr>
            <w:tcW w:w="1530" w:type="dxa"/>
            <w:vAlign w:val="center"/>
          </w:tcPr>
          <w:p w14:paraId="6D39C17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AUPI-1</w:t>
            </w:r>
          </w:p>
        </w:tc>
      </w:tr>
      <w:tr w:rsidR="008A2C2B" w:rsidRPr="008A2C2B" w14:paraId="33D9E2C6" w14:textId="77777777" w:rsidTr="008A2C2B">
        <w:trPr>
          <w:trHeight w:val="353"/>
          <w:jc w:val="center"/>
        </w:trPr>
        <w:tc>
          <w:tcPr>
            <w:tcW w:w="512" w:type="dxa"/>
            <w:shd w:val="clear" w:color="auto" w:fill="00B050"/>
            <w:vAlign w:val="center"/>
          </w:tcPr>
          <w:p w14:paraId="7572859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2</w:t>
            </w:r>
          </w:p>
        </w:tc>
        <w:tc>
          <w:tcPr>
            <w:tcW w:w="976" w:type="dxa"/>
            <w:vMerge/>
            <w:shd w:val="clear" w:color="auto" w:fill="00B050"/>
            <w:vAlign w:val="center"/>
          </w:tcPr>
          <w:p w14:paraId="457CA61C"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00B050"/>
            <w:vAlign w:val="center"/>
          </w:tcPr>
          <w:p w14:paraId="59FD6480"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00B050"/>
            <w:vAlign w:val="center"/>
          </w:tcPr>
          <w:p w14:paraId="690564A7"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Parathurchavadi</w:t>
            </w:r>
            <w:proofErr w:type="spellEnd"/>
          </w:p>
        </w:tc>
        <w:tc>
          <w:tcPr>
            <w:tcW w:w="1530" w:type="dxa"/>
            <w:shd w:val="clear" w:color="auto" w:fill="00B050"/>
          </w:tcPr>
          <w:p w14:paraId="0EF358ED"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00B050"/>
          </w:tcPr>
          <w:p w14:paraId="28A7320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00B050"/>
            <w:vAlign w:val="center"/>
          </w:tcPr>
          <w:p w14:paraId="3137C7C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00B050"/>
            <w:vAlign w:val="center"/>
          </w:tcPr>
          <w:p w14:paraId="43F914A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00B050"/>
            <w:vAlign w:val="center"/>
          </w:tcPr>
          <w:p w14:paraId="459B582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Off White </w:t>
            </w:r>
          </w:p>
        </w:tc>
        <w:tc>
          <w:tcPr>
            <w:tcW w:w="900" w:type="dxa"/>
            <w:shd w:val="clear" w:color="auto" w:fill="00B050"/>
          </w:tcPr>
          <w:p w14:paraId="73920DE2"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shd w:val="clear" w:color="auto" w:fill="00B050"/>
            <w:vAlign w:val="center"/>
          </w:tcPr>
          <w:p w14:paraId="452B9402" w14:textId="77777777" w:rsidR="008A2C2B" w:rsidRPr="008A2C2B" w:rsidRDefault="008A2C2B" w:rsidP="008A2C2B">
            <w:pPr>
              <w:jc w:val="center"/>
              <w:rPr>
                <w:sz w:val="20"/>
              </w:rPr>
            </w:pPr>
            <w:r w:rsidRPr="008A2C2B">
              <w:rPr>
                <w:rFonts w:ascii="Times New Roman" w:hAnsi="Times New Roman" w:cs="Times New Roman"/>
                <w:sz w:val="20"/>
              </w:rPr>
              <w:t>AUPI-2</w:t>
            </w:r>
          </w:p>
        </w:tc>
      </w:tr>
      <w:tr w:rsidR="008A2C2B" w:rsidRPr="008A2C2B" w14:paraId="7B7D2401" w14:textId="77777777" w:rsidTr="008A2C2B">
        <w:trPr>
          <w:trHeight w:val="353"/>
          <w:jc w:val="center"/>
        </w:trPr>
        <w:tc>
          <w:tcPr>
            <w:tcW w:w="512" w:type="dxa"/>
            <w:vAlign w:val="center"/>
          </w:tcPr>
          <w:p w14:paraId="48DD9BC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3</w:t>
            </w:r>
          </w:p>
        </w:tc>
        <w:tc>
          <w:tcPr>
            <w:tcW w:w="976" w:type="dxa"/>
            <w:vMerge/>
            <w:vAlign w:val="center"/>
          </w:tcPr>
          <w:p w14:paraId="78AEC117"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6332835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Salem</w:t>
            </w:r>
          </w:p>
        </w:tc>
        <w:tc>
          <w:tcPr>
            <w:tcW w:w="1710" w:type="dxa"/>
            <w:vAlign w:val="center"/>
          </w:tcPr>
          <w:p w14:paraId="23E5A7B4"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Attur</w:t>
            </w:r>
            <w:proofErr w:type="spellEnd"/>
          </w:p>
        </w:tc>
        <w:tc>
          <w:tcPr>
            <w:tcW w:w="1530" w:type="dxa"/>
          </w:tcPr>
          <w:p w14:paraId="3C5F6AF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3397B05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5D54EA4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1DAD46A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1B7BE409"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7AE7FAAB"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30886450" w14:textId="77777777" w:rsidR="008A2C2B" w:rsidRPr="008A2C2B" w:rsidRDefault="008A2C2B" w:rsidP="008A2C2B">
            <w:pPr>
              <w:jc w:val="center"/>
              <w:rPr>
                <w:sz w:val="20"/>
              </w:rPr>
            </w:pPr>
            <w:r w:rsidRPr="008A2C2B">
              <w:rPr>
                <w:rFonts w:ascii="Times New Roman" w:hAnsi="Times New Roman" w:cs="Times New Roman"/>
                <w:sz w:val="20"/>
              </w:rPr>
              <w:t>AUPI-3</w:t>
            </w:r>
          </w:p>
        </w:tc>
      </w:tr>
      <w:tr w:rsidR="008A2C2B" w:rsidRPr="008A2C2B" w14:paraId="5E3A1599" w14:textId="77777777" w:rsidTr="008A2C2B">
        <w:trPr>
          <w:trHeight w:val="353"/>
          <w:jc w:val="center"/>
        </w:trPr>
        <w:tc>
          <w:tcPr>
            <w:tcW w:w="512" w:type="dxa"/>
            <w:vAlign w:val="center"/>
          </w:tcPr>
          <w:p w14:paraId="0ADB3D7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4</w:t>
            </w:r>
          </w:p>
        </w:tc>
        <w:tc>
          <w:tcPr>
            <w:tcW w:w="976" w:type="dxa"/>
            <w:vMerge/>
            <w:vAlign w:val="center"/>
          </w:tcPr>
          <w:p w14:paraId="17D2B975"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0A217734"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40E6B41F"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Thalaivasal</w:t>
            </w:r>
            <w:proofErr w:type="spellEnd"/>
          </w:p>
        </w:tc>
        <w:tc>
          <w:tcPr>
            <w:tcW w:w="1530" w:type="dxa"/>
          </w:tcPr>
          <w:p w14:paraId="6D98E5DF"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1DB7895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251C5C5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C0E727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614AB77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0A6D47D2"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D68F2DF" w14:textId="77777777" w:rsidR="008A2C2B" w:rsidRPr="008A2C2B" w:rsidRDefault="008A2C2B" w:rsidP="008A2C2B">
            <w:pPr>
              <w:jc w:val="center"/>
              <w:rPr>
                <w:sz w:val="20"/>
              </w:rPr>
            </w:pPr>
            <w:r w:rsidRPr="008A2C2B">
              <w:rPr>
                <w:rFonts w:ascii="Times New Roman" w:hAnsi="Times New Roman" w:cs="Times New Roman"/>
                <w:sz w:val="20"/>
              </w:rPr>
              <w:t>AUPI-4</w:t>
            </w:r>
          </w:p>
        </w:tc>
      </w:tr>
      <w:tr w:rsidR="008A2C2B" w:rsidRPr="008A2C2B" w14:paraId="4C8BD264" w14:textId="77777777" w:rsidTr="008A2C2B">
        <w:trPr>
          <w:trHeight w:val="353"/>
          <w:jc w:val="center"/>
        </w:trPr>
        <w:tc>
          <w:tcPr>
            <w:tcW w:w="512" w:type="dxa"/>
            <w:vAlign w:val="center"/>
          </w:tcPr>
          <w:p w14:paraId="755B7E7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5</w:t>
            </w:r>
          </w:p>
        </w:tc>
        <w:tc>
          <w:tcPr>
            <w:tcW w:w="976" w:type="dxa"/>
            <w:vMerge/>
            <w:vAlign w:val="center"/>
          </w:tcPr>
          <w:p w14:paraId="520EE2E2"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2022E187"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7532C15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Gangavalli</w:t>
            </w:r>
            <w:proofErr w:type="spellEnd"/>
          </w:p>
        </w:tc>
        <w:tc>
          <w:tcPr>
            <w:tcW w:w="1530" w:type="dxa"/>
          </w:tcPr>
          <w:p w14:paraId="372F595B"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E83C78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108B881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53F0138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3C2AC91C"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50721C8D"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44BE1DD8" w14:textId="77777777" w:rsidR="008A2C2B" w:rsidRPr="008A2C2B" w:rsidRDefault="008A2C2B" w:rsidP="008A2C2B">
            <w:pPr>
              <w:jc w:val="center"/>
              <w:rPr>
                <w:sz w:val="20"/>
              </w:rPr>
            </w:pPr>
            <w:r w:rsidRPr="008A2C2B">
              <w:rPr>
                <w:rFonts w:ascii="Times New Roman" w:hAnsi="Times New Roman" w:cs="Times New Roman"/>
                <w:sz w:val="20"/>
              </w:rPr>
              <w:t>AUPI-5</w:t>
            </w:r>
          </w:p>
        </w:tc>
      </w:tr>
      <w:tr w:rsidR="008A2C2B" w:rsidRPr="008A2C2B" w14:paraId="15CEDF53" w14:textId="77777777" w:rsidTr="008A2C2B">
        <w:trPr>
          <w:trHeight w:val="353"/>
          <w:jc w:val="center"/>
        </w:trPr>
        <w:tc>
          <w:tcPr>
            <w:tcW w:w="512" w:type="dxa"/>
            <w:vAlign w:val="center"/>
          </w:tcPr>
          <w:p w14:paraId="2B1327E3"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6</w:t>
            </w:r>
          </w:p>
        </w:tc>
        <w:tc>
          <w:tcPr>
            <w:tcW w:w="976" w:type="dxa"/>
            <w:vMerge/>
            <w:vAlign w:val="center"/>
          </w:tcPr>
          <w:p w14:paraId="18EDF5FA"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7C02285F"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Dindigul</w:t>
            </w:r>
            <w:proofErr w:type="spellEnd"/>
          </w:p>
        </w:tc>
        <w:tc>
          <w:tcPr>
            <w:tcW w:w="1710" w:type="dxa"/>
            <w:vAlign w:val="center"/>
          </w:tcPr>
          <w:p w14:paraId="79D3B95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Seelapadi</w:t>
            </w:r>
            <w:proofErr w:type="spellEnd"/>
          </w:p>
        </w:tc>
        <w:tc>
          <w:tcPr>
            <w:tcW w:w="1530" w:type="dxa"/>
          </w:tcPr>
          <w:p w14:paraId="4A7985E2"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33121C2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58CDB61D"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66D0631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6376E437"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631DF0EA"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0EB0202C" w14:textId="77777777" w:rsidR="008A2C2B" w:rsidRPr="008A2C2B" w:rsidRDefault="008A2C2B" w:rsidP="008A2C2B">
            <w:pPr>
              <w:jc w:val="center"/>
              <w:rPr>
                <w:sz w:val="20"/>
              </w:rPr>
            </w:pPr>
            <w:r w:rsidRPr="008A2C2B">
              <w:rPr>
                <w:rFonts w:ascii="Times New Roman" w:hAnsi="Times New Roman" w:cs="Times New Roman"/>
                <w:sz w:val="20"/>
              </w:rPr>
              <w:t>AUPI-6</w:t>
            </w:r>
          </w:p>
        </w:tc>
      </w:tr>
      <w:tr w:rsidR="008A2C2B" w:rsidRPr="008A2C2B" w14:paraId="60CFC7D5" w14:textId="77777777" w:rsidTr="008A2C2B">
        <w:trPr>
          <w:trHeight w:val="353"/>
          <w:jc w:val="center"/>
        </w:trPr>
        <w:tc>
          <w:tcPr>
            <w:tcW w:w="512" w:type="dxa"/>
            <w:vAlign w:val="center"/>
          </w:tcPr>
          <w:p w14:paraId="3C5A347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7</w:t>
            </w:r>
          </w:p>
        </w:tc>
        <w:tc>
          <w:tcPr>
            <w:tcW w:w="976" w:type="dxa"/>
            <w:vMerge/>
            <w:vAlign w:val="center"/>
          </w:tcPr>
          <w:p w14:paraId="6B9C883C"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6F23440E"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36F6BA6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Anaipatti</w:t>
            </w:r>
            <w:proofErr w:type="spellEnd"/>
          </w:p>
        </w:tc>
        <w:tc>
          <w:tcPr>
            <w:tcW w:w="1530" w:type="dxa"/>
          </w:tcPr>
          <w:p w14:paraId="325A023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214016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148684D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07A2FD5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12DD5576"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50245074"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C2F6203" w14:textId="77777777" w:rsidR="008A2C2B" w:rsidRPr="008A2C2B" w:rsidRDefault="008A2C2B" w:rsidP="008A2C2B">
            <w:pPr>
              <w:jc w:val="center"/>
              <w:rPr>
                <w:sz w:val="20"/>
              </w:rPr>
            </w:pPr>
            <w:r w:rsidRPr="008A2C2B">
              <w:rPr>
                <w:rFonts w:ascii="Times New Roman" w:hAnsi="Times New Roman" w:cs="Times New Roman"/>
                <w:sz w:val="20"/>
              </w:rPr>
              <w:t>AUPI-7</w:t>
            </w:r>
          </w:p>
        </w:tc>
      </w:tr>
      <w:tr w:rsidR="008A2C2B" w:rsidRPr="008A2C2B" w14:paraId="7DDDE56F" w14:textId="77777777" w:rsidTr="008A2C2B">
        <w:trPr>
          <w:trHeight w:val="353"/>
          <w:jc w:val="center"/>
        </w:trPr>
        <w:tc>
          <w:tcPr>
            <w:tcW w:w="512" w:type="dxa"/>
            <w:vAlign w:val="center"/>
          </w:tcPr>
          <w:p w14:paraId="1E321FC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8</w:t>
            </w:r>
          </w:p>
        </w:tc>
        <w:tc>
          <w:tcPr>
            <w:tcW w:w="976" w:type="dxa"/>
            <w:vMerge/>
            <w:vAlign w:val="center"/>
          </w:tcPr>
          <w:p w14:paraId="03FAEB1F"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4C1AAA1A"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35FC76DF"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Siluvathur</w:t>
            </w:r>
            <w:proofErr w:type="spellEnd"/>
          </w:p>
        </w:tc>
        <w:tc>
          <w:tcPr>
            <w:tcW w:w="1530" w:type="dxa"/>
          </w:tcPr>
          <w:p w14:paraId="3169112B"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6C4756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59D83DD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57C94A0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6028ED9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1D2FA2E8"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47896B15" w14:textId="77777777" w:rsidR="008A2C2B" w:rsidRPr="008A2C2B" w:rsidRDefault="008A2C2B" w:rsidP="008A2C2B">
            <w:pPr>
              <w:jc w:val="center"/>
              <w:rPr>
                <w:sz w:val="20"/>
              </w:rPr>
            </w:pPr>
            <w:r w:rsidRPr="008A2C2B">
              <w:rPr>
                <w:rFonts w:ascii="Times New Roman" w:hAnsi="Times New Roman" w:cs="Times New Roman"/>
                <w:sz w:val="20"/>
              </w:rPr>
              <w:t>AUPI-8</w:t>
            </w:r>
          </w:p>
        </w:tc>
      </w:tr>
      <w:tr w:rsidR="008A2C2B" w:rsidRPr="008A2C2B" w14:paraId="1CA73BD7" w14:textId="77777777" w:rsidTr="008A2C2B">
        <w:trPr>
          <w:trHeight w:val="353"/>
          <w:jc w:val="center"/>
        </w:trPr>
        <w:tc>
          <w:tcPr>
            <w:tcW w:w="512" w:type="dxa"/>
            <w:vAlign w:val="center"/>
          </w:tcPr>
          <w:p w14:paraId="44B7C73D"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9</w:t>
            </w:r>
          </w:p>
        </w:tc>
        <w:tc>
          <w:tcPr>
            <w:tcW w:w="976" w:type="dxa"/>
            <w:vMerge/>
            <w:vAlign w:val="center"/>
          </w:tcPr>
          <w:p w14:paraId="596348FF"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50F456AC"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Krishnagiri</w:t>
            </w:r>
            <w:proofErr w:type="spellEnd"/>
          </w:p>
        </w:tc>
        <w:tc>
          <w:tcPr>
            <w:tcW w:w="1710" w:type="dxa"/>
            <w:vAlign w:val="center"/>
          </w:tcPr>
          <w:p w14:paraId="48ADDDE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KK Nagar</w:t>
            </w:r>
          </w:p>
        </w:tc>
        <w:tc>
          <w:tcPr>
            <w:tcW w:w="1530" w:type="dxa"/>
          </w:tcPr>
          <w:p w14:paraId="5125A89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CC1E7B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25E28A0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7ED5293E"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529C2A68"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4C13AD6D"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29F0F9AD" w14:textId="77777777" w:rsidR="008A2C2B" w:rsidRPr="008A2C2B" w:rsidRDefault="008A2C2B" w:rsidP="008A2C2B">
            <w:pPr>
              <w:jc w:val="center"/>
              <w:rPr>
                <w:sz w:val="20"/>
              </w:rPr>
            </w:pPr>
            <w:r w:rsidRPr="008A2C2B">
              <w:rPr>
                <w:rFonts w:ascii="Times New Roman" w:hAnsi="Times New Roman" w:cs="Times New Roman"/>
                <w:sz w:val="20"/>
              </w:rPr>
              <w:t>AUPI-9</w:t>
            </w:r>
          </w:p>
        </w:tc>
      </w:tr>
      <w:tr w:rsidR="008A2C2B" w:rsidRPr="008A2C2B" w14:paraId="606DAF84" w14:textId="77777777" w:rsidTr="008A2C2B">
        <w:trPr>
          <w:trHeight w:val="353"/>
          <w:jc w:val="center"/>
        </w:trPr>
        <w:tc>
          <w:tcPr>
            <w:tcW w:w="512" w:type="dxa"/>
            <w:vAlign w:val="center"/>
          </w:tcPr>
          <w:p w14:paraId="56AF605A"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10</w:t>
            </w:r>
          </w:p>
        </w:tc>
        <w:tc>
          <w:tcPr>
            <w:tcW w:w="976" w:type="dxa"/>
            <w:vMerge/>
            <w:vAlign w:val="center"/>
          </w:tcPr>
          <w:p w14:paraId="21102DD8"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04BB8672"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2921882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Hosur</w:t>
            </w:r>
          </w:p>
        </w:tc>
        <w:tc>
          <w:tcPr>
            <w:tcW w:w="1530" w:type="dxa"/>
          </w:tcPr>
          <w:p w14:paraId="066FFCC2"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11405CB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6D32BCB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E7D99B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437E92A4"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69CC67E8"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61BB1050" w14:textId="77777777" w:rsidR="008A2C2B" w:rsidRPr="008A2C2B" w:rsidRDefault="008A2C2B" w:rsidP="008A2C2B">
            <w:pPr>
              <w:jc w:val="center"/>
              <w:rPr>
                <w:sz w:val="20"/>
              </w:rPr>
            </w:pPr>
            <w:r w:rsidRPr="008A2C2B">
              <w:rPr>
                <w:rFonts w:ascii="Times New Roman" w:hAnsi="Times New Roman" w:cs="Times New Roman"/>
                <w:sz w:val="20"/>
              </w:rPr>
              <w:t>AUPI-10</w:t>
            </w:r>
          </w:p>
        </w:tc>
      </w:tr>
      <w:tr w:rsidR="008A2C2B" w:rsidRPr="008A2C2B" w14:paraId="68DC3D77" w14:textId="77777777" w:rsidTr="008A2C2B">
        <w:trPr>
          <w:trHeight w:val="353"/>
          <w:jc w:val="center"/>
        </w:trPr>
        <w:tc>
          <w:tcPr>
            <w:tcW w:w="512" w:type="dxa"/>
            <w:vAlign w:val="center"/>
          </w:tcPr>
          <w:p w14:paraId="6AF34EB7"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11</w:t>
            </w:r>
          </w:p>
        </w:tc>
        <w:tc>
          <w:tcPr>
            <w:tcW w:w="976" w:type="dxa"/>
            <w:vMerge/>
            <w:vAlign w:val="center"/>
          </w:tcPr>
          <w:p w14:paraId="131FB4AD"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4262FD6E"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6AA141B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Sundekuppam</w:t>
            </w:r>
            <w:proofErr w:type="spellEnd"/>
          </w:p>
        </w:tc>
        <w:tc>
          <w:tcPr>
            <w:tcW w:w="1530" w:type="dxa"/>
          </w:tcPr>
          <w:p w14:paraId="47632B1A"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279569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43FAD58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08DDDE7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42ABD624" w14:textId="77777777" w:rsidR="008A2C2B" w:rsidRPr="008A2C2B" w:rsidRDefault="008A2C2B" w:rsidP="008A2C2B">
            <w:pPr>
              <w:jc w:val="center"/>
              <w:rPr>
                <w:rFonts w:ascii="Times New Roman" w:hAnsi="Times New Roman" w:cs="Times New Roman"/>
                <w:sz w:val="20"/>
                <w:szCs w:val="20"/>
              </w:rPr>
            </w:pPr>
            <w:r w:rsidRPr="008A2C2B">
              <w:rPr>
                <w:rFonts w:ascii="Times New Roman" w:hAnsi="Times New Roman" w:cs="Times New Roman"/>
                <w:sz w:val="20"/>
              </w:rPr>
              <w:t>Light yellow</w:t>
            </w:r>
          </w:p>
        </w:tc>
        <w:tc>
          <w:tcPr>
            <w:tcW w:w="900" w:type="dxa"/>
          </w:tcPr>
          <w:p w14:paraId="5543004A"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066EEF3A" w14:textId="77777777" w:rsidR="008A2C2B" w:rsidRPr="008A2C2B" w:rsidRDefault="008A2C2B" w:rsidP="008A2C2B">
            <w:pPr>
              <w:jc w:val="center"/>
              <w:rPr>
                <w:sz w:val="20"/>
              </w:rPr>
            </w:pPr>
            <w:r w:rsidRPr="008A2C2B">
              <w:rPr>
                <w:rFonts w:ascii="Times New Roman" w:hAnsi="Times New Roman" w:cs="Times New Roman"/>
                <w:sz w:val="20"/>
              </w:rPr>
              <w:t>AUPI-11</w:t>
            </w:r>
          </w:p>
        </w:tc>
      </w:tr>
      <w:tr w:rsidR="008A2C2B" w:rsidRPr="008A2C2B" w14:paraId="48CBB9BD" w14:textId="77777777" w:rsidTr="008A2C2B">
        <w:trPr>
          <w:trHeight w:val="353"/>
          <w:jc w:val="center"/>
        </w:trPr>
        <w:tc>
          <w:tcPr>
            <w:tcW w:w="512" w:type="dxa"/>
            <w:vAlign w:val="center"/>
          </w:tcPr>
          <w:p w14:paraId="642EDD50"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12</w:t>
            </w:r>
          </w:p>
        </w:tc>
        <w:tc>
          <w:tcPr>
            <w:tcW w:w="976" w:type="dxa"/>
            <w:vMerge w:val="restart"/>
            <w:vAlign w:val="center"/>
          </w:tcPr>
          <w:p w14:paraId="74ED332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Andhra Pradesh</w:t>
            </w:r>
          </w:p>
        </w:tc>
        <w:tc>
          <w:tcPr>
            <w:tcW w:w="1567" w:type="dxa"/>
            <w:vMerge w:val="restart"/>
            <w:vAlign w:val="center"/>
          </w:tcPr>
          <w:p w14:paraId="4AD0715A"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Chittoor</w:t>
            </w:r>
          </w:p>
        </w:tc>
        <w:tc>
          <w:tcPr>
            <w:tcW w:w="1710" w:type="dxa"/>
          </w:tcPr>
          <w:p w14:paraId="39997239"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Kuppam</w:t>
            </w:r>
            <w:proofErr w:type="spellEnd"/>
          </w:p>
        </w:tc>
        <w:tc>
          <w:tcPr>
            <w:tcW w:w="1530" w:type="dxa"/>
          </w:tcPr>
          <w:p w14:paraId="4EBFB718"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BDFEB0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48479D0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7E5F94DD"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33DEF080"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0ABD2F0D"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6C2C351" w14:textId="77777777" w:rsidR="008A2C2B" w:rsidRPr="008A2C2B" w:rsidRDefault="008A2C2B" w:rsidP="008A2C2B">
            <w:pPr>
              <w:jc w:val="center"/>
              <w:rPr>
                <w:sz w:val="20"/>
              </w:rPr>
            </w:pPr>
            <w:r w:rsidRPr="008A2C2B">
              <w:rPr>
                <w:rFonts w:ascii="Times New Roman" w:hAnsi="Times New Roman" w:cs="Times New Roman"/>
                <w:sz w:val="20"/>
              </w:rPr>
              <w:t>AUPI-12</w:t>
            </w:r>
          </w:p>
        </w:tc>
      </w:tr>
      <w:tr w:rsidR="008A2C2B" w:rsidRPr="008A2C2B" w14:paraId="4EC1130D" w14:textId="77777777" w:rsidTr="008A2C2B">
        <w:trPr>
          <w:trHeight w:val="320"/>
          <w:jc w:val="center"/>
        </w:trPr>
        <w:tc>
          <w:tcPr>
            <w:tcW w:w="512" w:type="dxa"/>
            <w:vAlign w:val="center"/>
          </w:tcPr>
          <w:p w14:paraId="4AA1742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13</w:t>
            </w:r>
          </w:p>
        </w:tc>
        <w:tc>
          <w:tcPr>
            <w:tcW w:w="976" w:type="dxa"/>
            <w:vMerge/>
          </w:tcPr>
          <w:p w14:paraId="2EF1FCF9"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14829927" w14:textId="77777777" w:rsidR="008A2C2B" w:rsidRPr="008A2C2B" w:rsidRDefault="008A2C2B" w:rsidP="008A2C2B">
            <w:pPr>
              <w:jc w:val="center"/>
              <w:rPr>
                <w:rFonts w:ascii="Times New Roman" w:hAnsi="Times New Roman" w:cs="Times New Roman"/>
                <w:sz w:val="20"/>
                <w:szCs w:val="24"/>
              </w:rPr>
            </w:pPr>
          </w:p>
        </w:tc>
        <w:tc>
          <w:tcPr>
            <w:tcW w:w="1710" w:type="dxa"/>
          </w:tcPr>
          <w:p w14:paraId="713A2596"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Madanapalli</w:t>
            </w:r>
            <w:proofErr w:type="spellEnd"/>
            <w:r w:rsidRPr="008A2C2B">
              <w:rPr>
                <w:rFonts w:ascii="Times New Roman" w:hAnsi="Times New Roman" w:cs="Times New Roman"/>
                <w:sz w:val="20"/>
              </w:rPr>
              <w:t xml:space="preserve"> </w:t>
            </w:r>
          </w:p>
        </w:tc>
        <w:tc>
          <w:tcPr>
            <w:tcW w:w="1530" w:type="dxa"/>
          </w:tcPr>
          <w:p w14:paraId="5EC0E31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8D44C3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737C743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0882DEC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1FA899A9"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221BB26D"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B98C4C2" w14:textId="77777777" w:rsidR="008A2C2B" w:rsidRPr="008A2C2B" w:rsidRDefault="008A2C2B" w:rsidP="008A2C2B">
            <w:pPr>
              <w:jc w:val="center"/>
              <w:rPr>
                <w:sz w:val="20"/>
              </w:rPr>
            </w:pPr>
            <w:r w:rsidRPr="008A2C2B">
              <w:rPr>
                <w:rFonts w:ascii="Times New Roman" w:hAnsi="Times New Roman" w:cs="Times New Roman"/>
                <w:sz w:val="20"/>
              </w:rPr>
              <w:t>AUPI-13</w:t>
            </w:r>
          </w:p>
        </w:tc>
      </w:tr>
      <w:tr w:rsidR="008A2C2B" w:rsidRPr="008A2C2B" w14:paraId="6A8A84AA" w14:textId="77777777" w:rsidTr="008A2C2B">
        <w:trPr>
          <w:trHeight w:val="383"/>
          <w:jc w:val="center"/>
        </w:trPr>
        <w:tc>
          <w:tcPr>
            <w:tcW w:w="512" w:type="dxa"/>
            <w:vAlign w:val="center"/>
          </w:tcPr>
          <w:p w14:paraId="6004CBFD"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14</w:t>
            </w:r>
          </w:p>
        </w:tc>
        <w:tc>
          <w:tcPr>
            <w:tcW w:w="976" w:type="dxa"/>
            <w:vMerge/>
          </w:tcPr>
          <w:p w14:paraId="331282D3"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6831B14A" w14:textId="77777777" w:rsidR="008A2C2B" w:rsidRPr="008A2C2B" w:rsidRDefault="008A2C2B" w:rsidP="008A2C2B">
            <w:pPr>
              <w:jc w:val="center"/>
              <w:rPr>
                <w:rFonts w:ascii="Times New Roman" w:hAnsi="Times New Roman" w:cs="Times New Roman"/>
                <w:sz w:val="20"/>
                <w:szCs w:val="24"/>
                <w:highlight w:val="yellow"/>
              </w:rPr>
            </w:pPr>
          </w:p>
        </w:tc>
        <w:tc>
          <w:tcPr>
            <w:tcW w:w="1710" w:type="dxa"/>
          </w:tcPr>
          <w:p w14:paraId="556B5F83" w14:textId="77777777" w:rsidR="008A2C2B" w:rsidRPr="008A2C2B" w:rsidRDefault="008A2C2B" w:rsidP="008A2C2B">
            <w:pPr>
              <w:jc w:val="center"/>
              <w:rPr>
                <w:rFonts w:ascii="Times New Roman" w:hAnsi="Times New Roman" w:cs="Times New Roman"/>
                <w:sz w:val="20"/>
                <w:highlight w:val="yellow"/>
              </w:rPr>
            </w:pPr>
            <w:proofErr w:type="spellStart"/>
            <w:r w:rsidRPr="008A2C2B">
              <w:rPr>
                <w:rFonts w:ascii="Times New Roman" w:hAnsi="Times New Roman" w:cs="Times New Roman"/>
                <w:sz w:val="20"/>
              </w:rPr>
              <w:t>Ramakuppam</w:t>
            </w:r>
            <w:proofErr w:type="spellEnd"/>
            <w:r w:rsidRPr="008A2C2B">
              <w:rPr>
                <w:rFonts w:ascii="Times New Roman" w:hAnsi="Times New Roman" w:cs="Times New Roman"/>
                <w:sz w:val="20"/>
              </w:rPr>
              <w:t xml:space="preserve"> </w:t>
            </w:r>
          </w:p>
        </w:tc>
        <w:tc>
          <w:tcPr>
            <w:tcW w:w="1530" w:type="dxa"/>
          </w:tcPr>
          <w:p w14:paraId="133C198E"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03AD24D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246A43A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1BB28D2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2BDDD415"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781DE4F8"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2DE5F8E7" w14:textId="77777777" w:rsidR="008A2C2B" w:rsidRPr="008A2C2B" w:rsidRDefault="008A2C2B" w:rsidP="008A2C2B">
            <w:pPr>
              <w:jc w:val="center"/>
              <w:rPr>
                <w:sz w:val="20"/>
              </w:rPr>
            </w:pPr>
            <w:r w:rsidRPr="008A2C2B">
              <w:rPr>
                <w:rFonts w:ascii="Times New Roman" w:hAnsi="Times New Roman" w:cs="Times New Roman"/>
                <w:sz w:val="20"/>
              </w:rPr>
              <w:t>AUPI-14</w:t>
            </w:r>
          </w:p>
        </w:tc>
      </w:tr>
      <w:tr w:rsidR="008A2C2B" w:rsidRPr="008A2C2B" w14:paraId="20CAA94F" w14:textId="77777777" w:rsidTr="008A2C2B">
        <w:trPr>
          <w:trHeight w:val="353"/>
          <w:jc w:val="center"/>
        </w:trPr>
        <w:tc>
          <w:tcPr>
            <w:tcW w:w="512" w:type="dxa"/>
            <w:vAlign w:val="center"/>
          </w:tcPr>
          <w:p w14:paraId="5F106A49"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15</w:t>
            </w:r>
          </w:p>
        </w:tc>
        <w:tc>
          <w:tcPr>
            <w:tcW w:w="976" w:type="dxa"/>
            <w:vMerge/>
          </w:tcPr>
          <w:p w14:paraId="13CA6E61"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57F93C61"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Kurnool</w:t>
            </w:r>
          </w:p>
        </w:tc>
        <w:tc>
          <w:tcPr>
            <w:tcW w:w="1710" w:type="dxa"/>
          </w:tcPr>
          <w:p w14:paraId="0F8E3779"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Velugodu</w:t>
            </w:r>
            <w:proofErr w:type="spellEnd"/>
          </w:p>
        </w:tc>
        <w:tc>
          <w:tcPr>
            <w:tcW w:w="1530" w:type="dxa"/>
          </w:tcPr>
          <w:p w14:paraId="5DF2D57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7F39B5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679ADDB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3B38035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6EE5800A"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756DF27F"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5FCDD83" w14:textId="77777777" w:rsidR="008A2C2B" w:rsidRPr="008A2C2B" w:rsidRDefault="008A2C2B" w:rsidP="008A2C2B">
            <w:pPr>
              <w:jc w:val="center"/>
              <w:rPr>
                <w:sz w:val="20"/>
              </w:rPr>
            </w:pPr>
            <w:r w:rsidRPr="008A2C2B">
              <w:rPr>
                <w:rFonts w:ascii="Times New Roman" w:hAnsi="Times New Roman" w:cs="Times New Roman"/>
                <w:sz w:val="20"/>
              </w:rPr>
              <w:t>AUPI-15</w:t>
            </w:r>
          </w:p>
        </w:tc>
      </w:tr>
      <w:tr w:rsidR="008A2C2B" w:rsidRPr="008A2C2B" w14:paraId="0A0C9240" w14:textId="77777777" w:rsidTr="008A2C2B">
        <w:trPr>
          <w:trHeight w:val="353"/>
          <w:jc w:val="center"/>
        </w:trPr>
        <w:tc>
          <w:tcPr>
            <w:tcW w:w="512" w:type="dxa"/>
            <w:vAlign w:val="center"/>
          </w:tcPr>
          <w:p w14:paraId="19CDF074"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16</w:t>
            </w:r>
          </w:p>
        </w:tc>
        <w:tc>
          <w:tcPr>
            <w:tcW w:w="976" w:type="dxa"/>
            <w:vMerge/>
          </w:tcPr>
          <w:p w14:paraId="0C8E40D3"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48599859" w14:textId="77777777" w:rsidR="008A2C2B" w:rsidRPr="008A2C2B" w:rsidRDefault="008A2C2B" w:rsidP="008A2C2B">
            <w:pPr>
              <w:jc w:val="center"/>
              <w:rPr>
                <w:rFonts w:ascii="Times New Roman" w:hAnsi="Times New Roman" w:cs="Times New Roman"/>
                <w:sz w:val="20"/>
                <w:szCs w:val="24"/>
              </w:rPr>
            </w:pPr>
          </w:p>
        </w:tc>
        <w:tc>
          <w:tcPr>
            <w:tcW w:w="1710" w:type="dxa"/>
          </w:tcPr>
          <w:p w14:paraId="303662ED"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Peddapadu</w:t>
            </w:r>
            <w:proofErr w:type="spellEnd"/>
            <w:r w:rsidRPr="008A2C2B">
              <w:rPr>
                <w:rFonts w:ascii="Times New Roman" w:hAnsi="Times New Roman" w:cs="Times New Roman"/>
                <w:sz w:val="20"/>
              </w:rPr>
              <w:t xml:space="preserve"> </w:t>
            </w:r>
          </w:p>
        </w:tc>
        <w:tc>
          <w:tcPr>
            <w:tcW w:w="1530" w:type="dxa"/>
          </w:tcPr>
          <w:p w14:paraId="317DFAB6"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907DF1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4E05B64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C2E2AC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222C6A4A"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1CF669BC"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34430466" w14:textId="77777777" w:rsidR="008A2C2B" w:rsidRPr="008A2C2B" w:rsidRDefault="008A2C2B" w:rsidP="008A2C2B">
            <w:pPr>
              <w:jc w:val="center"/>
              <w:rPr>
                <w:sz w:val="20"/>
              </w:rPr>
            </w:pPr>
            <w:r w:rsidRPr="008A2C2B">
              <w:rPr>
                <w:rFonts w:ascii="Times New Roman" w:hAnsi="Times New Roman" w:cs="Times New Roman"/>
                <w:sz w:val="20"/>
              </w:rPr>
              <w:t>AUPI-16</w:t>
            </w:r>
          </w:p>
        </w:tc>
      </w:tr>
      <w:tr w:rsidR="008A2C2B" w:rsidRPr="008A2C2B" w14:paraId="47241F89" w14:textId="77777777" w:rsidTr="008A2C2B">
        <w:trPr>
          <w:trHeight w:val="353"/>
          <w:jc w:val="center"/>
        </w:trPr>
        <w:tc>
          <w:tcPr>
            <w:tcW w:w="512" w:type="dxa"/>
            <w:vAlign w:val="center"/>
          </w:tcPr>
          <w:p w14:paraId="1F5368E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17</w:t>
            </w:r>
          </w:p>
        </w:tc>
        <w:tc>
          <w:tcPr>
            <w:tcW w:w="976" w:type="dxa"/>
            <w:vMerge/>
          </w:tcPr>
          <w:p w14:paraId="5DEB7274"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2C92A981" w14:textId="77777777" w:rsidR="008A2C2B" w:rsidRPr="008A2C2B" w:rsidRDefault="008A2C2B" w:rsidP="008A2C2B">
            <w:pPr>
              <w:jc w:val="center"/>
              <w:rPr>
                <w:rFonts w:ascii="Times New Roman" w:hAnsi="Times New Roman" w:cs="Times New Roman"/>
                <w:sz w:val="20"/>
                <w:szCs w:val="24"/>
              </w:rPr>
            </w:pPr>
          </w:p>
        </w:tc>
        <w:tc>
          <w:tcPr>
            <w:tcW w:w="1710" w:type="dxa"/>
          </w:tcPr>
          <w:p w14:paraId="117D79C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Atmakur</w:t>
            </w:r>
          </w:p>
        </w:tc>
        <w:tc>
          <w:tcPr>
            <w:tcW w:w="1530" w:type="dxa"/>
          </w:tcPr>
          <w:p w14:paraId="15B59ED0"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739A4B0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013D57F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29643B2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053D34C3"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181DDEAB"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4CF3FC55" w14:textId="77777777" w:rsidR="008A2C2B" w:rsidRPr="008A2C2B" w:rsidRDefault="008A2C2B" w:rsidP="008A2C2B">
            <w:pPr>
              <w:jc w:val="center"/>
              <w:rPr>
                <w:sz w:val="20"/>
              </w:rPr>
            </w:pPr>
            <w:r w:rsidRPr="008A2C2B">
              <w:rPr>
                <w:rFonts w:ascii="Times New Roman" w:hAnsi="Times New Roman" w:cs="Times New Roman"/>
                <w:sz w:val="20"/>
              </w:rPr>
              <w:t>AUPI-17</w:t>
            </w:r>
          </w:p>
        </w:tc>
      </w:tr>
      <w:tr w:rsidR="008A2C2B" w:rsidRPr="008A2C2B" w14:paraId="0B33FEC9" w14:textId="77777777" w:rsidTr="008A2C2B">
        <w:trPr>
          <w:trHeight w:val="353"/>
          <w:jc w:val="center"/>
        </w:trPr>
        <w:tc>
          <w:tcPr>
            <w:tcW w:w="512" w:type="dxa"/>
            <w:vAlign w:val="center"/>
          </w:tcPr>
          <w:p w14:paraId="4FDA940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18</w:t>
            </w:r>
          </w:p>
        </w:tc>
        <w:tc>
          <w:tcPr>
            <w:tcW w:w="976" w:type="dxa"/>
            <w:vMerge/>
          </w:tcPr>
          <w:p w14:paraId="0F6E82EE"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1DA18D86"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Guntur</w:t>
            </w:r>
          </w:p>
        </w:tc>
        <w:tc>
          <w:tcPr>
            <w:tcW w:w="1710" w:type="dxa"/>
          </w:tcPr>
          <w:p w14:paraId="59BF15D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Tenali</w:t>
            </w:r>
          </w:p>
        </w:tc>
        <w:tc>
          <w:tcPr>
            <w:tcW w:w="1530" w:type="dxa"/>
          </w:tcPr>
          <w:p w14:paraId="12B58983"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5969271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320DF95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5D238A3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3779893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4C91CFC8"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0DD0C78" w14:textId="77777777" w:rsidR="008A2C2B" w:rsidRPr="008A2C2B" w:rsidRDefault="008A2C2B" w:rsidP="008A2C2B">
            <w:pPr>
              <w:jc w:val="center"/>
              <w:rPr>
                <w:sz w:val="20"/>
              </w:rPr>
            </w:pPr>
            <w:r w:rsidRPr="008A2C2B">
              <w:rPr>
                <w:rFonts w:ascii="Times New Roman" w:hAnsi="Times New Roman" w:cs="Times New Roman"/>
                <w:sz w:val="20"/>
              </w:rPr>
              <w:t>AUPI-18</w:t>
            </w:r>
          </w:p>
        </w:tc>
      </w:tr>
      <w:tr w:rsidR="008A2C2B" w:rsidRPr="008A2C2B" w14:paraId="1B424964" w14:textId="77777777" w:rsidTr="008A2C2B">
        <w:trPr>
          <w:trHeight w:val="353"/>
          <w:jc w:val="center"/>
        </w:trPr>
        <w:tc>
          <w:tcPr>
            <w:tcW w:w="512" w:type="dxa"/>
            <w:vAlign w:val="center"/>
          </w:tcPr>
          <w:p w14:paraId="64C2186B"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19</w:t>
            </w:r>
          </w:p>
        </w:tc>
        <w:tc>
          <w:tcPr>
            <w:tcW w:w="976" w:type="dxa"/>
            <w:vMerge/>
            <w:vAlign w:val="center"/>
          </w:tcPr>
          <w:p w14:paraId="052FB1F1" w14:textId="77777777" w:rsidR="008A2C2B" w:rsidRPr="008A2C2B" w:rsidRDefault="008A2C2B" w:rsidP="008A2C2B">
            <w:pPr>
              <w:jc w:val="center"/>
              <w:rPr>
                <w:rFonts w:ascii="Times New Roman" w:hAnsi="Times New Roman" w:cs="Times New Roman"/>
                <w:b/>
                <w:sz w:val="20"/>
                <w:szCs w:val="24"/>
              </w:rPr>
            </w:pPr>
          </w:p>
        </w:tc>
        <w:tc>
          <w:tcPr>
            <w:tcW w:w="1567" w:type="dxa"/>
            <w:vMerge/>
            <w:vAlign w:val="center"/>
          </w:tcPr>
          <w:p w14:paraId="11CA21B3" w14:textId="77777777" w:rsidR="008A2C2B" w:rsidRPr="008A2C2B" w:rsidRDefault="008A2C2B" w:rsidP="008A2C2B">
            <w:pPr>
              <w:jc w:val="center"/>
              <w:rPr>
                <w:rFonts w:ascii="Times New Roman" w:hAnsi="Times New Roman" w:cs="Times New Roman"/>
                <w:b/>
                <w:sz w:val="20"/>
                <w:szCs w:val="24"/>
              </w:rPr>
            </w:pPr>
          </w:p>
        </w:tc>
        <w:tc>
          <w:tcPr>
            <w:tcW w:w="1710" w:type="dxa"/>
          </w:tcPr>
          <w:p w14:paraId="127B9DE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Rompicharala</w:t>
            </w:r>
            <w:proofErr w:type="spellEnd"/>
          </w:p>
        </w:tc>
        <w:tc>
          <w:tcPr>
            <w:tcW w:w="1530" w:type="dxa"/>
          </w:tcPr>
          <w:p w14:paraId="2B64900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BF5A3A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2994DC7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EDBB3E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5D916E7F"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2F48E637"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1AB48AEC" w14:textId="77777777" w:rsidR="008A2C2B" w:rsidRPr="008A2C2B" w:rsidRDefault="008A2C2B" w:rsidP="008A2C2B">
            <w:pPr>
              <w:jc w:val="center"/>
              <w:rPr>
                <w:sz w:val="20"/>
              </w:rPr>
            </w:pPr>
            <w:r w:rsidRPr="008A2C2B">
              <w:rPr>
                <w:rFonts w:ascii="Times New Roman" w:hAnsi="Times New Roman" w:cs="Times New Roman"/>
                <w:sz w:val="20"/>
              </w:rPr>
              <w:t>AUPI-19</w:t>
            </w:r>
          </w:p>
        </w:tc>
      </w:tr>
      <w:tr w:rsidR="008A2C2B" w:rsidRPr="008A2C2B" w14:paraId="1AD730B6" w14:textId="77777777" w:rsidTr="008A2C2B">
        <w:trPr>
          <w:trHeight w:val="320"/>
          <w:jc w:val="center"/>
        </w:trPr>
        <w:tc>
          <w:tcPr>
            <w:tcW w:w="512" w:type="dxa"/>
            <w:vAlign w:val="center"/>
          </w:tcPr>
          <w:p w14:paraId="59064A0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20</w:t>
            </w:r>
          </w:p>
        </w:tc>
        <w:tc>
          <w:tcPr>
            <w:tcW w:w="976" w:type="dxa"/>
            <w:vMerge/>
            <w:vAlign w:val="center"/>
          </w:tcPr>
          <w:p w14:paraId="61520FE8"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243927AD" w14:textId="77777777" w:rsidR="008A2C2B" w:rsidRPr="008A2C2B" w:rsidRDefault="008A2C2B" w:rsidP="008A2C2B">
            <w:pPr>
              <w:jc w:val="center"/>
              <w:rPr>
                <w:rFonts w:ascii="Times New Roman" w:hAnsi="Times New Roman" w:cs="Times New Roman"/>
                <w:sz w:val="20"/>
                <w:szCs w:val="24"/>
              </w:rPr>
            </w:pPr>
          </w:p>
        </w:tc>
        <w:tc>
          <w:tcPr>
            <w:tcW w:w="1710" w:type="dxa"/>
          </w:tcPr>
          <w:p w14:paraId="3FB3DD0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Ponnur</w:t>
            </w:r>
            <w:proofErr w:type="spellEnd"/>
            <w:r w:rsidRPr="008A2C2B">
              <w:rPr>
                <w:rFonts w:ascii="Times New Roman" w:hAnsi="Times New Roman" w:cs="Times New Roman"/>
                <w:sz w:val="20"/>
              </w:rPr>
              <w:t xml:space="preserve"> </w:t>
            </w:r>
          </w:p>
        </w:tc>
        <w:tc>
          <w:tcPr>
            <w:tcW w:w="1530" w:type="dxa"/>
          </w:tcPr>
          <w:p w14:paraId="7232624D"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11F2163E"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0F4BFC2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71151D6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52163CA8"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3A21C815" w14:textId="77777777" w:rsidR="008A2C2B" w:rsidRPr="008A2C2B" w:rsidRDefault="008A2C2B" w:rsidP="008A2C2B">
            <w:pPr>
              <w:jc w:val="center"/>
              <w:rPr>
                <w:sz w:val="20"/>
              </w:rPr>
            </w:pPr>
            <w:proofErr w:type="spellStart"/>
            <w:r w:rsidRPr="008A2C2B">
              <w:rPr>
                <w:rFonts w:ascii="Times New Roman" w:hAnsi="Times New Roman" w:cs="Times New Roman"/>
                <w:sz w:val="20"/>
              </w:rPr>
              <w:t>Odourless</w:t>
            </w:r>
            <w:proofErr w:type="spellEnd"/>
          </w:p>
        </w:tc>
        <w:tc>
          <w:tcPr>
            <w:tcW w:w="1530" w:type="dxa"/>
            <w:vAlign w:val="center"/>
          </w:tcPr>
          <w:p w14:paraId="3D05994F" w14:textId="77777777" w:rsidR="008A2C2B" w:rsidRPr="008A2C2B" w:rsidRDefault="008A2C2B" w:rsidP="008A2C2B">
            <w:pPr>
              <w:jc w:val="center"/>
              <w:rPr>
                <w:sz w:val="20"/>
              </w:rPr>
            </w:pPr>
            <w:r w:rsidRPr="008A2C2B">
              <w:rPr>
                <w:rFonts w:ascii="Times New Roman" w:hAnsi="Times New Roman" w:cs="Times New Roman"/>
                <w:sz w:val="20"/>
              </w:rPr>
              <w:t>AUPI-20</w:t>
            </w:r>
          </w:p>
        </w:tc>
      </w:tr>
    </w:tbl>
    <w:p w14:paraId="4C7474C2" w14:textId="77777777" w:rsidR="00783D27" w:rsidRPr="008A2C2B" w:rsidRDefault="008A2C2B" w:rsidP="008A2C2B">
      <w:pPr>
        <w:spacing w:line="360" w:lineRule="auto"/>
        <w:jc w:val="center"/>
        <w:rPr>
          <w:rFonts w:ascii="Times New Roman" w:hAnsi="Times New Roman"/>
          <w:b/>
          <w:bCs/>
          <w:sz w:val="24"/>
          <w:szCs w:val="24"/>
        </w:rPr>
      </w:pPr>
      <w:r w:rsidRPr="003F24E2">
        <w:rPr>
          <w:rFonts w:ascii="Times New Roman" w:hAnsi="Times New Roman"/>
          <w:b/>
          <w:sz w:val="24"/>
          <w:szCs w:val="24"/>
        </w:rPr>
        <w:lastRenderedPageBreak/>
        <w:t xml:space="preserve">Table </w:t>
      </w:r>
      <w:r w:rsidRPr="003F24E2">
        <w:rPr>
          <w:b/>
          <w:sz w:val="24"/>
          <w:szCs w:val="24"/>
        </w:rPr>
        <w:t>2</w:t>
      </w:r>
      <w:r w:rsidRPr="003F24E2">
        <w:rPr>
          <w:rFonts w:ascii="Times New Roman" w:hAnsi="Times New Roman"/>
          <w:b/>
          <w:sz w:val="24"/>
          <w:szCs w:val="24"/>
        </w:rPr>
        <w:t xml:space="preserve">. </w:t>
      </w:r>
      <w:r w:rsidR="0072623C" w:rsidRPr="0072623C">
        <w:rPr>
          <w:rFonts w:ascii="Times New Roman" w:hAnsi="Times New Roman"/>
          <w:b/>
          <w:bCs/>
          <w:sz w:val="24"/>
          <w:szCs w:val="24"/>
        </w:rPr>
        <w:t xml:space="preserve">Biochemical characterization of antagonistic </w:t>
      </w:r>
      <w:r w:rsidR="0072623C" w:rsidRPr="0072623C">
        <w:rPr>
          <w:rFonts w:ascii="Times New Roman" w:hAnsi="Times New Roman"/>
          <w:b/>
          <w:bCs/>
          <w:i/>
          <w:sz w:val="24"/>
          <w:szCs w:val="24"/>
        </w:rPr>
        <w:t>Pseudomonas</w:t>
      </w:r>
      <w:r w:rsidR="0072623C" w:rsidRPr="0072623C">
        <w:rPr>
          <w:rFonts w:ascii="Times New Roman" w:hAnsi="Times New Roman"/>
          <w:b/>
          <w:bCs/>
          <w:sz w:val="24"/>
          <w:szCs w:val="24"/>
        </w:rPr>
        <w:t xml:space="preserve"> spp</w:t>
      </w:r>
      <w:r>
        <w:rPr>
          <w:rFonts w:ascii="Times New Roman" w:hAnsi="Times New Roman"/>
          <w:b/>
          <w:bCs/>
          <w:sz w:val="24"/>
          <w:szCs w:val="24"/>
        </w:rPr>
        <w:t>.</w:t>
      </w:r>
    </w:p>
    <w:tbl>
      <w:tblPr>
        <w:tblStyle w:val="Grilledutableau"/>
        <w:tblW w:w="5000" w:type="pct"/>
        <w:jc w:val="center"/>
        <w:tblLook w:val="04A0" w:firstRow="1" w:lastRow="0" w:firstColumn="1" w:lastColumn="0" w:noHBand="0" w:noVBand="1"/>
      </w:tblPr>
      <w:tblGrid>
        <w:gridCol w:w="1557"/>
        <w:gridCol w:w="1070"/>
        <w:gridCol w:w="1483"/>
        <w:gridCol w:w="1115"/>
        <w:gridCol w:w="1470"/>
        <w:gridCol w:w="1473"/>
        <w:gridCol w:w="1742"/>
        <w:gridCol w:w="1617"/>
        <w:gridCol w:w="1423"/>
      </w:tblGrid>
      <w:tr w:rsidR="00783D27" w:rsidRPr="008A2C2B" w14:paraId="6A618776" w14:textId="77777777" w:rsidTr="008A2C2B">
        <w:trPr>
          <w:trHeight w:val="845"/>
          <w:jc w:val="center"/>
        </w:trPr>
        <w:tc>
          <w:tcPr>
            <w:tcW w:w="607" w:type="pct"/>
            <w:vAlign w:val="center"/>
          </w:tcPr>
          <w:p w14:paraId="2AB00A9F"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Isolate</w:t>
            </w:r>
          </w:p>
        </w:tc>
        <w:tc>
          <w:tcPr>
            <w:tcW w:w="405" w:type="pct"/>
            <w:vAlign w:val="center"/>
          </w:tcPr>
          <w:p w14:paraId="3E944EED"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Gram Staining</w:t>
            </w:r>
          </w:p>
        </w:tc>
        <w:tc>
          <w:tcPr>
            <w:tcW w:w="561" w:type="pct"/>
            <w:vAlign w:val="center"/>
          </w:tcPr>
          <w:p w14:paraId="5AA4B9C8"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Siderophore Production</w:t>
            </w:r>
          </w:p>
        </w:tc>
        <w:tc>
          <w:tcPr>
            <w:tcW w:w="436" w:type="pct"/>
            <w:vAlign w:val="center"/>
          </w:tcPr>
          <w:p w14:paraId="7C7805C5" w14:textId="77777777" w:rsidR="00783D27" w:rsidRPr="008A2C2B" w:rsidRDefault="0072623C" w:rsidP="008A2C2B">
            <w:pPr>
              <w:jc w:val="center"/>
              <w:rPr>
                <w:rFonts w:ascii="Times New Roman" w:hAnsi="Times New Roman" w:cs="Times New Roman"/>
                <w:b/>
                <w:sz w:val="24"/>
                <w:szCs w:val="23"/>
              </w:rPr>
            </w:pPr>
            <w:r w:rsidRPr="0072623C">
              <w:rPr>
                <w:rFonts w:ascii="Times New Roman" w:hAnsi="Times New Roman" w:cs="Times New Roman"/>
                <w:b/>
                <w:sz w:val="24"/>
                <w:szCs w:val="23"/>
              </w:rPr>
              <w:t>Catalase</w:t>
            </w:r>
          </w:p>
        </w:tc>
        <w:tc>
          <w:tcPr>
            <w:tcW w:w="573" w:type="pct"/>
            <w:vAlign w:val="center"/>
          </w:tcPr>
          <w:p w14:paraId="238247C9"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Citrate utilization</w:t>
            </w:r>
          </w:p>
        </w:tc>
        <w:tc>
          <w:tcPr>
            <w:tcW w:w="574" w:type="pct"/>
            <w:vAlign w:val="center"/>
          </w:tcPr>
          <w:p w14:paraId="5808AF2D" w14:textId="77777777" w:rsidR="00783D27" w:rsidRPr="008A2C2B" w:rsidRDefault="0072623C" w:rsidP="008A2C2B">
            <w:pPr>
              <w:jc w:val="center"/>
              <w:rPr>
                <w:rFonts w:ascii="Times New Roman" w:hAnsi="Times New Roman" w:cs="Times New Roman"/>
                <w:b/>
                <w:sz w:val="24"/>
                <w:szCs w:val="23"/>
              </w:rPr>
            </w:pPr>
            <w:r w:rsidRPr="0072623C">
              <w:rPr>
                <w:rFonts w:ascii="Times New Roman" w:hAnsi="Times New Roman" w:cs="Times New Roman"/>
                <w:b/>
                <w:sz w:val="24"/>
                <w:szCs w:val="23"/>
              </w:rPr>
              <w:t>Methyl red</w:t>
            </w:r>
          </w:p>
        </w:tc>
        <w:tc>
          <w:tcPr>
            <w:tcW w:w="678" w:type="pct"/>
            <w:vAlign w:val="center"/>
          </w:tcPr>
          <w:p w14:paraId="60354449"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Nitrate reduction</w:t>
            </w:r>
          </w:p>
        </w:tc>
        <w:tc>
          <w:tcPr>
            <w:tcW w:w="611" w:type="pct"/>
            <w:vAlign w:val="center"/>
          </w:tcPr>
          <w:p w14:paraId="768996C8"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 xml:space="preserve">Phosphate </w:t>
            </w:r>
            <w:proofErr w:type="spellStart"/>
            <w:r w:rsidRPr="008A2C2B">
              <w:rPr>
                <w:rFonts w:ascii="Times New Roman" w:hAnsi="Times New Roman" w:cs="Times New Roman"/>
                <w:b/>
                <w:sz w:val="24"/>
                <w:szCs w:val="23"/>
              </w:rPr>
              <w:t>Solubilisation</w:t>
            </w:r>
            <w:proofErr w:type="spellEnd"/>
          </w:p>
        </w:tc>
        <w:tc>
          <w:tcPr>
            <w:tcW w:w="556" w:type="pct"/>
            <w:vAlign w:val="center"/>
          </w:tcPr>
          <w:p w14:paraId="176A76F0"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Oxidase</w:t>
            </w:r>
          </w:p>
        </w:tc>
      </w:tr>
      <w:tr w:rsidR="00783D27" w:rsidRPr="008A2C2B" w14:paraId="6A50A4AE" w14:textId="77777777" w:rsidTr="008A2C2B">
        <w:trPr>
          <w:trHeight w:val="276"/>
          <w:jc w:val="center"/>
        </w:trPr>
        <w:tc>
          <w:tcPr>
            <w:tcW w:w="607" w:type="pct"/>
            <w:vAlign w:val="center"/>
          </w:tcPr>
          <w:p w14:paraId="3A96B580" w14:textId="77777777" w:rsidR="00783D27" w:rsidRPr="008A2C2B" w:rsidRDefault="00783D27" w:rsidP="008A2C2B">
            <w:pPr>
              <w:jc w:val="center"/>
              <w:rPr>
                <w:rFonts w:ascii="Times New Roman" w:hAnsi="Times New Roman" w:cs="Times New Roman"/>
                <w:b/>
                <w:sz w:val="24"/>
              </w:rPr>
            </w:pPr>
            <w:r w:rsidRPr="008A2C2B">
              <w:rPr>
                <w:rFonts w:ascii="Times New Roman" w:hAnsi="Times New Roman" w:cs="Times New Roman"/>
                <w:b/>
                <w:sz w:val="24"/>
              </w:rPr>
              <w:t>AUPI-1</w:t>
            </w:r>
          </w:p>
        </w:tc>
        <w:tc>
          <w:tcPr>
            <w:tcW w:w="405" w:type="pct"/>
          </w:tcPr>
          <w:p w14:paraId="42BDBE1A" w14:textId="77777777" w:rsidR="00783D27" w:rsidRPr="008A2C2B" w:rsidRDefault="00783D27" w:rsidP="008A2C2B">
            <w:pPr>
              <w:jc w:val="center"/>
              <w:rPr>
                <w:rFonts w:ascii="Times New Roman" w:hAnsi="Times New Roman" w:cs="Times New Roman"/>
                <w:sz w:val="24"/>
                <w:szCs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0432B3A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823D196"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3" w:type="pct"/>
          </w:tcPr>
          <w:p w14:paraId="012C23E3"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4" w:type="pct"/>
          </w:tcPr>
          <w:p w14:paraId="15697E6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B220A9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33FCD61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5AD743B"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r>
      <w:tr w:rsidR="008A2C2B" w:rsidRPr="008A2C2B" w14:paraId="077D4377" w14:textId="77777777" w:rsidTr="008A2C2B">
        <w:trPr>
          <w:trHeight w:val="276"/>
          <w:jc w:val="center"/>
        </w:trPr>
        <w:tc>
          <w:tcPr>
            <w:tcW w:w="607" w:type="pct"/>
            <w:shd w:val="clear" w:color="auto" w:fill="92D050"/>
            <w:vAlign w:val="center"/>
          </w:tcPr>
          <w:p w14:paraId="32CA93F8" w14:textId="77777777" w:rsidR="00783D27" w:rsidRPr="008A2C2B" w:rsidRDefault="00783D27" w:rsidP="008A2C2B">
            <w:pPr>
              <w:jc w:val="center"/>
              <w:rPr>
                <w:b/>
                <w:sz w:val="24"/>
              </w:rPr>
            </w:pPr>
            <w:r w:rsidRPr="008A2C2B">
              <w:rPr>
                <w:rFonts w:ascii="Times New Roman" w:hAnsi="Times New Roman" w:cs="Times New Roman"/>
                <w:b/>
                <w:sz w:val="24"/>
              </w:rPr>
              <w:t>AUPI-2</w:t>
            </w:r>
          </w:p>
        </w:tc>
        <w:tc>
          <w:tcPr>
            <w:tcW w:w="405" w:type="pct"/>
            <w:shd w:val="clear" w:color="auto" w:fill="92D050"/>
          </w:tcPr>
          <w:p w14:paraId="209B70B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92D050"/>
          </w:tcPr>
          <w:p w14:paraId="063F7A8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92D050"/>
          </w:tcPr>
          <w:p w14:paraId="4C4CCF1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92D050"/>
          </w:tcPr>
          <w:p w14:paraId="39B229E2"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4" w:type="pct"/>
            <w:shd w:val="clear" w:color="auto" w:fill="92D050"/>
          </w:tcPr>
          <w:p w14:paraId="02FD8C3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92D050"/>
          </w:tcPr>
          <w:p w14:paraId="53F9981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92D050"/>
          </w:tcPr>
          <w:p w14:paraId="294B757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92D050"/>
          </w:tcPr>
          <w:p w14:paraId="4EE6CE1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A39D2FF" w14:textId="77777777" w:rsidTr="008A2C2B">
        <w:trPr>
          <w:trHeight w:val="276"/>
          <w:jc w:val="center"/>
        </w:trPr>
        <w:tc>
          <w:tcPr>
            <w:tcW w:w="607" w:type="pct"/>
            <w:vAlign w:val="center"/>
          </w:tcPr>
          <w:p w14:paraId="6B91F06A" w14:textId="77777777" w:rsidR="00783D27" w:rsidRPr="008A2C2B" w:rsidRDefault="00783D27" w:rsidP="008A2C2B">
            <w:pPr>
              <w:jc w:val="center"/>
              <w:rPr>
                <w:b/>
                <w:sz w:val="24"/>
              </w:rPr>
            </w:pPr>
            <w:r w:rsidRPr="008A2C2B">
              <w:rPr>
                <w:rFonts w:ascii="Times New Roman" w:hAnsi="Times New Roman" w:cs="Times New Roman"/>
                <w:b/>
                <w:sz w:val="24"/>
              </w:rPr>
              <w:t>AUPI-3</w:t>
            </w:r>
          </w:p>
        </w:tc>
        <w:tc>
          <w:tcPr>
            <w:tcW w:w="405" w:type="pct"/>
          </w:tcPr>
          <w:p w14:paraId="58C0F796"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DE710A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477BF3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20EFC9A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A1793E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65922AB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337E470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E771A5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9431755" w14:textId="77777777" w:rsidTr="008A2C2B">
        <w:trPr>
          <w:trHeight w:val="276"/>
          <w:jc w:val="center"/>
        </w:trPr>
        <w:tc>
          <w:tcPr>
            <w:tcW w:w="607" w:type="pct"/>
            <w:vAlign w:val="center"/>
          </w:tcPr>
          <w:p w14:paraId="6760493D" w14:textId="77777777" w:rsidR="00783D27" w:rsidRPr="008A2C2B" w:rsidRDefault="00783D27" w:rsidP="008A2C2B">
            <w:pPr>
              <w:jc w:val="center"/>
              <w:rPr>
                <w:b/>
                <w:sz w:val="24"/>
              </w:rPr>
            </w:pPr>
            <w:r w:rsidRPr="008A2C2B">
              <w:rPr>
                <w:rFonts w:ascii="Times New Roman" w:hAnsi="Times New Roman" w:cs="Times New Roman"/>
                <w:b/>
                <w:sz w:val="24"/>
              </w:rPr>
              <w:t>AUPI-4</w:t>
            </w:r>
          </w:p>
        </w:tc>
        <w:tc>
          <w:tcPr>
            <w:tcW w:w="405" w:type="pct"/>
          </w:tcPr>
          <w:p w14:paraId="73E6A9BC"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30A85C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75BC416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226A36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F567D4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411F49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FE1749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6741902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E59CBA4" w14:textId="77777777" w:rsidTr="008A2C2B">
        <w:trPr>
          <w:trHeight w:val="276"/>
          <w:jc w:val="center"/>
        </w:trPr>
        <w:tc>
          <w:tcPr>
            <w:tcW w:w="607" w:type="pct"/>
            <w:vAlign w:val="center"/>
          </w:tcPr>
          <w:p w14:paraId="7DE2ED72" w14:textId="77777777" w:rsidR="00783D27" w:rsidRPr="008A2C2B" w:rsidRDefault="00783D27" w:rsidP="008A2C2B">
            <w:pPr>
              <w:jc w:val="center"/>
              <w:rPr>
                <w:b/>
                <w:sz w:val="24"/>
              </w:rPr>
            </w:pPr>
            <w:r w:rsidRPr="008A2C2B">
              <w:rPr>
                <w:rFonts w:ascii="Times New Roman" w:hAnsi="Times New Roman" w:cs="Times New Roman"/>
                <w:b/>
                <w:sz w:val="24"/>
              </w:rPr>
              <w:t>AUPI-5</w:t>
            </w:r>
          </w:p>
        </w:tc>
        <w:tc>
          <w:tcPr>
            <w:tcW w:w="405" w:type="pct"/>
          </w:tcPr>
          <w:p w14:paraId="05BC18E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1C139A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3720B88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7D5323C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799046E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EFC31E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1C144B9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51A5527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CFE0DDB" w14:textId="77777777" w:rsidTr="008A2C2B">
        <w:trPr>
          <w:trHeight w:val="276"/>
          <w:jc w:val="center"/>
        </w:trPr>
        <w:tc>
          <w:tcPr>
            <w:tcW w:w="607" w:type="pct"/>
            <w:vAlign w:val="center"/>
          </w:tcPr>
          <w:p w14:paraId="65E62AB1" w14:textId="77777777" w:rsidR="00783D27" w:rsidRPr="008A2C2B" w:rsidRDefault="00783D27" w:rsidP="008A2C2B">
            <w:pPr>
              <w:jc w:val="center"/>
              <w:rPr>
                <w:b/>
                <w:sz w:val="24"/>
              </w:rPr>
            </w:pPr>
            <w:r w:rsidRPr="008A2C2B">
              <w:rPr>
                <w:rFonts w:ascii="Times New Roman" w:hAnsi="Times New Roman" w:cs="Times New Roman"/>
                <w:b/>
                <w:sz w:val="24"/>
              </w:rPr>
              <w:t>AUPI-6</w:t>
            </w:r>
          </w:p>
        </w:tc>
        <w:tc>
          <w:tcPr>
            <w:tcW w:w="405" w:type="pct"/>
          </w:tcPr>
          <w:p w14:paraId="4A00B98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18D9E86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7AB57D0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1F8A459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169BA5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6C1E0B2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79E4DF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6F21567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32908A0" w14:textId="77777777" w:rsidTr="008A2C2B">
        <w:trPr>
          <w:trHeight w:val="206"/>
          <w:jc w:val="center"/>
        </w:trPr>
        <w:tc>
          <w:tcPr>
            <w:tcW w:w="607" w:type="pct"/>
            <w:vAlign w:val="center"/>
          </w:tcPr>
          <w:p w14:paraId="69667E78" w14:textId="77777777" w:rsidR="00783D27" w:rsidRPr="008A2C2B" w:rsidRDefault="00783D27" w:rsidP="008A2C2B">
            <w:pPr>
              <w:jc w:val="center"/>
              <w:rPr>
                <w:b/>
                <w:sz w:val="24"/>
              </w:rPr>
            </w:pPr>
            <w:r w:rsidRPr="008A2C2B">
              <w:rPr>
                <w:rFonts w:ascii="Times New Roman" w:hAnsi="Times New Roman" w:cs="Times New Roman"/>
                <w:b/>
                <w:sz w:val="24"/>
              </w:rPr>
              <w:t>AUPI-7</w:t>
            </w:r>
          </w:p>
        </w:tc>
        <w:tc>
          <w:tcPr>
            <w:tcW w:w="405" w:type="pct"/>
          </w:tcPr>
          <w:p w14:paraId="1C0EC1CC"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D2D80C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55B2520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350264A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37DC7A1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04598C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2902055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4D94DE8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F2955FF" w14:textId="77777777" w:rsidTr="008A2C2B">
        <w:trPr>
          <w:trHeight w:val="276"/>
          <w:jc w:val="center"/>
        </w:trPr>
        <w:tc>
          <w:tcPr>
            <w:tcW w:w="607" w:type="pct"/>
            <w:vAlign w:val="center"/>
          </w:tcPr>
          <w:p w14:paraId="383CD571" w14:textId="77777777" w:rsidR="00783D27" w:rsidRPr="008A2C2B" w:rsidRDefault="00783D27" w:rsidP="008A2C2B">
            <w:pPr>
              <w:jc w:val="center"/>
              <w:rPr>
                <w:b/>
                <w:sz w:val="24"/>
              </w:rPr>
            </w:pPr>
            <w:r w:rsidRPr="008A2C2B">
              <w:rPr>
                <w:rFonts w:ascii="Times New Roman" w:hAnsi="Times New Roman" w:cs="Times New Roman"/>
                <w:b/>
                <w:sz w:val="24"/>
              </w:rPr>
              <w:t>AUPI-8</w:t>
            </w:r>
          </w:p>
        </w:tc>
        <w:tc>
          <w:tcPr>
            <w:tcW w:w="405" w:type="pct"/>
          </w:tcPr>
          <w:p w14:paraId="10D5186F"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5A171FA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4425645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69882DC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85238D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755C47E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703E7B8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2815960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DD56A96" w14:textId="77777777" w:rsidTr="008A2C2B">
        <w:trPr>
          <w:trHeight w:val="276"/>
          <w:jc w:val="center"/>
        </w:trPr>
        <w:tc>
          <w:tcPr>
            <w:tcW w:w="607" w:type="pct"/>
            <w:vAlign w:val="center"/>
          </w:tcPr>
          <w:p w14:paraId="4FD4EE1A" w14:textId="77777777" w:rsidR="00783D27" w:rsidRPr="008A2C2B" w:rsidRDefault="00783D27" w:rsidP="008A2C2B">
            <w:pPr>
              <w:jc w:val="center"/>
              <w:rPr>
                <w:b/>
                <w:sz w:val="24"/>
              </w:rPr>
            </w:pPr>
            <w:r w:rsidRPr="008A2C2B">
              <w:rPr>
                <w:rFonts w:ascii="Times New Roman" w:hAnsi="Times New Roman" w:cs="Times New Roman"/>
                <w:b/>
                <w:sz w:val="24"/>
              </w:rPr>
              <w:t>AUPI-9</w:t>
            </w:r>
          </w:p>
        </w:tc>
        <w:tc>
          <w:tcPr>
            <w:tcW w:w="405" w:type="pct"/>
          </w:tcPr>
          <w:p w14:paraId="36BF4CD0"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63F29A9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D2129D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2C4FADB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07C7585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593B5F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0EB810A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4663CD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5D02513" w14:textId="77777777" w:rsidTr="008A2C2B">
        <w:trPr>
          <w:trHeight w:val="292"/>
          <w:jc w:val="center"/>
        </w:trPr>
        <w:tc>
          <w:tcPr>
            <w:tcW w:w="607" w:type="pct"/>
            <w:vAlign w:val="center"/>
          </w:tcPr>
          <w:p w14:paraId="7F670469" w14:textId="77777777" w:rsidR="00783D27" w:rsidRPr="008A2C2B" w:rsidRDefault="00783D27" w:rsidP="008A2C2B">
            <w:pPr>
              <w:jc w:val="center"/>
              <w:rPr>
                <w:b/>
                <w:sz w:val="24"/>
              </w:rPr>
            </w:pPr>
            <w:r w:rsidRPr="008A2C2B">
              <w:rPr>
                <w:rFonts w:ascii="Times New Roman" w:hAnsi="Times New Roman" w:cs="Times New Roman"/>
                <w:b/>
                <w:sz w:val="24"/>
              </w:rPr>
              <w:t>AUPI-10</w:t>
            </w:r>
          </w:p>
        </w:tc>
        <w:tc>
          <w:tcPr>
            <w:tcW w:w="405" w:type="pct"/>
          </w:tcPr>
          <w:p w14:paraId="2E211D2B"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4768B93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1795339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1E9EB5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15F5881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77302B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623C2C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397C6F8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0B879BE" w14:textId="77777777" w:rsidTr="008A2C2B">
        <w:trPr>
          <w:trHeight w:val="276"/>
          <w:jc w:val="center"/>
        </w:trPr>
        <w:tc>
          <w:tcPr>
            <w:tcW w:w="607" w:type="pct"/>
            <w:vAlign w:val="center"/>
          </w:tcPr>
          <w:p w14:paraId="4D2B343A" w14:textId="77777777" w:rsidR="00783D27" w:rsidRPr="008A2C2B" w:rsidRDefault="00783D27" w:rsidP="008A2C2B">
            <w:pPr>
              <w:jc w:val="center"/>
              <w:rPr>
                <w:b/>
                <w:sz w:val="24"/>
              </w:rPr>
            </w:pPr>
            <w:r w:rsidRPr="008A2C2B">
              <w:rPr>
                <w:rFonts w:ascii="Times New Roman" w:hAnsi="Times New Roman" w:cs="Times New Roman"/>
                <w:b/>
                <w:sz w:val="24"/>
              </w:rPr>
              <w:t>AUPI-11</w:t>
            </w:r>
          </w:p>
        </w:tc>
        <w:tc>
          <w:tcPr>
            <w:tcW w:w="405" w:type="pct"/>
          </w:tcPr>
          <w:p w14:paraId="0D7F6552"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6B5EC2D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D66B4D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833544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434CA8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384BB49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4B5B696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CE88EB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205CB888" w14:textId="77777777" w:rsidTr="008A2C2B">
        <w:trPr>
          <w:trHeight w:val="276"/>
          <w:jc w:val="center"/>
        </w:trPr>
        <w:tc>
          <w:tcPr>
            <w:tcW w:w="607" w:type="pct"/>
            <w:vAlign w:val="center"/>
          </w:tcPr>
          <w:p w14:paraId="502357BF" w14:textId="77777777" w:rsidR="00783D27" w:rsidRPr="008A2C2B" w:rsidRDefault="00783D27" w:rsidP="008A2C2B">
            <w:pPr>
              <w:jc w:val="center"/>
              <w:rPr>
                <w:b/>
                <w:sz w:val="24"/>
              </w:rPr>
            </w:pPr>
            <w:r w:rsidRPr="008A2C2B">
              <w:rPr>
                <w:rFonts w:ascii="Times New Roman" w:hAnsi="Times New Roman" w:cs="Times New Roman"/>
                <w:b/>
                <w:sz w:val="24"/>
              </w:rPr>
              <w:t>AUPI-12</w:t>
            </w:r>
          </w:p>
        </w:tc>
        <w:tc>
          <w:tcPr>
            <w:tcW w:w="405" w:type="pct"/>
          </w:tcPr>
          <w:p w14:paraId="76EA1F89"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0EC8D3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495BB5F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E611F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EF79AA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BF50DC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31E509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4D06FE7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602F843" w14:textId="77777777" w:rsidTr="008A2C2B">
        <w:trPr>
          <w:trHeight w:val="276"/>
          <w:jc w:val="center"/>
        </w:trPr>
        <w:tc>
          <w:tcPr>
            <w:tcW w:w="607" w:type="pct"/>
            <w:vAlign w:val="center"/>
          </w:tcPr>
          <w:p w14:paraId="201FEDB5" w14:textId="77777777" w:rsidR="00783D27" w:rsidRPr="008A2C2B" w:rsidRDefault="00783D27" w:rsidP="008A2C2B">
            <w:pPr>
              <w:jc w:val="center"/>
              <w:rPr>
                <w:b/>
                <w:sz w:val="24"/>
              </w:rPr>
            </w:pPr>
            <w:r w:rsidRPr="008A2C2B">
              <w:rPr>
                <w:rFonts w:ascii="Times New Roman" w:hAnsi="Times New Roman" w:cs="Times New Roman"/>
                <w:b/>
                <w:sz w:val="24"/>
              </w:rPr>
              <w:t>AUPI-13</w:t>
            </w:r>
          </w:p>
        </w:tc>
        <w:tc>
          <w:tcPr>
            <w:tcW w:w="405" w:type="pct"/>
          </w:tcPr>
          <w:p w14:paraId="03EF0A5B"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046CF11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26ADE3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38DCE24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0CE11A3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32B70C0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3354C81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568D4E5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D12D83C" w14:textId="77777777" w:rsidTr="008A2C2B">
        <w:trPr>
          <w:trHeight w:val="276"/>
          <w:jc w:val="center"/>
        </w:trPr>
        <w:tc>
          <w:tcPr>
            <w:tcW w:w="607" w:type="pct"/>
            <w:vAlign w:val="center"/>
          </w:tcPr>
          <w:p w14:paraId="3AFACC9A" w14:textId="77777777" w:rsidR="00783D27" w:rsidRPr="008A2C2B" w:rsidRDefault="00783D27" w:rsidP="008A2C2B">
            <w:pPr>
              <w:jc w:val="center"/>
              <w:rPr>
                <w:b/>
                <w:sz w:val="24"/>
              </w:rPr>
            </w:pPr>
            <w:r w:rsidRPr="008A2C2B">
              <w:rPr>
                <w:rFonts w:ascii="Times New Roman" w:hAnsi="Times New Roman" w:cs="Times New Roman"/>
                <w:b/>
                <w:sz w:val="24"/>
              </w:rPr>
              <w:t>AUPI-14</w:t>
            </w:r>
          </w:p>
        </w:tc>
        <w:tc>
          <w:tcPr>
            <w:tcW w:w="405" w:type="pct"/>
          </w:tcPr>
          <w:p w14:paraId="4287F481"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4BBDA6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5B727B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3E7C7B0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8881DD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8EED08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6CC3713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20DB031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2F5C037" w14:textId="77777777" w:rsidTr="008A2C2B">
        <w:trPr>
          <w:trHeight w:val="276"/>
          <w:jc w:val="center"/>
        </w:trPr>
        <w:tc>
          <w:tcPr>
            <w:tcW w:w="607" w:type="pct"/>
            <w:vAlign w:val="center"/>
          </w:tcPr>
          <w:p w14:paraId="26FE3CD5" w14:textId="77777777" w:rsidR="00783D27" w:rsidRPr="008A2C2B" w:rsidRDefault="00783D27" w:rsidP="008A2C2B">
            <w:pPr>
              <w:jc w:val="center"/>
              <w:rPr>
                <w:b/>
                <w:sz w:val="24"/>
              </w:rPr>
            </w:pPr>
            <w:r w:rsidRPr="008A2C2B">
              <w:rPr>
                <w:rFonts w:ascii="Times New Roman" w:hAnsi="Times New Roman" w:cs="Times New Roman"/>
                <w:b/>
                <w:sz w:val="24"/>
              </w:rPr>
              <w:t>AUPI-15</w:t>
            </w:r>
          </w:p>
        </w:tc>
        <w:tc>
          <w:tcPr>
            <w:tcW w:w="405" w:type="pct"/>
          </w:tcPr>
          <w:p w14:paraId="0270725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2EDF98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52E27EE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62AD52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44041B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7024D4D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005A55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3A458F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5B762F8" w14:textId="77777777" w:rsidTr="008A2C2B">
        <w:trPr>
          <w:trHeight w:val="276"/>
          <w:jc w:val="center"/>
        </w:trPr>
        <w:tc>
          <w:tcPr>
            <w:tcW w:w="607" w:type="pct"/>
            <w:vAlign w:val="center"/>
          </w:tcPr>
          <w:p w14:paraId="38DBD892" w14:textId="77777777" w:rsidR="00783D27" w:rsidRPr="008A2C2B" w:rsidRDefault="00783D27" w:rsidP="008A2C2B">
            <w:pPr>
              <w:jc w:val="center"/>
              <w:rPr>
                <w:b/>
                <w:sz w:val="24"/>
              </w:rPr>
            </w:pPr>
            <w:r w:rsidRPr="008A2C2B">
              <w:rPr>
                <w:rFonts w:ascii="Times New Roman" w:hAnsi="Times New Roman" w:cs="Times New Roman"/>
                <w:b/>
                <w:sz w:val="24"/>
              </w:rPr>
              <w:t>AUPI-16</w:t>
            </w:r>
          </w:p>
        </w:tc>
        <w:tc>
          <w:tcPr>
            <w:tcW w:w="405" w:type="pct"/>
          </w:tcPr>
          <w:p w14:paraId="651023A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37352DA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0E25A4B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52D68D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A1B977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1F8F3D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52F70D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1809A97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3ACB7B0" w14:textId="77777777" w:rsidTr="008A2C2B">
        <w:trPr>
          <w:trHeight w:val="276"/>
          <w:jc w:val="center"/>
        </w:trPr>
        <w:tc>
          <w:tcPr>
            <w:tcW w:w="607" w:type="pct"/>
            <w:vAlign w:val="center"/>
          </w:tcPr>
          <w:p w14:paraId="275CA008" w14:textId="77777777" w:rsidR="00783D27" w:rsidRPr="008A2C2B" w:rsidRDefault="00783D27" w:rsidP="008A2C2B">
            <w:pPr>
              <w:jc w:val="center"/>
              <w:rPr>
                <w:b/>
                <w:sz w:val="24"/>
              </w:rPr>
            </w:pPr>
            <w:r w:rsidRPr="008A2C2B">
              <w:rPr>
                <w:rFonts w:ascii="Times New Roman" w:hAnsi="Times New Roman" w:cs="Times New Roman"/>
                <w:b/>
                <w:sz w:val="24"/>
              </w:rPr>
              <w:t>AUPI-17</w:t>
            </w:r>
          </w:p>
        </w:tc>
        <w:tc>
          <w:tcPr>
            <w:tcW w:w="405" w:type="pct"/>
          </w:tcPr>
          <w:p w14:paraId="277427E0"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2E2A957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32B4CEF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D73F62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4B700A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3BA0A8E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1D7CCCD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57CBE21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B63AC31" w14:textId="77777777" w:rsidTr="008A2C2B">
        <w:trPr>
          <w:trHeight w:val="276"/>
          <w:jc w:val="center"/>
        </w:trPr>
        <w:tc>
          <w:tcPr>
            <w:tcW w:w="607" w:type="pct"/>
            <w:vAlign w:val="center"/>
          </w:tcPr>
          <w:p w14:paraId="540FAB09" w14:textId="77777777" w:rsidR="00783D27" w:rsidRPr="008A2C2B" w:rsidRDefault="00783D27" w:rsidP="008A2C2B">
            <w:pPr>
              <w:jc w:val="center"/>
              <w:rPr>
                <w:b/>
                <w:sz w:val="24"/>
              </w:rPr>
            </w:pPr>
            <w:r w:rsidRPr="008A2C2B">
              <w:rPr>
                <w:rFonts w:ascii="Times New Roman" w:hAnsi="Times New Roman" w:cs="Times New Roman"/>
                <w:b/>
                <w:sz w:val="24"/>
              </w:rPr>
              <w:t>AUPI-18</w:t>
            </w:r>
          </w:p>
        </w:tc>
        <w:tc>
          <w:tcPr>
            <w:tcW w:w="405" w:type="pct"/>
          </w:tcPr>
          <w:p w14:paraId="782158C6"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3257A25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6FB813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998781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942E54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6631BC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432E721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67DBEEC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09D6B63" w14:textId="77777777" w:rsidTr="008A2C2B">
        <w:trPr>
          <w:trHeight w:val="276"/>
          <w:jc w:val="center"/>
        </w:trPr>
        <w:tc>
          <w:tcPr>
            <w:tcW w:w="607" w:type="pct"/>
            <w:vAlign w:val="center"/>
          </w:tcPr>
          <w:p w14:paraId="39D1CF95" w14:textId="77777777" w:rsidR="00783D27" w:rsidRPr="008A2C2B" w:rsidRDefault="00783D27" w:rsidP="008A2C2B">
            <w:pPr>
              <w:jc w:val="center"/>
              <w:rPr>
                <w:b/>
                <w:sz w:val="24"/>
              </w:rPr>
            </w:pPr>
            <w:r w:rsidRPr="008A2C2B">
              <w:rPr>
                <w:rFonts w:ascii="Times New Roman" w:hAnsi="Times New Roman" w:cs="Times New Roman"/>
                <w:b/>
                <w:sz w:val="24"/>
              </w:rPr>
              <w:t>AUPI-19</w:t>
            </w:r>
          </w:p>
        </w:tc>
        <w:tc>
          <w:tcPr>
            <w:tcW w:w="405" w:type="pct"/>
          </w:tcPr>
          <w:p w14:paraId="411563A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6C9D571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B23AB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27D27D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66D6A6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4E978CF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2708C01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15BF228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6AD7818" w14:textId="77777777" w:rsidTr="008A2C2B">
        <w:trPr>
          <w:trHeight w:val="276"/>
          <w:jc w:val="center"/>
        </w:trPr>
        <w:tc>
          <w:tcPr>
            <w:tcW w:w="607" w:type="pct"/>
            <w:vAlign w:val="center"/>
          </w:tcPr>
          <w:p w14:paraId="122DB1F3" w14:textId="77777777" w:rsidR="00783D27" w:rsidRPr="008A2C2B" w:rsidRDefault="00783D27" w:rsidP="008A2C2B">
            <w:pPr>
              <w:jc w:val="center"/>
              <w:rPr>
                <w:b/>
                <w:sz w:val="24"/>
              </w:rPr>
            </w:pPr>
            <w:r w:rsidRPr="008A2C2B">
              <w:rPr>
                <w:rFonts w:ascii="Times New Roman" w:hAnsi="Times New Roman" w:cs="Times New Roman"/>
                <w:b/>
                <w:sz w:val="24"/>
              </w:rPr>
              <w:t>AUPI-20</w:t>
            </w:r>
          </w:p>
        </w:tc>
        <w:tc>
          <w:tcPr>
            <w:tcW w:w="405" w:type="pct"/>
          </w:tcPr>
          <w:p w14:paraId="7E1069D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56B9C15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F3AE4D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016B16A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0451D89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52F0033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CB7FD7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1983F72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bl>
    <w:p w14:paraId="77E52441" w14:textId="77777777" w:rsidR="00783D27" w:rsidRDefault="00783D27" w:rsidP="0083641F">
      <w:pPr>
        <w:spacing w:line="360" w:lineRule="auto"/>
        <w:rPr>
          <w:rFonts w:ascii="Times New Roman" w:hAnsi="Times New Roman" w:cs="Times New Roman"/>
          <w:sz w:val="24"/>
          <w:szCs w:val="24"/>
        </w:rPr>
      </w:pPr>
    </w:p>
    <w:p w14:paraId="2CACD56A" w14:textId="77777777" w:rsidR="004A3071" w:rsidRDefault="004A3071" w:rsidP="0083641F">
      <w:pPr>
        <w:spacing w:line="360" w:lineRule="auto"/>
        <w:rPr>
          <w:rFonts w:ascii="Times New Roman" w:hAnsi="Times New Roman" w:cs="Times New Roman"/>
          <w:sz w:val="24"/>
          <w:szCs w:val="24"/>
        </w:rPr>
      </w:pPr>
    </w:p>
    <w:p w14:paraId="7D840A76" w14:textId="77777777" w:rsidR="004A3071" w:rsidRDefault="004A3071" w:rsidP="0083641F">
      <w:pPr>
        <w:spacing w:line="360" w:lineRule="auto"/>
        <w:rPr>
          <w:rFonts w:ascii="Times New Roman" w:hAnsi="Times New Roman" w:cs="Times New Roman"/>
          <w:sz w:val="24"/>
          <w:szCs w:val="24"/>
        </w:rPr>
      </w:pPr>
    </w:p>
    <w:p w14:paraId="4D925198" w14:textId="77777777" w:rsidR="004A3071" w:rsidRDefault="004A3071" w:rsidP="0083641F">
      <w:pPr>
        <w:spacing w:line="360" w:lineRule="auto"/>
        <w:rPr>
          <w:rFonts w:ascii="Times New Roman" w:hAnsi="Times New Roman" w:cs="Times New Roman"/>
          <w:sz w:val="24"/>
          <w:szCs w:val="24"/>
        </w:rPr>
      </w:pPr>
    </w:p>
    <w:p w14:paraId="01511076" w14:textId="77777777" w:rsidR="004A3071" w:rsidRDefault="004A3071" w:rsidP="0083641F">
      <w:pPr>
        <w:spacing w:line="36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5458"/>
        <w:gridCol w:w="7492"/>
      </w:tblGrid>
      <w:tr w:rsidR="00432697" w14:paraId="76E2B560" w14:textId="77777777" w:rsidTr="00376F6E">
        <w:tc>
          <w:tcPr>
            <w:tcW w:w="6475" w:type="dxa"/>
          </w:tcPr>
          <w:p w14:paraId="1DF122FC" w14:textId="77777777" w:rsidR="00774FAC" w:rsidRDefault="00774FAC" w:rsidP="00376F6E">
            <w:pPr>
              <w:rPr>
                <w:rFonts w:ascii="Times New Roman" w:hAnsi="Times New Roman" w:cs="Times New Roman"/>
                <w:b/>
              </w:rPr>
            </w:pPr>
          </w:p>
          <w:p w14:paraId="46D7E627" w14:textId="77777777" w:rsidR="00774FAC" w:rsidRDefault="00774FAC" w:rsidP="00774FAC">
            <w:pPr>
              <w:jc w:val="center"/>
              <w:rPr>
                <w:rFonts w:ascii="Times New Roman" w:hAnsi="Times New Roman" w:cs="Times New Roman"/>
                <w:b/>
              </w:rPr>
            </w:pPr>
            <w:r w:rsidRPr="00774FAC">
              <w:rPr>
                <w:rFonts w:ascii="Times New Roman" w:hAnsi="Times New Roman" w:cs="Times New Roman"/>
                <w:b/>
                <w:noProof/>
              </w:rPr>
              <w:drawing>
                <wp:inline distT="0" distB="0" distL="0" distR="0" wp14:anchorId="71C328EC" wp14:editId="6705DE38">
                  <wp:extent cx="2501900" cy="2540539"/>
                  <wp:effectExtent l="0" t="0" r="0" b="0"/>
                  <wp:docPr id="2" name="Picture 2" descr="C:\Users\hp\Downloads\WhatsApp Image 2025-11-10 at 6.45.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11-10 at 6.45.03 PM.jpeg"/>
                          <pic:cNvPicPr>
                            <a:picLocks noChangeAspect="1" noChangeArrowheads="1"/>
                          </pic:cNvPicPr>
                        </pic:nvPicPr>
                        <pic:blipFill rotWithShape="1">
                          <a:blip r:embed="rId17">
                            <a:extLst>
                              <a:ext uri="{28A0092B-C50C-407E-A947-70E740481C1C}">
                                <a14:useLocalDpi xmlns:a14="http://schemas.microsoft.com/office/drawing/2010/main" val="0"/>
                              </a:ext>
                            </a:extLst>
                          </a:blip>
                          <a:srcRect l="11419" t="22685" r="8642" b="16435"/>
                          <a:stretch/>
                        </pic:blipFill>
                        <pic:spPr bwMode="auto">
                          <a:xfrm>
                            <a:off x="0" y="0"/>
                            <a:ext cx="2515291" cy="2554137"/>
                          </a:xfrm>
                          <a:prstGeom prst="rect">
                            <a:avLst/>
                          </a:prstGeom>
                          <a:noFill/>
                          <a:ln>
                            <a:noFill/>
                          </a:ln>
                          <a:extLst>
                            <a:ext uri="{53640926-AAD7-44D8-BBD7-CCE9431645EC}">
                              <a14:shadowObscured xmlns:a14="http://schemas.microsoft.com/office/drawing/2010/main"/>
                            </a:ext>
                          </a:extLst>
                        </pic:spPr>
                      </pic:pic>
                    </a:graphicData>
                  </a:graphic>
                </wp:inline>
              </w:drawing>
            </w:r>
          </w:p>
          <w:p w14:paraId="63A54BE2" w14:textId="77777777" w:rsidR="00774FAC" w:rsidRDefault="00774FAC" w:rsidP="00774FAC">
            <w:pPr>
              <w:jc w:val="center"/>
              <w:rPr>
                <w:rFonts w:ascii="Times New Roman" w:hAnsi="Times New Roman" w:cs="Times New Roman"/>
                <w:b/>
              </w:rPr>
            </w:pPr>
          </w:p>
          <w:p w14:paraId="575CF9DD" w14:textId="77777777" w:rsidR="004A3071" w:rsidRPr="00AE02BD" w:rsidRDefault="004A3071" w:rsidP="00376F6E">
            <w:pPr>
              <w:rPr>
                <w:rFonts w:ascii="Times New Roman" w:hAnsi="Times New Roman" w:cs="Times New Roman"/>
                <w:szCs w:val="24"/>
              </w:rPr>
            </w:pPr>
            <w:r w:rsidRPr="00AE02BD">
              <w:rPr>
                <w:rFonts w:ascii="Times New Roman" w:hAnsi="Times New Roman" w:cs="Times New Roman"/>
                <w:b/>
                <w:sz w:val="20"/>
              </w:rPr>
              <w:t>Fig. 1</w:t>
            </w:r>
            <w:r w:rsidRPr="00AE02BD">
              <w:rPr>
                <w:rFonts w:ascii="Times New Roman" w:hAnsi="Times New Roman" w:cs="Times New Roman"/>
                <w:sz w:val="20"/>
              </w:rPr>
              <w:t xml:space="preserve">. Axenic culture of </w:t>
            </w:r>
            <w:r w:rsidRPr="00AE02BD">
              <w:rPr>
                <w:rFonts w:ascii="Times New Roman" w:hAnsi="Times New Roman" w:cs="Times New Roman"/>
                <w:i/>
                <w:szCs w:val="24"/>
              </w:rPr>
              <w:t>Pseudomonas fluorescens</w:t>
            </w:r>
            <w:r w:rsidRPr="00AE02BD">
              <w:rPr>
                <w:rFonts w:ascii="Times New Roman" w:hAnsi="Times New Roman" w:cs="Times New Roman"/>
                <w:szCs w:val="24"/>
              </w:rPr>
              <w:t xml:space="preserve"> (AUPI-2)</w:t>
            </w:r>
          </w:p>
          <w:p w14:paraId="24EA682E" w14:textId="77777777" w:rsidR="004A3071" w:rsidRPr="00D36125" w:rsidRDefault="004A3071" w:rsidP="00376F6E">
            <w:pPr>
              <w:rPr>
                <w:rFonts w:ascii="Times New Roman" w:hAnsi="Times New Roman" w:cs="Times New Roman"/>
                <w:sz w:val="24"/>
                <w:szCs w:val="24"/>
              </w:rPr>
            </w:pPr>
          </w:p>
        </w:tc>
        <w:tc>
          <w:tcPr>
            <w:tcW w:w="6475" w:type="dxa"/>
          </w:tcPr>
          <w:p w14:paraId="4FAB7ED5" w14:textId="77777777" w:rsidR="00774FAC" w:rsidRDefault="00774FAC" w:rsidP="00376F6E">
            <w:pPr>
              <w:rPr>
                <w:rStyle w:val="lev"/>
                <w:rFonts w:ascii="Times New Roman" w:hAnsi="Times New Roman" w:cs="Times New Roman"/>
              </w:rPr>
            </w:pPr>
          </w:p>
          <w:p w14:paraId="012D8E38" w14:textId="77777777" w:rsidR="00AE02BD" w:rsidRDefault="00AE02BD" w:rsidP="00376F6E">
            <w:pPr>
              <w:rPr>
                <w:rStyle w:val="lev"/>
                <w:rFonts w:ascii="Times New Roman" w:hAnsi="Times New Roman" w:cs="Times New Roman"/>
              </w:rPr>
            </w:pPr>
          </w:p>
          <w:p w14:paraId="4BB5AFD8" w14:textId="77777777" w:rsidR="00774FAC" w:rsidRDefault="00774FAC" w:rsidP="00376F6E">
            <w:pPr>
              <w:rPr>
                <w:rStyle w:val="lev"/>
                <w:rFonts w:ascii="Times New Roman" w:hAnsi="Times New Roman" w:cs="Times New Roman"/>
              </w:rPr>
            </w:pPr>
          </w:p>
          <w:p w14:paraId="1427BF79" w14:textId="77777777" w:rsidR="00774FAC" w:rsidRDefault="00432697" w:rsidP="00376F6E">
            <w:pPr>
              <w:rPr>
                <w:rStyle w:val="lev"/>
                <w:rFonts w:ascii="Times New Roman" w:hAnsi="Times New Roman" w:cs="Times New Roman"/>
              </w:rPr>
            </w:pPr>
            <w:r w:rsidRPr="00432697">
              <w:rPr>
                <w:rStyle w:val="lev"/>
                <w:rFonts w:ascii="Times New Roman" w:hAnsi="Times New Roman" w:cs="Times New Roman"/>
                <w:noProof/>
              </w:rPr>
              <w:drawing>
                <wp:inline distT="0" distB="0" distL="0" distR="0" wp14:anchorId="672AE72E" wp14:editId="73F3AB92">
                  <wp:extent cx="4620611" cy="157458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94451" cy="1599751"/>
                          </a:xfrm>
                          <a:prstGeom prst="rect">
                            <a:avLst/>
                          </a:prstGeom>
                        </pic:spPr>
                      </pic:pic>
                    </a:graphicData>
                  </a:graphic>
                </wp:inline>
              </w:drawing>
            </w:r>
          </w:p>
          <w:p w14:paraId="53E94745" w14:textId="77777777" w:rsidR="00AE02BD" w:rsidRDefault="00AE02BD" w:rsidP="00376F6E">
            <w:pPr>
              <w:rPr>
                <w:rStyle w:val="lev"/>
                <w:rFonts w:ascii="Times New Roman" w:hAnsi="Times New Roman" w:cs="Times New Roman"/>
              </w:rPr>
            </w:pPr>
          </w:p>
          <w:p w14:paraId="375FF264" w14:textId="77777777" w:rsidR="004A3071" w:rsidRPr="00D36125" w:rsidRDefault="004A3071" w:rsidP="00376F6E">
            <w:pPr>
              <w:rPr>
                <w:rFonts w:ascii="Times New Roman" w:hAnsi="Times New Roman" w:cs="Times New Roman"/>
                <w:sz w:val="24"/>
                <w:szCs w:val="24"/>
              </w:rPr>
            </w:pPr>
            <w:r w:rsidRPr="00AE02BD">
              <w:rPr>
                <w:rStyle w:val="lev"/>
                <w:rFonts w:ascii="Times New Roman" w:hAnsi="Times New Roman" w:cs="Times New Roman"/>
                <w:sz w:val="20"/>
              </w:rPr>
              <w:t>Fig. 2.</w:t>
            </w:r>
            <w:r w:rsidRPr="00AE02BD">
              <w:rPr>
                <w:rFonts w:ascii="Times New Roman" w:hAnsi="Times New Roman" w:cs="Times New Roman"/>
                <w:sz w:val="20"/>
              </w:rPr>
              <w:t xml:space="preserve"> </w:t>
            </w:r>
            <w:commentRangeStart w:id="19"/>
            <w:r w:rsidRPr="00AE02BD">
              <w:rPr>
                <w:rFonts w:ascii="Times New Roman" w:hAnsi="Times New Roman" w:cs="Times New Roman"/>
                <w:sz w:val="20"/>
              </w:rPr>
              <w:t xml:space="preserve">Phylogenetic tree of </w:t>
            </w:r>
            <w:r w:rsidRPr="00AE02BD">
              <w:rPr>
                <w:rFonts w:ascii="Times New Roman" w:hAnsi="Times New Roman" w:cs="Times New Roman"/>
                <w:i/>
                <w:szCs w:val="24"/>
              </w:rPr>
              <w:t xml:space="preserve">Pseudomonas </w:t>
            </w:r>
            <w:r w:rsidRPr="00AE02BD">
              <w:rPr>
                <w:rFonts w:ascii="Times New Roman" w:hAnsi="Times New Roman" w:cs="Times New Roman"/>
                <w:sz w:val="20"/>
              </w:rPr>
              <w:t>isolates based on 16S rRNA gene sequences. The tree was constructed using the Neighbor-Joining method with 1,000 bootstrap replications to infer the evolutionary relationships among the isolates.</w:t>
            </w:r>
            <w:commentRangeEnd w:id="19"/>
            <w:r w:rsidR="008F2498">
              <w:rPr>
                <w:rStyle w:val="Marquedecommentaire"/>
              </w:rPr>
              <w:commentReference w:id="19"/>
            </w:r>
          </w:p>
        </w:tc>
      </w:tr>
    </w:tbl>
    <w:p w14:paraId="725515EA" w14:textId="77777777" w:rsidR="004A3071" w:rsidRDefault="004A3071" w:rsidP="0083641F">
      <w:pPr>
        <w:spacing w:line="360" w:lineRule="auto"/>
        <w:rPr>
          <w:rFonts w:ascii="Times New Roman" w:hAnsi="Times New Roman" w:cs="Times New Roman"/>
          <w:sz w:val="24"/>
          <w:szCs w:val="24"/>
        </w:rPr>
        <w:sectPr w:rsidR="004A3071" w:rsidSect="00783D27">
          <w:pgSz w:w="15840" w:h="12240" w:orient="landscape" w:code="1"/>
          <w:pgMar w:top="1440" w:right="1440" w:bottom="1440" w:left="1440" w:header="720" w:footer="720" w:gutter="0"/>
          <w:cols w:space="720"/>
          <w:docGrid w:linePitch="360"/>
        </w:sectPr>
      </w:pPr>
    </w:p>
    <w:p w14:paraId="45369D88" w14:textId="77777777" w:rsidR="00783D27"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lastRenderedPageBreak/>
        <w:t xml:space="preserve">The successful isolation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from both healthy and wilt-affected brinjal fields suggests their adaptability to varied soil environments and their potential ecological role in suppressing soil-borne pathogens. Similar widespread occurrence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in vegetable crop rhizospheres has been reported earlier, attributing their dominance to rapid growth, efficient root colonization, and metabolic versatility.</w:t>
      </w:r>
    </w:p>
    <w:p w14:paraId="5B46370E"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3.2 Morphological Characterization of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Isolates</w:t>
      </w:r>
    </w:p>
    <w:p w14:paraId="2FBB0D52" w14:textId="77777777" w:rsidR="006C1A25" w:rsidRPr="006C1A25"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t xml:space="preserve">Morphological characterization revealed a high degree of uniformity among the isolates with respect to colony shape and surface features, coupled with minor variations in elevation, margin, and pigmentation (Table 1). All isolates produced round colonies with smooth, shiny surfaces, which are characteristic features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Colony elevation varied between flat and raised forms, while margins were either smooth or irregular. Such variations are commonly observed among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strains and are often influenced by nutrient availability and growth conditions.</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Colony pigmentation ranged from off-white to light yellow, and all isolates were </w:t>
      </w:r>
      <w:proofErr w:type="spellStart"/>
      <w:r w:rsidRPr="006C1A25">
        <w:rPr>
          <w:rFonts w:ascii="Times New Roman" w:hAnsi="Times New Roman" w:cs="Times New Roman"/>
          <w:sz w:val="24"/>
          <w:szCs w:val="24"/>
        </w:rPr>
        <w:t>odourless</w:t>
      </w:r>
      <w:proofErr w:type="spellEnd"/>
      <w:r w:rsidRPr="006C1A25">
        <w:rPr>
          <w:rFonts w:ascii="Times New Roman" w:hAnsi="Times New Roman" w:cs="Times New Roman"/>
          <w:sz w:val="24"/>
          <w:szCs w:val="24"/>
        </w:rPr>
        <w:t xml:space="preserve">. The smooth and shiny colony appearance observed across all isolates indicates active metabolic states and is consistent with earlier descriptions of rhizosphere-associated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The minor morphological differences among isolates collected from different locations may reflect strain-level adaptation to local soil and environmental conditions. However, as morphology alone cannot reliably distinguish species within the genus Pseudomonas, biochemical and molecular analyses were essential for further characterization.</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Kirisits,</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 2005</w:t>
      </w:r>
      <w:r w:rsidR="002636B3">
        <w:rPr>
          <w:rFonts w:ascii="Times New Roman" w:hAnsi="Times New Roman" w:cs="Times New Roman"/>
          <w:sz w:val="24"/>
          <w:szCs w:val="24"/>
        </w:rPr>
        <w:t>;</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Suman,</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w:t>
      </w:r>
      <w:r w:rsidR="00AE0907" w:rsidRPr="00AE0907">
        <w:rPr>
          <w:rFonts w:ascii="Times New Roman" w:hAnsi="Times New Roman" w:cs="Times New Roman"/>
          <w:sz w:val="24"/>
          <w:szCs w:val="24"/>
        </w:rPr>
        <w:t xml:space="preserve"> 2018).</w:t>
      </w:r>
    </w:p>
    <w:p w14:paraId="35FAD895"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3.3 Biochemical Characterization of Antagonistic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Isolates</w:t>
      </w:r>
    </w:p>
    <w:p w14:paraId="7353A524" w14:textId="77777777" w:rsidR="006C1A25"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t xml:space="preserve">Biochemical profiling of the twenty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isolates revealed both uniform and variable traits (Table 2). All isolates were Gram-negative, confirming their affiliation to the genus Pseudomonas. A majority of isolates exhibited positive catalase and oxidase activity, which are hallmark characteristics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and reflect their ability to tolerate oxidative stress and utilize aerobic respiratory pathways.</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Siderophore production was observed in several isolates, including AUPI-2, AUPI-6, AUPI-10, AUPI-12, AUPI-17, and AUPI-20, indicating their potential role in iron sequestration and indirect suppression of phytopathogens. Siderophore-mediated iron competition is a well-recognized biocontrol mechanism employed by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in the rhizosphere.</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Citrate utilization was positive in most isolates, suggesting metabolic versatility and </w:t>
      </w:r>
      <w:r w:rsidRPr="006C1A25">
        <w:rPr>
          <w:rFonts w:ascii="Times New Roman" w:hAnsi="Times New Roman" w:cs="Times New Roman"/>
          <w:sz w:val="24"/>
          <w:szCs w:val="24"/>
        </w:rPr>
        <w:lastRenderedPageBreak/>
        <w:t>adaptability to nutrient-limited soil environments. Nitrate reduction activity was also recorded in several isolates, reflecting their role in nitrogen cycling. Importantly, phosphate solubilization was detected in multiple isolates, highlighting their plant growth-promoting potential in addition to antagonistic activity.</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All isolates tested negative for the methyl red reaction, which is consistent with the oxidative metabolism typical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Variability observed in siderophore production, phosphate solubilization, and nitrate reduction among isolates indicates strain-specific functional differences that may influence their antagonistic efficiency.</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Overall, the biochemical characterization confirmed that the isolated bacteria belong to the genus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and possess multiple traits associated with rhizosphere competence, plant growth promotion, and biocontrol activity. Such functional diversity among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isolates has been widely reported and is considered advantageous for selecting elite strains capable of performing effectively under field conditions.</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Srinivasa,</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 xml:space="preserve">et al., </w:t>
      </w:r>
      <w:r w:rsidR="00AE0907" w:rsidRPr="00AE0907">
        <w:rPr>
          <w:rFonts w:ascii="Times New Roman" w:hAnsi="Times New Roman" w:cs="Times New Roman"/>
          <w:sz w:val="24"/>
          <w:szCs w:val="24"/>
        </w:rPr>
        <w:t>2015</w:t>
      </w:r>
      <w:r w:rsidR="002636B3">
        <w:rPr>
          <w:rFonts w:ascii="Times New Roman" w:hAnsi="Times New Roman" w:cs="Times New Roman"/>
          <w:sz w:val="24"/>
          <w:szCs w:val="24"/>
        </w:rPr>
        <w:t xml:space="preserve">; </w:t>
      </w:r>
      <w:r w:rsidR="00AE0907" w:rsidRPr="00AE0907">
        <w:rPr>
          <w:rFonts w:ascii="Times New Roman" w:hAnsi="Times New Roman" w:cs="Times New Roman"/>
          <w:sz w:val="24"/>
          <w:szCs w:val="24"/>
        </w:rPr>
        <w:t>Uzair,</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 2018)</w:t>
      </w:r>
    </w:p>
    <w:p w14:paraId="6AF34E30" w14:textId="77777777" w:rsidR="006C1A25" w:rsidRDefault="006C1A25" w:rsidP="006C1A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sidRPr="00B17854">
        <w:rPr>
          <w:rFonts w:ascii="Times New Roman" w:eastAsia="Times New Roman" w:hAnsi="Times New Roman" w:cs="Times New Roman"/>
          <w:b/>
          <w:sz w:val="24"/>
          <w:szCs w:val="24"/>
        </w:rPr>
        <w:t xml:space="preserve">Molecular Identification of </w:t>
      </w:r>
      <w:r w:rsidR="00587709" w:rsidRPr="00587709">
        <w:rPr>
          <w:rFonts w:ascii="Times New Roman" w:hAnsi="Times New Roman" w:cs="Times New Roman"/>
          <w:b/>
          <w:i/>
          <w:sz w:val="24"/>
          <w:szCs w:val="24"/>
        </w:rPr>
        <w:t xml:space="preserve">Pseudomonas </w:t>
      </w:r>
      <w:r w:rsidRPr="00B17854">
        <w:rPr>
          <w:rFonts w:ascii="Times New Roman" w:eastAsia="Times New Roman" w:hAnsi="Times New Roman" w:cs="Times New Roman"/>
          <w:b/>
          <w:sz w:val="24"/>
          <w:szCs w:val="24"/>
        </w:rPr>
        <w:t>Isolates</w:t>
      </w:r>
    </w:p>
    <w:p w14:paraId="130B67E0" w14:textId="77777777" w:rsidR="00C24921" w:rsidRDefault="00C24921" w:rsidP="00587709">
      <w:pPr>
        <w:spacing w:line="360" w:lineRule="auto"/>
        <w:jc w:val="both"/>
        <w:rPr>
          <w:rFonts w:ascii="Times New Roman" w:hAnsi="Times New Roman" w:cs="Times New Roman"/>
          <w:sz w:val="24"/>
          <w:szCs w:val="24"/>
        </w:rPr>
      </w:pPr>
      <w:r w:rsidRPr="00C24921">
        <w:rPr>
          <w:rFonts w:ascii="Times New Roman" w:hAnsi="Times New Roman" w:cs="Times New Roman"/>
          <w:sz w:val="24"/>
          <w:szCs w:val="24"/>
        </w:rPr>
        <w:t>Based on an integrated assessment of morphological and biochemical traits (Tables 1 and 2), isolate AUPI-2 was selected for molecular characterization. This isolate displayed colony morphology and biochemical responses that closely conformed to the established di</w:t>
      </w:r>
      <w:r>
        <w:rPr>
          <w:rFonts w:ascii="Times New Roman" w:hAnsi="Times New Roman" w:cs="Times New Roman"/>
          <w:sz w:val="24"/>
          <w:szCs w:val="24"/>
        </w:rPr>
        <w:t xml:space="preserve">agnostic features of the genus </w:t>
      </w:r>
      <w:r w:rsidRPr="00C24921">
        <w:rPr>
          <w:rFonts w:ascii="Times New Roman" w:hAnsi="Times New Roman" w:cs="Times New Roman"/>
          <w:sz w:val="24"/>
          <w:szCs w:val="24"/>
        </w:rPr>
        <w:t xml:space="preserve">Pseudomonas and demonstrated a biochemical profile indicative of strong antagonistic potential. Genomic DNA extracted from isolate AUPI-2 was subjected to 16S rRNA gene sequencing to achieve accurate taxonomic identification. </w:t>
      </w:r>
      <w:r w:rsidR="0072623C" w:rsidRPr="0072623C">
        <w:rPr>
          <w:rFonts w:ascii="Times New Roman" w:hAnsi="Times New Roman" w:cs="Times New Roman"/>
          <w:sz w:val="24"/>
          <w:szCs w:val="24"/>
        </w:rPr>
        <w:t xml:space="preserve">Comparative sequence analysis of the 16S rRNA gene sequence using </w:t>
      </w:r>
      <w:proofErr w:type="spellStart"/>
      <w:r w:rsidR="0072623C" w:rsidRPr="0072623C">
        <w:rPr>
          <w:rFonts w:ascii="Times New Roman" w:hAnsi="Times New Roman" w:cs="Times New Roman"/>
          <w:sz w:val="24"/>
          <w:szCs w:val="24"/>
        </w:rPr>
        <w:t>BLASTn</w:t>
      </w:r>
      <w:proofErr w:type="spellEnd"/>
      <w:r w:rsidR="0072623C" w:rsidRPr="0072623C">
        <w:rPr>
          <w:rFonts w:ascii="Times New Roman" w:hAnsi="Times New Roman" w:cs="Times New Roman"/>
          <w:sz w:val="24"/>
          <w:szCs w:val="24"/>
        </w:rPr>
        <w:t xml:space="preserve"> revealed a high degree of similarity with </w:t>
      </w:r>
      <w:r w:rsidR="004A3071" w:rsidRPr="004A3071">
        <w:rPr>
          <w:rFonts w:ascii="Times New Roman" w:hAnsi="Times New Roman" w:cs="Times New Roman"/>
          <w:i/>
          <w:sz w:val="24"/>
          <w:szCs w:val="24"/>
        </w:rPr>
        <w:t>Pseudomonas fluorescens</w:t>
      </w:r>
      <w:r w:rsidRPr="00C24921">
        <w:rPr>
          <w:rFonts w:ascii="Times New Roman" w:hAnsi="Times New Roman" w:cs="Times New Roman"/>
          <w:sz w:val="24"/>
          <w:szCs w:val="24"/>
        </w:rPr>
        <w:t>. The 16S rRNA gene sequence of isolate AUPI-2 has been deposited in the GenBank database under the accession number PX737072</w:t>
      </w:r>
      <w:r w:rsidR="000A101E">
        <w:rPr>
          <w:rFonts w:ascii="Times New Roman" w:hAnsi="Times New Roman" w:cs="Times New Roman"/>
          <w:sz w:val="24"/>
          <w:szCs w:val="24"/>
        </w:rPr>
        <w:t>.1</w:t>
      </w:r>
      <w:r w:rsidRPr="00C24921">
        <w:rPr>
          <w:rFonts w:ascii="Times New Roman" w:hAnsi="Times New Roman" w:cs="Times New Roman"/>
          <w:sz w:val="24"/>
          <w:szCs w:val="24"/>
        </w:rPr>
        <w:t>, thereby confirming its ident</w:t>
      </w:r>
      <w:r>
        <w:rPr>
          <w:rFonts w:ascii="Times New Roman" w:hAnsi="Times New Roman" w:cs="Times New Roman"/>
          <w:sz w:val="24"/>
          <w:szCs w:val="24"/>
        </w:rPr>
        <w:t xml:space="preserve">ity as </w:t>
      </w:r>
      <w:r w:rsidR="004A3071" w:rsidRPr="004A3071">
        <w:rPr>
          <w:rFonts w:ascii="Times New Roman" w:hAnsi="Times New Roman" w:cs="Times New Roman"/>
          <w:i/>
          <w:sz w:val="24"/>
          <w:szCs w:val="24"/>
        </w:rPr>
        <w:t>Pseudomonas fluorescens</w:t>
      </w:r>
      <w:r w:rsidRPr="00C24921">
        <w:rPr>
          <w:rFonts w:ascii="Times New Roman" w:hAnsi="Times New Roman" w:cs="Times New Roman"/>
          <w:sz w:val="24"/>
          <w:szCs w:val="24"/>
        </w:rPr>
        <w:t>.</w:t>
      </w:r>
      <w:r w:rsidR="0072623C">
        <w:rPr>
          <w:rFonts w:ascii="Times New Roman" w:hAnsi="Times New Roman" w:cs="Times New Roman"/>
          <w:sz w:val="24"/>
          <w:szCs w:val="24"/>
        </w:rPr>
        <w:t xml:space="preserve"> </w:t>
      </w:r>
      <w:r w:rsidR="00AE0907">
        <w:rPr>
          <w:rFonts w:ascii="Times New Roman" w:hAnsi="Times New Roman" w:cs="Times New Roman"/>
          <w:sz w:val="24"/>
          <w:szCs w:val="24"/>
        </w:rPr>
        <w:t>(</w:t>
      </w:r>
      <w:r w:rsidR="00AE0907" w:rsidRPr="00AE0907">
        <w:rPr>
          <w:rFonts w:ascii="Times New Roman" w:hAnsi="Times New Roman" w:cs="Times New Roman"/>
          <w:sz w:val="24"/>
          <w:szCs w:val="24"/>
        </w:rPr>
        <w:t>Hassan,</w:t>
      </w:r>
      <w:r w:rsidR="002636B3">
        <w:rPr>
          <w:rFonts w:ascii="Times New Roman" w:hAnsi="Times New Roman" w:cs="Times New Roman"/>
          <w:sz w:val="24"/>
          <w:szCs w:val="24"/>
        </w:rPr>
        <w:t xml:space="preserve"> </w:t>
      </w:r>
      <w:r w:rsidR="00AE0907" w:rsidRPr="00AE0907">
        <w:rPr>
          <w:rFonts w:ascii="Times New Roman" w:hAnsi="Times New Roman" w:cs="Times New Roman"/>
          <w:sz w:val="24"/>
          <w:szCs w:val="24"/>
        </w:rPr>
        <w:t>Ra</w:t>
      </w:r>
      <w:r w:rsidR="0072623C">
        <w:rPr>
          <w:rFonts w:ascii="Times New Roman" w:hAnsi="Times New Roman" w:cs="Times New Roman"/>
          <w:sz w:val="24"/>
          <w:szCs w:val="24"/>
        </w:rPr>
        <w:t xml:space="preserve">fik, &amp; </w:t>
      </w:r>
      <w:proofErr w:type="spellStart"/>
      <w:r w:rsidR="0072623C">
        <w:rPr>
          <w:rFonts w:ascii="Times New Roman" w:hAnsi="Times New Roman" w:cs="Times New Roman"/>
          <w:sz w:val="24"/>
          <w:szCs w:val="24"/>
        </w:rPr>
        <w:t>Mussum</w:t>
      </w:r>
      <w:proofErr w:type="spellEnd"/>
      <w:r w:rsidR="0072623C">
        <w:rPr>
          <w:rFonts w:ascii="Times New Roman" w:hAnsi="Times New Roman" w:cs="Times New Roman"/>
          <w:sz w:val="24"/>
          <w:szCs w:val="24"/>
        </w:rPr>
        <w:t>,</w:t>
      </w:r>
      <w:r w:rsidR="002636B3">
        <w:rPr>
          <w:rFonts w:ascii="Times New Roman" w:hAnsi="Times New Roman" w:cs="Times New Roman"/>
          <w:sz w:val="24"/>
          <w:szCs w:val="24"/>
        </w:rPr>
        <w:t xml:space="preserve"> </w:t>
      </w:r>
      <w:r w:rsidR="0072623C">
        <w:rPr>
          <w:rFonts w:ascii="Times New Roman" w:hAnsi="Times New Roman" w:cs="Times New Roman"/>
          <w:sz w:val="24"/>
          <w:szCs w:val="24"/>
        </w:rPr>
        <w:t>2012)</w:t>
      </w:r>
    </w:p>
    <w:p w14:paraId="379CA729" w14:textId="77777777" w:rsidR="00587709" w:rsidRPr="00587709" w:rsidRDefault="00587709" w:rsidP="00587709">
      <w:pPr>
        <w:spacing w:line="360" w:lineRule="auto"/>
        <w:jc w:val="both"/>
        <w:rPr>
          <w:rFonts w:ascii="Times New Roman" w:hAnsi="Times New Roman" w:cs="Times New Roman"/>
          <w:b/>
          <w:sz w:val="24"/>
          <w:szCs w:val="24"/>
        </w:rPr>
      </w:pPr>
      <w:r w:rsidRPr="00587709">
        <w:rPr>
          <w:rFonts w:ascii="Times New Roman" w:hAnsi="Times New Roman" w:cs="Times New Roman"/>
          <w:b/>
          <w:sz w:val="24"/>
          <w:szCs w:val="24"/>
        </w:rPr>
        <w:t>CONCLUSION</w:t>
      </w:r>
    </w:p>
    <w:p w14:paraId="0FC59EDF" w14:textId="77777777" w:rsidR="000C5D3F" w:rsidRDefault="000C5D3F" w:rsidP="00587709">
      <w:pPr>
        <w:spacing w:line="360" w:lineRule="auto"/>
        <w:jc w:val="both"/>
        <w:rPr>
          <w:rFonts w:ascii="Times New Roman" w:hAnsi="Times New Roman" w:cs="Times New Roman"/>
          <w:sz w:val="24"/>
          <w:szCs w:val="24"/>
        </w:rPr>
      </w:pPr>
      <w:r w:rsidRPr="000C5D3F">
        <w:rPr>
          <w:rFonts w:ascii="Times New Roman" w:hAnsi="Times New Roman" w:cs="Times New Roman"/>
          <w:sz w:val="24"/>
          <w:szCs w:val="24"/>
        </w:rPr>
        <w:t xml:space="preserve">The present study revealed the widespread occurrence and functional diversity of Pseudomonas spp. in the brinjal rhizosphere across Tamil Nadu and Andhra Pradesh. Morphological and biochemical characterization confirmed the presence of multiple plant-beneficial traits associated with nutrient mobilization and pathogen suppression. Among the isolates, AUPI-2 exhibited superior functional attributes and was molecularly identified as </w:t>
      </w:r>
      <w:r w:rsidR="004A3071" w:rsidRPr="004A3071">
        <w:rPr>
          <w:rFonts w:ascii="Times New Roman" w:hAnsi="Times New Roman" w:cs="Times New Roman"/>
          <w:i/>
          <w:sz w:val="24"/>
          <w:szCs w:val="24"/>
        </w:rPr>
        <w:t>Pseudomonas fluorescens</w:t>
      </w:r>
      <w:r w:rsidRPr="000C5D3F">
        <w:rPr>
          <w:rFonts w:ascii="Times New Roman" w:hAnsi="Times New Roman" w:cs="Times New Roman"/>
          <w:sz w:val="24"/>
          <w:szCs w:val="24"/>
        </w:rPr>
        <w:t xml:space="preserve">. The integrated morpho-molecular approach ensured accurate identification and assessment of its </w:t>
      </w:r>
      <w:r w:rsidRPr="000C5D3F">
        <w:rPr>
          <w:rFonts w:ascii="Times New Roman" w:hAnsi="Times New Roman" w:cs="Times New Roman"/>
          <w:sz w:val="24"/>
          <w:szCs w:val="24"/>
        </w:rPr>
        <w:lastRenderedPageBreak/>
        <w:t>biocontrol potential. Further greenhouse and multi-location field evaluations are essential to validate the consistency, rhizosphere colonization ability, and disease suppression efficacy of AUPI-2 under natural conditions. Successful validation may enable the development of location-specific bioformulations for sustainable brinjal disease management.</w:t>
      </w:r>
    </w:p>
    <w:p w14:paraId="2B6C95B9" w14:textId="77777777" w:rsidR="00AE0907" w:rsidRPr="00AE0907" w:rsidRDefault="00AE0907" w:rsidP="00587709">
      <w:pPr>
        <w:spacing w:line="360" w:lineRule="auto"/>
        <w:jc w:val="both"/>
        <w:rPr>
          <w:rFonts w:ascii="Times New Roman" w:hAnsi="Times New Roman" w:cs="Times New Roman"/>
          <w:b/>
          <w:sz w:val="24"/>
          <w:szCs w:val="24"/>
        </w:rPr>
      </w:pPr>
      <w:commentRangeStart w:id="20"/>
      <w:r w:rsidRPr="00AE0907">
        <w:rPr>
          <w:rFonts w:ascii="Times New Roman" w:hAnsi="Times New Roman" w:cs="Times New Roman"/>
          <w:b/>
          <w:sz w:val="24"/>
          <w:szCs w:val="24"/>
        </w:rPr>
        <w:t xml:space="preserve">Reference </w:t>
      </w:r>
      <w:commentRangeEnd w:id="20"/>
      <w:r w:rsidR="008F2498">
        <w:rPr>
          <w:rStyle w:val="Marquedecommentaire"/>
        </w:rPr>
        <w:commentReference w:id="20"/>
      </w:r>
    </w:p>
    <w:p w14:paraId="7FB8A355" w14:textId="06B3ED9C" w:rsidR="00AE0907" w:rsidRPr="00524515" w:rsidRDefault="00C227B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Baker, J. M., Vander Schaaf, N. A., Cunningham, A. M. G., Hang, A. C., Reeves, C. L., Huffman, E. R., Riester, C. J., Madigan, M. T., &amp; Sattley, W. M. (2019). Chemoorganotrophic Bacteria </w:t>
      </w:r>
      <w:proofErr w:type="gramStart"/>
      <w:r w:rsidRPr="00524515">
        <w:rPr>
          <w:rFonts w:ascii="Arial" w:hAnsi="Arial" w:cs="Arial"/>
          <w:color w:val="222222"/>
          <w:sz w:val="20"/>
          <w:szCs w:val="20"/>
          <w:shd w:val="clear" w:color="auto" w:fill="FFFFFF"/>
        </w:rPr>
        <w:t>From</w:t>
      </w:r>
      <w:proofErr w:type="gramEnd"/>
      <w:r w:rsidRPr="00524515">
        <w:rPr>
          <w:rFonts w:ascii="Arial" w:hAnsi="Arial" w:cs="Arial"/>
          <w:color w:val="222222"/>
          <w:sz w:val="20"/>
          <w:szCs w:val="20"/>
          <w:shd w:val="clear" w:color="auto" w:fill="FFFFFF"/>
        </w:rPr>
        <w:t xml:space="preserve"> Lake Fryxell, Antarctica, Including Pseudomonas Strain LFY10, a Cold-Adapted, Halotolerant Bacterium Useful in Teaching Labs. Frontiers in Microbiology, 10, 156. </w:t>
      </w:r>
      <w:hyperlink r:id="rId19" w:history="1">
        <w:r w:rsidRPr="00524515">
          <w:rPr>
            <w:rStyle w:val="Lienhypertexte"/>
            <w:rFonts w:ascii="Arial" w:hAnsi="Arial" w:cs="Arial"/>
            <w:sz w:val="20"/>
            <w:szCs w:val="20"/>
            <w:shd w:val="clear" w:color="auto" w:fill="FFFFFF"/>
          </w:rPr>
          <w:t>https://doi.org/10.3389/fmicb.2019.00156</w:t>
        </w:r>
      </w:hyperlink>
      <w:r w:rsidRPr="00524515">
        <w:rPr>
          <w:rFonts w:ascii="Arial" w:hAnsi="Arial" w:cs="Arial"/>
          <w:color w:val="222222"/>
          <w:sz w:val="20"/>
          <w:szCs w:val="20"/>
          <w:shd w:val="clear" w:color="auto" w:fill="FFFFFF"/>
        </w:rPr>
        <w:t xml:space="preserve"> </w:t>
      </w:r>
    </w:p>
    <w:p w14:paraId="695EFEDE" w14:textId="221B6D84" w:rsidR="00AE0907" w:rsidRPr="00524515" w:rsidRDefault="006556CD"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Balla, A., </w:t>
      </w:r>
      <w:proofErr w:type="spellStart"/>
      <w:r w:rsidRPr="00524515">
        <w:rPr>
          <w:rFonts w:ascii="Arial" w:hAnsi="Arial" w:cs="Arial"/>
          <w:color w:val="222222"/>
          <w:sz w:val="20"/>
          <w:szCs w:val="20"/>
          <w:shd w:val="clear" w:color="auto" w:fill="FFFFFF"/>
        </w:rPr>
        <w:t>Silini</w:t>
      </w:r>
      <w:proofErr w:type="spellEnd"/>
      <w:r w:rsidRPr="00524515">
        <w:rPr>
          <w:rFonts w:ascii="Arial" w:hAnsi="Arial" w:cs="Arial"/>
          <w:color w:val="222222"/>
          <w:sz w:val="20"/>
          <w:szCs w:val="20"/>
          <w:shd w:val="clear" w:color="auto" w:fill="FFFFFF"/>
        </w:rPr>
        <w:t>, A., Cherif-</w:t>
      </w:r>
      <w:proofErr w:type="spellStart"/>
      <w:r w:rsidRPr="00524515">
        <w:rPr>
          <w:rFonts w:ascii="Arial" w:hAnsi="Arial" w:cs="Arial"/>
          <w:color w:val="222222"/>
          <w:sz w:val="20"/>
          <w:szCs w:val="20"/>
          <w:shd w:val="clear" w:color="auto" w:fill="FFFFFF"/>
        </w:rPr>
        <w:t>Silini</w:t>
      </w:r>
      <w:proofErr w:type="spellEnd"/>
      <w:r w:rsidRPr="00524515">
        <w:rPr>
          <w:rFonts w:ascii="Arial" w:hAnsi="Arial" w:cs="Arial"/>
          <w:color w:val="222222"/>
          <w:sz w:val="20"/>
          <w:szCs w:val="20"/>
          <w:shd w:val="clear" w:color="auto" w:fill="FFFFFF"/>
        </w:rPr>
        <w:t xml:space="preserve">, H., </w:t>
      </w:r>
      <w:proofErr w:type="spellStart"/>
      <w:r w:rsidRPr="00524515">
        <w:rPr>
          <w:rFonts w:ascii="Arial" w:hAnsi="Arial" w:cs="Arial"/>
          <w:color w:val="222222"/>
          <w:sz w:val="20"/>
          <w:szCs w:val="20"/>
          <w:shd w:val="clear" w:color="auto" w:fill="FFFFFF"/>
        </w:rPr>
        <w:t>Chenari</w:t>
      </w:r>
      <w:proofErr w:type="spellEnd"/>
      <w:r w:rsidRPr="00524515">
        <w:rPr>
          <w:rFonts w:ascii="Arial" w:hAnsi="Arial" w:cs="Arial"/>
          <w:color w:val="222222"/>
          <w:sz w:val="20"/>
          <w:szCs w:val="20"/>
          <w:shd w:val="clear" w:color="auto" w:fill="FFFFFF"/>
        </w:rPr>
        <w:t xml:space="preserve"> </w:t>
      </w:r>
      <w:proofErr w:type="spellStart"/>
      <w:r w:rsidRPr="00524515">
        <w:rPr>
          <w:rFonts w:ascii="Arial" w:hAnsi="Arial" w:cs="Arial"/>
          <w:color w:val="222222"/>
          <w:sz w:val="20"/>
          <w:szCs w:val="20"/>
          <w:shd w:val="clear" w:color="auto" w:fill="FFFFFF"/>
        </w:rPr>
        <w:t>Bouket</w:t>
      </w:r>
      <w:proofErr w:type="spellEnd"/>
      <w:r w:rsidRPr="00524515">
        <w:rPr>
          <w:rFonts w:ascii="Arial" w:hAnsi="Arial" w:cs="Arial"/>
          <w:color w:val="222222"/>
          <w:sz w:val="20"/>
          <w:szCs w:val="20"/>
          <w:shd w:val="clear" w:color="auto" w:fill="FFFFFF"/>
        </w:rPr>
        <w:t xml:space="preserve">, A., Moser, W. K., Nowakowska, J. A., </w:t>
      </w:r>
      <w:proofErr w:type="spellStart"/>
      <w:r w:rsidRPr="00524515">
        <w:rPr>
          <w:rFonts w:ascii="Arial" w:hAnsi="Arial" w:cs="Arial"/>
          <w:color w:val="222222"/>
          <w:sz w:val="20"/>
          <w:szCs w:val="20"/>
          <w:shd w:val="clear" w:color="auto" w:fill="FFFFFF"/>
        </w:rPr>
        <w:t>Oszako</w:t>
      </w:r>
      <w:proofErr w:type="spellEnd"/>
      <w:r w:rsidRPr="00524515">
        <w:rPr>
          <w:rFonts w:ascii="Arial" w:hAnsi="Arial" w:cs="Arial"/>
          <w:color w:val="222222"/>
          <w:sz w:val="20"/>
          <w:szCs w:val="20"/>
          <w:shd w:val="clear" w:color="auto" w:fill="FFFFFF"/>
        </w:rPr>
        <w:t xml:space="preserve">, T., Benia, F., &amp; </w:t>
      </w:r>
      <w:proofErr w:type="spellStart"/>
      <w:r w:rsidRPr="00524515">
        <w:rPr>
          <w:rFonts w:ascii="Arial" w:hAnsi="Arial" w:cs="Arial"/>
          <w:color w:val="222222"/>
          <w:sz w:val="20"/>
          <w:szCs w:val="20"/>
          <w:shd w:val="clear" w:color="auto" w:fill="FFFFFF"/>
        </w:rPr>
        <w:t>Belbahri</w:t>
      </w:r>
      <w:proofErr w:type="spellEnd"/>
      <w:r w:rsidRPr="00524515">
        <w:rPr>
          <w:rFonts w:ascii="Arial" w:hAnsi="Arial" w:cs="Arial"/>
          <w:color w:val="222222"/>
          <w:sz w:val="20"/>
          <w:szCs w:val="20"/>
          <w:shd w:val="clear" w:color="auto" w:fill="FFFFFF"/>
        </w:rPr>
        <w:t xml:space="preserve">, L. (2021). The threat of pests and pathogens and the potential for biological control in forest ecosystems. Forests, 12(11), 1579. </w:t>
      </w:r>
      <w:hyperlink r:id="rId20" w:history="1">
        <w:r w:rsidRPr="00524515">
          <w:rPr>
            <w:rStyle w:val="Lienhypertexte"/>
            <w:rFonts w:ascii="Arial" w:hAnsi="Arial" w:cs="Arial"/>
            <w:sz w:val="20"/>
            <w:szCs w:val="20"/>
            <w:shd w:val="clear" w:color="auto" w:fill="FFFFFF"/>
          </w:rPr>
          <w:t>https://doi.org/10.3390/f12111579</w:t>
        </w:r>
      </w:hyperlink>
      <w:r w:rsidRPr="00524515">
        <w:rPr>
          <w:rFonts w:ascii="Arial" w:hAnsi="Arial" w:cs="Arial"/>
          <w:color w:val="222222"/>
          <w:sz w:val="20"/>
          <w:szCs w:val="20"/>
          <w:shd w:val="clear" w:color="auto" w:fill="FFFFFF"/>
        </w:rPr>
        <w:t xml:space="preserve"> </w:t>
      </w:r>
    </w:p>
    <w:p w14:paraId="7C6488C0" w14:textId="213D5D9A" w:rsidR="00AE0907" w:rsidRPr="00524515" w:rsidRDefault="006556CD"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Chakra, P. S., Kumar, P. G. V., &amp; Swamy, C. T. (2019). Isolation and biochemical characterization of plant growth promoting bacteria from a maize crop field. International Journal of Current Microbiology and Applied Sciences, 8(04), 1415-1422. </w:t>
      </w:r>
      <w:hyperlink r:id="rId21" w:history="1">
        <w:r w:rsidRPr="00524515">
          <w:rPr>
            <w:rStyle w:val="Lienhypertexte"/>
            <w:rFonts w:ascii="Arial" w:hAnsi="Arial" w:cs="Arial"/>
            <w:sz w:val="20"/>
            <w:szCs w:val="20"/>
            <w:shd w:val="clear" w:color="auto" w:fill="FFFFFF"/>
          </w:rPr>
          <w:t>https://doi.org/10.20546/ijcmas.2019.804.164</w:t>
        </w:r>
      </w:hyperlink>
      <w:r w:rsidRPr="00524515">
        <w:rPr>
          <w:rFonts w:ascii="Arial" w:hAnsi="Arial" w:cs="Arial"/>
          <w:color w:val="222222"/>
          <w:sz w:val="20"/>
          <w:szCs w:val="20"/>
          <w:shd w:val="clear" w:color="auto" w:fill="FFFFFF"/>
        </w:rPr>
        <w:t xml:space="preserve"> </w:t>
      </w:r>
    </w:p>
    <w:p w14:paraId="37DF227D" w14:textId="77777777" w:rsidR="00AE0907" w:rsidRPr="00524515" w:rsidRDefault="00AE0907"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Garello</w:t>
      </w:r>
      <w:proofErr w:type="spellEnd"/>
      <w:r w:rsidRPr="00524515">
        <w:rPr>
          <w:rFonts w:ascii="Arial" w:hAnsi="Arial" w:cs="Arial"/>
          <w:color w:val="222222"/>
          <w:sz w:val="20"/>
          <w:szCs w:val="20"/>
          <w:shd w:val="clear" w:color="auto" w:fill="FFFFFF"/>
        </w:rPr>
        <w:t>, M., Schiavon, G., Rosati, M., &amp; Spadaro, D. C. (2023). Efficacy of a zero-residue strategy against field and postharvest diseases on strawberries. In </w:t>
      </w:r>
      <w:r w:rsidRPr="00524515">
        <w:rPr>
          <w:rFonts w:ascii="Arial" w:hAnsi="Arial" w:cs="Arial"/>
          <w:i/>
          <w:iCs/>
          <w:color w:val="222222"/>
          <w:sz w:val="20"/>
          <w:szCs w:val="20"/>
          <w:shd w:val="clear" w:color="auto" w:fill="FFFFFF"/>
        </w:rPr>
        <w:t>Book of Abstracts of the 12th International Congress of Plant Pathology</w:t>
      </w:r>
      <w:r w:rsidRPr="00524515">
        <w:rPr>
          <w:rFonts w:ascii="Arial" w:hAnsi="Arial" w:cs="Arial"/>
          <w:color w:val="222222"/>
          <w:sz w:val="20"/>
          <w:szCs w:val="20"/>
          <w:shd w:val="clear" w:color="auto" w:fill="FFFFFF"/>
        </w:rPr>
        <w:t> (pp. 950-950).</w:t>
      </w:r>
    </w:p>
    <w:p w14:paraId="063AEF41" w14:textId="0B13BFBF" w:rsidR="00AE0907" w:rsidRPr="00524515" w:rsidRDefault="00C21D0A"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Ghane, M., &amp; Azimi, Z. (2014). Isolation, identification and antimicrobial susceptibility of Pseudomonas spp. isolated from hospital environment in </w:t>
      </w:r>
      <w:proofErr w:type="spellStart"/>
      <w:r w:rsidRPr="00524515">
        <w:rPr>
          <w:rFonts w:ascii="Arial" w:hAnsi="Arial" w:cs="Arial"/>
          <w:color w:val="222222"/>
          <w:sz w:val="20"/>
          <w:szCs w:val="20"/>
          <w:shd w:val="clear" w:color="auto" w:fill="FFFFFF"/>
        </w:rPr>
        <w:t>Tonekabon</w:t>
      </w:r>
      <w:proofErr w:type="spellEnd"/>
      <w:r w:rsidRPr="00524515">
        <w:rPr>
          <w:rFonts w:ascii="Arial" w:hAnsi="Arial" w:cs="Arial"/>
          <w:color w:val="222222"/>
          <w:sz w:val="20"/>
          <w:szCs w:val="20"/>
          <w:shd w:val="clear" w:color="auto" w:fill="FFFFFF"/>
        </w:rPr>
        <w:t xml:space="preserve">, North of Iran. Journal of Applied &amp; Environmental Microbiology, 2(4), 97-101. </w:t>
      </w:r>
      <w:hyperlink r:id="rId22" w:history="1">
        <w:r w:rsidRPr="00524515">
          <w:rPr>
            <w:rStyle w:val="Lienhypertexte"/>
            <w:rFonts w:ascii="Arial" w:hAnsi="Arial" w:cs="Arial"/>
            <w:sz w:val="20"/>
            <w:szCs w:val="20"/>
            <w:shd w:val="clear" w:color="auto" w:fill="FFFFFF"/>
          </w:rPr>
          <w:t>https://doi.org/10.12691/jaem-2-4-2</w:t>
        </w:r>
      </w:hyperlink>
      <w:r w:rsidRPr="00524515">
        <w:rPr>
          <w:rFonts w:ascii="Arial" w:hAnsi="Arial" w:cs="Arial"/>
          <w:color w:val="222222"/>
          <w:sz w:val="20"/>
          <w:szCs w:val="20"/>
          <w:shd w:val="clear" w:color="auto" w:fill="FFFFFF"/>
        </w:rPr>
        <w:t xml:space="preserve"> </w:t>
      </w:r>
    </w:p>
    <w:p w14:paraId="1DF93BED" w14:textId="5AB87900" w:rsidR="00AE0907" w:rsidRPr="00524515" w:rsidRDefault="00A57F3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Haas, D., &amp; </w:t>
      </w:r>
      <w:proofErr w:type="spellStart"/>
      <w:r w:rsidRPr="00524515">
        <w:rPr>
          <w:rFonts w:ascii="Arial" w:hAnsi="Arial" w:cs="Arial"/>
          <w:color w:val="222222"/>
          <w:sz w:val="20"/>
          <w:szCs w:val="20"/>
          <w:shd w:val="clear" w:color="auto" w:fill="FFFFFF"/>
        </w:rPr>
        <w:t>Défago</w:t>
      </w:r>
      <w:proofErr w:type="spellEnd"/>
      <w:r w:rsidRPr="00524515">
        <w:rPr>
          <w:rFonts w:ascii="Arial" w:hAnsi="Arial" w:cs="Arial"/>
          <w:color w:val="222222"/>
          <w:sz w:val="20"/>
          <w:szCs w:val="20"/>
          <w:shd w:val="clear" w:color="auto" w:fill="FFFFFF"/>
        </w:rPr>
        <w:t xml:space="preserve">, G. (2005). Biological control of soil-borne pathogens by fluorescent pseudomonads. Nature Reviews Microbiology, 3(4), 307-319. </w:t>
      </w:r>
      <w:hyperlink r:id="rId23" w:history="1">
        <w:r w:rsidRPr="00524515">
          <w:rPr>
            <w:rStyle w:val="Lienhypertexte"/>
            <w:rFonts w:ascii="Arial" w:hAnsi="Arial" w:cs="Arial"/>
            <w:sz w:val="20"/>
            <w:szCs w:val="20"/>
            <w:shd w:val="clear" w:color="auto" w:fill="FFFFFF"/>
          </w:rPr>
          <w:t>https://doi.org/10.1038/nrmicro1129</w:t>
        </w:r>
      </w:hyperlink>
      <w:r w:rsidRPr="00524515">
        <w:rPr>
          <w:rFonts w:ascii="Arial" w:hAnsi="Arial" w:cs="Arial"/>
          <w:color w:val="222222"/>
          <w:sz w:val="20"/>
          <w:szCs w:val="20"/>
          <w:shd w:val="clear" w:color="auto" w:fill="FFFFFF"/>
        </w:rPr>
        <w:t xml:space="preserve"> </w:t>
      </w:r>
    </w:p>
    <w:p w14:paraId="7D7CA61F" w14:textId="7A601327" w:rsidR="00AE0907" w:rsidRPr="00524515" w:rsidRDefault="000E7A80" w:rsidP="00524515">
      <w:pPr>
        <w:jc w:val="both"/>
        <w:rPr>
          <w:rFonts w:ascii="Times New Roman" w:hAnsi="Times New Roman" w:cs="Times New Roman"/>
          <w:sz w:val="20"/>
          <w:szCs w:val="20"/>
        </w:rPr>
      </w:pPr>
      <w:r w:rsidRPr="00524515">
        <w:rPr>
          <w:rFonts w:ascii="Arial" w:hAnsi="Arial" w:cs="Arial"/>
          <w:color w:val="222222"/>
          <w:sz w:val="20"/>
          <w:szCs w:val="20"/>
          <w:shd w:val="clear" w:color="auto" w:fill="FFFFFF"/>
        </w:rPr>
        <w:t xml:space="preserve">Hassan, K. I., Rafik, S. A., &amp; </w:t>
      </w:r>
      <w:proofErr w:type="spellStart"/>
      <w:r w:rsidRPr="00524515">
        <w:rPr>
          <w:rFonts w:ascii="Arial" w:hAnsi="Arial" w:cs="Arial"/>
          <w:color w:val="222222"/>
          <w:sz w:val="20"/>
          <w:szCs w:val="20"/>
          <w:shd w:val="clear" w:color="auto" w:fill="FFFFFF"/>
        </w:rPr>
        <w:t>Mussum</w:t>
      </w:r>
      <w:proofErr w:type="spellEnd"/>
      <w:r w:rsidRPr="00524515">
        <w:rPr>
          <w:rFonts w:ascii="Arial" w:hAnsi="Arial" w:cs="Arial"/>
          <w:color w:val="222222"/>
          <w:sz w:val="20"/>
          <w:szCs w:val="20"/>
          <w:shd w:val="clear" w:color="auto" w:fill="FFFFFF"/>
        </w:rPr>
        <w:t xml:space="preserve">, K. (2012). Molecular identification of Pseudomonas aeruginosa isolated from Hospitals in Kurdistan region. Journal of Advanced Medical Research, 2(3), 90-98. </w:t>
      </w:r>
      <w:hyperlink r:id="rId24" w:history="1">
        <w:r w:rsidRPr="00524515">
          <w:rPr>
            <w:rStyle w:val="Lienhypertexte"/>
            <w:rFonts w:ascii="Arial" w:hAnsi="Arial" w:cs="Arial"/>
            <w:sz w:val="20"/>
            <w:szCs w:val="20"/>
            <w:shd w:val="clear" w:color="auto" w:fill="FFFFFF"/>
          </w:rPr>
          <w:t>https://epu.edu.iq/wp-content/uploads/2014/12/Journal-of-Advanced-Medical-Research-Vol.2-No.3-September-2012-90-98.pdf</w:t>
        </w:r>
      </w:hyperlink>
      <w:r w:rsidRPr="00524515">
        <w:rPr>
          <w:rFonts w:ascii="Arial" w:hAnsi="Arial" w:cs="Arial"/>
          <w:color w:val="222222"/>
          <w:sz w:val="20"/>
          <w:szCs w:val="20"/>
          <w:shd w:val="clear" w:color="auto" w:fill="FFFFFF"/>
        </w:rPr>
        <w:t xml:space="preserve"> </w:t>
      </w:r>
    </w:p>
    <w:p w14:paraId="31FDE7DA" w14:textId="7BD0449B"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Jaafar, Z. M., </w:t>
      </w:r>
      <w:proofErr w:type="spellStart"/>
      <w:r w:rsidRPr="00524515">
        <w:rPr>
          <w:rFonts w:ascii="Arial" w:hAnsi="Arial" w:cs="Arial"/>
          <w:color w:val="222222"/>
          <w:sz w:val="20"/>
          <w:szCs w:val="20"/>
          <w:shd w:val="clear" w:color="auto" w:fill="FFFFFF"/>
        </w:rPr>
        <w:t>Dhahi</w:t>
      </w:r>
      <w:proofErr w:type="spellEnd"/>
      <w:r w:rsidRPr="00524515">
        <w:rPr>
          <w:rFonts w:ascii="Arial" w:hAnsi="Arial" w:cs="Arial"/>
          <w:color w:val="222222"/>
          <w:sz w:val="20"/>
          <w:szCs w:val="20"/>
          <w:shd w:val="clear" w:color="auto" w:fill="FFFFFF"/>
        </w:rPr>
        <w:t xml:space="preserve">, M. A. R., Abd, A. K. H., &amp; Jaafar, S. M. (2014). Molecular identification and antibiotics resistance genes profile of Pseudomonas aeruginosa isolated from Iraqi patients. African Journal of Microbiology Research, 8(21), 2183-2192. </w:t>
      </w:r>
      <w:hyperlink r:id="rId25" w:history="1">
        <w:r w:rsidRPr="00524515">
          <w:rPr>
            <w:rStyle w:val="Lienhypertexte"/>
            <w:rFonts w:ascii="Arial" w:hAnsi="Arial" w:cs="Arial"/>
            <w:sz w:val="20"/>
            <w:szCs w:val="20"/>
            <w:shd w:val="clear" w:color="auto" w:fill="FFFFFF"/>
          </w:rPr>
          <w:t>https://doi.org/10.5897/AJMR2013.6472</w:t>
        </w:r>
      </w:hyperlink>
      <w:r w:rsidRPr="00524515">
        <w:rPr>
          <w:rFonts w:ascii="Arial" w:hAnsi="Arial" w:cs="Arial"/>
          <w:color w:val="222222"/>
          <w:sz w:val="20"/>
          <w:szCs w:val="20"/>
          <w:shd w:val="clear" w:color="auto" w:fill="FFFFFF"/>
        </w:rPr>
        <w:t xml:space="preserve"> </w:t>
      </w:r>
    </w:p>
    <w:p w14:paraId="74B461F2" w14:textId="77777777" w:rsidR="00AE0907" w:rsidRPr="00524515" w:rsidRDefault="00AE090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Karbhari, M. S. R. (2021). </w:t>
      </w:r>
      <w:r w:rsidRPr="00524515">
        <w:rPr>
          <w:rFonts w:ascii="Arial" w:hAnsi="Arial" w:cs="Arial"/>
          <w:i/>
          <w:iCs/>
          <w:color w:val="222222"/>
          <w:sz w:val="20"/>
          <w:szCs w:val="20"/>
          <w:shd w:val="clear" w:color="auto" w:fill="FFFFFF"/>
        </w:rPr>
        <w:t>DEVELOPMENT OF ORGANIC FARMING PACKAGE FOR BRINJAL (Solanum melongena L.)</w:t>
      </w:r>
      <w:r w:rsidRPr="00524515">
        <w:rPr>
          <w:rFonts w:ascii="Arial" w:hAnsi="Arial" w:cs="Arial"/>
          <w:color w:val="222222"/>
          <w:sz w:val="20"/>
          <w:szCs w:val="20"/>
          <w:shd w:val="clear" w:color="auto" w:fill="FFFFFF"/>
        </w:rPr>
        <w:t> (Doctoral dissertation, MAHATMA PHULE KRISHI VIDYAPEETH).</w:t>
      </w:r>
    </w:p>
    <w:p w14:paraId="471E7341" w14:textId="0C27B3AF"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King, E. O., Ward, M. K., &amp; Raney, D. E. (1954). Two simple media for the demonstration of pyocyanin and </w:t>
      </w:r>
      <w:proofErr w:type="spellStart"/>
      <w:r w:rsidRPr="00524515">
        <w:rPr>
          <w:rFonts w:ascii="Arial" w:hAnsi="Arial" w:cs="Arial"/>
          <w:color w:val="222222"/>
          <w:sz w:val="20"/>
          <w:szCs w:val="20"/>
          <w:shd w:val="clear" w:color="auto" w:fill="FFFFFF"/>
        </w:rPr>
        <w:t>fluorescin</w:t>
      </w:r>
      <w:proofErr w:type="spellEnd"/>
      <w:r w:rsidRPr="00524515">
        <w:rPr>
          <w:rFonts w:ascii="Arial" w:hAnsi="Arial" w:cs="Arial"/>
          <w:color w:val="222222"/>
          <w:sz w:val="20"/>
          <w:szCs w:val="20"/>
          <w:shd w:val="clear" w:color="auto" w:fill="FFFFFF"/>
        </w:rPr>
        <w:t xml:space="preserve">. The Journal of Laboratory and Clinical Medicine, 44(2), 301-307. </w:t>
      </w:r>
      <w:hyperlink r:id="rId26" w:history="1">
        <w:r w:rsidRPr="00524515">
          <w:rPr>
            <w:rStyle w:val="Lienhypertexte"/>
            <w:rFonts w:ascii="Arial" w:hAnsi="Arial" w:cs="Arial"/>
            <w:sz w:val="20"/>
            <w:szCs w:val="20"/>
            <w:shd w:val="clear" w:color="auto" w:fill="FFFFFF"/>
          </w:rPr>
          <w:t>https://pubmed.ncbi.nlm.nih.gov/13184240/</w:t>
        </w:r>
      </w:hyperlink>
      <w:r w:rsidRPr="00524515">
        <w:rPr>
          <w:rFonts w:ascii="Arial" w:hAnsi="Arial" w:cs="Arial"/>
          <w:color w:val="222222"/>
          <w:sz w:val="20"/>
          <w:szCs w:val="20"/>
          <w:shd w:val="clear" w:color="auto" w:fill="FFFFFF"/>
        </w:rPr>
        <w:t xml:space="preserve"> </w:t>
      </w:r>
    </w:p>
    <w:p w14:paraId="763865A4" w14:textId="4684CD28"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Kirisits, M. J., Prost, L., Starkey, M., &amp; </w:t>
      </w:r>
      <w:proofErr w:type="spellStart"/>
      <w:r w:rsidRPr="00524515">
        <w:rPr>
          <w:rFonts w:ascii="Arial" w:hAnsi="Arial" w:cs="Arial"/>
          <w:color w:val="222222"/>
          <w:sz w:val="20"/>
          <w:szCs w:val="20"/>
          <w:shd w:val="clear" w:color="auto" w:fill="FFFFFF"/>
        </w:rPr>
        <w:t>Parsek</w:t>
      </w:r>
      <w:proofErr w:type="spellEnd"/>
      <w:r w:rsidRPr="00524515">
        <w:rPr>
          <w:rFonts w:ascii="Arial" w:hAnsi="Arial" w:cs="Arial"/>
          <w:color w:val="222222"/>
          <w:sz w:val="20"/>
          <w:szCs w:val="20"/>
          <w:shd w:val="clear" w:color="auto" w:fill="FFFFFF"/>
        </w:rPr>
        <w:t xml:space="preserve">, M. R. (2005). Characterization of colony morphology variants isolated from Pseudomonas aeruginosa biofilms. Applied and Environmental Microbiology, 71(8), 4809-4821. </w:t>
      </w:r>
      <w:hyperlink r:id="rId27" w:history="1">
        <w:r w:rsidRPr="00524515">
          <w:rPr>
            <w:rStyle w:val="Lienhypertexte"/>
            <w:rFonts w:ascii="Arial" w:hAnsi="Arial" w:cs="Arial"/>
            <w:sz w:val="20"/>
            <w:szCs w:val="20"/>
            <w:shd w:val="clear" w:color="auto" w:fill="FFFFFF"/>
          </w:rPr>
          <w:t>https://doi.org/10.1128/AEM.71.8.4809-4821.2005</w:t>
        </w:r>
      </w:hyperlink>
      <w:r w:rsidRPr="00524515">
        <w:rPr>
          <w:rFonts w:ascii="Arial" w:hAnsi="Arial" w:cs="Arial"/>
          <w:color w:val="222222"/>
          <w:sz w:val="20"/>
          <w:szCs w:val="20"/>
          <w:shd w:val="clear" w:color="auto" w:fill="FFFFFF"/>
        </w:rPr>
        <w:t xml:space="preserve"> </w:t>
      </w:r>
    </w:p>
    <w:p w14:paraId="6CA04D65" w14:textId="65098B4A"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Nikbin, V. S., Aslani, M. M., Sharafi, Z., </w:t>
      </w:r>
      <w:proofErr w:type="spellStart"/>
      <w:r w:rsidRPr="00524515">
        <w:rPr>
          <w:rFonts w:ascii="Arial" w:hAnsi="Arial" w:cs="Arial"/>
          <w:color w:val="222222"/>
          <w:sz w:val="20"/>
          <w:szCs w:val="20"/>
          <w:shd w:val="clear" w:color="auto" w:fill="FFFFFF"/>
        </w:rPr>
        <w:t>Hashemipour</w:t>
      </w:r>
      <w:proofErr w:type="spellEnd"/>
      <w:r w:rsidRPr="00524515">
        <w:rPr>
          <w:rFonts w:ascii="Arial" w:hAnsi="Arial" w:cs="Arial"/>
          <w:color w:val="222222"/>
          <w:sz w:val="20"/>
          <w:szCs w:val="20"/>
          <w:shd w:val="clear" w:color="auto" w:fill="FFFFFF"/>
        </w:rPr>
        <w:t xml:space="preserve">, M., </w:t>
      </w:r>
      <w:proofErr w:type="spellStart"/>
      <w:r w:rsidRPr="00524515">
        <w:rPr>
          <w:rFonts w:ascii="Arial" w:hAnsi="Arial" w:cs="Arial"/>
          <w:color w:val="222222"/>
          <w:sz w:val="20"/>
          <w:szCs w:val="20"/>
          <w:shd w:val="clear" w:color="auto" w:fill="FFFFFF"/>
        </w:rPr>
        <w:t>Shahcheraghi</w:t>
      </w:r>
      <w:proofErr w:type="spellEnd"/>
      <w:r w:rsidRPr="00524515">
        <w:rPr>
          <w:rFonts w:ascii="Arial" w:hAnsi="Arial" w:cs="Arial"/>
          <w:color w:val="222222"/>
          <w:sz w:val="20"/>
          <w:szCs w:val="20"/>
          <w:shd w:val="clear" w:color="auto" w:fill="FFFFFF"/>
        </w:rPr>
        <w:t xml:space="preserve">, F., &amp; </w:t>
      </w:r>
      <w:proofErr w:type="spellStart"/>
      <w:r w:rsidRPr="00524515">
        <w:rPr>
          <w:rFonts w:ascii="Arial" w:hAnsi="Arial" w:cs="Arial"/>
          <w:color w:val="222222"/>
          <w:sz w:val="20"/>
          <w:szCs w:val="20"/>
          <w:shd w:val="clear" w:color="auto" w:fill="FFFFFF"/>
        </w:rPr>
        <w:t>Ebrahimipour</w:t>
      </w:r>
      <w:proofErr w:type="spellEnd"/>
      <w:r w:rsidRPr="00524515">
        <w:rPr>
          <w:rFonts w:ascii="Arial" w:hAnsi="Arial" w:cs="Arial"/>
          <w:color w:val="222222"/>
          <w:sz w:val="20"/>
          <w:szCs w:val="20"/>
          <w:shd w:val="clear" w:color="auto" w:fill="FFFFFF"/>
        </w:rPr>
        <w:t xml:space="preserve">, G. H. (2012). Molecular identification and detection of virulence genes among Pseudomonas aeruginosa isolated from </w:t>
      </w:r>
      <w:r w:rsidRPr="00524515">
        <w:rPr>
          <w:rFonts w:ascii="Arial" w:hAnsi="Arial" w:cs="Arial"/>
          <w:color w:val="222222"/>
          <w:sz w:val="20"/>
          <w:szCs w:val="20"/>
          <w:shd w:val="clear" w:color="auto" w:fill="FFFFFF"/>
        </w:rPr>
        <w:lastRenderedPageBreak/>
        <w:t xml:space="preserve">different infectious origins. Iranian Journal of Microbiology, 4(3), 118-123. </w:t>
      </w:r>
      <w:hyperlink r:id="rId28" w:history="1">
        <w:r w:rsidRPr="00524515">
          <w:rPr>
            <w:rStyle w:val="Lienhypertexte"/>
            <w:rFonts w:ascii="Arial" w:hAnsi="Arial" w:cs="Arial"/>
            <w:sz w:val="20"/>
            <w:szCs w:val="20"/>
            <w:shd w:val="clear" w:color="auto" w:fill="FFFFFF"/>
          </w:rPr>
          <w:t>https://pubmed.ncbi.nlm.nih.gov/23066485/</w:t>
        </w:r>
      </w:hyperlink>
      <w:r w:rsidRPr="00524515">
        <w:rPr>
          <w:rFonts w:ascii="Arial" w:hAnsi="Arial" w:cs="Arial"/>
          <w:color w:val="222222"/>
          <w:sz w:val="20"/>
          <w:szCs w:val="20"/>
          <w:shd w:val="clear" w:color="auto" w:fill="FFFFFF"/>
        </w:rPr>
        <w:t xml:space="preserve"> </w:t>
      </w:r>
    </w:p>
    <w:p w14:paraId="5CC60F9B" w14:textId="4B6CC2C6"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Nikel, P. I. (2018). Norberto José </w:t>
      </w:r>
      <w:proofErr w:type="spellStart"/>
      <w:r w:rsidRPr="00524515">
        <w:rPr>
          <w:rFonts w:ascii="Arial" w:hAnsi="Arial" w:cs="Arial"/>
          <w:color w:val="222222"/>
          <w:sz w:val="20"/>
          <w:szCs w:val="20"/>
          <w:shd w:val="clear" w:color="auto" w:fill="FFFFFF"/>
        </w:rPr>
        <w:t>Palleroni</w:t>
      </w:r>
      <w:proofErr w:type="spellEnd"/>
      <w:r w:rsidRPr="00524515">
        <w:rPr>
          <w:rFonts w:ascii="Arial" w:hAnsi="Arial" w:cs="Arial"/>
          <w:color w:val="222222"/>
          <w:sz w:val="20"/>
          <w:szCs w:val="20"/>
          <w:shd w:val="clear" w:color="auto" w:fill="FFFFFF"/>
        </w:rPr>
        <w:t xml:space="preserve"> (1922-2018): </w:t>
      </w:r>
      <w:proofErr w:type="spellStart"/>
      <w:r w:rsidRPr="00524515">
        <w:rPr>
          <w:rFonts w:ascii="Arial" w:hAnsi="Arial" w:cs="Arial"/>
          <w:color w:val="222222"/>
          <w:sz w:val="20"/>
          <w:szCs w:val="20"/>
          <w:shd w:val="clear" w:color="auto" w:fill="FFFFFF"/>
        </w:rPr>
        <w:t>semblanza</w:t>
      </w:r>
      <w:proofErr w:type="spellEnd"/>
      <w:r w:rsidRPr="00524515">
        <w:rPr>
          <w:rFonts w:ascii="Arial" w:hAnsi="Arial" w:cs="Arial"/>
          <w:color w:val="222222"/>
          <w:sz w:val="20"/>
          <w:szCs w:val="20"/>
          <w:shd w:val="clear" w:color="auto" w:fill="FFFFFF"/>
        </w:rPr>
        <w:t xml:space="preserve"> de un </w:t>
      </w:r>
      <w:proofErr w:type="spellStart"/>
      <w:r w:rsidRPr="00524515">
        <w:rPr>
          <w:rFonts w:ascii="Arial" w:hAnsi="Arial" w:cs="Arial"/>
          <w:color w:val="222222"/>
          <w:sz w:val="20"/>
          <w:szCs w:val="20"/>
          <w:shd w:val="clear" w:color="auto" w:fill="FFFFFF"/>
        </w:rPr>
        <w:t>pionero</w:t>
      </w:r>
      <w:proofErr w:type="spellEnd"/>
      <w:r w:rsidRPr="00524515">
        <w:rPr>
          <w:rFonts w:ascii="Arial" w:hAnsi="Arial" w:cs="Arial"/>
          <w:color w:val="222222"/>
          <w:sz w:val="20"/>
          <w:szCs w:val="20"/>
          <w:shd w:val="clear" w:color="auto" w:fill="FFFFFF"/>
        </w:rPr>
        <w:t xml:space="preserve"> de la </w:t>
      </w:r>
      <w:proofErr w:type="spellStart"/>
      <w:r w:rsidRPr="00524515">
        <w:rPr>
          <w:rFonts w:ascii="Arial" w:hAnsi="Arial" w:cs="Arial"/>
          <w:color w:val="222222"/>
          <w:sz w:val="20"/>
          <w:szCs w:val="20"/>
          <w:shd w:val="clear" w:color="auto" w:fill="FFFFFF"/>
        </w:rPr>
        <w:t>biología</w:t>
      </w:r>
      <w:proofErr w:type="spellEnd"/>
      <w:r w:rsidRPr="00524515">
        <w:rPr>
          <w:rFonts w:ascii="Arial" w:hAnsi="Arial" w:cs="Arial"/>
          <w:color w:val="222222"/>
          <w:sz w:val="20"/>
          <w:szCs w:val="20"/>
          <w:shd w:val="clear" w:color="auto" w:fill="FFFFFF"/>
        </w:rPr>
        <w:t xml:space="preserve"> y </w:t>
      </w:r>
      <w:proofErr w:type="spellStart"/>
      <w:r w:rsidRPr="00524515">
        <w:rPr>
          <w:rFonts w:ascii="Arial" w:hAnsi="Arial" w:cs="Arial"/>
          <w:color w:val="222222"/>
          <w:sz w:val="20"/>
          <w:szCs w:val="20"/>
          <w:shd w:val="clear" w:color="auto" w:fill="FFFFFF"/>
        </w:rPr>
        <w:t>taxonomía</w:t>
      </w:r>
      <w:proofErr w:type="spellEnd"/>
      <w:r w:rsidRPr="00524515">
        <w:rPr>
          <w:rFonts w:ascii="Arial" w:hAnsi="Arial" w:cs="Arial"/>
          <w:color w:val="222222"/>
          <w:sz w:val="20"/>
          <w:szCs w:val="20"/>
          <w:shd w:val="clear" w:color="auto" w:fill="FFFFFF"/>
        </w:rPr>
        <w:t xml:space="preserve"> molecular del </w:t>
      </w:r>
      <w:proofErr w:type="spellStart"/>
      <w:r w:rsidRPr="00524515">
        <w:rPr>
          <w:rFonts w:ascii="Arial" w:hAnsi="Arial" w:cs="Arial"/>
          <w:color w:val="222222"/>
          <w:sz w:val="20"/>
          <w:szCs w:val="20"/>
          <w:shd w:val="clear" w:color="auto" w:fill="FFFFFF"/>
        </w:rPr>
        <w:t>género</w:t>
      </w:r>
      <w:proofErr w:type="spellEnd"/>
      <w:r w:rsidRPr="00524515">
        <w:rPr>
          <w:rFonts w:ascii="Arial" w:hAnsi="Arial" w:cs="Arial"/>
          <w:color w:val="222222"/>
          <w:sz w:val="20"/>
          <w:szCs w:val="20"/>
          <w:shd w:val="clear" w:color="auto" w:fill="FFFFFF"/>
        </w:rPr>
        <w:t xml:space="preserve"> Pseudomonas. </w:t>
      </w:r>
      <w:proofErr w:type="spellStart"/>
      <w:r w:rsidRPr="00524515">
        <w:rPr>
          <w:rFonts w:ascii="Arial" w:hAnsi="Arial" w:cs="Arial"/>
          <w:color w:val="222222"/>
          <w:sz w:val="20"/>
          <w:szCs w:val="20"/>
          <w:shd w:val="clear" w:color="auto" w:fill="FFFFFF"/>
        </w:rPr>
        <w:t>Química</w:t>
      </w:r>
      <w:proofErr w:type="spellEnd"/>
      <w:r w:rsidRPr="00524515">
        <w:rPr>
          <w:rFonts w:ascii="Arial" w:hAnsi="Arial" w:cs="Arial"/>
          <w:color w:val="222222"/>
          <w:sz w:val="20"/>
          <w:szCs w:val="20"/>
          <w:shd w:val="clear" w:color="auto" w:fill="FFFFFF"/>
        </w:rPr>
        <w:t xml:space="preserve"> Viva, 17(2). </w:t>
      </w:r>
      <w:hyperlink r:id="rId29" w:history="1">
        <w:r w:rsidRPr="00524515">
          <w:rPr>
            <w:rStyle w:val="Lienhypertexte"/>
            <w:rFonts w:ascii="Arial" w:hAnsi="Arial" w:cs="Arial"/>
            <w:sz w:val="20"/>
            <w:szCs w:val="20"/>
            <w:shd w:val="clear" w:color="auto" w:fill="FFFFFF"/>
          </w:rPr>
          <w:t>https://www.redalyc.org/articulo.oa?id=86382389002</w:t>
        </w:r>
      </w:hyperlink>
      <w:r w:rsidRPr="00524515">
        <w:rPr>
          <w:rFonts w:ascii="Arial" w:hAnsi="Arial" w:cs="Arial"/>
          <w:color w:val="222222"/>
          <w:sz w:val="20"/>
          <w:szCs w:val="20"/>
          <w:shd w:val="clear" w:color="auto" w:fill="FFFFFF"/>
        </w:rPr>
        <w:t xml:space="preserve"> </w:t>
      </w:r>
    </w:p>
    <w:p w14:paraId="35518726" w14:textId="5BD30D38"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Phour</w:t>
      </w:r>
      <w:proofErr w:type="spellEnd"/>
      <w:r w:rsidRPr="00524515">
        <w:rPr>
          <w:rFonts w:ascii="Arial" w:hAnsi="Arial" w:cs="Arial"/>
          <w:color w:val="222222"/>
          <w:sz w:val="20"/>
          <w:szCs w:val="20"/>
          <w:shd w:val="clear" w:color="auto" w:fill="FFFFFF"/>
        </w:rPr>
        <w:t xml:space="preserve">, M., &amp; Sindhu, S. S. (2023). Soil salinity and climate change: microbiome-based strategies for mitigation of salt stress to sustainable agriculture. In Climate change and microbiome dynamics: carbon cycle feedbacks (pp. 191-243). Cham: Springer International Publishing. </w:t>
      </w:r>
      <w:hyperlink r:id="rId30" w:history="1">
        <w:r w:rsidRPr="00524515">
          <w:rPr>
            <w:rStyle w:val="Lienhypertexte"/>
            <w:rFonts w:ascii="Arial" w:hAnsi="Arial" w:cs="Arial"/>
            <w:sz w:val="20"/>
            <w:szCs w:val="20"/>
            <w:shd w:val="clear" w:color="auto" w:fill="FFFFFF"/>
          </w:rPr>
          <w:t>https://doi.org/10.1007/978-3-031-21079-2_13</w:t>
        </w:r>
      </w:hyperlink>
      <w:r w:rsidRPr="00524515">
        <w:rPr>
          <w:rFonts w:ascii="Arial" w:hAnsi="Arial" w:cs="Arial"/>
          <w:color w:val="222222"/>
          <w:sz w:val="20"/>
          <w:szCs w:val="20"/>
          <w:shd w:val="clear" w:color="auto" w:fill="FFFFFF"/>
        </w:rPr>
        <w:t xml:space="preserve"> </w:t>
      </w:r>
    </w:p>
    <w:p w14:paraId="13BA8E7B" w14:textId="76816984" w:rsidR="00AE0907" w:rsidRPr="00524515" w:rsidRDefault="00640915"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Rajashekhar, M., </w:t>
      </w:r>
      <w:proofErr w:type="spellStart"/>
      <w:r w:rsidRPr="00524515">
        <w:rPr>
          <w:rFonts w:ascii="Arial" w:hAnsi="Arial" w:cs="Arial"/>
          <w:color w:val="222222"/>
          <w:sz w:val="20"/>
          <w:szCs w:val="20"/>
          <w:shd w:val="clear" w:color="auto" w:fill="FFFFFF"/>
        </w:rPr>
        <w:t>Shahanaz</w:t>
      </w:r>
      <w:proofErr w:type="spellEnd"/>
      <w:r w:rsidRPr="00524515">
        <w:rPr>
          <w:rFonts w:ascii="Arial" w:hAnsi="Arial" w:cs="Arial"/>
          <w:color w:val="222222"/>
          <w:sz w:val="20"/>
          <w:szCs w:val="20"/>
          <w:shd w:val="clear" w:color="auto" w:fill="FFFFFF"/>
        </w:rPr>
        <w:t xml:space="preserve">, E., &amp; Kalia, V. K. (2017). Biochemical and molecular characterization of Bacillus spp. isolated from insects. Journal of Entomology and Zoology Studies, 5(5), 581-588. </w:t>
      </w:r>
      <w:hyperlink r:id="rId31" w:history="1">
        <w:r w:rsidRPr="00524515">
          <w:rPr>
            <w:rStyle w:val="Lienhypertexte"/>
            <w:rFonts w:ascii="Arial" w:hAnsi="Arial" w:cs="Arial"/>
            <w:sz w:val="20"/>
            <w:szCs w:val="20"/>
            <w:shd w:val="clear" w:color="auto" w:fill="FFFFFF"/>
          </w:rPr>
          <w:t>https://www.entomoljournal.com/archives/2017/vol5issue5/PartI/5-4-10-201.pdf</w:t>
        </w:r>
      </w:hyperlink>
      <w:r w:rsidRPr="00524515">
        <w:rPr>
          <w:rFonts w:ascii="Arial" w:hAnsi="Arial" w:cs="Arial"/>
          <w:color w:val="222222"/>
          <w:sz w:val="20"/>
          <w:szCs w:val="20"/>
          <w:shd w:val="clear" w:color="auto" w:fill="FFFFFF"/>
        </w:rPr>
        <w:t xml:space="preserve"> </w:t>
      </w:r>
    </w:p>
    <w:p w14:paraId="76F8B7B5" w14:textId="5D1D81B9" w:rsidR="00AE0907" w:rsidRPr="00524515" w:rsidRDefault="00640915"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Saranraj, P., Sayyed, R. Z., Kokila, M., Sudha, A., </w:t>
      </w:r>
      <w:proofErr w:type="spellStart"/>
      <w:r w:rsidRPr="00524515">
        <w:rPr>
          <w:rFonts w:ascii="Arial" w:hAnsi="Arial" w:cs="Arial"/>
          <w:color w:val="222222"/>
          <w:sz w:val="20"/>
          <w:szCs w:val="20"/>
          <w:shd w:val="clear" w:color="auto" w:fill="FFFFFF"/>
        </w:rPr>
        <w:t>Sivasakthivelan</w:t>
      </w:r>
      <w:proofErr w:type="spellEnd"/>
      <w:r w:rsidRPr="00524515">
        <w:rPr>
          <w:rFonts w:ascii="Arial" w:hAnsi="Arial" w:cs="Arial"/>
          <w:color w:val="222222"/>
          <w:sz w:val="20"/>
          <w:szCs w:val="20"/>
          <w:shd w:val="clear" w:color="auto" w:fill="FFFFFF"/>
        </w:rPr>
        <w:t xml:space="preserve">, P., Devi, M. D., Naz, R., &amp; Yasmin, H. (2022). Plant growth-promoting and biocontrol metabolites produced by Endophytic Pseudomonas fluorescence. In R. Z. Sayyed &amp; V. G. </w:t>
      </w:r>
      <w:proofErr w:type="spellStart"/>
      <w:r w:rsidRPr="00524515">
        <w:rPr>
          <w:rFonts w:ascii="Arial" w:hAnsi="Arial" w:cs="Arial"/>
          <w:color w:val="222222"/>
          <w:sz w:val="20"/>
          <w:szCs w:val="20"/>
          <w:shd w:val="clear" w:color="auto" w:fill="FFFFFF"/>
        </w:rPr>
        <w:t>Uarrota</w:t>
      </w:r>
      <w:proofErr w:type="spellEnd"/>
      <w:r w:rsidRPr="00524515">
        <w:rPr>
          <w:rFonts w:ascii="Arial" w:hAnsi="Arial" w:cs="Arial"/>
          <w:color w:val="222222"/>
          <w:sz w:val="20"/>
          <w:szCs w:val="20"/>
          <w:shd w:val="clear" w:color="auto" w:fill="FFFFFF"/>
        </w:rPr>
        <w:t xml:space="preserve"> (Eds.), Secondary metabolites and volatiles of PGPR in plant-growth promotion (pp. 349-381). Springer International Publishing. </w:t>
      </w:r>
      <w:hyperlink r:id="rId32" w:history="1">
        <w:r w:rsidRPr="00524515">
          <w:rPr>
            <w:rStyle w:val="Lienhypertexte"/>
            <w:rFonts w:ascii="Arial" w:hAnsi="Arial" w:cs="Arial"/>
            <w:sz w:val="20"/>
            <w:szCs w:val="20"/>
            <w:shd w:val="clear" w:color="auto" w:fill="FFFFFF"/>
          </w:rPr>
          <w:t>https://doi.org/10.1007/978-3-031-07559-9_18</w:t>
        </w:r>
      </w:hyperlink>
      <w:r w:rsidRPr="00524515">
        <w:rPr>
          <w:rFonts w:ascii="Arial" w:hAnsi="Arial" w:cs="Arial"/>
          <w:color w:val="222222"/>
          <w:sz w:val="20"/>
          <w:szCs w:val="20"/>
          <w:shd w:val="clear" w:color="auto" w:fill="FFFFFF"/>
        </w:rPr>
        <w:t xml:space="preserve"> </w:t>
      </w:r>
    </w:p>
    <w:p w14:paraId="3EAC8F58" w14:textId="31F39E06" w:rsidR="00AE0907" w:rsidRPr="00524515" w:rsidRDefault="00640915"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Sherpa, M. T., Sharma, L., Bag, N., &amp; Das, S. (2021). Isolation, characterization, and evaluation of native rhizobacterial consortia developed from the rhizosphere of rice grown in organic state Sikkim, India, and their effect on plant growth. Frontiers in microbiology, 12, 713660. </w:t>
      </w:r>
      <w:hyperlink r:id="rId33" w:history="1">
        <w:r w:rsidRPr="00524515">
          <w:rPr>
            <w:rStyle w:val="Lienhypertexte"/>
            <w:rFonts w:ascii="Arial" w:hAnsi="Arial" w:cs="Arial"/>
            <w:sz w:val="20"/>
            <w:szCs w:val="20"/>
            <w:shd w:val="clear" w:color="auto" w:fill="FFFFFF"/>
          </w:rPr>
          <w:t>https://doi.org/10.3389/fmicb.2021.713660</w:t>
        </w:r>
      </w:hyperlink>
      <w:r w:rsidRPr="00524515">
        <w:rPr>
          <w:rFonts w:ascii="Arial" w:hAnsi="Arial" w:cs="Arial"/>
          <w:color w:val="222222"/>
          <w:sz w:val="20"/>
          <w:szCs w:val="20"/>
          <w:shd w:val="clear" w:color="auto" w:fill="FFFFFF"/>
        </w:rPr>
        <w:t xml:space="preserve"> </w:t>
      </w:r>
    </w:p>
    <w:p w14:paraId="7D03EEB8" w14:textId="77777777" w:rsidR="00AE0907" w:rsidRPr="00524515" w:rsidRDefault="00AE090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Sihag, M. P. (2021). </w:t>
      </w:r>
      <w:r w:rsidRPr="00524515">
        <w:rPr>
          <w:rFonts w:ascii="Arial" w:hAnsi="Arial" w:cs="Arial"/>
          <w:i/>
          <w:iCs/>
          <w:color w:val="222222"/>
          <w:sz w:val="20"/>
          <w:szCs w:val="20"/>
          <w:shd w:val="clear" w:color="auto" w:fill="FFFFFF"/>
        </w:rPr>
        <w:t>Analysis of agrometeorological Aspects of Brinjal cultivation</w:t>
      </w:r>
      <w:r w:rsidRPr="00524515">
        <w:rPr>
          <w:rFonts w:ascii="Arial" w:hAnsi="Arial" w:cs="Arial"/>
          <w:color w:val="222222"/>
          <w:sz w:val="20"/>
          <w:szCs w:val="20"/>
          <w:shd w:val="clear" w:color="auto" w:fill="FFFFFF"/>
        </w:rPr>
        <w:t> (Doctoral dissertation, HARYANA AGRICULTURAL UNIVERSITY Hisar).</w:t>
      </w:r>
    </w:p>
    <w:p w14:paraId="1AE9FB30" w14:textId="45C51B9A" w:rsidR="00AE0907" w:rsidRPr="00524515" w:rsidRDefault="00E96959"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Singh, P., Singh, R. K., Zhou, Y., Wang, J., Jiang, Y., Shen, N., Wang, Y., Yang, L., &amp; Jiang, M. (2022). Unlocking the strength of plant growth promoting Pseudomonas in improving crop productivity in normal and challenging environments: a review. Journal of Plant Interactions, 17(1), 220-238. </w:t>
      </w:r>
      <w:hyperlink r:id="rId34" w:history="1">
        <w:r w:rsidRPr="00524515">
          <w:rPr>
            <w:rStyle w:val="Lienhypertexte"/>
            <w:rFonts w:ascii="Arial" w:hAnsi="Arial" w:cs="Arial"/>
            <w:sz w:val="20"/>
            <w:szCs w:val="20"/>
            <w:shd w:val="clear" w:color="auto" w:fill="FFFFFF"/>
          </w:rPr>
          <w:t>https://doi.org/10.1080/17429145.2022.2029963</w:t>
        </w:r>
      </w:hyperlink>
      <w:r w:rsidRPr="00524515">
        <w:rPr>
          <w:rFonts w:ascii="Arial" w:hAnsi="Arial" w:cs="Arial"/>
          <w:color w:val="222222"/>
          <w:sz w:val="20"/>
          <w:szCs w:val="20"/>
          <w:shd w:val="clear" w:color="auto" w:fill="FFFFFF"/>
        </w:rPr>
        <w:t xml:space="preserve"> </w:t>
      </w:r>
    </w:p>
    <w:p w14:paraId="1D561B1C" w14:textId="528FD0E3" w:rsidR="00AE0907" w:rsidRPr="00524515" w:rsidRDefault="00BF2AA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Srinivasa, N., </w:t>
      </w:r>
      <w:proofErr w:type="spellStart"/>
      <w:r w:rsidRPr="00524515">
        <w:rPr>
          <w:rFonts w:ascii="Arial" w:hAnsi="Arial" w:cs="Arial"/>
          <w:color w:val="222222"/>
          <w:sz w:val="20"/>
          <w:szCs w:val="20"/>
          <w:shd w:val="clear" w:color="auto" w:fill="FFFFFF"/>
        </w:rPr>
        <w:t>Rymbai</w:t>
      </w:r>
      <w:proofErr w:type="spellEnd"/>
      <w:r w:rsidRPr="00524515">
        <w:rPr>
          <w:rFonts w:ascii="Arial" w:hAnsi="Arial" w:cs="Arial"/>
          <w:color w:val="222222"/>
          <w:sz w:val="20"/>
          <w:szCs w:val="20"/>
          <w:shd w:val="clear" w:color="auto" w:fill="FFFFFF"/>
        </w:rPr>
        <w:t xml:space="preserve">, H., Rajesh, A. M., </w:t>
      </w:r>
      <w:proofErr w:type="spellStart"/>
      <w:r w:rsidRPr="00524515">
        <w:rPr>
          <w:rFonts w:ascii="Arial" w:hAnsi="Arial" w:cs="Arial"/>
          <w:color w:val="222222"/>
          <w:sz w:val="20"/>
          <w:szCs w:val="20"/>
          <w:shd w:val="clear" w:color="auto" w:fill="FFFFFF"/>
        </w:rPr>
        <w:t>Ganeshamoorthi</w:t>
      </w:r>
      <w:proofErr w:type="spellEnd"/>
      <w:r w:rsidRPr="00524515">
        <w:rPr>
          <w:rFonts w:ascii="Arial" w:hAnsi="Arial" w:cs="Arial"/>
          <w:color w:val="222222"/>
          <w:sz w:val="20"/>
          <w:szCs w:val="20"/>
          <w:shd w:val="clear" w:color="auto" w:fill="FFFFFF"/>
        </w:rPr>
        <w:t xml:space="preserve">, P., Ramanujam, B., &amp; Yathish, K. R. (2013). Morphological and biochemical characterization of antagonist Pseudomonas isolates. International Journal of Agricultural Sciences, 9(1), 14-23. </w:t>
      </w:r>
      <w:hyperlink r:id="rId35" w:history="1">
        <w:r w:rsidRPr="00524515">
          <w:rPr>
            <w:rStyle w:val="Lienhypertexte"/>
            <w:rFonts w:ascii="Arial" w:hAnsi="Arial" w:cs="Arial"/>
            <w:sz w:val="20"/>
            <w:szCs w:val="20"/>
            <w:shd w:val="clear" w:color="auto" w:fill="FFFFFF"/>
          </w:rPr>
          <w:t>https://www.researchjournal.co.in/upload/HARTI-Research%20Journal%20Vol.%209%20Issue%201%20Jan.%202013.pdf</w:t>
        </w:r>
      </w:hyperlink>
      <w:r w:rsidRPr="00524515">
        <w:rPr>
          <w:rFonts w:ascii="Arial" w:hAnsi="Arial" w:cs="Arial"/>
          <w:color w:val="222222"/>
          <w:sz w:val="20"/>
          <w:szCs w:val="20"/>
          <w:shd w:val="clear" w:color="auto" w:fill="FFFFFF"/>
        </w:rPr>
        <w:t xml:space="preserve"> </w:t>
      </w:r>
    </w:p>
    <w:p w14:paraId="0B5ABD45" w14:textId="54DD6E96" w:rsidR="00AE0907" w:rsidRPr="00524515" w:rsidRDefault="0053192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Suman, B., Gopal, A. V., Reddy, R. S., &amp; Triveni, S. (2018). Cultural and morphological characterization of native Pseudomonas fluorescens isolates from Telangana. International Journal of Pure &amp; Applied Bioscience, 6(4), 592-597. </w:t>
      </w:r>
      <w:hyperlink r:id="rId36" w:history="1">
        <w:r w:rsidRPr="00524515">
          <w:rPr>
            <w:rStyle w:val="Lienhypertexte"/>
            <w:rFonts w:ascii="Arial" w:hAnsi="Arial" w:cs="Arial"/>
            <w:sz w:val="20"/>
            <w:szCs w:val="20"/>
            <w:shd w:val="clear" w:color="auto" w:fill="FFFFFF"/>
          </w:rPr>
          <w:t>https://doi.org/10.18782/2320-7051.6910</w:t>
        </w:r>
      </w:hyperlink>
      <w:r w:rsidRPr="00524515">
        <w:rPr>
          <w:rFonts w:ascii="Arial" w:hAnsi="Arial" w:cs="Arial"/>
          <w:color w:val="222222"/>
          <w:sz w:val="20"/>
          <w:szCs w:val="20"/>
          <w:shd w:val="clear" w:color="auto" w:fill="FFFFFF"/>
        </w:rPr>
        <w:t xml:space="preserve"> </w:t>
      </w:r>
    </w:p>
    <w:p w14:paraId="331BA71B" w14:textId="76137A5B" w:rsidR="00AE0907" w:rsidRPr="00524515" w:rsidRDefault="006A3C33" w:rsidP="00524515">
      <w:pPr>
        <w:jc w:val="both"/>
        <w:rPr>
          <w:rFonts w:ascii="Times New Roman" w:hAnsi="Times New Roman" w:cs="Times New Roman"/>
          <w:sz w:val="20"/>
          <w:szCs w:val="20"/>
        </w:rPr>
      </w:pPr>
      <w:r w:rsidRPr="00524515">
        <w:rPr>
          <w:rFonts w:ascii="Arial" w:hAnsi="Arial" w:cs="Arial"/>
          <w:color w:val="222222"/>
          <w:sz w:val="20"/>
          <w:szCs w:val="20"/>
          <w:shd w:val="clear" w:color="auto" w:fill="FFFFFF"/>
        </w:rPr>
        <w:t xml:space="preserve">Uzair, B., Ahmed, N., Kousar, F., &amp; Edwards, D. H. (2005). Isolation and characterization of Pseudomonas strain that inhibit growth of indigenous and clinical isolate. The Internet Journal of Microbiology, 2(2), 16. </w:t>
      </w:r>
      <w:hyperlink r:id="rId37" w:history="1">
        <w:r w:rsidRPr="00524515">
          <w:rPr>
            <w:rStyle w:val="Lienhypertexte"/>
            <w:rFonts w:ascii="Arial" w:hAnsi="Arial" w:cs="Arial"/>
            <w:sz w:val="20"/>
            <w:szCs w:val="20"/>
            <w:shd w:val="clear" w:color="auto" w:fill="FFFFFF"/>
          </w:rPr>
          <w:t>https://www.ispub.com/IJMB/2/2/7835</w:t>
        </w:r>
      </w:hyperlink>
      <w:r w:rsidRPr="00524515">
        <w:rPr>
          <w:rFonts w:ascii="Arial" w:hAnsi="Arial" w:cs="Arial"/>
          <w:color w:val="222222"/>
          <w:sz w:val="20"/>
          <w:szCs w:val="20"/>
          <w:shd w:val="clear" w:color="auto" w:fill="FFFFFF"/>
        </w:rPr>
        <w:t xml:space="preserve"> </w:t>
      </w:r>
    </w:p>
    <w:p w14:paraId="46E682A3" w14:textId="4112A0F0" w:rsidR="00AE0907" w:rsidRPr="00524515" w:rsidRDefault="006A3C33"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Uzair, B., Kausar, R., Bano, S. A., Fatima, S., Badshah, M., Habiba, U., &amp; </w:t>
      </w:r>
      <w:proofErr w:type="spellStart"/>
      <w:r w:rsidRPr="00524515">
        <w:rPr>
          <w:rFonts w:ascii="Arial" w:hAnsi="Arial" w:cs="Arial"/>
          <w:color w:val="222222"/>
          <w:sz w:val="20"/>
          <w:szCs w:val="20"/>
          <w:shd w:val="clear" w:color="auto" w:fill="FFFFFF"/>
        </w:rPr>
        <w:t>Fasim</w:t>
      </w:r>
      <w:proofErr w:type="spellEnd"/>
      <w:r w:rsidRPr="00524515">
        <w:rPr>
          <w:rFonts w:ascii="Arial" w:hAnsi="Arial" w:cs="Arial"/>
          <w:color w:val="222222"/>
          <w:sz w:val="20"/>
          <w:szCs w:val="20"/>
          <w:shd w:val="clear" w:color="auto" w:fill="FFFFFF"/>
        </w:rPr>
        <w:t xml:space="preserve">, F. (2018). Isolation and molecular characterization of a model antagonistic Pseudomonas aeruginosa divulging in vitro plant growth promoting characteristics. BioMed Research International, 2018(1), 6147380. </w:t>
      </w:r>
      <w:hyperlink r:id="rId38" w:history="1">
        <w:r w:rsidRPr="00524515">
          <w:rPr>
            <w:rStyle w:val="Lienhypertexte"/>
            <w:rFonts w:ascii="Arial" w:hAnsi="Arial" w:cs="Arial"/>
            <w:sz w:val="20"/>
            <w:szCs w:val="20"/>
            <w:shd w:val="clear" w:color="auto" w:fill="FFFFFF"/>
          </w:rPr>
          <w:t>https://doi.org/10.1155/2018/6147380</w:t>
        </w:r>
      </w:hyperlink>
      <w:r w:rsidRPr="00524515">
        <w:rPr>
          <w:rFonts w:ascii="Arial" w:hAnsi="Arial" w:cs="Arial"/>
          <w:color w:val="222222"/>
          <w:sz w:val="20"/>
          <w:szCs w:val="20"/>
          <w:shd w:val="clear" w:color="auto" w:fill="FFFFFF"/>
        </w:rPr>
        <w:t xml:space="preserve"> </w:t>
      </w:r>
    </w:p>
    <w:p w14:paraId="142E7A2A" w14:textId="5FD3B670" w:rsidR="00AE0907" w:rsidRPr="00524515" w:rsidRDefault="009C78B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Weller, D. M. (2007). Pseudomonas biocontrol agents of soilborne pathogens: Looking back over 30 years. Phytopathology, 97(2), 250-256. </w:t>
      </w:r>
      <w:hyperlink r:id="rId39" w:history="1">
        <w:r w:rsidRPr="00524515">
          <w:rPr>
            <w:rStyle w:val="Lienhypertexte"/>
            <w:rFonts w:ascii="Arial" w:hAnsi="Arial" w:cs="Arial"/>
            <w:sz w:val="20"/>
            <w:szCs w:val="20"/>
            <w:shd w:val="clear" w:color="auto" w:fill="FFFFFF"/>
          </w:rPr>
          <w:t>https://doi.org/10.1094/PHYTO-97-2-0250</w:t>
        </w:r>
      </w:hyperlink>
      <w:r w:rsidRPr="00524515">
        <w:rPr>
          <w:rFonts w:ascii="Arial" w:hAnsi="Arial" w:cs="Arial"/>
          <w:color w:val="222222"/>
          <w:sz w:val="20"/>
          <w:szCs w:val="20"/>
          <w:shd w:val="clear" w:color="auto" w:fill="FFFFFF"/>
        </w:rPr>
        <w:t xml:space="preserve"> </w:t>
      </w:r>
    </w:p>
    <w:p w14:paraId="561153A8" w14:textId="77777777" w:rsidR="00AE0907" w:rsidRPr="0083641F" w:rsidRDefault="00AE0907" w:rsidP="00587709">
      <w:pPr>
        <w:spacing w:line="360" w:lineRule="auto"/>
        <w:jc w:val="both"/>
        <w:rPr>
          <w:rFonts w:ascii="Times New Roman" w:hAnsi="Times New Roman" w:cs="Times New Roman"/>
          <w:sz w:val="24"/>
          <w:szCs w:val="24"/>
        </w:rPr>
      </w:pPr>
    </w:p>
    <w:sectPr w:rsidR="00AE0907" w:rsidRPr="0083641F" w:rsidSect="00783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hdia Fraj" w:date="2026-01-02T19:39:00Z" w:initials="MF">
    <w:p w14:paraId="1E139231" w14:textId="72FD0B38" w:rsidR="00B34458" w:rsidRDefault="00B34458">
      <w:pPr>
        <w:pStyle w:val="Commentaire"/>
      </w:pPr>
      <w:r>
        <w:rPr>
          <w:rStyle w:val="Marquedecommentaire"/>
        </w:rPr>
        <w:annotationRef/>
      </w:r>
      <w:r>
        <w:t>Title should be revised</w:t>
      </w:r>
    </w:p>
  </w:comment>
  <w:comment w:id="1" w:author="Mehdia Fraj" w:date="2026-01-02T19:31:00Z" w:initials="MF">
    <w:p w14:paraId="163E5654" w14:textId="441B3175" w:rsidR="004B22C3" w:rsidRDefault="004B22C3">
      <w:pPr>
        <w:pStyle w:val="Commentaire"/>
      </w:pPr>
      <w:r>
        <w:rPr>
          <w:rStyle w:val="Marquedecommentaire"/>
        </w:rPr>
        <w:annotationRef/>
      </w:r>
      <w:r>
        <w:t>I suggest simplifying the keywords. Us</w:t>
      </w:r>
      <w:r w:rsidR="00B34458">
        <w:t xml:space="preserve">ing </w:t>
      </w:r>
      <w:r>
        <w:t xml:space="preserve">more concise and more </w:t>
      </w:r>
      <w:r w:rsidR="004C06B7">
        <w:t>commonly used</w:t>
      </w:r>
      <w:r w:rsidR="00B34458">
        <w:t xml:space="preserve"> terms</w:t>
      </w:r>
      <w:r>
        <w:t xml:space="preserve"> </w:t>
      </w:r>
    </w:p>
  </w:comment>
  <w:comment w:id="2" w:author="Mehdia Fraj" w:date="2026-01-02T19:52:00Z" w:initials="MF">
    <w:p w14:paraId="1B1A071F" w14:textId="35CC06A8" w:rsidR="004C06B7" w:rsidRDefault="004C06B7">
      <w:pPr>
        <w:pStyle w:val="Commentaire"/>
      </w:pPr>
      <w:r>
        <w:rPr>
          <w:rStyle w:val="Marquedecommentaire"/>
        </w:rPr>
        <w:annotationRef/>
      </w:r>
      <w:r>
        <w:t>References?</w:t>
      </w:r>
    </w:p>
  </w:comment>
  <w:comment w:id="4" w:author="Mehdia Fraj" w:date="2026-01-02T19:54:00Z" w:initials="MF">
    <w:p w14:paraId="60531E25" w14:textId="436654A2" w:rsidR="00220553" w:rsidRDefault="00220553">
      <w:pPr>
        <w:pStyle w:val="Commentaire"/>
      </w:pPr>
      <w:r>
        <w:rPr>
          <w:rStyle w:val="Marquedecommentaire"/>
        </w:rPr>
        <w:annotationRef/>
      </w:r>
      <w:r>
        <w:t>delete</w:t>
      </w:r>
    </w:p>
  </w:comment>
  <w:comment w:id="3" w:author="Mehdia Fraj" w:date="2026-01-02T19:55:00Z" w:initials="MF">
    <w:p w14:paraId="36B3E1EA" w14:textId="0AE37E63" w:rsidR="00220553" w:rsidRDefault="00220553">
      <w:pPr>
        <w:pStyle w:val="Commentaire"/>
      </w:pPr>
      <w:r>
        <w:rPr>
          <w:rStyle w:val="Marquedecommentaire"/>
        </w:rPr>
        <w:annotationRef/>
      </w:r>
      <w:r>
        <w:t xml:space="preserve">What is the connection between these two statements? Not clear </w:t>
      </w:r>
    </w:p>
  </w:comment>
  <w:comment w:id="5" w:author="Mehdia Fraj" w:date="2026-01-02T19:56:00Z" w:initials="MF">
    <w:p w14:paraId="54744B05" w14:textId="40AD6F2D" w:rsidR="00220553" w:rsidRDefault="00220553">
      <w:pPr>
        <w:pStyle w:val="Commentaire"/>
      </w:pPr>
      <w:r>
        <w:rPr>
          <w:rStyle w:val="Marquedecommentaire"/>
        </w:rPr>
        <w:annotationRef/>
      </w:r>
      <w:r>
        <w:t xml:space="preserve">References </w:t>
      </w:r>
    </w:p>
  </w:comment>
  <w:comment w:id="7" w:author="Mehdia Fraj" w:date="2026-01-02T20:02:00Z" w:initials="MF">
    <w:p w14:paraId="2F815EF7" w14:textId="2D6D4902" w:rsidR="007E2CD0" w:rsidRDefault="007E2CD0">
      <w:pPr>
        <w:pStyle w:val="Commentaire"/>
      </w:pPr>
      <w:r>
        <w:rPr>
          <w:rStyle w:val="Marquedecommentaire"/>
        </w:rPr>
        <w:annotationRef/>
      </w:r>
      <w:r w:rsidR="00A6664A" w:rsidRPr="00A6664A">
        <w:t>no dot before</w:t>
      </w:r>
      <w:r w:rsidR="00A6664A">
        <w:t xml:space="preserve"> the references</w:t>
      </w:r>
    </w:p>
  </w:comment>
  <w:comment w:id="6" w:author="Mehdia Fraj" w:date="2026-01-02T19:58:00Z" w:initials="MF">
    <w:p w14:paraId="03503C29" w14:textId="236D3470" w:rsidR="00220553" w:rsidRDefault="00220553">
      <w:pPr>
        <w:pStyle w:val="Commentaire"/>
      </w:pPr>
      <w:r>
        <w:rPr>
          <w:rStyle w:val="Marquedecommentaire"/>
        </w:rPr>
        <w:annotationRef/>
      </w:r>
      <w:r>
        <w:t xml:space="preserve">This sentence should be Rewriting, </w:t>
      </w:r>
      <w:r w:rsidR="007E2CD0">
        <w:t>it’s</w:t>
      </w:r>
      <w:r>
        <w:t xml:space="preserve"> not clear </w:t>
      </w:r>
    </w:p>
  </w:comment>
  <w:comment w:id="8" w:author="Mehdia Fraj" w:date="2026-01-02T20:05:00Z" w:initials="MF">
    <w:p w14:paraId="54969E14" w14:textId="0E480C87" w:rsidR="00A6664A" w:rsidRDefault="00A6664A">
      <w:pPr>
        <w:pStyle w:val="Commentaire"/>
      </w:pPr>
      <w:r>
        <w:rPr>
          <w:rStyle w:val="Marquedecommentaire"/>
        </w:rPr>
        <w:annotationRef/>
      </w:r>
      <w:r>
        <w:t>Season? Spring?</w:t>
      </w:r>
    </w:p>
  </w:comment>
  <w:comment w:id="9" w:author="Mehdia Fraj" w:date="2026-01-02T20:06:00Z" w:initials="MF">
    <w:p w14:paraId="7D15590D" w14:textId="3EFD80EB" w:rsidR="00A6664A" w:rsidRDefault="00A6664A">
      <w:pPr>
        <w:pStyle w:val="Commentaire"/>
      </w:pPr>
      <w:r>
        <w:rPr>
          <w:rStyle w:val="Marquedecommentaire"/>
        </w:rPr>
        <w:annotationRef/>
      </w:r>
      <w:r>
        <w:t xml:space="preserve">Please describe the </w:t>
      </w:r>
      <w:proofErr w:type="spellStart"/>
      <w:r>
        <w:t>samling</w:t>
      </w:r>
      <w:proofErr w:type="spellEnd"/>
      <w:r>
        <w:t xml:space="preserve"> protocol</w:t>
      </w:r>
    </w:p>
  </w:comment>
  <w:comment w:id="10" w:author="Mehdia Fraj" w:date="2026-01-02T20:12:00Z" w:initials="MF">
    <w:p w14:paraId="1E47909D" w14:textId="0BB2B193" w:rsidR="00A6664A" w:rsidRDefault="00A6664A">
      <w:pPr>
        <w:pStyle w:val="Commentaire"/>
      </w:pPr>
      <w:r>
        <w:rPr>
          <w:rStyle w:val="Marquedecommentaire"/>
        </w:rPr>
        <w:annotationRef/>
      </w:r>
      <w:r w:rsidRPr="00A6664A">
        <w:t>Please justify the choice of the protocol and provide appropriate references</w:t>
      </w:r>
    </w:p>
  </w:comment>
  <w:comment w:id="11" w:author="Mehdia Fraj" w:date="2026-01-02T20:17:00Z" w:initials="MF">
    <w:p w14:paraId="3D52CEDA" w14:textId="2305CA52" w:rsidR="00D45247" w:rsidRDefault="00D45247">
      <w:pPr>
        <w:pStyle w:val="Commentaire"/>
      </w:pPr>
      <w:r>
        <w:rPr>
          <w:rStyle w:val="Marquedecommentaire"/>
        </w:rPr>
        <w:annotationRef/>
      </w:r>
      <w:r w:rsidRPr="00D45247">
        <w:t>The paragraph would benefit from the use of linking words to improve the logical flow and clarify the relationships between the different steps</w:t>
      </w:r>
      <w:r>
        <w:t xml:space="preserve">. </w:t>
      </w:r>
    </w:p>
  </w:comment>
  <w:comment w:id="12" w:author="Mehdia Fraj" w:date="2026-01-02T20:18:00Z" w:initials="MF">
    <w:p w14:paraId="302F7824" w14:textId="7DE4171D" w:rsidR="00D45247" w:rsidRDefault="00D45247">
      <w:pPr>
        <w:pStyle w:val="Commentaire"/>
      </w:pPr>
      <w:r>
        <w:rPr>
          <w:rStyle w:val="Marquedecommentaire"/>
        </w:rPr>
        <w:annotationRef/>
      </w:r>
      <w:r w:rsidRPr="00D45247">
        <w:t>Is the same protocol used for isolation?</w:t>
      </w:r>
      <w:r>
        <w:t xml:space="preserve"> </w:t>
      </w:r>
    </w:p>
  </w:comment>
  <w:comment w:id="13" w:author="Mehdia Fraj" w:date="2026-01-02T20:21:00Z" w:initials="MF">
    <w:p w14:paraId="3257A474" w14:textId="6CDD3978" w:rsidR="00D45247" w:rsidRDefault="00D45247">
      <w:pPr>
        <w:pStyle w:val="Commentaire"/>
      </w:pPr>
      <w:r>
        <w:rPr>
          <w:rStyle w:val="Marquedecommentaire"/>
        </w:rPr>
        <w:annotationRef/>
      </w:r>
      <w:r>
        <w:t xml:space="preserve">Explain this technique and add the references </w:t>
      </w:r>
    </w:p>
  </w:comment>
  <w:comment w:id="14" w:author="Mehdia Fraj" w:date="2026-01-02T20:45:00Z" w:initials="MF">
    <w:p w14:paraId="43A86DF1" w14:textId="45153989" w:rsidR="005A0837" w:rsidRDefault="005A0837">
      <w:pPr>
        <w:pStyle w:val="Commentaire"/>
      </w:pPr>
      <w:r>
        <w:rPr>
          <w:rStyle w:val="Marquedecommentaire"/>
        </w:rPr>
        <w:annotationRef/>
      </w:r>
      <w:r>
        <w:t>Not clear</w:t>
      </w:r>
    </w:p>
  </w:comment>
  <w:comment w:id="15" w:author="Mehdia Fraj" w:date="2026-01-02T20:47:00Z" w:initials="MF">
    <w:p w14:paraId="5A4D206C" w14:textId="12401E21" w:rsidR="005A0837" w:rsidRDefault="005A0837">
      <w:pPr>
        <w:pStyle w:val="Commentaire"/>
      </w:pPr>
      <w:r>
        <w:rPr>
          <w:rStyle w:val="Marquedecommentaire"/>
        </w:rPr>
        <w:annotationRef/>
      </w:r>
      <w:r w:rsidRPr="005A0837">
        <w:t>You used this method</w:t>
      </w:r>
      <w:r>
        <w:t xml:space="preserve">, </w:t>
      </w:r>
      <w:r w:rsidRPr="005A0837">
        <w:t>what was the reference or basis for choosing it?</w:t>
      </w:r>
    </w:p>
  </w:comment>
  <w:comment w:id="16" w:author="Mehdia Fraj" w:date="2026-01-02T21:02:00Z" w:initials="MF">
    <w:p w14:paraId="277DF269" w14:textId="450F728F" w:rsidR="008F2498" w:rsidRDefault="008F2498">
      <w:pPr>
        <w:pStyle w:val="Commentaire"/>
      </w:pPr>
      <w:r>
        <w:rPr>
          <w:rStyle w:val="Marquedecommentaire"/>
        </w:rPr>
        <w:annotationRef/>
      </w:r>
      <w:r w:rsidR="001A04CD" w:rsidRPr="001A04CD">
        <w:t xml:space="preserve">The Results and Discussion section needs substantial revision. It should be improved and enriched with relevant literature references to highlight the </w:t>
      </w:r>
      <w:r w:rsidR="001A04CD">
        <w:t>importance</w:t>
      </w:r>
      <w:r w:rsidR="001A04CD" w:rsidRPr="001A04CD">
        <w:t xml:space="preserve"> of this study and to allow comparison with other studies.</w:t>
      </w:r>
    </w:p>
  </w:comment>
  <w:comment w:id="17" w:author="Mehdia Fraj" w:date="2026-01-02T20:50:00Z" w:initials="MF">
    <w:p w14:paraId="40D0907C" w14:textId="682FDE39" w:rsidR="005A0837" w:rsidRDefault="005A0837">
      <w:pPr>
        <w:pStyle w:val="Commentaire"/>
      </w:pPr>
      <w:r>
        <w:rPr>
          <w:rStyle w:val="Marquedecommentaire"/>
        </w:rPr>
        <w:annotationRef/>
      </w:r>
      <w:r>
        <w:t>Please provide a clearer explanation of this idea</w:t>
      </w:r>
    </w:p>
  </w:comment>
  <w:comment w:id="18" w:author="Mehdia Fraj" w:date="2026-01-02T20:51:00Z" w:initials="MF">
    <w:p w14:paraId="0F6D0D06" w14:textId="0D631A6F" w:rsidR="005A0837" w:rsidRDefault="005A0837">
      <w:pPr>
        <w:pStyle w:val="Commentaire"/>
      </w:pPr>
      <w:r>
        <w:rPr>
          <w:rStyle w:val="Marquedecommentaire"/>
        </w:rPr>
        <w:annotationRef/>
      </w:r>
      <w:r w:rsidR="008F2498" w:rsidRPr="008F2498">
        <w:t>What does the green color indicate? Please add an explanation next to the table title.</w:t>
      </w:r>
    </w:p>
  </w:comment>
  <w:comment w:id="19" w:author="Mehdia Fraj" w:date="2026-01-02T20:58:00Z" w:initials="MF">
    <w:p w14:paraId="5AC55958" w14:textId="06C75113" w:rsidR="008F2498" w:rsidRDefault="008F2498">
      <w:pPr>
        <w:pStyle w:val="Commentaire"/>
      </w:pPr>
      <w:r w:rsidRPr="008F2498">
        <w:t>Please write the strain names in italics. Additionally, the meaning of the numbers is unclear</w:t>
      </w:r>
      <w:r>
        <w:t>! I</w:t>
      </w:r>
      <w:r w:rsidRPr="008F2498">
        <w:t>nclude a key or legend below the figure title to explain them</w:t>
      </w:r>
    </w:p>
  </w:comment>
  <w:comment w:id="20" w:author="Mehdia Fraj" w:date="2026-01-02T20:57:00Z" w:initials="MF">
    <w:p w14:paraId="2DF9BA50" w14:textId="6CB444EE" w:rsidR="008F2498" w:rsidRDefault="008F2498">
      <w:pPr>
        <w:pStyle w:val="Commentaire"/>
      </w:pPr>
      <w:r>
        <w:rPr>
          <w:rStyle w:val="Marquedecommentaire"/>
        </w:rPr>
        <w:annotationRef/>
      </w:r>
      <w:r>
        <w:t>Please revise the bibliography and ensure it uses the same font as the main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139231" w15:done="0"/>
  <w15:commentEx w15:paraId="163E5654" w15:done="0"/>
  <w15:commentEx w15:paraId="1B1A071F" w15:done="0"/>
  <w15:commentEx w15:paraId="60531E25" w15:done="0"/>
  <w15:commentEx w15:paraId="36B3E1EA" w15:done="0"/>
  <w15:commentEx w15:paraId="54744B05" w15:done="0"/>
  <w15:commentEx w15:paraId="2F815EF7" w15:done="0"/>
  <w15:commentEx w15:paraId="03503C29" w15:done="0"/>
  <w15:commentEx w15:paraId="54969E14" w15:done="0"/>
  <w15:commentEx w15:paraId="7D15590D" w15:done="0"/>
  <w15:commentEx w15:paraId="1E47909D" w15:done="0"/>
  <w15:commentEx w15:paraId="3D52CEDA" w15:done="0"/>
  <w15:commentEx w15:paraId="302F7824" w15:done="0"/>
  <w15:commentEx w15:paraId="3257A474" w15:done="0"/>
  <w15:commentEx w15:paraId="43A86DF1" w15:done="0"/>
  <w15:commentEx w15:paraId="5A4D206C" w15:done="0"/>
  <w15:commentEx w15:paraId="277DF269" w15:done="0"/>
  <w15:commentEx w15:paraId="40D0907C" w15:done="0"/>
  <w15:commentEx w15:paraId="0F6D0D06" w15:done="0"/>
  <w15:commentEx w15:paraId="5AC55958" w15:done="0"/>
  <w15:commentEx w15:paraId="2DF9B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29D79" w16cex:dateUtc="2026-01-02T18:39:00Z"/>
  <w16cex:commentExtensible w16cex:durableId="2D029B7F" w16cex:dateUtc="2026-01-02T18:31:00Z"/>
  <w16cex:commentExtensible w16cex:durableId="2D02A087" w16cex:dateUtc="2026-01-02T18:52:00Z"/>
  <w16cex:commentExtensible w16cex:durableId="2D02A0E6" w16cex:dateUtc="2026-01-02T18:54:00Z"/>
  <w16cex:commentExtensible w16cex:durableId="2D02A148" w16cex:dateUtc="2026-01-02T18:55:00Z"/>
  <w16cex:commentExtensible w16cex:durableId="2D02A184" w16cex:dateUtc="2026-01-02T18:56:00Z"/>
  <w16cex:commentExtensible w16cex:durableId="2D02A2C2" w16cex:dateUtc="2026-01-02T19:02:00Z"/>
  <w16cex:commentExtensible w16cex:durableId="2D02A1D5" w16cex:dateUtc="2026-01-02T18:58:00Z"/>
  <w16cex:commentExtensible w16cex:durableId="2D02A392" w16cex:dateUtc="2026-01-02T19:05:00Z"/>
  <w16cex:commentExtensible w16cex:durableId="2D02A3DD" w16cex:dateUtc="2026-01-02T19:06:00Z"/>
  <w16cex:commentExtensible w16cex:durableId="2D02A547" w16cex:dateUtc="2026-01-02T19:12:00Z"/>
  <w16cex:commentExtensible w16cex:durableId="2D02A647" w16cex:dateUtc="2026-01-02T19:17:00Z"/>
  <w16cex:commentExtensible w16cex:durableId="2D02A6A6" w16cex:dateUtc="2026-01-02T19:18:00Z"/>
  <w16cex:commentExtensible w16cex:durableId="2D02A734" w16cex:dateUtc="2026-01-02T19:21:00Z"/>
  <w16cex:commentExtensible w16cex:durableId="2D02ACDA" w16cex:dateUtc="2026-01-02T19:45:00Z"/>
  <w16cex:commentExtensible w16cex:durableId="2D02AD6B" w16cex:dateUtc="2026-01-02T19:47:00Z"/>
  <w16cex:commentExtensible w16cex:durableId="2D02B0E9" w16cex:dateUtc="2026-01-02T20:02:00Z"/>
  <w16cex:commentExtensible w16cex:durableId="2D02AE0D" w16cex:dateUtc="2026-01-02T19:50:00Z"/>
  <w16cex:commentExtensible w16cex:durableId="2D02AE63" w16cex:dateUtc="2026-01-02T19:51:00Z"/>
  <w16cex:commentExtensible w16cex:durableId="2D02B00E" w16cex:dateUtc="2026-01-02T19:58:00Z"/>
  <w16cex:commentExtensible w16cex:durableId="2D02AFB2" w16cex:dateUtc="2026-01-02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139231" w16cid:durableId="2D029D79"/>
  <w16cid:commentId w16cid:paraId="163E5654" w16cid:durableId="2D029B7F"/>
  <w16cid:commentId w16cid:paraId="1B1A071F" w16cid:durableId="2D02A087"/>
  <w16cid:commentId w16cid:paraId="60531E25" w16cid:durableId="2D02A0E6"/>
  <w16cid:commentId w16cid:paraId="36B3E1EA" w16cid:durableId="2D02A148"/>
  <w16cid:commentId w16cid:paraId="54744B05" w16cid:durableId="2D02A184"/>
  <w16cid:commentId w16cid:paraId="2F815EF7" w16cid:durableId="2D02A2C2"/>
  <w16cid:commentId w16cid:paraId="03503C29" w16cid:durableId="2D02A1D5"/>
  <w16cid:commentId w16cid:paraId="54969E14" w16cid:durableId="2D02A392"/>
  <w16cid:commentId w16cid:paraId="7D15590D" w16cid:durableId="2D02A3DD"/>
  <w16cid:commentId w16cid:paraId="1E47909D" w16cid:durableId="2D02A547"/>
  <w16cid:commentId w16cid:paraId="3D52CEDA" w16cid:durableId="2D02A647"/>
  <w16cid:commentId w16cid:paraId="302F7824" w16cid:durableId="2D02A6A6"/>
  <w16cid:commentId w16cid:paraId="3257A474" w16cid:durableId="2D02A734"/>
  <w16cid:commentId w16cid:paraId="43A86DF1" w16cid:durableId="2D02ACDA"/>
  <w16cid:commentId w16cid:paraId="5A4D206C" w16cid:durableId="2D02AD6B"/>
  <w16cid:commentId w16cid:paraId="277DF269" w16cid:durableId="2D02B0E9"/>
  <w16cid:commentId w16cid:paraId="40D0907C" w16cid:durableId="2D02AE0D"/>
  <w16cid:commentId w16cid:paraId="0F6D0D06" w16cid:durableId="2D02AE63"/>
  <w16cid:commentId w16cid:paraId="5AC55958" w16cid:durableId="2D02B00E"/>
  <w16cid:commentId w16cid:paraId="2DF9BA50" w16cid:durableId="2D02A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27A26" w14:textId="77777777" w:rsidR="00D47EE2" w:rsidRDefault="00D47EE2" w:rsidP="00152492">
      <w:pPr>
        <w:spacing w:after="0" w:line="240" w:lineRule="auto"/>
      </w:pPr>
      <w:r>
        <w:separator/>
      </w:r>
    </w:p>
  </w:endnote>
  <w:endnote w:type="continuationSeparator" w:id="0">
    <w:p w14:paraId="16522B94" w14:textId="77777777" w:rsidR="00D47EE2" w:rsidRDefault="00D47EE2" w:rsidP="0015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C721" w14:textId="77777777" w:rsidR="00152492" w:rsidRDefault="001524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8A2C" w14:textId="77777777" w:rsidR="00152492" w:rsidRDefault="001524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E5FB" w14:textId="77777777" w:rsidR="00152492" w:rsidRDefault="001524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F33F" w14:textId="77777777" w:rsidR="00D47EE2" w:rsidRDefault="00D47EE2" w:rsidP="00152492">
      <w:pPr>
        <w:spacing w:after="0" w:line="240" w:lineRule="auto"/>
      </w:pPr>
      <w:r>
        <w:separator/>
      </w:r>
    </w:p>
  </w:footnote>
  <w:footnote w:type="continuationSeparator" w:id="0">
    <w:p w14:paraId="72CA9983" w14:textId="77777777" w:rsidR="00D47EE2" w:rsidRDefault="00D47EE2" w:rsidP="0015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A4B1" w14:textId="22521AF9" w:rsidR="00152492" w:rsidRDefault="00000000">
    <w:pPr>
      <w:pStyle w:val="En-tte"/>
    </w:pPr>
    <w:r>
      <w:rPr>
        <w:noProof/>
      </w:rPr>
      <w:pict w14:anchorId="524E5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E815" w14:textId="2646F138" w:rsidR="00152492" w:rsidRDefault="00000000">
    <w:pPr>
      <w:pStyle w:val="En-tte"/>
    </w:pPr>
    <w:r>
      <w:rPr>
        <w:noProof/>
      </w:rPr>
      <w:pict w14:anchorId="3197C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37B6" w14:textId="55F8C25F" w:rsidR="00152492" w:rsidRDefault="00000000">
    <w:pPr>
      <w:pStyle w:val="En-tte"/>
    </w:pPr>
    <w:r>
      <w:rPr>
        <w:noProof/>
      </w:rPr>
      <w:pict w14:anchorId="12801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3A33"/>
    <w:multiLevelType w:val="hybridMultilevel"/>
    <w:tmpl w:val="FCB8A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459737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hdia Fraj">
    <w15:presenceInfo w15:providerId="Windows Live" w15:userId="355c0dbf1ff388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1F"/>
    <w:rsid w:val="0001768B"/>
    <w:rsid w:val="000A101E"/>
    <w:rsid w:val="000C5D3F"/>
    <w:rsid w:val="000E7A80"/>
    <w:rsid w:val="000F0C16"/>
    <w:rsid w:val="00152492"/>
    <w:rsid w:val="001A04CD"/>
    <w:rsid w:val="00220553"/>
    <w:rsid w:val="002636B3"/>
    <w:rsid w:val="00284C58"/>
    <w:rsid w:val="002E6F5C"/>
    <w:rsid w:val="00317B3E"/>
    <w:rsid w:val="00376F6E"/>
    <w:rsid w:val="00432697"/>
    <w:rsid w:val="004A3071"/>
    <w:rsid w:val="004B22C3"/>
    <w:rsid w:val="004C06B7"/>
    <w:rsid w:val="00511DD5"/>
    <w:rsid w:val="00521364"/>
    <w:rsid w:val="00524515"/>
    <w:rsid w:val="00524F6A"/>
    <w:rsid w:val="00531927"/>
    <w:rsid w:val="00587709"/>
    <w:rsid w:val="005A0837"/>
    <w:rsid w:val="00640915"/>
    <w:rsid w:val="006556CD"/>
    <w:rsid w:val="006A3C33"/>
    <w:rsid w:val="006C1A25"/>
    <w:rsid w:val="006D3497"/>
    <w:rsid w:val="0072623C"/>
    <w:rsid w:val="00774FAC"/>
    <w:rsid w:val="00783D27"/>
    <w:rsid w:val="007C6E6A"/>
    <w:rsid w:val="007E2CD0"/>
    <w:rsid w:val="008166BA"/>
    <w:rsid w:val="0083641F"/>
    <w:rsid w:val="008416FF"/>
    <w:rsid w:val="008A2C2B"/>
    <w:rsid w:val="008F2498"/>
    <w:rsid w:val="009362C0"/>
    <w:rsid w:val="00975DF3"/>
    <w:rsid w:val="009C78BB"/>
    <w:rsid w:val="00A256FA"/>
    <w:rsid w:val="00A57F30"/>
    <w:rsid w:val="00A6664A"/>
    <w:rsid w:val="00AE02BD"/>
    <w:rsid w:val="00AE0907"/>
    <w:rsid w:val="00B34458"/>
    <w:rsid w:val="00BE0F0A"/>
    <w:rsid w:val="00BF2AAB"/>
    <w:rsid w:val="00C21D0A"/>
    <w:rsid w:val="00C227BB"/>
    <w:rsid w:val="00C24921"/>
    <w:rsid w:val="00D45247"/>
    <w:rsid w:val="00D47EE2"/>
    <w:rsid w:val="00D67FBD"/>
    <w:rsid w:val="00E84528"/>
    <w:rsid w:val="00E96959"/>
    <w:rsid w:val="00F26E74"/>
    <w:rsid w:val="00F42C48"/>
    <w:rsid w:val="00F93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696AB"/>
  <w15:chartTrackingRefBased/>
  <w15:docId w15:val="{32A10C86-CD42-481D-86F4-8DC3BD4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64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C1A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64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641F"/>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83641F"/>
    <w:rPr>
      <w:color w:val="0563C1" w:themeColor="hyperlink"/>
      <w:u w:val="single"/>
    </w:rPr>
  </w:style>
  <w:style w:type="character" w:customStyle="1" w:styleId="Titre3Car">
    <w:name w:val="Titre 3 Car"/>
    <w:basedOn w:val="Policepardfaut"/>
    <w:link w:val="Titre3"/>
    <w:uiPriority w:val="9"/>
    <w:semiHidden/>
    <w:rsid w:val="0083641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641F"/>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83641F"/>
    <w:rPr>
      <w:i/>
      <w:iCs/>
    </w:rPr>
  </w:style>
  <w:style w:type="table" w:styleId="Grilledutableau">
    <w:name w:val="Table Grid"/>
    <w:basedOn w:val="TableauNormal"/>
    <w:uiPriority w:val="39"/>
    <w:rsid w:val="0078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6C1A25"/>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4A3071"/>
    <w:rPr>
      <w:b/>
      <w:bCs/>
    </w:rPr>
  </w:style>
  <w:style w:type="paragraph" w:styleId="Paragraphedeliste">
    <w:name w:val="List Paragraph"/>
    <w:basedOn w:val="Normal"/>
    <w:uiPriority w:val="34"/>
    <w:qFormat/>
    <w:rsid w:val="00C227BB"/>
    <w:pPr>
      <w:ind w:left="720"/>
      <w:contextualSpacing/>
    </w:pPr>
  </w:style>
  <w:style w:type="character" w:styleId="Mentionnonrsolue">
    <w:name w:val="Unresolved Mention"/>
    <w:basedOn w:val="Policepardfaut"/>
    <w:uiPriority w:val="99"/>
    <w:semiHidden/>
    <w:unhideWhenUsed/>
    <w:rsid w:val="00C227BB"/>
    <w:rPr>
      <w:color w:val="605E5C"/>
      <w:shd w:val="clear" w:color="auto" w:fill="E1DFDD"/>
    </w:rPr>
  </w:style>
  <w:style w:type="paragraph" w:styleId="En-tte">
    <w:name w:val="header"/>
    <w:basedOn w:val="Normal"/>
    <w:link w:val="En-tteCar"/>
    <w:uiPriority w:val="99"/>
    <w:unhideWhenUsed/>
    <w:rsid w:val="00152492"/>
    <w:pPr>
      <w:tabs>
        <w:tab w:val="center" w:pos="4680"/>
        <w:tab w:val="right" w:pos="9360"/>
      </w:tabs>
      <w:spacing w:after="0" w:line="240" w:lineRule="auto"/>
    </w:pPr>
  </w:style>
  <w:style w:type="character" w:customStyle="1" w:styleId="En-tteCar">
    <w:name w:val="En-tête Car"/>
    <w:basedOn w:val="Policepardfaut"/>
    <w:link w:val="En-tte"/>
    <w:uiPriority w:val="99"/>
    <w:rsid w:val="00152492"/>
  </w:style>
  <w:style w:type="paragraph" w:styleId="Pieddepage">
    <w:name w:val="footer"/>
    <w:basedOn w:val="Normal"/>
    <w:link w:val="PieddepageCar"/>
    <w:uiPriority w:val="99"/>
    <w:unhideWhenUsed/>
    <w:rsid w:val="0015249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52492"/>
  </w:style>
  <w:style w:type="character" w:styleId="Marquedecommentaire">
    <w:name w:val="annotation reference"/>
    <w:basedOn w:val="Policepardfaut"/>
    <w:uiPriority w:val="99"/>
    <w:semiHidden/>
    <w:unhideWhenUsed/>
    <w:rsid w:val="004B22C3"/>
    <w:rPr>
      <w:sz w:val="16"/>
      <w:szCs w:val="16"/>
    </w:rPr>
  </w:style>
  <w:style w:type="paragraph" w:styleId="Commentaire">
    <w:name w:val="annotation text"/>
    <w:basedOn w:val="Normal"/>
    <w:link w:val="CommentaireCar"/>
    <w:uiPriority w:val="99"/>
    <w:unhideWhenUsed/>
    <w:rsid w:val="004B22C3"/>
    <w:pPr>
      <w:spacing w:line="240" w:lineRule="auto"/>
    </w:pPr>
    <w:rPr>
      <w:sz w:val="20"/>
      <w:szCs w:val="20"/>
    </w:rPr>
  </w:style>
  <w:style w:type="character" w:customStyle="1" w:styleId="CommentaireCar">
    <w:name w:val="Commentaire Car"/>
    <w:basedOn w:val="Policepardfaut"/>
    <w:link w:val="Commentaire"/>
    <w:uiPriority w:val="99"/>
    <w:rsid w:val="004B22C3"/>
    <w:rPr>
      <w:sz w:val="20"/>
      <w:szCs w:val="20"/>
    </w:rPr>
  </w:style>
  <w:style w:type="paragraph" w:styleId="Objetducommentaire">
    <w:name w:val="annotation subject"/>
    <w:basedOn w:val="Commentaire"/>
    <w:next w:val="Commentaire"/>
    <w:link w:val="ObjetducommentaireCar"/>
    <w:uiPriority w:val="99"/>
    <w:semiHidden/>
    <w:unhideWhenUsed/>
    <w:rsid w:val="004B22C3"/>
    <w:rPr>
      <w:b/>
      <w:bCs/>
    </w:rPr>
  </w:style>
  <w:style w:type="character" w:customStyle="1" w:styleId="ObjetducommentaireCar">
    <w:name w:val="Objet du commentaire Car"/>
    <w:basedOn w:val="CommentaireCar"/>
    <w:link w:val="Objetducommentaire"/>
    <w:uiPriority w:val="99"/>
    <w:semiHidden/>
    <w:rsid w:val="004B2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12560">
      <w:bodyDiv w:val="1"/>
      <w:marLeft w:val="0"/>
      <w:marRight w:val="0"/>
      <w:marTop w:val="0"/>
      <w:marBottom w:val="0"/>
      <w:divBdr>
        <w:top w:val="none" w:sz="0" w:space="0" w:color="auto"/>
        <w:left w:val="none" w:sz="0" w:space="0" w:color="auto"/>
        <w:bottom w:val="none" w:sz="0" w:space="0" w:color="auto"/>
        <w:right w:val="none" w:sz="0" w:space="0" w:color="auto"/>
      </w:divBdr>
    </w:div>
    <w:div w:id="567960804">
      <w:bodyDiv w:val="1"/>
      <w:marLeft w:val="0"/>
      <w:marRight w:val="0"/>
      <w:marTop w:val="0"/>
      <w:marBottom w:val="0"/>
      <w:divBdr>
        <w:top w:val="none" w:sz="0" w:space="0" w:color="auto"/>
        <w:left w:val="none" w:sz="0" w:space="0" w:color="auto"/>
        <w:bottom w:val="none" w:sz="0" w:space="0" w:color="auto"/>
        <w:right w:val="none" w:sz="0" w:space="0" w:color="auto"/>
      </w:divBdr>
    </w:div>
    <w:div w:id="640161093">
      <w:bodyDiv w:val="1"/>
      <w:marLeft w:val="0"/>
      <w:marRight w:val="0"/>
      <w:marTop w:val="0"/>
      <w:marBottom w:val="0"/>
      <w:divBdr>
        <w:top w:val="none" w:sz="0" w:space="0" w:color="auto"/>
        <w:left w:val="none" w:sz="0" w:space="0" w:color="auto"/>
        <w:bottom w:val="none" w:sz="0" w:space="0" w:color="auto"/>
        <w:right w:val="none" w:sz="0" w:space="0" w:color="auto"/>
      </w:divBdr>
    </w:div>
    <w:div w:id="713239103">
      <w:bodyDiv w:val="1"/>
      <w:marLeft w:val="0"/>
      <w:marRight w:val="0"/>
      <w:marTop w:val="0"/>
      <w:marBottom w:val="0"/>
      <w:divBdr>
        <w:top w:val="none" w:sz="0" w:space="0" w:color="auto"/>
        <w:left w:val="none" w:sz="0" w:space="0" w:color="auto"/>
        <w:bottom w:val="none" w:sz="0" w:space="0" w:color="auto"/>
        <w:right w:val="none" w:sz="0" w:space="0" w:color="auto"/>
      </w:divBdr>
    </w:div>
    <w:div w:id="756826667">
      <w:bodyDiv w:val="1"/>
      <w:marLeft w:val="0"/>
      <w:marRight w:val="0"/>
      <w:marTop w:val="0"/>
      <w:marBottom w:val="0"/>
      <w:divBdr>
        <w:top w:val="none" w:sz="0" w:space="0" w:color="auto"/>
        <w:left w:val="none" w:sz="0" w:space="0" w:color="auto"/>
        <w:bottom w:val="none" w:sz="0" w:space="0" w:color="auto"/>
        <w:right w:val="none" w:sz="0" w:space="0" w:color="auto"/>
      </w:divBdr>
    </w:div>
    <w:div w:id="789127457">
      <w:bodyDiv w:val="1"/>
      <w:marLeft w:val="0"/>
      <w:marRight w:val="0"/>
      <w:marTop w:val="0"/>
      <w:marBottom w:val="0"/>
      <w:divBdr>
        <w:top w:val="none" w:sz="0" w:space="0" w:color="auto"/>
        <w:left w:val="none" w:sz="0" w:space="0" w:color="auto"/>
        <w:bottom w:val="none" w:sz="0" w:space="0" w:color="auto"/>
        <w:right w:val="none" w:sz="0" w:space="0" w:color="auto"/>
      </w:divBdr>
    </w:div>
    <w:div w:id="978806117">
      <w:bodyDiv w:val="1"/>
      <w:marLeft w:val="0"/>
      <w:marRight w:val="0"/>
      <w:marTop w:val="0"/>
      <w:marBottom w:val="0"/>
      <w:divBdr>
        <w:top w:val="none" w:sz="0" w:space="0" w:color="auto"/>
        <w:left w:val="none" w:sz="0" w:space="0" w:color="auto"/>
        <w:bottom w:val="none" w:sz="0" w:space="0" w:color="auto"/>
        <w:right w:val="none" w:sz="0" w:space="0" w:color="auto"/>
      </w:divBdr>
    </w:div>
    <w:div w:id="1126119075">
      <w:bodyDiv w:val="1"/>
      <w:marLeft w:val="0"/>
      <w:marRight w:val="0"/>
      <w:marTop w:val="0"/>
      <w:marBottom w:val="0"/>
      <w:divBdr>
        <w:top w:val="none" w:sz="0" w:space="0" w:color="auto"/>
        <w:left w:val="none" w:sz="0" w:space="0" w:color="auto"/>
        <w:bottom w:val="none" w:sz="0" w:space="0" w:color="auto"/>
        <w:right w:val="none" w:sz="0" w:space="0" w:color="auto"/>
      </w:divBdr>
    </w:div>
    <w:div w:id="1129858505">
      <w:bodyDiv w:val="1"/>
      <w:marLeft w:val="0"/>
      <w:marRight w:val="0"/>
      <w:marTop w:val="0"/>
      <w:marBottom w:val="0"/>
      <w:divBdr>
        <w:top w:val="none" w:sz="0" w:space="0" w:color="auto"/>
        <w:left w:val="none" w:sz="0" w:space="0" w:color="auto"/>
        <w:bottom w:val="none" w:sz="0" w:space="0" w:color="auto"/>
        <w:right w:val="none" w:sz="0" w:space="0" w:color="auto"/>
      </w:divBdr>
    </w:div>
    <w:div w:id="1347753132">
      <w:bodyDiv w:val="1"/>
      <w:marLeft w:val="0"/>
      <w:marRight w:val="0"/>
      <w:marTop w:val="0"/>
      <w:marBottom w:val="0"/>
      <w:divBdr>
        <w:top w:val="none" w:sz="0" w:space="0" w:color="auto"/>
        <w:left w:val="none" w:sz="0" w:space="0" w:color="auto"/>
        <w:bottom w:val="none" w:sz="0" w:space="0" w:color="auto"/>
        <w:right w:val="none" w:sz="0" w:space="0" w:color="auto"/>
      </w:divBdr>
    </w:div>
    <w:div w:id="1603996035">
      <w:bodyDiv w:val="1"/>
      <w:marLeft w:val="0"/>
      <w:marRight w:val="0"/>
      <w:marTop w:val="0"/>
      <w:marBottom w:val="0"/>
      <w:divBdr>
        <w:top w:val="none" w:sz="0" w:space="0" w:color="auto"/>
        <w:left w:val="none" w:sz="0" w:space="0" w:color="auto"/>
        <w:bottom w:val="none" w:sz="0" w:space="0" w:color="auto"/>
        <w:right w:val="none" w:sz="0" w:space="0" w:color="auto"/>
      </w:divBdr>
    </w:div>
    <w:div w:id="1655916718">
      <w:bodyDiv w:val="1"/>
      <w:marLeft w:val="0"/>
      <w:marRight w:val="0"/>
      <w:marTop w:val="0"/>
      <w:marBottom w:val="0"/>
      <w:divBdr>
        <w:top w:val="none" w:sz="0" w:space="0" w:color="auto"/>
        <w:left w:val="none" w:sz="0" w:space="0" w:color="auto"/>
        <w:bottom w:val="none" w:sz="0" w:space="0" w:color="auto"/>
        <w:right w:val="none" w:sz="0" w:space="0" w:color="auto"/>
      </w:divBdr>
    </w:div>
    <w:div w:id="1768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pubmed.ncbi.nlm.nih.gov/13184240/" TargetMode="External"/><Relationship Id="rId39" Type="http://schemas.openxmlformats.org/officeDocument/2006/relationships/hyperlink" Target="https://doi.org/10.1094/PHYTO-97-2-0250" TargetMode="External"/><Relationship Id="rId21" Type="http://schemas.openxmlformats.org/officeDocument/2006/relationships/hyperlink" Target="https://doi.org/10.20546/ijcmas.2019.804.164" TargetMode="External"/><Relationship Id="rId34" Type="http://schemas.openxmlformats.org/officeDocument/2006/relationships/hyperlink" Target="https://doi.org/10.1080/17429145.2022.2029963" TargetMode="Externa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390/f12111579" TargetMode="External"/><Relationship Id="rId29" Type="http://schemas.openxmlformats.org/officeDocument/2006/relationships/hyperlink" Target="https://www.redalyc.org/articulo.oa?id=86382389002"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epu.edu.iq/wp-content/uploads/2014/12/Journal-of-Advanced-Medical-Research-Vol.2-No.3-September-2012-90-98.pdf" TargetMode="External"/><Relationship Id="rId32" Type="http://schemas.openxmlformats.org/officeDocument/2006/relationships/hyperlink" Target="https://doi.org/10.1007/978-3-031-07559-9_18" TargetMode="External"/><Relationship Id="rId37" Type="http://schemas.openxmlformats.org/officeDocument/2006/relationships/hyperlink" Target="https://www.ispub.com/IJMB/2/2/783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38/nrmicro1129" TargetMode="External"/><Relationship Id="rId28" Type="http://schemas.openxmlformats.org/officeDocument/2006/relationships/hyperlink" Target="https://pubmed.ncbi.nlm.nih.gov/23066485/" TargetMode="External"/><Relationship Id="rId36" Type="http://schemas.openxmlformats.org/officeDocument/2006/relationships/hyperlink" Target="https://doi.org/10.18782/2320-7051.6910" TargetMode="External"/><Relationship Id="rId10" Type="http://schemas.microsoft.com/office/2018/08/relationships/commentsExtensible" Target="commentsExtensible.xml"/><Relationship Id="rId19" Type="http://schemas.openxmlformats.org/officeDocument/2006/relationships/hyperlink" Target="https://doi.org/10.3389/fmicb.2019.00156" TargetMode="External"/><Relationship Id="rId31" Type="http://schemas.openxmlformats.org/officeDocument/2006/relationships/hyperlink" Target="https://www.entomoljournal.com/archives/2017/vol5issue5/PartI/5-4-10-201.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2691/jaem-2-4-2" TargetMode="External"/><Relationship Id="rId27" Type="http://schemas.openxmlformats.org/officeDocument/2006/relationships/hyperlink" Target="https://doi.org/10.1128/AEM.71.8.4809-4821.2005" TargetMode="External"/><Relationship Id="rId30" Type="http://schemas.openxmlformats.org/officeDocument/2006/relationships/hyperlink" Target="https://doi.org/10.1007/978-3-031-21079-2_13" TargetMode="External"/><Relationship Id="rId35" Type="http://schemas.openxmlformats.org/officeDocument/2006/relationships/hyperlink" Target="https://www.researchjournal.co.in/upload/HARTI-Research%20Journal%20Vol.%209%20Issue%201%20Jan.%202013.pdf"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s://doi.org/10.5897/AJMR2013.6472" TargetMode="External"/><Relationship Id="rId33" Type="http://schemas.openxmlformats.org/officeDocument/2006/relationships/hyperlink" Target="https://doi.org/10.3389/fmicb.2021.713660" TargetMode="External"/><Relationship Id="rId38" Type="http://schemas.openxmlformats.org/officeDocument/2006/relationships/hyperlink" Target="https://doi.org/10.1155/2018/614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13</Pages>
  <Words>4346</Words>
  <Characters>23907</Characters>
  <Application>Microsoft Office Word</Application>
  <DocSecurity>0</DocSecurity>
  <Lines>199</Lines>
  <Paragraphs>56</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
      <vt:lpstr/>
      <vt:lpstr>Mule Harindra Reddy1, S. Sundaramoorthy1, 2*</vt:lpstr>
      <vt:lpstr>1 Ph.D. Scholar, Department of Plant Pathology, Faculty of Agriculture, Annamala</vt:lpstr>
      <vt:lpstr>*: Corresponding author  Email: muleharindrareddy@gmail.com </vt:lpstr>
      <vt:lpstr>        Isolation of Pseudomonas spp. was performed using the standard serial dilution a</vt:lpstr>
      <vt:lpstr>        2.3 Morphological Characterization</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Mehdia Fraj</cp:lastModifiedBy>
  <cp:revision>28</cp:revision>
  <dcterms:created xsi:type="dcterms:W3CDTF">2025-12-27T06:36:00Z</dcterms:created>
  <dcterms:modified xsi:type="dcterms:W3CDTF">2026-01-02T20:42:00Z</dcterms:modified>
</cp:coreProperties>
</file>