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C67" w:rsidRPr="001A15EE" w:rsidRDefault="00CE6C67" w:rsidP="004F79E0">
      <w:pPr>
        <w:pStyle w:val="Author"/>
        <w:spacing w:line="360" w:lineRule="auto"/>
        <w:jc w:val="center"/>
        <w:rPr>
          <w:rFonts w:ascii="Arial" w:eastAsiaTheme="minorHAnsi" w:hAnsi="Arial" w:cs="Arial"/>
          <w:bCs/>
          <w:sz w:val="32"/>
          <w:szCs w:val="32"/>
          <w:lang w:bidi="gu-IN"/>
        </w:rPr>
      </w:pPr>
      <w:commentRangeStart w:id="0"/>
      <w:r w:rsidRPr="001A15EE">
        <w:rPr>
          <w:rFonts w:ascii="Arial" w:eastAsiaTheme="minorHAnsi" w:hAnsi="Arial" w:cs="Arial"/>
          <w:bCs/>
          <w:sz w:val="32"/>
          <w:szCs w:val="32"/>
          <w:lang w:bidi="gu-IN"/>
        </w:rPr>
        <w:t>Effect of an Indigenous Isolates (</w:t>
      </w:r>
      <w:r w:rsidRPr="001A15EE">
        <w:rPr>
          <w:rFonts w:ascii="Arial" w:eastAsiaTheme="minorHAnsi" w:hAnsi="Arial" w:cs="Arial"/>
          <w:bCs/>
          <w:i/>
          <w:iCs/>
          <w:sz w:val="32"/>
          <w:szCs w:val="32"/>
          <w:lang w:bidi="gu-IN"/>
        </w:rPr>
        <w:t>Aspergillus niger</w:t>
      </w:r>
      <w:r w:rsidRPr="001A15EE">
        <w:rPr>
          <w:rFonts w:ascii="Arial" w:eastAsiaTheme="minorHAnsi" w:hAnsi="Arial" w:cs="Arial"/>
          <w:bCs/>
          <w:sz w:val="32"/>
          <w:szCs w:val="32"/>
          <w:lang w:bidi="gu-IN"/>
        </w:rPr>
        <w:t xml:space="preserve"> and </w:t>
      </w:r>
      <w:r w:rsidRPr="001A15EE">
        <w:rPr>
          <w:rFonts w:ascii="Arial" w:eastAsiaTheme="minorHAnsi" w:hAnsi="Arial" w:cs="Arial"/>
          <w:bCs/>
          <w:i/>
          <w:iCs/>
          <w:sz w:val="32"/>
          <w:szCs w:val="32"/>
          <w:lang w:bidi="gu-IN"/>
        </w:rPr>
        <w:t xml:space="preserve">Pseudomonas </w:t>
      </w:r>
      <w:commentRangeStart w:id="1"/>
      <w:r w:rsidRPr="001A15EE">
        <w:rPr>
          <w:rFonts w:ascii="Arial" w:eastAsiaTheme="minorHAnsi" w:hAnsi="Arial" w:cs="Arial"/>
          <w:bCs/>
          <w:i/>
          <w:iCs/>
          <w:sz w:val="32"/>
          <w:szCs w:val="32"/>
          <w:lang w:bidi="gu-IN"/>
        </w:rPr>
        <w:t>fluorescence</w:t>
      </w:r>
      <w:commentRangeEnd w:id="1"/>
      <w:r w:rsidR="00501BCC">
        <w:rPr>
          <w:rStyle w:val="CommentReference"/>
          <w:rFonts w:asciiTheme="minorHAnsi" w:eastAsiaTheme="minorHAnsi" w:hAnsiTheme="minorHAnsi" w:cstheme="minorBidi"/>
          <w:b w:val="0"/>
        </w:rPr>
        <w:commentReference w:id="1"/>
      </w:r>
      <w:r w:rsidRPr="001A15EE">
        <w:rPr>
          <w:rFonts w:ascii="Arial" w:eastAsiaTheme="minorHAnsi" w:hAnsi="Arial" w:cs="Arial"/>
          <w:bCs/>
          <w:sz w:val="32"/>
          <w:szCs w:val="32"/>
          <w:lang w:bidi="gu-IN"/>
        </w:rPr>
        <w:t>) on Microbial Degra</w:t>
      </w:r>
      <w:r w:rsidR="00E07B87" w:rsidRPr="001A15EE">
        <w:rPr>
          <w:rFonts w:ascii="Arial" w:eastAsiaTheme="minorHAnsi" w:hAnsi="Arial" w:cs="Arial"/>
          <w:bCs/>
          <w:sz w:val="32"/>
          <w:szCs w:val="32"/>
          <w:lang w:bidi="gu-IN"/>
        </w:rPr>
        <w:t xml:space="preserve">dation </w:t>
      </w:r>
      <w:r w:rsidR="00C07BAC" w:rsidRPr="001A15EE">
        <w:rPr>
          <w:rFonts w:ascii="Arial" w:eastAsiaTheme="minorHAnsi" w:hAnsi="Arial" w:cs="Arial"/>
          <w:bCs/>
          <w:sz w:val="32"/>
          <w:szCs w:val="32"/>
          <w:lang w:bidi="gu-IN"/>
        </w:rPr>
        <w:t xml:space="preserve">and Detoxification </w:t>
      </w:r>
      <w:r w:rsidR="00E07B87" w:rsidRPr="001A15EE">
        <w:rPr>
          <w:rFonts w:ascii="Arial" w:eastAsiaTheme="minorHAnsi" w:hAnsi="Arial" w:cs="Arial"/>
          <w:bCs/>
          <w:sz w:val="32"/>
          <w:szCs w:val="32"/>
          <w:lang w:bidi="gu-IN"/>
        </w:rPr>
        <w:t>of Distillery Spent Wash</w:t>
      </w:r>
      <w:commentRangeEnd w:id="0"/>
      <w:r w:rsidR="00834A52">
        <w:rPr>
          <w:rStyle w:val="CommentReference"/>
          <w:rFonts w:asciiTheme="minorHAnsi" w:eastAsiaTheme="minorHAnsi" w:hAnsiTheme="minorHAnsi" w:cstheme="minorBidi"/>
          <w:b w:val="0"/>
        </w:rPr>
        <w:commentReference w:id="0"/>
      </w:r>
    </w:p>
    <w:p w:rsidR="00577B8C" w:rsidRDefault="00577B8C" w:rsidP="00535F85">
      <w:pPr>
        <w:spacing w:before="240" w:after="0" w:line="240" w:lineRule="auto"/>
        <w:jc w:val="center"/>
        <w:rPr>
          <w:rFonts w:ascii="Arial" w:hAnsi="Arial" w:cs="Arial"/>
          <w:b/>
          <w:sz w:val="28"/>
          <w:szCs w:val="20"/>
        </w:rPr>
      </w:pPr>
    </w:p>
    <w:p w:rsidR="00CE6C67" w:rsidRPr="001A15EE" w:rsidRDefault="00C662B3" w:rsidP="00535F85">
      <w:pPr>
        <w:spacing w:before="240" w:after="0" w:line="240" w:lineRule="auto"/>
        <w:jc w:val="center"/>
        <w:rPr>
          <w:rFonts w:ascii="Arial" w:hAnsi="Arial" w:cs="Arial"/>
          <w:b/>
          <w:sz w:val="28"/>
          <w:szCs w:val="20"/>
        </w:rPr>
      </w:pPr>
      <w:bookmarkStart w:id="2" w:name="_GoBack"/>
      <w:bookmarkEnd w:id="2"/>
      <w:commentRangeStart w:id="3"/>
      <w:r w:rsidRPr="001A15EE">
        <w:rPr>
          <w:rFonts w:ascii="Arial" w:hAnsi="Arial" w:cs="Arial"/>
          <w:b/>
          <w:sz w:val="28"/>
          <w:szCs w:val="20"/>
        </w:rPr>
        <w:t>ABSTRACT</w:t>
      </w:r>
      <w:commentRangeEnd w:id="3"/>
      <w:r w:rsidR="00834A52">
        <w:rPr>
          <w:rStyle w:val="CommentReference"/>
        </w:rPr>
        <w:commentReference w:id="3"/>
      </w:r>
    </w:p>
    <w:p w:rsidR="00E07B87" w:rsidRPr="001A15EE" w:rsidRDefault="00E07B87" w:rsidP="00C07BAC">
      <w:pPr>
        <w:pBdr>
          <w:bottom w:val="single" w:sz="12" w:space="1" w:color="auto"/>
        </w:pBdr>
        <w:spacing w:after="0"/>
        <w:ind w:firstLine="720"/>
        <w:jc w:val="both"/>
        <w:rPr>
          <w:rFonts w:ascii="Arial" w:eastAsia="Times New Roman" w:hAnsi="Arial" w:cs="Arial"/>
          <w:sz w:val="24"/>
          <w:szCs w:val="24"/>
        </w:rPr>
      </w:pPr>
      <w:r w:rsidRPr="001A15EE">
        <w:rPr>
          <w:rFonts w:ascii="Arial" w:eastAsia="Times New Roman" w:hAnsi="Arial" w:cs="Arial"/>
          <w:sz w:val="24"/>
          <w:szCs w:val="24"/>
        </w:rPr>
        <w:t>An experiment was conducted in 2024–25 at the Soil and Water Management Research Unit, NAU, Navsari to evaluate the effectiveness of microbial inoculants for</w:t>
      </w:r>
      <w:commentRangeStart w:id="4"/>
      <w:r w:rsidRPr="001A15EE">
        <w:rPr>
          <w:rFonts w:ascii="Arial" w:eastAsia="Times New Roman" w:hAnsi="Arial" w:cs="Arial"/>
          <w:sz w:val="24"/>
          <w:szCs w:val="24"/>
        </w:rPr>
        <w:t xml:space="preserve"> </w:t>
      </w:r>
      <w:commentRangeEnd w:id="4"/>
      <w:r w:rsidR="00834A52">
        <w:rPr>
          <w:rStyle w:val="CommentReference"/>
        </w:rPr>
        <w:commentReference w:id="4"/>
      </w:r>
      <w:r w:rsidRPr="001A15EE">
        <w:rPr>
          <w:rFonts w:ascii="Arial" w:eastAsia="Times New Roman" w:hAnsi="Arial" w:cs="Arial"/>
          <w:sz w:val="24"/>
          <w:szCs w:val="24"/>
        </w:rPr>
        <w:t xml:space="preserve">the degradation of distillery spent wash using </w:t>
      </w:r>
      <w:commentRangeStart w:id="5"/>
      <w:r w:rsidRPr="001A15EE">
        <w:rPr>
          <w:rFonts w:ascii="Arial" w:eastAsia="Times New Roman" w:hAnsi="Arial" w:cs="Arial"/>
          <w:sz w:val="24"/>
          <w:szCs w:val="24"/>
        </w:rPr>
        <w:t>FCRD</w:t>
      </w:r>
      <w:commentRangeEnd w:id="5"/>
      <w:r w:rsidR="00834A52">
        <w:rPr>
          <w:rStyle w:val="CommentReference"/>
        </w:rPr>
        <w:commentReference w:id="5"/>
      </w:r>
      <w:r w:rsidRPr="001A15EE">
        <w:rPr>
          <w:rFonts w:ascii="Arial" w:eastAsia="Times New Roman" w:hAnsi="Arial" w:cs="Arial"/>
          <w:sz w:val="24"/>
          <w:szCs w:val="24"/>
        </w:rPr>
        <w:t xml:space="preserve"> with three treatments (M</w:t>
      </w:r>
      <w:r w:rsidRPr="001A15EE">
        <w:rPr>
          <w:rFonts w:ascii="Arial" w:eastAsia="Times New Roman" w:hAnsi="Arial" w:cs="Arial"/>
          <w:sz w:val="24"/>
          <w:szCs w:val="24"/>
          <w:vertAlign w:val="subscript"/>
        </w:rPr>
        <w:t>0</w:t>
      </w:r>
      <w:r w:rsidRPr="001A15EE">
        <w:rPr>
          <w:rFonts w:ascii="Arial" w:eastAsia="Times New Roman" w:hAnsi="Arial" w:cs="Arial"/>
          <w:sz w:val="24"/>
          <w:szCs w:val="24"/>
        </w:rPr>
        <w:t xml:space="preserve"> – no inoculation, M</w:t>
      </w:r>
      <w:r w:rsidRPr="001A15EE">
        <w:rPr>
          <w:rFonts w:ascii="Arial" w:eastAsia="Times New Roman" w:hAnsi="Arial" w:cs="Arial"/>
          <w:sz w:val="24"/>
          <w:szCs w:val="24"/>
          <w:vertAlign w:val="subscript"/>
        </w:rPr>
        <w:t>1</w:t>
      </w:r>
      <w:r w:rsidRPr="001A15EE">
        <w:rPr>
          <w:rFonts w:ascii="Arial" w:eastAsia="Times New Roman" w:hAnsi="Arial" w:cs="Arial"/>
          <w:sz w:val="24"/>
          <w:szCs w:val="24"/>
        </w:rPr>
        <w:t xml:space="preserve"> – </w:t>
      </w:r>
      <w:r w:rsidRPr="001A15EE">
        <w:rPr>
          <w:rFonts w:ascii="Arial" w:eastAsia="Times New Roman" w:hAnsi="Arial" w:cs="Arial"/>
          <w:i/>
          <w:iCs/>
          <w:sz w:val="24"/>
          <w:szCs w:val="24"/>
        </w:rPr>
        <w:t>Aspergillus niger</w:t>
      </w:r>
      <w:r w:rsidR="001A15EE" w:rsidRPr="001A15EE">
        <w:rPr>
          <w:rFonts w:ascii="Arial" w:eastAsia="Times New Roman" w:hAnsi="Arial" w:cs="Arial"/>
          <w:sz w:val="24"/>
          <w:szCs w:val="24"/>
        </w:rPr>
        <w:t xml:space="preserve"> at </w:t>
      </w:r>
      <w:r w:rsidRPr="001A15EE">
        <w:rPr>
          <w:rFonts w:ascii="Arial" w:eastAsia="Times New Roman" w:hAnsi="Arial" w:cs="Arial"/>
          <w:sz w:val="24"/>
          <w:szCs w:val="24"/>
        </w:rPr>
        <w:t>1 g/L and M</w:t>
      </w:r>
      <w:r w:rsidRPr="001A15EE">
        <w:rPr>
          <w:rFonts w:ascii="Arial" w:eastAsia="Times New Roman" w:hAnsi="Arial" w:cs="Arial"/>
          <w:sz w:val="24"/>
          <w:szCs w:val="24"/>
          <w:vertAlign w:val="subscript"/>
        </w:rPr>
        <w:t>2</w:t>
      </w:r>
      <w:r w:rsidRPr="001A15EE">
        <w:rPr>
          <w:rFonts w:ascii="Arial" w:eastAsia="Times New Roman" w:hAnsi="Arial" w:cs="Arial"/>
          <w:sz w:val="24"/>
          <w:szCs w:val="24"/>
        </w:rPr>
        <w:t xml:space="preserve"> – </w:t>
      </w:r>
      <w:r w:rsidRPr="001A15EE">
        <w:rPr>
          <w:rFonts w:ascii="Arial" w:eastAsia="Times New Roman" w:hAnsi="Arial" w:cs="Arial"/>
          <w:i/>
          <w:iCs/>
          <w:sz w:val="24"/>
          <w:szCs w:val="24"/>
        </w:rPr>
        <w:t>Pseudomonas fluorescens</w:t>
      </w:r>
      <w:r w:rsidR="001A15EE" w:rsidRPr="001A15EE">
        <w:rPr>
          <w:rFonts w:ascii="Arial" w:eastAsia="Times New Roman" w:hAnsi="Arial" w:cs="Arial"/>
          <w:sz w:val="24"/>
          <w:szCs w:val="24"/>
        </w:rPr>
        <w:t xml:space="preserve"> at </w:t>
      </w:r>
      <w:r w:rsidRPr="001A15EE">
        <w:rPr>
          <w:rFonts w:ascii="Arial" w:eastAsia="Times New Roman" w:hAnsi="Arial" w:cs="Arial"/>
          <w:sz w:val="24"/>
          <w:szCs w:val="24"/>
        </w:rPr>
        <w:t xml:space="preserve">10 mL/L) and five replications. Among the treatments, </w:t>
      </w:r>
      <w:r w:rsidRPr="001A15EE">
        <w:rPr>
          <w:rFonts w:ascii="Arial" w:eastAsia="Times New Roman" w:hAnsi="Arial" w:cs="Arial"/>
          <w:bCs/>
          <w:sz w:val="24"/>
          <w:szCs w:val="24"/>
        </w:rPr>
        <w:t>M</w:t>
      </w:r>
      <w:r w:rsidRPr="001A15EE">
        <w:rPr>
          <w:rFonts w:ascii="Arial" w:eastAsia="Times New Roman" w:hAnsi="Arial" w:cs="Arial"/>
          <w:bCs/>
          <w:sz w:val="24"/>
          <w:szCs w:val="24"/>
          <w:vertAlign w:val="subscript"/>
        </w:rPr>
        <w:t>2</w:t>
      </w:r>
      <w:r w:rsidRPr="001A15EE">
        <w:rPr>
          <w:rFonts w:ascii="Arial" w:eastAsia="Times New Roman" w:hAnsi="Arial" w:cs="Arial"/>
          <w:bCs/>
          <w:sz w:val="24"/>
          <w:szCs w:val="24"/>
        </w:rPr>
        <w:t xml:space="preserve"> consistently demonstrated superior performance in reducing organic pollution</w:t>
      </w:r>
      <w:r w:rsidRPr="001A15EE">
        <w:rPr>
          <w:rFonts w:ascii="Arial" w:eastAsia="Times New Roman" w:hAnsi="Arial" w:cs="Arial"/>
          <w:sz w:val="24"/>
          <w:szCs w:val="24"/>
        </w:rPr>
        <w:t>, recor</w:t>
      </w:r>
      <w:r w:rsidR="007F03DE">
        <w:rPr>
          <w:rFonts w:ascii="Arial" w:eastAsia="Times New Roman" w:hAnsi="Arial" w:cs="Arial"/>
          <w:sz w:val="24"/>
          <w:szCs w:val="24"/>
        </w:rPr>
        <w:t>ding the lowest mean values of COD, B</w:t>
      </w:r>
      <w:r w:rsidRPr="001A15EE">
        <w:rPr>
          <w:rFonts w:ascii="Arial" w:eastAsia="Times New Roman" w:hAnsi="Arial" w:cs="Arial"/>
          <w:sz w:val="24"/>
          <w:szCs w:val="24"/>
        </w:rPr>
        <w:t xml:space="preserve">OD, TS and TDS. Treatment efficiency was increased with incubation time. The interaction effect </w:t>
      </w:r>
      <w:r w:rsidRPr="001A15EE">
        <w:rPr>
          <w:rFonts w:ascii="Arial" w:eastAsia="Times New Roman" w:hAnsi="Arial" w:cs="Arial"/>
          <w:bCs/>
          <w:sz w:val="24"/>
          <w:szCs w:val="24"/>
        </w:rPr>
        <w:t>M</w:t>
      </w:r>
      <w:r w:rsidRPr="001A15EE">
        <w:rPr>
          <w:rFonts w:ascii="Arial" w:eastAsia="Times New Roman" w:hAnsi="Arial" w:cs="Arial"/>
          <w:bCs/>
          <w:sz w:val="24"/>
          <w:szCs w:val="24"/>
          <w:vertAlign w:val="subscript"/>
        </w:rPr>
        <w:t>2</w:t>
      </w:r>
      <w:r w:rsidRPr="001A15EE">
        <w:rPr>
          <w:rFonts w:ascii="Arial" w:eastAsia="Times New Roman" w:hAnsi="Arial" w:cs="Arial"/>
          <w:bCs/>
          <w:sz w:val="24"/>
          <w:szCs w:val="24"/>
        </w:rPr>
        <w:t>D</w:t>
      </w:r>
      <w:r w:rsidRPr="001A15EE">
        <w:rPr>
          <w:rFonts w:ascii="Arial" w:eastAsia="Times New Roman" w:hAnsi="Arial" w:cs="Arial"/>
          <w:bCs/>
          <w:sz w:val="24"/>
          <w:szCs w:val="24"/>
          <w:vertAlign w:val="subscript"/>
        </w:rPr>
        <w:t>3</w:t>
      </w:r>
      <w:r w:rsidRPr="001A15EE">
        <w:rPr>
          <w:rFonts w:ascii="Arial" w:eastAsia="Times New Roman" w:hAnsi="Arial" w:cs="Arial"/>
          <w:bCs/>
          <w:sz w:val="24"/>
          <w:szCs w:val="24"/>
        </w:rPr>
        <w:t xml:space="preserve"> was the most effective</w:t>
      </w:r>
      <w:r w:rsidR="007F03DE">
        <w:rPr>
          <w:rFonts w:ascii="Arial" w:eastAsia="Times New Roman" w:hAnsi="Arial" w:cs="Arial"/>
          <w:sz w:val="24"/>
          <w:szCs w:val="24"/>
        </w:rPr>
        <w:t>, achieved the lowest COD, B</w:t>
      </w:r>
      <w:r w:rsidRPr="001A15EE">
        <w:rPr>
          <w:rFonts w:ascii="Arial" w:eastAsia="Times New Roman" w:hAnsi="Arial" w:cs="Arial"/>
          <w:sz w:val="24"/>
          <w:szCs w:val="24"/>
        </w:rPr>
        <w:t>OD and TS contents which indicated a strong synergistic effect between microbial inoculation and 30</w:t>
      </w:r>
      <w:r w:rsidRPr="001A15EE">
        <w:rPr>
          <w:rFonts w:ascii="Arial" w:eastAsia="Times New Roman" w:hAnsi="Arial" w:cs="Arial"/>
          <w:sz w:val="24"/>
          <w:szCs w:val="24"/>
          <w:vertAlign w:val="superscript"/>
        </w:rPr>
        <w:t>th</w:t>
      </w:r>
      <w:r w:rsidRPr="001A15EE">
        <w:rPr>
          <w:rFonts w:ascii="Arial" w:eastAsia="Times New Roman" w:hAnsi="Arial" w:cs="Arial"/>
          <w:sz w:val="24"/>
          <w:szCs w:val="24"/>
        </w:rPr>
        <w:t xml:space="preserve"> days of incubation period. M</w:t>
      </w:r>
      <w:r w:rsidRPr="001A15EE">
        <w:rPr>
          <w:rFonts w:ascii="Arial" w:eastAsia="Times New Roman" w:hAnsi="Arial" w:cs="Arial"/>
          <w:sz w:val="24"/>
          <w:szCs w:val="24"/>
          <w:vertAlign w:val="subscript"/>
        </w:rPr>
        <w:t>2</w:t>
      </w:r>
      <w:r w:rsidRPr="001A15EE">
        <w:rPr>
          <w:rFonts w:ascii="Arial" w:eastAsia="Times New Roman" w:hAnsi="Arial" w:cs="Arial"/>
          <w:sz w:val="24"/>
          <w:szCs w:val="24"/>
        </w:rPr>
        <w:t xml:space="preserve"> also showed the highest reduction in optical density across all tested DSW concentrations, even at 10</w:t>
      </w:r>
      <w:r w:rsidRPr="001A15EE">
        <w:rPr>
          <w:rFonts w:ascii="Arial" w:eastAsia="Times New Roman" w:hAnsi="Arial" w:cs="Arial"/>
          <w:sz w:val="24"/>
          <w:szCs w:val="24"/>
          <w:vertAlign w:val="superscript"/>
        </w:rPr>
        <w:t>th</w:t>
      </w:r>
      <w:r w:rsidRPr="001A15EE">
        <w:rPr>
          <w:rFonts w:ascii="Arial" w:eastAsia="Times New Roman" w:hAnsi="Arial" w:cs="Arial"/>
          <w:sz w:val="24"/>
          <w:szCs w:val="24"/>
        </w:rPr>
        <w:t xml:space="preserve"> day of incubation. </w:t>
      </w:r>
      <w:r w:rsidRPr="001A15EE">
        <w:rPr>
          <w:rFonts w:ascii="Arial" w:eastAsia="Times New Roman" w:hAnsi="Arial" w:cs="Arial"/>
          <w:bCs/>
          <w:sz w:val="24"/>
          <w:szCs w:val="24"/>
        </w:rPr>
        <w:t>M</w:t>
      </w:r>
      <w:r w:rsidRPr="001A15EE">
        <w:rPr>
          <w:rFonts w:ascii="Arial" w:eastAsia="Times New Roman" w:hAnsi="Arial" w:cs="Arial"/>
          <w:bCs/>
          <w:sz w:val="24"/>
          <w:szCs w:val="24"/>
          <w:vertAlign w:val="subscript"/>
        </w:rPr>
        <w:t>1</w:t>
      </w:r>
      <w:r w:rsidRPr="001A15EE">
        <w:rPr>
          <w:rFonts w:ascii="Arial" w:eastAsia="Times New Roman" w:hAnsi="Arial" w:cs="Arial"/>
          <w:bCs/>
          <w:sz w:val="24"/>
          <w:szCs w:val="24"/>
        </w:rPr>
        <w:t xml:space="preserve"> proved more effective for micronutrient removal</w:t>
      </w:r>
      <w:r w:rsidRPr="001A15EE">
        <w:rPr>
          <w:rFonts w:ascii="Arial" w:eastAsia="Times New Roman" w:hAnsi="Arial" w:cs="Arial"/>
          <w:sz w:val="24"/>
          <w:szCs w:val="24"/>
        </w:rPr>
        <w:t>, particularly for Fe, Mn, Zn and Cu. The M</w:t>
      </w:r>
      <w:r w:rsidRPr="001A15EE">
        <w:rPr>
          <w:rFonts w:ascii="Arial" w:eastAsia="Times New Roman" w:hAnsi="Arial" w:cs="Arial"/>
          <w:sz w:val="24"/>
          <w:szCs w:val="24"/>
          <w:vertAlign w:val="subscript"/>
        </w:rPr>
        <w:t>1</w:t>
      </w:r>
      <w:r w:rsidRPr="001A15EE">
        <w:rPr>
          <w:rFonts w:ascii="Arial" w:eastAsia="Times New Roman" w:hAnsi="Arial" w:cs="Arial"/>
          <w:sz w:val="24"/>
          <w:szCs w:val="24"/>
        </w:rPr>
        <w:t>D</w:t>
      </w:r>
      <w:r w:rsidRPr="001A15EE">
        <w:rPr>
          <w:rFonts w:ascii="Arial" w:eastAsia="Times New Roman" w:hAnsi="Arial" w:cs="Arial"/>
          <w:sz w:val="24"/>
          <w:szCs w:val="24"/>
          <w:vertAlign w:val="subscript"/>
        </w:rPr>
        <w:t>1</w:t>
      </w:r>
      <w:r w:rsidRPr="001A15EE">
        <w:rPr>
          <w:rFonts w:ascii="Arial" w:eastAsia="Times New Roman" w:hAnsi="Arial" w:cs="Arial"/>
          <w:sz w:val="24"/>
          <w:szCs w:val="24"/>
        </w:rPr>
        <w:t xml:space="preserve"> interaction resulted in the lowest concentrations of these metals. Overall, the findings demonstrated that </w:t>
      </w:r>
      <w:r w:rsidRPr="001A15EE">
        <w:rPr>
          <w:rFonts w:ascii="Arial" w:eastAsia="Times New Roman" w:hAnsi="Arial" w:cs="Arial"/>
          <w:bCs/>
          <w:sz w:val="24"/>
          <w:szCs w:val="24"/>
        </w:rPr>
        <w:t>M</w:t>
      </w:r>
      <w:r w:rsidRPr="001A15EE">
        <w:rPr>
          <w:rFonts w:ascii="Arial" w:eastAsia="Times New Roman" w:hAnsi="Arial" w:cs="Arial"/>
          <w:bCs/>
          <w:sz w:val="24"/>
          <w:szCs w:val="24"/>
          <w:vertAlign w:val="subscript"/>
        </w:rPr>
        <w:t>2</w:t>
      </w:r>
      <w:r w:rsidRPr="001A15EE">
        <w:rPr>
          <w:rFonts w:ascii="Arial" w:eastAsia="Times New Roman" w:hAnsi="Arial" w:cs="Arial"/>
          <w:bCs/>
          <w:sz w:val="24"/>
          <w:szCs w:val="24"/>
        </w:rPr>
        <w:t xml:space="preserve"> with extended incubation was optimal for organic pollution mitigation</w:t>
      </w:r>
      <w:r w:rsidRPr="001A15EE">
        <w:rPr>
          <w:rFonts w:ascii="Arial" w:eastAsia="Times New Roman" w:hAnsi="Arial" w:cs="Arial"/>
          <w:sz w:val="24"/>
          <w:szCs w:val="24"/>
        </w:rPr>
        <w:t xml:space="preserve">, whereas </w:t>
      </w:r>
      <w:r w:rsidRPr="001A15EE">
        <w:rPr>
          <w:rFonts w:ascii="Arial" w:eastAsia="Times New Roman" w:hAnsi="Arial" w:cs="Arial"/>
          <w:bCs/>
          <w:sz w:val="24"/>
          <w:szCs w:val="24"/>
        </w:rPr>
        <w:t>M</w:t>
      </w:r>
      <w:r w:rsidRPr="001A15EE">
        <w:rPr>
          <w:rFonts w:ascii="Arial" w:eastAsia="Times New Roman" w:hAnsi="Arial" w:cs="Arial"/>
          <w:bCs/>
          <w:sz w:val="24"/>
          <w:szCs w:val="24"/>
          <w:vertAlign w:val="subscript"/>
        </w:rPr>
        <w:t>1</w:t>
      </w:r>
      <w:r w:rsidRPr="001A15EE">
        <w:rPr>
          <w:rFonts w:ascii="Arial" w:eastAsia="Times New Roman" w:hAnsi="Arial" w:cs="Arial"/>
          <w:bCs/>
          <w:sz w:val="24"/>
          <w:szCs w:val="24"/>
        </w:rPr>
        <w:t xml:space="preserve"> was better suited for micronutrient removal</w:t>
      </w:r>
      <w:r w:rsidRPr="001A15EE">
        <w:rPr>
          <w:rFonts w:ascii="Arial" w:eastAsia="Times New Roman" w:hAnsi="Arial" w:cs="Arial"/>
          <w:sz w:val="24"/>
          <w:szCs w:val="24"/>
        </w:rPr>
        <w:t>. This integrated microbial approach offers eco-friendly strategy for efficient treatment of DSW.</w:t>
      </w:r>
    </w:p>
    <w:p w:rsidR="00CE6C67" w:rsidRPr="001A15EE" w:rsidRDefault="00CE6C67" w:rsidP="00E07B87">
      <w:pPr>
        <w:spacing w:after="0"/>
        <w:jc w:val="both"/>
        <w:rPr>
          <w:rFonts w:ascii="Arial" w:eastAsia="Times New Roman" w:hAnsi="Arial" w:cs="Arial"/>
          <w:i/>
          <w:sz w:val="24"/>
          <w:szCs w:val="24"/>
        </w:rPr>
      </w:pP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t>Keywords:</w:t>
      </w:r>
      <w:r w:rsidRPr="001A15EE">
        <w:rPr>
          <w:rFonts w:ascii="Arial" w:eastAsia="Times New Roman" w:hAnsi="Arial" w:cs="Arial"/>
          <w:i/>
          <w:iCs/>
          <w:sz w:val="24"/>
          <w:szCs w:val="24"/>
        </w:rPr>
        <w:t>Aspergillus niger</w:t>
      </w:r>
      <w:r w:rsidRPr="001A15EE">
        <w:rPr>
          <w:rFonts w:ascii="Arial" w:eastAsia="Times New Roman" w:hAnsi="Arial" w:cs="Arial"/>
          <w:i/>
          <w:sz w:val="24"/>
          <w:szCs w:val="24"/>
          <w:cs/>
        </w:rPr>
        <w:t xml:space="preserve">, </w:t>
      </w:r>
      <w:r w:rsidRPr="001A15EE">
        <w:rPr>
          <w:rFonts w:ascii="Arial" w:eastAsia="Times New Roman" w:hAnsi="Arial" w:cs="Arial"/>
          <w:i/>
          <w:sz w:val="24"/>
          <w:szCs w:val="24"/>
        </w:rPr>
        <w:t>Distillery spent wash, Incubation period, Microbial degradation</w:t>
      </w:r>
      <w:r w:rsidRPr="001A15EE">
        <w:rPr>
          <w:rFonts w:ascii="Arial" w:eastAsia="Times New Roman" w:hAnsi="Arial" w:cs="Arial"/>
          <w:i/>
          <w:sz w:val="24"/>
          <w:szCs w:val="24"/>
          <w:cs/>
        </w:rPr>
        <w:t xml:space="preserve">, </w:t>
      </w:r>
      <w:r w:rsidRPr="001A15EE">
        <w:rPr>
          <w:rFonts w:ascii="Arial" w:eastAsia="Times New Roman" w:hAnsi="Arial" w:cs="Arial"/>
          <w:i/>
          <w:iCs/>
          <w:sz w:val="24"/>
          <w:szCs w:val="24"/>
        </w:rPr>
        <w:t>Pseudomonas fluorescence</w:t>
      </w:r>
      <w:r w:rsidRPr="001A15EE">
        <w:rPr>
          <w:rFonts w:ascii="Arial" w:eastAsia="Times New Roman" w:hAnsi="Arial" w:cs="Arial"/>
          <w:i/>
          <w:sz w:val="24"/>
          <w:szCs w:val="24"/>
        </w:rPr>
        <w:t>.</w:t>
      </w:r>
    </w:p>
    <w:p w:rsidR="00CE6C67" w:rsidRPr="001A15EE" w:rsidRDefault="00CE6C67" w:rsidP="00E07B87">
      <w:pPr>
        <w:spacing w:after="0" w:line="240" w:lineRule="auto"/>
        <w:jc w:val="both"/>
        <w:rPr>
          <w:rFonts w:ascii="Arial" w:eastAsia="Times New Roman" w:hAnsi="Arial" w:cs="Arial"/>
          <w:i/>
          <w:sz w:val="24"/>
          <w:szCs w:val="24"/>
        </w:rPr>
      </w:pPr>
    </w:p>
    <w:p w:rsidR="00E07B87" w:rsidRPr="001A15EE" w:rsidRDefault="00C662B3" w:rsidP="00DB7809">
      <w:pPr>
        <w:pStyle w:val="ListParagraph"/>
        <w:numPr>
          <w:ilvl w:val="0"/>
          <w:numId w:val="2"/>
        </w:numPr>
        <w:tabs>
          <w:tab w:val="left" w:pos="284"/>
        </w:tabs>
        <w:spacing w:after="0"/>
        <w:ind w:left="0" w:firstLine="0"/>
        <w:jc w:val="both"/>
        <w:rPr>
          <w:rFonts w:ascii="Arial" w:hAnsi="Arial" w:cs="Arial"/>
        </w:rPr>
      </w:pPr>
      <w:r w:rsidRPr="001A15EE">
        <w:rPr>
          <w:rFonts w:ascii="Arial" w:hAnsi="Arial" w:cs="Arial"/>
          <w:b/>
          <w:bCs/>
          <w:sz w:val="28"/>
          <w:szCs w:val="24"/>
        </w:rPr>
        <w:t>INTRODUCTION</w:t>
      </w:r>
    </w:p>
    <w:p w:rsidR="00E07B87" w:rsidRPr="001A15EE" w:rsidRDefault="00E07B87" w:rsidP="00E07B87">
      <w:pPr>
        <w:pStyle w:val="ListParagraph"/>
        <w:tabs>
          <w:tab w:val="left" w:pos="284"/>
        </w:tabs>
        <w:spacing w:after="0"/>
        <w:ind w:left="0"/>
        <w:jc w:val="both"/>
        <w:rPr>
          <w:rFonts w:ascii="Arial" w:hAnsi="Arial" w:cs="Arial"/>
          <w:sz w:val="24"/>
          <w:szCs w:val="24"/>
        </w:rPr>
      </w:pPr>
      <w:r w:rsidRPr="001A15EE">
        <w:rPr>
          <w:rFonts w:ascii="Arial" w:hAnsi="Arial" w:cs="Arial"/>
          <w:b/>
          <w:bCs/>
          <w:sz w:val="28"/>
          <w:szCs w:val="24"/>
        </w:rPr>
        <w:tab/>
      </w:r>
      <w:r w:rsidRPr="001A15EE">
        <w:rPr>
          <w:rFonts w:ascii="Arial" w:hAnsi="Arial" w:cs="Arial"/>
          <w:b/>
          <w:bCs/>
          <w:sz w:val="28"/>
          <w:szCs w:val="24"/>
        </w:rPr>
        <w:tab/>
      </w:r>
      <w:r w:rsidRPr="001A15EE">
        <w:rPr>
          <w:rFonts w:ascii="Arial" w:hAnsi="Arial" w:cs="Arial"/>
          <w:sz w:val="24"/>
          <w:szCs w:val="24"/>
        </w:rPr>
        <w:t>Waste management is a major global challenge, as the composition of wastewater varies widely among industries. In recent years, the reuse of wastewater in agriculture has gained attention due to its potential to supply nutrients, improve soil properties and enhance crop yield. Among agro-based industries, the sugarcane (</w:t>
      </w:r>
      <w:r w:rsidRPr="001A15EE">
        <w:rPr>
          <w:rStyle w:val="Emphasis"/>
          <w:rFonts w:ascii="Arial" w:hAnsi="Arial" w:cs="Arial"/>
          <w:sz w:val="24"/>
          <w:szCs w:val="24"/>
        </w:rPr>
        <w:t>Saccharum officinarum</w:t>
      </w:r>
      <w:r w:rsidRPr="001A15EE">
        <w:rPr>
          <w:rFonts w:ascii="Arial" w:hAnsi="Arial" w:cs="Arial"/>
          <w:sz w:val="24"/>
          <w:szCs w:val="24"/>
        </w:rPr>
        <w:t xml:space="preserve"> L.) industry plays a significant role in the socio-economic development of many countries. Along with sugar production, this industry generates by-products such as bagasse, press mud and distillery spent wash (DSW).</w:t>
      </w:r>
    </w:p>
    <w:p w:rsidR="00E07B87" w:rsidRPr="001A15EE" w:rsidRDefault="00E07B87" w:rsidP="00E07B87">
      <w:pPr>
        <w:pStyle w:val="NormalWeb"/>
        <w:spacing w:before="0" w:beforeAutospacing="0" w:after="0" w:afterAutospacing="0" w:line="276" w:lineRule="auto"/>
        <w:ind w:firstLine="720"/>
        <w:jc w:val="both"/>
        <w:rPr>
          <w:rFonts w:ascii="Arial" w:hAnsi="Arial" w:cs="Arial"/>
        </w:rPr>
      </w:pPr>
      <w:r w:rsidRPr="001A15EE">
        <w:rPr>
          <w:rFonts w:ascii="Arial" w:hAnsi="Arial" w:cs="Arial"/>
        </w:rPr>
        <w:t>India ranks second in ethanol production in Asia and fourth globally, contributing nearly 65% of alcohol production in the South-East Asian region. Most Indian distilleries use sugarcane molasses as the primary raw material for ethanol production. Approximately 61% of the world’s ethanol is produced from sugar crops (</w:t>
      </w:r>
      <w:commentRangeStart w:id="6"/>
      <w:r w:rsidRPr="001A15EE">
        <w:rPr>
          <w:rFonts w:ascii="Arial" w:hAnsi="Arial" w:cs="Arial"/>
        </w:rPr>
        <w:t xml:space="preserve">Berg, 2004; Ogbonna, 2004). </w:t>
      </w:r>
      <w:commentRangeEnd w:id="6"/>
      <w:r w:rsidR="00C35FF1">
        <w:rPr>
          <w:rStyle w:val="CommentReference"/>
          <w:rFonts w:asciiTheme="minorHAnsi" w:eastAsiaTheme="minorHAnsi" w:hAnsiTheme="minorHAnsi" w:cstheme="minorBidi"/>
        </w:rPr>
        <w:commentReference w:id="6"/>
      </w:r>
      <w:r w:rsidRPr="001A15EE">
        <w:rPr>
          <w:rFonts w:ascii="Arial" w:hAnsi="Arial" w:cs="Arial"/>
        </w:rPr>
        <w:t xml:space="preserve">During fermentation, carried out for about 50 hours using </w:t>
      </w:r>
      <w:r w:rsidRPr="001A15EE">
        <w:rPr>
          <w:rStyle w:val="Emphasis"/>
          <w:rFonts w:ascii="Arial" w:hAnsi="Arial" w:cs="Arial"/>
        </w:rPr>
        <w:t>Saccharomyces cerevisiae</w:t>
      </w:r>
      <w:r w:rsidRPr="001A15EE">
        <w:rPr>
          <w:rFonts w:ascii="Arial" w:hAnsi="Arial" w:cs="Arial"/>
        </w:rPr>
        <w:t xml:space="preserve">, ethanol accumulates up to 8–10%, after which </w:t>
      </w:r>
      <w:r w:rsidRPr="001A15EE">
        <w:rPr>
          <w:rFonts w:ascii="Arial" w:hAnsi="Arial" w:cs="Arial"/>
        </w:rPr>
        <w:lastRenderedPageBreak/>
        <w:t>distillation and rectification are performed. The residual liquid waste generated after distillation is known as spent wash (</w:t>
      </w:r>
      <w:commentRangeStart w:id="7"/>
      <w:r w:rsidRPr="001A15EE">
        <w:rPr>
          <w:rFonts w:ascii="Arial" w:hAnsi="Arial" w:cs="Arial"/>
        </w:rPr>
        <w:t xml:space="preserve">Nandy </w:t>
      </w:r>
      <w:r w:rsidRPr="001A15EE">
        <w:rPr>
          <w:rFonts w:ascii="Arial" w:hAnsi="Arial" w:cs="Arial"/>
          <w:i/>
        </w:rPr>
        <w:t>et al.</w:t>
      </w:r>
      <w:r w:rsidRPr="001A15EE">
        <w:rPr>
          <w:rFonts w:ascii="Arial" w:hAnsi="Arial" w:cs="Arial"/>
        </w:rPr>
        <w:t xml:space="preserve">, 2002; Singh </w:t>
      </w:r>
      <w:r w:rsidRPr="001A15EE">
        <w:rPr>
          <w:rFonts w:ascii="Arial" w:hAnsi="Arial" w:cs="Arial"/>
          <w:i/>
        </w:rPr>
        <w:t>et al.</w:t>
      </w:r>
      <w:r w:rsidRPr="001A15EE">
        <w:rPr>
          <w:rFonts w:ascii="Arial" w:hAnsi="Arial" w:cs="Arial"/>
        </w:rPr>
        <w:t>, 2004</w:t>
      </w:r>
      <w:commentRangeEnd w:id="7"/>
      <w:r w:rsidR="00C35FF1">
        <w:rPr>
          <w:rStyle w:val="CommentReference"/>
          <w:rFonts w:asciiTheme="minorHAnsi" w:eastAsiaTheme="minorHAnsi" w:hAnsiTheme="minorHAnsi" w:cstheme="minorBidi"/>
        </w:rPr>
        <w:commentReference w:id="7"/>
      </w:r>
      <w:r w:rsidRPr="001A15EE">
        <w:rPr>
          <w:rFonts w:ascii="Arial" w:hAnsi="Arial" w:cs="Arial"/>
        </w:rPr>
        <w:t>).</w:t>
      </w:r>
    </w:p>
    <w:p w:rsidR="00E07B87" w:rsidRPr="001A15EE" w:rsidRDefault="00E07B87" w:rsidP="00E07B87">
      <w:pPr>
        <w:pStyle w:val="NormalWeb"/>
        <w:spacing w:before="0" w:beforeAutospacing="0" w:after="0" w:afterAutospacing="0" w:line="276" w:lineRule="auto"/>
        <w:ind w:firstLine="720"/>
        <w:jc w:val="both"/>
        <w:rPr>
          <w:rFonts w:ascii="Arial" w:hAnsi="Arial" w:cs="Arial"/>
        </w:rPr>
      </w:pPr>
      <w:r w:rsidRPr="001A15EE">
        <w:rPr>
          <w:rFonts w:ascii="Arial" w:hAnsi="Arial" w:cs="Arial"/>
        </w:rPr>
        <w:t xml:space="preserve">A typical molasses-based distillery produces about 15 L of spent wash per litre of ethanol and more than 30 billion litres are generated annually from approximately 212 distilleries in India. Distillery spent wash is dark brown, acidic, viscous and foul-smelling. Dark brown colour of spent wash is mainly because of the presence of brown polymeric melanoidin pigments, which are highly recalcitrant. Melanoidin pigments are formed by the non-enzymatic aminocarbonyl reaction i.e. Maillard reaction. The unpleasant odour of the effluent is due to the presence of skatole, indole and other sulphur compounds, which are not effectively decomposed by yeast during distillation (Sharma </w:t>
      </w:r>
      <w:r w:rsidRPr="001A15EE">
        <w:rPr>
          <w:rFonts w:ascii="Arial" w:hAnsi="Arial" w:cs="Arial"/>
          <w:i/>
          <w:iCs/>
        </w:rPr>
        <w:t>et al.</w:t>
      </w:r>
      <w:r w:rsidRPr="001A15EE">
        <w:rPr>
          <w:rFonts w:ascii="Arial" w:hAnsi="Arial" w:cs="Arial"/>
        </w:rPr>
        <w:t>, 2007). Their discharge</w:t>
      </w:r>
      <w:commentRangeStart w:id="8"/>
      <w:r w:rsidRPr="001A15EE">
        <w:rPr>
          <w:rFonts w:ascii="Arial" w:hAnsi="Arial" w:cs="Arial"/>
        </w:rPr>
        <w:t xml:space="preserve"> </w:t>
      </w:r>
      <w:commentRangeEnd w:id="8"/>
      <w:r w:rsidR="00C35FF1">
        <w:rPr>
          <w:rStyle w:val="CommentReference"/>
          <w:rFonts w:asciiTheme="minorHAnsi" w:eastAsiaTheme="minorHAnsi" w:hAnsiTheme="minorHAnsi" w:cstheme="minorBidi"/>
        </w:rPr>
        <w:commentReference w:id="8"/>
      </w:r>
      <w:r w:rsidRPr="001A15EE">
        <w:rPr>
          <w:rFonts w:ascii="Arial" w:hAnsi="Arial" w:cs="Arial"/>
        </w:rPr>
        <w:t>into aquatic systems reduces light penetration, dissolved oxygen levels and photosynthetic activity, thereby harming aquatic life (Pazouki</w:t>
      </w:r>
      <w:r w:rsidRPr="001A15EE">
        <w:rPr>
          <w:rFonts w:ascii="Arial" w:hAnsi="Arial" w:cs="Arial"/>
          <w:i/>
        </w:rPr>
        <w:t>et al.</w:t>
      </w:r>
      <w:r w:rsidRPr="001A15EE">
        <w:rPr>
          <w:rFonts w:ascii="Arial" w:hAnsi="Arial" w:cs="Arial"/>
        </w:rPr>
        <w:t>, 2008).</w:t>
      </w:r>
    </w:p>
    <w:p w:rsidR="00E07B87" w:rsidRPr="001A15EE" w:rsidRDefault="00E07B87" w:rsidP="00E07B87">
      <w:pPr>
        <w:pStyle w:val="NormalWeb"/>
        <w:spacing w:before="0" w:beforeAutospacing="0" w:after="0" w:afterAutospacing="0" w:line="276" w:lineRule="auto"/>
        <w:ind w:firstLine="720"/>
        <w:jc w:val="both"/>
        <w:rPr>
          <w:rFonts w:ascii="Arial" w:hAnsi="Arial" w:cs="Arial"/>
        </w:rPr>
      </w:pPr>
      <w:r w:rsidRPr="001A15EE">
        <w:rPr>
          <w:rFonts w:ascii="Arial" w:hAnsi="Arial" w:cs="Arial"/>
        </w:rPr>
        <w:t xml:space="preserve">Although several physico-chemical and biological treatment methods have been explored, many require high chemical inputs and generate excessive sludge. </w:t>
      </w:r>
      <w:commentRangeStart w:id="9"/>
      <w:r w:rsidRPr="001A15EE">
        <w:rPr>
          <w:rFonts w:ascii="Arial" w:hAnsi="Arial" w:cs="Arial"/>
        </w:rPr>
        <w:t>In contrast, microbial treatment offers an eco-friendly, cost-effective and sustainable alternative, effectively reducing toxicity and making treated effluents suitable for agricultural reuse without adversely affecting soil health.</w:t>
      </w:r>
      <w:commentRangeEnd w:id="9"/>
      <w:r w:rsidR="00C35FF1">
        <w:rPr>
          <w:rStyle w:val="CommentReference"/>
          <w:rFonts w:asciiTheme="minorHAnsi" w:eastAsiaTheme="minorHAnsi" w:hAnsiTheme="minorHAnsi" w:cstheme="minorBidi"/>
        </w:rPr>
        <w:commentReference w:id="9"/>
      </w:r>
    </w:p>
    <w:p w:rsidR="00CE6C67" w:rsidRPr="001A15EE" w:rsidRDefault="00CE6C67" w:rsidP="00DB7809">
      <w:pPr>
        <w:tabs>
          <w:tab w:val="left" w:pos="1395"/>
        </w:tabs>
        <w:spacing w:after="0"/>
        <w:jc w:val="both"/>
        <w:rPr>
          <w:rFonts w:ascii="Arial" w:hAnsi="Arial" w:cs="Arial"/>
          <w:b/>
          <w:bCs/>
          <w:sz w:val="28"/>
        </w:rPr>
      </w:pPr>
      <w:r w:rsidRPr="001A15EE">
        <w:rPr>
          <w:rFonts w:ascii="Arial" w:hAnsi="Arial" w:cs="Arial"/>
          <w:b/>
          <w:bCs/>
          <w:sz w:val="28"/>
        </w:rPr>
        <w:t xml:space="preserve">2. </w:t>
      </w:r>
      <w:commentRangeStart w:id="10"/>
      <w:r w:rsidR="00C662B3" w:rsidRPr="001A15EE">
        <w:rPr>
          <w:rFonts w:ascii="Arial" w:hAnsi="Arial" w:cs="Arial"/>
          <w:b/>
          <w:bCs/>
          <w:sz w:val="28"/>
        </w:rPr>
        <w:t>MATERIAL AND METHODOLOGY</w:t>
      </w:r>
      <w:commentRangeEnd w:id="10"/>
      <w:r w:rsidR="00C35FF1">
        <w:rPr>
          <w:rStyle w:val="CommentReference"/>
        </w:rPr>
        <w:commentReference w:id="10"/>
      </w:r>
    </w:p>
    <w:p w:rsidR="00CE6C67" w:rsidRPr="001A15EE" w:rsidRDefault="00CE6C67" w:rsidP="00C07BAC">
      <w:pPr>
        <w:tabs>
          <w:tab w:val="left" w:pos="1395"/>
        </w:tabs>
        <w:spacing w:after="0"/>
        <w:jc w:val="both"/>
        <w:rPr>
          <w:rStyle w:val="Strong"/>
          <w:rFonts w:ascii="Arial" w:hAnsi="Arial" w:cs="Arial"/>
          <w:sz w:val="24"/>
          <w:szCs w:val="20"/>
          <w:shd w:val="clear" w:color="auto" w:fill="FFFFFF"/>
        </w:rPr>
      </w:pPr>
      <w:r w:rsidRPr="001A15EE">
        <w:rPr>
          <w:rStyle w:val="Strong"/>
          <w:rFonts w:ascii="Arial" w:hAnsi="Arial" w:cs="Arial"/>
          <w:sz w:val="24"/>
          <w:szCs w:val="20"/>
          <w:shd w:val="clear" w:color="auto" w:fill="FFFFFF"/>
        </w:rPr>
        <w:t xml:space="preserve">2.1 </w:t>
      </w:r>
      <w:commentRangeStart w:id="11"/>
      <w:r w:rsidRPr="001A15EE">
        <w:rPr>
          <w:rStyle w:val="Strong"/>
          <w:rFonts w:ascii="Arial" w:hAnsi="Arial" w:cs="Arial"/>
          <w:sz w:val="24"/>
          <w:szCs w:val="20"/>
          <w:shd w:val="clear" w:color="auto" w:fill="FFFFFF"/>
        </w:rPr>
        <w:t>Collection of spent wash</w:t>
      </w:r>
      <w:commentRangeEnd w:id="11"/>
      <w:r w:rsidR="00C35FF1">
        <w:rPr>
          <w:rStyle w:val="CommentReference"/>
        </w:rPr>
        <w:commentReference w:id="11"/>
      </w:r>
    </w:p>
    <w:p w:rsidR="00CE6C67" w:rsidRPr="001A15EE" w:rsidRDefault="00CE6C67" w:rsidP="00E07B87">
      <w:pPr>
        <w:tabs>
          <w:tab w:val="left" w:pos="1395"/>
        </w:tabs>
        <w:spacing w:after="0"/>
        <w:jc w:val="both"/>
        <w:rPr>
          <w:rStyle w:val="green"/>
          <w:rFonts w:ascii="Arial" w:hAnsi="Arial" w:cs="Arial"/>
          <w:sz w:val="24"/>
          <w:szCs w:val="24"/>
          <w:shd w:val="clear" w:color="auto" w:fill="FFFFFF"/>
        </w:rPr>
      </w:pPr>
      <w:r w:rsidRPr="001A15EE">
        <w:rPr>
          <w:rFonts w:ascii="Arial" w:hAnsi="Arial" w:cs="Arial"/>
          <w:sz w:val="24"/>
          <w:szCs w:val="24"/>
        </w:rPr>
        <w:t xml:space="preserve">                 The distillery spent wash was </w:t>
      </w:r>
      <w:r w:rsidRPr="001A15EE">
        <w:rPr>
          <w:rStyle w:val="green"/>
          <w:rFonts w:ascii="Arial" w:hAnsi="Arial" w:cs="Arial"/>
          <w:sz w:val="24"/>
          <w:szCs w:val="24"/>
          <w:shd w:val="clear" w:color="auto" w:fill="FFFFFF"/>
        </w:rPr>
        <w:t>collected from the Di</w:t>
      </w:r>
      <w:r w:rsidR="001A15EE" w:rsidRPr="001A15EE">
        <w:rPr>
          <w:rStyle w:val="green"/>
          <w:rFonts w:ascii="Arial" w:hAnsi="Arial" w:cs="Arial"/>
          <w:sz w:val="24"/>
          <w:szCs w:val="24"/>
          <w:shd w:val="clear" w:color="auto" w:fill="FFFFFF"/>
        </w:rPr>
        <w:t>stillery plant of Gandevi Sugar </w:t>
      </w:r>
      <w:r w:rsidRPr="001A15EE">
        <w:rPr>
          <w:rStyle w:val="green"/>
          <w:rFonts w:ascii="Arial" w:hAnsi="Arial" w:cs="Arial"/>
          <w:sz w:val="24"/>
          <w:szCs w:val="24"/>
          <w:shd w:val="clear" w:color="auto" w:fill="FFFFFF"/>
        </w:rPr>
        <w:t>Factory, Ambheta, Gandevi, </w:t>
      </w:r>
      <w:r w:rsidR="00C07398" w:rsidRPr="001A15EE">
        <w:rPr>
          <w:rStyle w:val="green"/>
          <w:rFonts w:ascii="Arial" w:hAnsi="Arial" w:cs="Arial"/>
          <w:sz w:val="24"/>
          <w:szCs w:val="24"/>
          <w:shd w:val="clear" w:color="auto" w:fill="FFFFFF"/>
        </w:rPr>
        <w:t>which is in the Navsari district of </w:t>
      </w:r>
      <w:r w:rsidR="001A15EE" w:rsidRPr="001A15EE">
        <w:rPr>
          <w:rStyle w:val="green"/>
          <w:rFonts w:ascii="Arial" w:hAnsi="Arial" w:cs="Arial"/>
          <w:sz w:val="24"/>
          <w:szCs w:val="24"/>
          <w:shd w:val="clear" w:color="auto" w:fill="FFFFFF"/>
        </w:rPr>
        <w:t>Gujarat. It is      </w:t>
      </w:r>
      <w:r w:rsidRPr="001A15EE">
        <w:rPr>
          <w:rStyle w:val="green"/>
          <w:rFonts w:ascii="Arial" w:hAnsi="Arial" w:cs="Arial"/>
          <w:sz w:val="24"/>
          <w:szCs w:val="24"/>
          <w:shd w:val="clear" w:color="auto" w:fill="FFFFFF"/>
        </w:rPr>
        <w:t>situated between </w:t>
      </w:r>
      <w:r w:rsidRPr="001A15EE">
        <w:rPr>
          <w:rStyle w:val="green"/>
          <w:rFonts w:ascii="Arial" w:hAnsi="Arial" w:cs="Arial"/>
          <w:sz w:val="24"/>
          <w:szCs w:val="24"/>
        </w:rPr>
        <w:t>20.78</w:t>
      </w:r>
      <w:r w:rsidRPr="001A15EE">
        <w:rPr>
          <w:rStyle w:val="green"/>
          <w:rFonts w:ascii="Arial" w:hAnsi="Arial" w:cs="Arial"/>
          <w:sz w:val="24"/>
          <w:szCs w:val="24"/>
          <w:shd w:val="clear" w:color="auto" w:fill="FFFFFF"/>
        </w:rPr>
        <w:t xml:space="preserve">405 </w:t>
      </w:r>
      <w:r w:rsidR="000D07A3" w:rsidRPr="001A15EE">
        <w:rPr>
          <w:rStyle w:val="green"/>
          <w:rFonts w:ascii="Arial" w:hAnsi="Arial" w:cs="Arial"/>
          <w:sz w:val="24"/>
          <w:szCs w:val="24"/>
          <w:shd w:val="clear" w:color="auto" w:fill="FFFFFF"/>
        </w:rPr>
        <w:t>N </w:t>
      </w:r>
      <w:r w:rsidRPr="001A15EE">
        <w:rPr>
          <w:rStyle w:val="green"/>
          <w:rFonts w:ascii="Arial" w:hAnsi="Arial" w:cs="Arial"/>
          <w:sz w:val="24"/>
          <w:szCs w:val="24"/>
          <w:shd w:val="clear" w:color="auto" w:fill="FFFFFF"/>
        </w:rPr>
        <w:t>Latitude and </w:t>
      </w:r>
      <w:r w:rsidRPr="001A15EE">
        <w:rPr>
          <w:rStyle w:val="green"/>
          <w:rFonts w:ascii="Arial" w:hAnsi="Arial" w:cs="Arial"/>
          <w:sz w:val="24"/>
          <w:szCs w:val="24"/>
        </w:rPr>
        <w:t>72.98555 E</w:t>
      </w:r>
      <w:r w:rsidRPr="001A15EE">
        <w:rPr>
          <w:rStyle w:val="green"/>
          <w:rFonts w:ascii="Arial" w:hAnsi="Arial" w:cs="Arial"/>
          <w:sz w:val="24"/>
          <w:szCs w:val="24"/>
          <w:shd w:val="clear" w:color="auto" w:fill="FFFFFF"/>
        </w:rPr>
        <w:t xml:space="preserve"> Longitude and used for the further studies. The spent wash was collected in the month of October-2024.</w:t>
      </w:r>
    </w:p>
    <w:p w:rsidR="00CE6C67" w:rsidRPr="001A15EE" w:rsidRDefault="000D07A3" w:rsidP="00C07BAC">
      <w:pPr>
        <w:tabs>
          <w:tab w:val="left" w:pos="709"/>
        </w:tabs>
        <w:spacing w:after="0"/>
        <w:jc w:val="both"/>
        <w:rPr>
          <w:rFonts w:ascii="Arial" w:hAnsi="Arial" w:cs="Arial"/>
          <w:b/>
          <w:bCs/>
          <w:sz w:val="24"/>
          <w:szCs w:val="20"/>
        </w:rPr>
      </w:pPr>
      <w:r w:rsidRPr="001A15EE">
        <w:rPr>
          <w:rFonts w:ascii="Arial" w:hAnsi="Arial" w:cs="Arial"/>
          <w:b/>
          <w:bCs/>
          <w:sz w:val="24"/>
          <w:szCs w:val="20"/>
        </w:rPr>
        <w:t>2.2</w:t>
      </w:r>
      <w:r w:rsidR="00CE6C67" w:rsidRPr="001A15EE">
        <w:rPr>
          <w:rFonts w:ascii="Arial" w:hAnsi="Arial" w:cs="Arial"/>
          <w:b/>
          <w:bCs/>
          <w:sz w:val="24"/>
          <w:szCs w:val="20"/>
        </w:rPr>
        <w:t xml:space="preserve"> Preparation of 25% Spent Wash</w:t>
      </w:r>
    </w:p>
    <w:p w:rsidR="00CE6C67" w:rsidRPr="001A15EE" w:rsidRDefault="00CE6C67" w:rsidP="00E07B87">
      <w:pPr>
        <w:tabs>
          <w:tab w:val="left" w:pos="709"/>
          <w:tab w:val="left" w:pos="993"/>
        </w:tabs>
        <w:spacing w:after="0"/>
        <w:jc w:val="both"/>
        <w:rPr>
          <w:rFonts w:ascii="Arial" w:hAnsi="Arial" w:cs="Arial"/>
          <w:b/>
          <w:bCs/>
          <w:sz w:val="24"/>
          <w:szCs w:val="20"/>
        </w:rPr>
      </w:pPr>
      <w:r w:rsidRPr="001A15EE">
        <w:rPr>
          <w:rFonts w:ascii="Arial" w:hAnsi="Arial" w:cs="Arial"/>
          <w:b/>
          <w:bCs/>
          <w:sz w:val="24"/>
          <w:szCs w:val="20"/>
        </w:rPr>
        <w:tab/>
      </w:r>
      <w:r w:rsidRPr="001A15EE">
        <w:rPr>
          <w:rFonts w:ascii="Arial" w:hAnsi="Arial" w:cs="Arial"/>
          <w:sz w:val="24"/>
          <w:szCs w:val="20"/>
        </w:rPr>
        <w:t xml:space="preserve">After collecting the spent wash from the Distillery </w:t>
      </w:r>
      <w:r w:rsidR="00C07398" w:rsidRPr="001A15EE">
        <w:rPr>
          <w:rFonts w:ascii="Arial" w:hAnsi="Arial" w:cs="Arial"/>
          <w:sz w:val="24"/>
          <w:szCs w:val="20"/>
        </w:rPr>
        <w:t>Plant of Gandevi Sugar Factory</w:t>
      </w:r>
      <w:r w:rsidRPr="001A15EE">
        <w:rPr>
          <w:rFonts w:ascii="Arial" w:hAnsi="Arial" w:cs="Arial"/>
          <w:sz w:val="24"/>
          <w:szCs w:val="20"/>
        </w:rPr>
        <w:t xml:space="preserve">, 25% spent wash solution was prepared by diluting the raw spent wash with water. This diluted solution was then filled into 2.5-liter amber-colored glass bottles for </w:t>
      </w:r>
      <w:commentRangeStart w:id="12"/>
      <w:r w:rsidRPr="001A15EE">
        <w:rPr>
          <w:rFonts w:ascii="Arial" w:hAnsi="Arial" w:cs="Arial"/>
          <w:sz w:val="24"/>
          <w:szCs w:val="20"/>
        </w:rPr>
        <w:t>further analysis</w:t>
      </w:r>
      <w:commentRangeEnd w:id="12"/>
      <w:r w:rsidR="00DE1886">
        <w:rPr>
          <w:rStyle w:val="CommentReference"/>
        </w:rPr>
        <w:commentReference w:id="12"/>
      </w:r>
      <w:r w:rsidRPr="001A15EE">
        <w:rPr>
          <w:rFonts w:ascii="Arial" w:hAnsi="Arial" w:cs="Arial"/>
          <w:sz w:val="24"/>
          <w:szCs w:val="20"/>
        </w:rPr>
        <w:t>.</w:t>
      </w:r>
    </w:p>
    <w:p w:rsidR="00CE6C67" w:rsidRPr="001A15EE" w:rsidRDefault="00535F85" w:rsidP="00C07BAC">
      <w:pPr>
        <w:tabs>
          <w:tab w:val="left" w:pos="284"/>
        </w:tabs>
        <w:spacing w:after="0"/>
        <w:jc w:val="both"/>
        <w:rPr>
          <w:rFonts w:ascii="Arial" w:hAnsi="Arial" w:cs="Arial"/>
          <w:sz w:val="24"/>
          <w:szCs w:val="20"/>
        </w:rPr>
      </w:pPr>
      <w:r w:rsidRPr="001A15EE">
        <w:rPr>
          <w:rFonts w:ascii="Arial" w:hAnsi="Arial" w:cs="Arial"/>
          <w:b/>
          <w:bCs/>
          <w:sz w:val="24"/>
          <w:szCs w:val="20"/>
        </w:rPr>
        <w:t>2.3 Physio-C</w:t>
      </w:r>
      <w:r w:rsidR="00CE6C67" w:rsidRPr="001A15EE">
        <w:rPr>
          <w:rFonts w:ascii="Arial" w:hAnsi="Arial" w:cs="Arial"/>
          <w:b/>
          <w:bCs/>
          <w:sz w:val="24"/>
          <w:szCs w:val="20"/>
        </w:rPr>
        <w:t xml:space="preserve">hemical Characterization of </w:t>
      </w:r>
      <w:commentRangeStart w:id="13"/>
      <w:r w:rsidR="00CE6C67" w:rsidRPr="001A15EE">
        <w:rPr>
          <w:rFonts w:ascii="Arial" w:hAnsi="Arial" w:cs="Arial"/>
          <w:b/>
          <w:bCs/>
          <w:sz w:val="24"/>
          <w:szCs w:val="20"/>
        </w:rPr>
        <w:t>Distillery Spent Wash Sample</w:t>
      </w:r>
      <w:commentRangeEnd w:id="13"/>
      <w:r w:rsidR="00DE1886">
        <w:rPr>
          <w:rStyle w:val="CommentReference"/>
        </w:rPr>
        <w:commentReference w:id="13"/>
      </w:r>
    </w:p>
    <w:p w:rsidR="00CE6C67" w:rsidRPr="001A15EE" w:rsidRDefault="00CE6C67" w:rsidP="00E07B87">
      <w:pPr>
        <w:tabs>
          <w:tab w:val="left" w:pos="284"/>
          <w:tab w:val="left" w:pos="993"/>
        </w:tabs>
        <w:spacing w:after="0"/>
        <w:jc w:val="both"/>
        <w:rPr>
          <w:rFonts w:ascii="Arial" w:hAnsi="Arial" w:cs="Arial"/>
          <w:sz w:val="24"/>
          <w:szCs w:val="20"/>
        </w:rPr>
      </w:pPr>
      <w:r w:rsidRPr="001A15EE">
        <w:rPr>
          <w:rFonts w:ascii="Arial" w:hAnsi="Arial" w:cs="Arial"/>
          <w:sz w:val="24"/>
          <w:szCs w:val="20"/>
        </w:rPr>
        <w:tab/>
      </w:r>
      <w:r w:rsidRPr="001A15EE">
        <w:rPr>
          <w:rFonts w:ascii="Arial" w:hAnsi="Arial" w:cs="Arial"/>
          <w:sz w:val="24"/>
          <w:szCs w:val="20"/>
        </w:rPr>
        <w:tab/>
        <w:t xml:space="preserve"> The changes in physi</w:t>
      </w:r>
      <w:r w:rsidR="00624A20" w:rsidRPr="001A15EE">
        <w:rPr>
          <w:rFonts w:ascii="Arial" w:hAnsi="Arial" w:cs="Arial"/>
          <w:sz w:val="24"/>
          <w:szCs w:val="20"/>
        </w:rPr>
        <w:t>co-chemic</w:t>
      </w:r>
      <w:r w:rsidR="00861BA4" w:rsidRPr="001A15EE">
        <w:rPr>
          <w:rFonts w:ascii="Arial" w:hAnsi="Arial" w:cs="Arial"/>
          <w:sz w:val="24"/>
          <w:szCs w:val="20"/>
        </w:rPr>
        <w:t>al parameters (C</w:t>
      </w:r>
      <w:r w:rsidR="00624A20" w:rsidRPr="001A15EE">
        <w:rPr>
          <w:rFonts w:ascii="Arial" w:hAnsi="Arial" w:cs="Arial"/>
          <w:sz w:val="24"/>
          <w:szCs w:val="20"/>
        </w:rPr>
        <w:t>OD</w:t>
      </w:r>
      <w:r w:rsidRPr="001A15EE">
        <w:rPr>
          <w:rFonts w:ascii="Arial" w:hAnsi="Arial" w:cs="Arial"/>
          <w:sz w:val="24"/>
          <w:szCs w:val="20"/>
        </w:rPr>
        <w:t>,</w:t>
      </w:r>
      <w:r w:rsidR="00861BA4" w:rsidRPr="001A15EE">
        <w:rPr>
          <w:rFonts w:ascii="Arial" w:hAnsi="Arial" w:cs="Arial"/>
          <w:sz w:val="24"/>
          <w:szCs w:val="20"/>
        </w:rPr>
        <w:t>B</w:t>
      </w:r>
      <w:r w:rsidR="00624A20" w:rsidRPr="001A15EE">
        <w:rPr>
          <w:rFonts w:ascii="Arial" w:hAnsi="Arial" w:cs="Arial"/>
          <w:sz w:val="24"/>
          <w:szCs w:val="20"/>
        </w:rPr>
        <w:t>OD, OD, TS, TDS</w:t>
      </w:r>
      <w:r w:rsidRPr="001A15EE">
        <w:rPr>
          <w:rFonts w:ascii="Arial" w:hAnsi="Arial" w:cs="Arial"/>
          <w:sz w:val="24"/>
          <w:szCs w:val="20"/>
        </w:rPr>
        <w:t xml:space="preserve"> and heavy metals like Fe, Mn, Zn and Cu) in distillery spent wash before and after microbial degradation were analyzed as per standard methods (APHA 1999).</w:t>
      </w:r>
    </w:p>
    <w:p w:rsidR="00CE6C67" w:rsidRPr="001A15EE" w:rsidRDefault="00291A23" w:rsidP="00C07BAC">
      <w:pPr>
        <w:tabs>
          <w:tab w:val="left" w:pos="567"/>
          <w:tab w:val="left" w:pos="709"/>
        </w:tabs>
        <w:spacing w:after="0"/>
        <w:jc w:val="both"/>
        <w:rPr>
          <w:rFonts w:ascii="Arial" w:hAnsi="Arial" w:cs="Arial"/>
          <w:b/>
          <w:bCs/>
          <w:sz w:val="24"/>
          <w:szCs w:val="20"/>
        </w:rPr>
      </w:pPr>
      <w:r w:rsidRPr="001A15EE">
        <w:rPr>
          <w:rFonts w:ascii="Arial" w:hAnsi="Arial" w:cs="Arial"/>
          <w:b/>
          <w:bCs/>
          <w:sz w:val="24"/>
          <w:szCs w:val="20"/>
        </w:rPr>
        <w:t>2.4</w:t>
      </w:r>
      <w:commentRangeStart w:id="14"/>
      <w:r w:rsidR="00CE6C67" w:rsidRPr="001A15EE">
        <w:rPr>
          <w:rFonts w:ascii="Arial" w:hAnsi="Arial" w:cs="Arial"/>
          <w:b/>
          <w:bCs/>
          <w:sz w:val="24"/>
          <w:szCs w:val="20"/>
        </w:rPr>
        <w:t>Methodology</w:t>
      </w:r>
      <w:commentRangeEnd w:id="14"/>
      <w:r w:rsidR="00DE1886">
        <w:rPr>
          <w:rStyle w:val="CommentReference"/>
        </w:rPr>
        <w:commentReference w:id="14"/>
      </w:r>
      <w:r w:rsidR="00DE1886">
        <w:rPr>
          <w:rStyle w:val="CommentReference"/>
        </w:rPr>
        <w:commentReference w:id="15"/>
      </w:r>
    </w:p>
    <w:p w:rsidR="00624A20" w:rsidRPr="001A15EE" w:rsidRDefault="00CE6C67" w:rsidP="00E07B87">
      <w:pPr>
        <w:tabs>
          <w:tab w:val="left" w:pos="0"/>
          <w:tab w:val="left" w:pos="567"/>
          <w:tab w:val="left" w:pos="709"/>
        </w:tabs>
        <w:spacing w:after="0"/>
        <w:jc w:val="both"/>
        <w:rPr>
          <w:rFonts w:ascii="Arial" w:hAnsi="Arial" w:cs="Arial"/>
          <w:sz w:val="24"/>
          <w:szCs w:val="20"/>
        </w:rPr>
      </w:pPr>
      <w:r w:rsidRPr="001A15EE">
        <w:rPr>
          <w:rFonts w:ascii="Arial" w:hAnsi="Arial" w:cs="Arial"/>
          <w:sz w:val="24"/>
          <w:szCs w:val="20"/>
        </w:rPr>
        <w:t xml:space="preserve">                    Fifteen umber colour bottles of 2.5 L capacity were filled with 25% diluted spent wash collected from the Distillery Plant of Gandevi Sugar Factory, Ambheta, Gandevi. A pure culture of </w:t>
      </w:r>
      <w:commentRangeStart w:id="16"/>
      <w:r w:rsidRPr="001A15EE">
        <w:rPr>
          <w:rFonts w:ascii="Arial" w:hAnsi="Arial" w:cs="Arial"/>
          <w:sz w:val="24"/>
          <w:szCs w:val="20"/>
        </w:rPr>
        <w:t>microbial inoculation</w:t>
      </w:r>
      <w:commentRangeEnd w:id="16"/>
      <w:r w:rsidR="00DE1886">
        <w:rPr>
          <w:rStyle w:val="CommentReference"/>
        </w:rPr>
        <w:commentReference w:id="16"/>
      </w:r>
      <w:r w:rsidRPr="001A15EE">
        <w:rPr>
          <w:rFonts w:ascii="Arial" w:hAnsi="Arial" w:cs="Arial"/>
          <w:sz w:val="24"/>
          <w:szCs w:val="20"/>
        </w:rPr>
        <w:t xml:space="preserve"> (</w:t>
      </w:r>
      <w:r w:rsidRPr="001A15EE">
        <w:rPr>
          <w:rFonts w:ascii="Arial" w:hAnsi="Arial" w:cs="Arial"/>
          <w:i/>
          <w:iCs/>
          <w:sz w:val="24"/>
          <w:szCs w:val="20"/>
        </w:rPr>
        <w:t>Aspergillus niger</w:t>
      </w:r>
      <w:commentRangeStart w:id="17"/>
      <w:r w:rsidRPr="001A15EE">
        <w:rPr>
          <w:rFonts w:ascii="Arial" w:hAnsi="Arial" w:cs="Arial"/>
          <w:sz w:val="24"/>
          <w:szCs w:val="20"/>
        </w:rPr>
        <w:t>@</w:t>
      </w:r>
      <w:commentRangeEnd w:id="17"/>
      <w:r w:rsidR="00DE1886">
        <w:rPr>
          <w:rStyle w:val="CommentReference"/>
        </w:rPr>
        <w:commentReference w:id="17"/>
      </w:r>
      <w:r w:rsidRPr="001A15EE">
        <w:rPr>
          <w:rFonts w:ascii="Arial" w:hAnsi="Arial" w:cs="Arial"/>
          <w:sz w:val="24"/>
          <w:szCs w:val="20"/>
        </w:rPr>
        <w:t xml:space="preserve"> 1 g/l and </w:t>
      </w:r>
      <w:r w:rsidRPr="001A15EE">
        <w:rPr>
          <w:rFonts w:ascii="Arial" w:hAnsi="Arial" w:cs="Arial"/>
          <w:i/>
          <w:iCs/>
          <w:sz w:val="24"/>
          <w:szCs w:val="20"/>
        </w:rPr>
        <w:t xml:space="preserve">Pseudomonas fluorescens </w:t>
      </w:r>
      <w:commentRangeStart w:id="18"/>
      <w:r w:rsidRPr="001A15EE">
        <w:rPr>
          <w:rFonts w:ascii="Arial" w:hAnsi="Arial" w:cs="Arial"/>
          <w:sz w:val="24"/>
          <w:szCs w:val="20"/>
        </w:rPr>
        <w:t>@</w:t>
      </w:r>
      <w:commentRangeEnd w:id="18"/>
      <w:r w:rsidR="00DE1886">
        <w:rPr>
          <w:rStyle w:val="CommentReference"/>
        </w:rPr>
        <w:commentReference w:id="18"/>
      </w:r>
      <w:r w:rsidRPr="001A15EE">
        <w:rPr>
          <w:rFonts w:ascii="Arial" w:hAnsi="Arial" w:cs="Arial"/>
          <w:sz w:val="24"/>
          <w:szCs w:val="20"/>
        </w:rPr>
        <w:t xml:space="preserve"> 10 ml/l) were inoculated to M</w:t>
      </w:r>
      <w:r w:rsidRPr="001A15EE">
        <w:rPr>
          <w:rFonts w:ascii="Arial" w:hAnsi="Arial" w:cs="Arial"/>
          <w:sz w:val="24"/>
          <w:szCs w:val="20"/>
          <w:vertAlign w:val="subscript"/>
        </w:rPr>
        <w:t>1</w:t>
      </w:r>
      <w:r w:rsidRPr="001A15EE">
        <w:rPr>
          <w:rFonts w:ascii="Arial" w:hAnsi="Arial" w:cs="Arial"/>
          <w:sz w:val="24"/>
          <w:szCs w:val="20"/>
        </w:rPr>
        <w:t xml:space="preserve"> and M</w:t>
      </w:r>
      <w:r w:rsidRPr="001A15EE">
        <w:rPr>
          <w:rFonts w:ascii="Arial" w:hAnsi="Arial" w:cs="Arial"/>
          <w:sz w:val="24"/>
          <w:szCs w:val="20"/>
          <w:vertAlign w:val="subscript"/>
        </w:rPr>
        <w:t>2</w:t>
      </w:r>
      <w:r w:rsidRPr="001A15EE">
        <w:rPr>
          <w:rFonts w:ascii="Arial" w:hAnsi="Arial" w:cs="Arial"/>
          <w:sz w:val="24"/>
          <w:szCs w:val="20"/>
        </w:rPr>
        <w:t xml:space="preserve"> treatment, respectively while M</w:t>
      </w:r>
      <w:r w:rsidRPr="001A15EE">
        <w:rPr>
          <w:rFonts w:ascii="Arial" w:hAnsi="Arial" w:cs="Arial"/>
          <w:sz w:val="24"/>
          <w:szCs w:val="20"/>
          <w:vertAlign w:val="subscript"/>
        </w:rPr>
        <w:t>0</w:t>
      </w:r>
      <w:r w:rsidRPr="001A15EE">
        <w:rPr>
          <w:rFonts w:ascii="Arial" w:hAnsi="Arial" w:cs="Arial"/>
          <w:sz w:val="24"/>
          <w:szCs w:val="20"/>
        </w:rPr>
        <w:t xml:space="preserve"> was kept as uninoculated as per treatment. Each treatment was incubated at room temperature for 30 days after proper mixing in 2.5 L umber colour bottle. The bottles were shaken daily to get complete mixing and chemical reaction of each treatment under study. For periodic sample analysis, three sets of each treatment replicated five times were arranged and each one set was </w:t>
      </w:r>
      <w:commentRangeStart w:id="19"/>
      <w:commentRangeStart w:id="20"/>
      <w:r w:rsidRPr="001A15EE">
        <w:rPr>
          <w:rFonts w:ascii="Arial" w:hAnsi="Arial" w:cs="Arial"/>
          <w:sz w:val="24"/>
          <w:szCs w:val="20"/>
        </w:rPr>
        <w:t xml:space="preserve">disturbed </w:t>
      </w:r>
      <w:commentRangeEnd w:id="19"/>
      <w:r w:rsidR="00DE1886">
        <w:rPr>
          <w:rStyle w:val="CommentReference"/>
        </w:rPr>
        <w:lastRenderedPageBreak/>
        <w:commentReference w:id="19"/>
      </w:r>
      <w:commentRangeEnd w:id="20"/>
      <w:r w:rsidR="00DE1886">
        <w:rPr>
          <w:rStyle w:val="CommentReference"/>
        </w:rPr>
        <w:commentReference w:id="20"/>
      </w:r>
      <w:r w:rsidRPr="001A15EE">
        <w:rPr>
          <w:rFonts w:ascii="Arial" w:hAnsi="Arial" w:cs="Arial"/>
          <w:sz w:val="24"/>
          <w:szCs w:val="20"/>
        </w:rPr>
        <w:t>for periodic sample analysi</w:t>
      </w:r>
      <w:r w:rsidR="00861BA4" w:rsidRPr="001A15EE">
        <w:rPr>
          <w:rFonts w:ascii="Arial" w:hAnsi="Arial" w:cs="Arial"/>
          <w:sz w:val="24"/>
          <w:szCs w:val="20"/>
        </w:rPr>
        <w:t>s of C</w:t>
      </w:r>
      <w:r w:rsidRPr="001A15EE">
        <w:rPr>
          <w:rFonts w:ascii="Arial" w:hAnsi="Arial" w:cs="Arial"/>
          <w:sz w:val="24"/>
          <w:szCs w:val="20"/>
        </w:rPr>
        <w:t>OD,</w:t>
      </w:r>
      <w:r w:rsidR="00861BA4" w:rsidRPr="001A15EE">
        <w:rPr>
          <w:rFonts w:ascii="Arial" w:hAnsi="Arial" w:cs="Arial"/>
          <w:sz w:val="24"/>
          <w:szCs w:val="20"/>
        </w:rPr>
        <w:t xml:space="preserve"> B</w:t>
      </w:r>
      <w:r w:rsidRPr="001A15EE">
        <w:rPr>
          <w:rFonts w:ascii="Arial" w:hAnsi="Arial" w:cs="Arial"/>
          <w:sz w:val="24"/>
          <w:szCs w:val="20"/>
        </w:rPr>
        <w:t xml:space="preserve">OD, OD, TS, TDS, Fe, Mn, Zn, Cu of distillery spent </w:t>
      </w:r>
      <w:commentRangeStart w:id="21"/>
      <w:r w:rsidRPr="001A15EE">
        <w:rPr>
          <w:rFonts w:ascii="Arial" w:hAnsi="Arial" w:cs="Arial"/>
          <w:sz w:val="24"/>
          <w:szCs w:val="20"/>
        </w:rPr>
        <w:t>wash for periodic analysis on 10</w:t>
      </w:r>
      <w:r w:rsidRPr="001A15EE">
        <w:rPr>
          <w:rFonts w:ascii="Arial" w:hAnsi="Arial" w:cs="Arial"/>
          <w:sz w:val="24"/>
          <w:szCs w:val="20"/>
          <w:vertAlign w:val="superscript"/>
        </w:rPr>
        <w:t>th</w:t>
      </w:r>
      <w:r w:rsidRPr="001A15EE">
        <w:rPr>
          <w:rFonts w:ascii="Arial" w:hAnsi="Arial" w:cs="Arial"/>
          <w:sz w:val="24"/>
          <w:szCs w:val="20"/>
        </w:rPr>
        <w:t>, 20</w:t>
      </w:r>
      <w:r w:rsidRPr="001A15EE">
        <w:rPr>
          <w:rFonts w:ascii="Arial" w:hAnsi="Arial" w:cs="Arial"/>
          <w:sz w:val="24"/>
          <w:szCs w:val="20"/>
          <w:vertAlign w:val="superscript"/>
        </w:rPr>
        <w:t>th</w:t>
      </w:r>
      <w:r w:rsidRPr="001A15EE">
        <w:rPr>
          <w:rFonts w:ascii="Arial" w:hAnsi="Arial" w:cs="Arial"/>
          <w:sz w:val="24"/>
          <w:szCs w:val="20"/>
        </w:rPr>
        <w:t xml:space="preserve"> and 30</w:t>
      </w:r>
      <w:r w:rsidRPr="001A15EE">
        <w:rPr>
          <w:rFonts w:ascii="Arial" w:hAnsi="Arial" w:cs="Arial"/>
          <w:sz w:val="24"/>
          <w:szCs w:val="20"/>
          <w:vertAlign w:val="superscript"/>
        </w:rPr>
        <w:t>th</w:t>
      </w:r>
      <w:r w:rsidRPr="001A15EE">
        <w:rPr>
          <w:rFonts w:ascii="Arial" w:hAnsi="Arial" w:cs="Arial"/>
          <w:sz w:val="24"/>
          <w:szCs w:val="20"/>
        </w:rPr>
        <w:t xml:space="preserve"> days.</w:t>
      </w:r>
      <w:commentRangeEnd w:id="21"/>
      <w:r w:rsidR="00DE1886">
        <w:rPr>
          <w:rStyle w:val="CommentReference"/>
        </w:rPr>
        <w:commentReference w:id="21"/>
      </w:r>
    </w:p>
    <w:p w:rsidR="00535F85" w:rsidRPr="001A15EE" w:rsidRDefault="00535F85" w:rsidP="00535F85">
      <w:pPr>
        <w:pStyle w:val="ListParagraph"/>
        <w:tabs>
          <w:tab w:val="left" w:pos="1395"/>
        </w:tabs>
        <w:spacing w:after="0" w:line="240" w:lineRule="auto"/>
        <w:ind w:left="0"/>
        <w:jc w:val="center"/>
        <w:rPr>
          <w:rStyle w:val="Strong"/>
          <w:rFonts w:ascii="Arial" w:hAnsi="Arial" w:cs="Arial"/>
          <w:sz w:val="24"/>
          <w:szCs w:val="20"/>
          <w:shd w:val="clear" w:color="auto" w:fill="FFFFFF"/>
        </w:rPr>
      </w:pPr>
      <w:r w:rsidRPr="001A15EE">
        <w:rPr>
          <w:rStyle w:val="Strong"/>
          <w:rFonts w:ascii="Arial" w:hAnsi="Arial" w:cs="Arial"/>
          <w:sz w:val="24"/>
          <w:szCs w:val="20"/>
          <w:shd w:val="clear" w:color="auto" w:fill="FFFFFF"/>
        </w:rPr>
        <w:t>Table 1: Properties of raw and 25% spent wash</w:t>
      </w:r>
    </w:p>
    <w:tbl>
      <w:tblPr>
        <w:tblStyle w:val="TableGrid"/>
        <w:tblW w:w="9072" w:type="dxa"/>
        <w:tblInd w:w="108" w:type="dxa"/>
        <w:tblLayout w:type="fixed"/>
        <w:tblLook w:val="04A0"/>
      </w:tblPr>
      <w:tblGrid>
        <w:gridCol w:w="709"/>
        <w:gridCol w:w="1701"/>
        <w:gridCol w:w="2268"/>
        <w:gridCol w:w="1701"/>
        <w:gridCol w:w="1276"/>
        <w:gridCol w:w="1417"/>
      </w:tblGrid>
      <w:tr w:rsidR="0015536A" w:rsidRPr="001A15EE" w:rsidTr="00535F85">
        <w:trPr>
          <w:trHeight w:val="265"/>
        </w:trPr>
        <w:tc>
          <w:tcPr>
            <w:tcW w:w="709" w:type="dxa"/>
            <w:vAlign w:val="center"/>
          </w:tcPr>
          <w:p w:rsidR="00CE6C67" w:rsidRPr="001A15EE" w:rsidRDefault="00CE6C67" w:rsidP="00535F85">
            <w:pPr>
              <w:jc w:val="center"/>
              <w:rPr>
                <w:rFonts w:ascii="Arial" w:hAnsi="Arial" w:cs="Arial"/>
                <w:b/>
                <w:bCs/>
                <w:sz w:val="24"/>
                <w:szCs w:val="24"/>
                <w:shd w:val="clear" w:color="auto" w:fill="FFFFFF"/>
              </w:rPr>
            </w:pPr>
            <w:commentRangeStart w:id="22"/>
            <w:r w:rsidRPr="001A15EE">
              <w:rPr>
                <w:rFonts w:ascii="Arial" w:hAnsi="Arial" w:cs="Arial"/>
                <w:b/>
                <w:bCs/>
                <w:sz w:val="24"/>
                <w:szCs w:val="24"/>
                <w:shd w:val="clear" w:color="auto" w:fill="FFFFFF"/>
              </w:rPr>
              <w:t>Sr. No.</w:t>
            </w:r>
          </w:p>
        </w:tc>
        <w:tc>
          <w:tcPr>
            <w:tcW w:w="1701" w:type="dxa"/>
            <w:vAlign w:val="center"/>
          </w:tcPr>
          <w:p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Parameters</w:t>
            </w:r>
            <w:r w:rsidR="0015536A" w:rsidRPr="001A15EE">
              <w:rPr>
                <w:rFonts w:ascii="Arial" w:hAnsi="Arial" w:cs="Arial"/>
                <w:b/>
                <w:sz w:val="24"/>
                <w:szCs w:val="24"/>
                <w:shd w:val="clear" w:color="auto" w:fill="FFFFFF"/>
              </w:rPr>
              <w:t>(mg/L)</w:t>
            </w:r>
          </w:p>
        </w:tc>
        <w:tc>
          <w:tcPr>
            <w:tcW w:w="2268" w:type="dxa"/>
            <w:vAlign w:val="center"/>
          </w:tcPr>
          <w:p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Method of analysis</w:t>
            </w:r>
          </w:p>
        </w:tc>
        <w:tc>
          <w:tcPr>
            <w:tcW w:w="1701" w:type="dxa"/>
            <w:vAlign w:val="center"/>
          </w:tcPr>
          <w:p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Reference</w:t>
            </w:r>
          </w:p>
        </w:tc>
        <w:tc>
          <w:tcPr>
            <w:tcW w:w="1276" w:type="dxa"/>
            <w:vAlign w:val="center"/>
          </w:tcPr>
          <w:p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Raw</w:t>
            </w:r>
          </w:p>
          <w:p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Spent wash</w:t>
            </w:r>
          </w:p>
        </w:tc>
        <w:tc>
          <w:tcPr>
            <w:tcW w:w="1417" w:type="dxa"/>
            <w:vAlign w:val="center"/>
          </w:tcPr>
          <w:p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25% diluted</w:t>
            </w:r>
          </w:p>
          <w:p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Spent wash</w:t>
            </w:r>
          </w:p>
        </w:tc>
      </w:tr>
      <w:tr w:rsidR="0015536A" w:rsidRPr="001A15EE" w:rsidTr="00535F85">
        <w:trPr>
          <w:trHeight w:val="78"/>
        </w:trPr>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1.</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COD </w:t>
            </w:r>
          </w:p>
        </w:tc>
        <w:tc>
          <w:tcPr>
            <w:tcW w:w="2268"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rPr>
              <w:t>Open Reflux method</w:t>
            </w:r>
          </w:p>
        </w:tc>
        <w:tc>
          <w:tcPr>
            <w:tcW w:w="1701"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rPr>
              <w:t>Franson (1985)</w:t>
            </w: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3,29,840</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77,280</w:t>
            </w:r>
          </w:p>
        </w:tc>
      </w:tr>
      <w:tr w:rsidR="0015536A" w:rsidRPr="001A15EE" w:rsidTr="00535F85">
        <w:trPr>
          <w:trHeight w:val="365"/>
        </w:trPr>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2.</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BOD </w:t>
            </w:r>
          </w:p>
        </w:tc>
        <w:tc>
          <w:tcPr>
            <w:tcW w:w="2268"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rPr>
              <w:t>Dissolved oxygen (Winkler method)</w:t>
            </w:r>
          </w:p>
        </w:tc>
        <w:tc>
          <w:tcPr>
            <w:tcW w:w="1701"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rPr>
              <w:t>Franson (1985)</w:t>
            </w: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75,790</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18,356</w:t>
            </w:r>
          </w:p>
        </w:tc>
      </w:tr>
      <w:tr w:rsidR="0015536A" w:rsidRPr="001A15EE" w:rsidTr="00535F85">
        <w:trPr>
          <w:trHeight w:val="287"/>
        </w:trPr>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Total Solid (TS) </w:t>
            </w:r>
          </w:p>
        </w:tc>
        <w:tc>
          <w:tcPr>
            <w:tcW w:w="2268" w:type="dxa"/>
            <w:vMerge w:val="restart"/>
            <w:vAlign w:val="center"/>
          </w:tcPr>
          <w:p w:rsidR="0015536A" w:rsidRPr="001A15EE" w:rsidRDefault="0015536A" w:rsidP="00535F85">
            <w:pPr>
              <w:jc w:val="center"/>
              <w:rPr>
                <w:rFonts w:ascii="Arial" w:hAnsi="Arial" w:cs="Arial"/>
                <w:sz w:val="24"/>
                <w:szCs w:val="24"/>
              </w:rPr>
            </w:pPr>
            <w:r w:rsidRPr="001A15EE">
              <w:rPr>
                <w:rFonts w:ascii="Arial" w:hAnsi="Arial" w:cs="Arial"/>
                <w:sz w:val="24"/>
                <w:szCs w:val="24"/>
                <w:shd w:val="clear" w:color="auto" w:fill="FFFFFF"/>
              </w:rPr>
              <w:t>Gravimetric method</w:t>
            </w:r>
          </w:p>
        </w:tc>
        <w:tc>
          <w:tcPr>
            <w:tcW w:w="1701"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rPr>
              <w:t>Symons and Morey (1941)</w:t>
            </w: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3,88,200</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94,800</w:t>
            </w:r>
          </w:p>
        </w:tc>
      </w:tr>
      <w:tr w:rsidR="0015536A" w:rsidRPr="001A15EE" w:rsidTr="00535F85">
        <w:trPr>
          <w:trHeight w:val="308"/>
        </w:trPr>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4.</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Total Dissolved Solid (TDS) </w:t>
            </w:r>
          </w:p>
        </w:tc>
        <w:tc>
          <w:tcPr>
            <w:tcW w:w="2268" w:type="dxa"/>
            <w:vMerge/>
          </w:tcPr>
          <w:p w:rsidR="0015536A" w:rsidRPr="001A15EE" w:rsidRDefault="0015536A" w:rsidP="00535F85">
            <w:pPr>
              <w:rPr>
                <w:rFonts w:ascii="Arial" w:hAnsi="Arial" w:cs="Arial"/>
                <w:sz w:val="24"/>
                <w:szCs w:val="24"/>
              </w:rPr>
            </w:pPr>
          </w:p>
        </w:tc>
        <w:tc>
          <w:tcPr>
            <w:tcW w:w="1701"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rPr>
              <w:t>Howard (1933)</w:t>
            </w: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3,33,600</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83,400</w:t>
            </w:r>
          </w:p>
        </w:tc>
      </w:tr>
      <w:tr w:rsidR="0015536A" w:rsidRPr="001A15EE" w:rsidTr="00535F85">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5.</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Iron </w:t>
            </w:r>
          </w:p>
        </w:tc>
        <w:tc>
          <w:tcPr>
            <w:tcW w:w="2268" w:type="dxa"/>
            <w:vMerge w:val="restart"/>
            <w:vAlign w:val="center"/>
          </w:tcPr>
          <w:p w:rsidR="0015536A" w:rsidRPr="001A15EE" w:rsidRDefault="0015536A" w:rsidP="00535F85">
            <w:pPr>
              <w:jc w:val="center"/>
              <w:rPr>
                <w:rFonts w:ascii="Arial" w:hAnsi="Arial" w:cs="Arial"/>
                <w:sz w:val="24"/>
                <w:szCs w:val="24"/>
              </w:rPr>
            </w:pPr>
            <w:r w:rsidRPr="001A15EE">
              <w:rPr>
                <w:rFonts w:ascii="Arial" w:hAnsi="Arial" w:cs="Arial"/>
                <w:sz w:val="24"/>
                <w:szCs w:val="24"/>
              </w:rPr>
              <w:t>Atomic Absorption Spectrophoto-metric</w:t>
            </w:r>
          </w:p>
        </w:tc>
        <w:tc>
          <w:tcPr>
            <w:tcW w:w="1701" w:type="dxa"/>
            <w:vMerge w:val="restart"/>
            <w:vAlign w:val="center"/>
          </w:tcPr>
          <w:p w:rsidR="0015536A" w:rsidRPr="001A15EE" w:rsidRDefault="0015536A" w:rsidP="00535F85">
            <w:pPr>
              <w:jc w:val="center"/>
              <w:rPr>
                <w:rFonts w:ascii="Arial" w:hAnsi="Arial" w:cs="Arial"/>
                <w:sz w:val="24"/>
                <w:szCs w:val="24"/>
              </w:rPr>
            </w:pPr>
            <w:r w:rsidRPr="001A15EE">
              <w:rPr>
                <w:rFonts w:ascii="Arial" w:hAnsi="Arial" w:cs="Arial"/>
                <w:sz w:val="24"/>
                <w:szCs w:val="24"/>
              </w:rPr>
              <w:t xml:space="preserve">Page </w:t>
            </w:r>
            <w:r w:rsidRPr="001A15EE">
              <w:rPr>
                <w:rFonts w:ascii="Arial" w:hAnsi="Arial" w:cs="Arial"/>
                <w:i/>
                <w:iCs/>
                <w:sz w:val="24"/>
                <w:szCs w:val="24"/>
              </w:rPr>
              <w:t>et al.</w:t>
            </w:r>
            <w:r w:rsidRPr="001A15EE">
              <w:rPr>
                <w:rFonts w:ascii="Arial" w:hAnsi="Arial" w:cs="Arial"/>
                <w:sz w:val="24"/>
                <w:szCs w:val="24"/>
              </w:rPr>
              <w:t xml:space="preserve"> (1982)</w:t>
            </w: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75.89</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32.85</w:t>
            </w:r>
          </w:p>
        </w:tc>
      </w:tr>
      <w:tr w:rsidR="0015536A" w:rsidRPr="001A15EE" w:rsidTr="00535F85">
        <w:trPr>
          <w:trHeight w:val="70"/>
        </w:trPr>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6.</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Manganese </w:t>
            </w:r>
          </w:p>
        </w:tc>
        <w:tc>
          <w:tcPr>
            <w:tcW w:w="2268" w:type="dxa"/>
            <w:vMerge/>
          </w:tcPr>
          <w:p w:rsidR="0015536A" w:rsidRPr="001A15EE" w:rsidRDefault="0015536A" w:rsidP="00535F85">
            <w:pPr>
              <w:jc w:val="center"/>
              <w:rPr>
                <w:rFonts w:ascii="Arial" w:hAnsi="Arial" w:cs="Arial"/>
                <w:sz w:val="24"/>
                <w:szCs w:val="24"/>
                <w:shd w:val="clear" w:color="auto" w:fill="FFFFFF"/>
              </w:rPr>
            </w:pPr>
          </w:p>
        </w:tc>
        <w:tc>
          <w:tcPr>
            <w:tcW w:w="1701" w:type="dxa"/>
            <w:vMerge/>
          </w:tcPr>
          <w:p w:rsidR="0015536A" w:rsidRPr="001A15EE" w:rsidRDefault="0015536A" w:rsidP="00535F85">
            <w:pPr>
              <w:jc w:val="center"/>
              <w:rPr>
                <w:rFonts w:ascii="Arial" w:hAnsi="Arial" w:cs="Arial"/>
                <w:sz w:val="24"/>
                <w:szCs w:val="24"/>
                <w:shd w:val="clear" w:color="auto" w:fill="FFFFFF"/>
              </w:rPr>
            </w:pP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13.33</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3.18</w:t>
            </w:r>
          </w:p>
        </w:tc>
      </w:tr>
      <w:tr w:rsidR="0015536A" w:rsidRPr="001A15EE" w:rsidTr="00535F85">
        <w:trPr>
          <w:trHeight w:val="183"/>
        </w:trPr>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7.</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Zinc </w:t>
            </w:r>
          </w:p>
        </w:tc>
        <w:tc>
          <w:tcPr>
            <w:tcW w:w="2268" w:type="dxa"/>
            <w:vMerge/>
          </w:tcPr>
          <w:p w:rsidR="0015536A" w:rsidRPr="001A15EE" w:rsidRDefault="0015536A" w:rsidP="00535F85">
            <w:pPr>
              <w:jc w:val="center"/>
              <w:rPr>
                <w:rFonts w:ascii="Arial" w:hAnsi="Arial" w:cs="Arial"/>
                <w:sz w:val="24"/>
                <w:szCs w:val="24"/>
                <w:shd w:val="clear" w:color="auto" w:fill="FFFFFF"/>
              </w:rPr>
            </w:pPr>
          </w:p>
        </w:tc>
        <w:tc>
          <w:tcPr>
            <w:tcW w:w="1701" w:type="dxa"/>
            <w:vMerge/>
          </w:tcPr>
          <w:p w:rsidR="0015536A" w:rsidRPr="001A15EE" w:rsidRDefault="0015536A" w:rsidP="00535F85">
            <w:pPr>
              <w:jc w:val="center"/>
              <w:rPr>
                <w:rFonts w:ascii="Arial" w:hAnsi="Arial" w:cs="Arial"/>
                <w:sz w:val="24"/>
                <w:szCs w:val="24"/>
                <w:shd w:val="clear" w:color="auto" w:fill="FFFFFF"/>
              </w:rPr>
            </w:pP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12.9</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3.37</w:t>
            </w:r>
          </w:p>
        </w:tc>
      </w:tr>
      <w:tr w:rsidR="0015536A" w:rsidRPr="001A15EE" w:rsidTr="00535F85">
        <w:trPr>
          <w:trHeight w:val="159"/>
        </w:trPr>
        <w:tc>
          <w:tcPr>
            <w:tcW w:w="709"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8.</w:t>
            </w:r>
          </w:p>
        </w:tc>
        <w:tc>
          <w:tcPr>
            <w:tcW w:w="1701" w:type="dxa"/>
            <w:vAlign w:val="center"/>
          </w:tcPr>
          <w:p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Copper </w:t>
            </w:r>
          </w:p>
        </w:tc>
        <w:tc>
          <w:tcPr>
            <w:tcW w:w="2268" w:type="dxa"/>
            <w:vMerge/>
          </w:tcPr>
          <w:p w:rsidR="0015536A" w:rsidRPr="001A15EE" w:rsidRDefault="0015536A" w:rsidP="00535F85">
            <w:pPr>
              <w:jc w:val="center"/>
              <w:rPr>
                <w:rFonts w:ascii="Arial" w:hAnsi="Arial" w:cs="Arial"/>
                <w:sz w:val="24"/>
                <w:szCs w:val="24"/>
                <w:shd w:val="clear" w:color="auto" w:fill="FFFFFF"/>
              </w:rPr>
            </w:pPr>
          </w:p>
        </w:tc>
        <w:tc>
          <w:tcPr>
            <w:tcW w:w="1701" w:type="dxa"/>
            <w:vMerge/>
          </w:tcPr>
          <w:p w:rsidR="0015536A" w:rsidRPr="001A15EE" w:rsidRDefault="0015536A" w:rsidP="00535F85">
            <w:pPr>
              <w:jc w:val="center"/>
              <w:rPr>
                <w:rFonts w:ascii="Arial" w:hAnsi="Arial" w:cs="Arial"/>
                <w:sz w:val="24"/>
                <w:szCs w:val="24"/>
                <w:shd w:val="clear" w:color="auto" w:fill="FFFFFF"/>
              </w:rPr>
            </w:pPr>
          </w:p>
        </w:tc>
        <w:tc>
          <w:tcPr>
            <w:tcW w:w="1276"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0.94</w:t>
            </w:r>
          </w:p>
        </w:tc>
        <w:tc>
          <w:tcPr>
            <w:tcW w:w="1417" w:type="dxa"/>
            <w:vAlign w:val="center"/>
          </w:tcPr>
          <w:p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0.19</w:t>
            </w:r>
            <w:commentRangeEnd w:id="22"/>
            <w:r w:rsidR="00DE1886">
              <w:rPr>
                <w:rStyle w:val="CommentReference"/>
              </w:rPr>
              <w:commentReference w:id="22"/>
            </w:r>
          </w:p>
        </w:tc>
      </w:tr>
    </w:tbl>
    <w:p w:rsidR="0015536A" w:rsidRPr="001A15EE" w:rsidRDefault="0015536A" w:rsidP="00DB7809">
      <w:pPr>
        <w:pStyle w:val="ListParagraph"/>
        <w:numPr>
          <w:ilvl w:val="0"/>
          <w:numId w:val="1"/>
        </w:numPr>
        <w:tabs>
          <w:tab w:val="left" w:pos="426"/>
        </w:tabs>
        <w:spacing w:before="240" w:after="0"/>
        <w:ind w:left="0" w:right="-45" w:firstLine="0"/>
        <w:rPr>
          <w:rStyle w:val="Strong"/>
          <w:rFonts w:ascii="Arial" w:hAnsi="Arial" w:cs="Arial"/>
          <w:sz w:val="24"/>
          <w:szCs w:val="20"/>
          <w:shd w:val="clear" w:color="auto" w:fill="FFFFFF"/>
        </w:rPr>
      </w:pPr>
      <w:r w:rsidRPr="001A15EE">
        <w:rPr>
          <w:rStyle w:val="Strong"/>
          <w:rFonts w:ascii="Arial" w:hAnsi="Arial" w:cs="Arial"/>
          <w:sz w:val="24"/>
          <w:szCs w:val="20"/>
          <w:shd w:val="clear" w:color="auto" w:fill="FFFFFF"/>
        </w:rPr>
        <w:t>RESULT AND DISCUSSION</w:t>
      </w:r>
    </w:p>
    <w:p w:rsidR="0015536A" w:rsidRPr="001A15EE" w:rsidRDefault="00535F85" w:rsidP="00DB7809">
      <w:pPr>
        <w:tabs>
          <w:tab w:val="left" w:pos="1395"/>
          <w:tab w:val="left" w:pos="4253"/>
        </w:tabs>
        <w:spacing w:after="0"/>
        <w:ind w:left="426" w:hanging="426"/>
        <w:jc w:val="both"/>
        <w:rPr>
          <w:rFonts w:ascii="Arial" w:hAnsi="Arial" w:cs="Arial"/>
          <w:sz w:val="24"/>
          <w:szCs w:val="20"/>
        </w:rPr>
      </w:pPr>
      <w:r w:rsidRPr="001A15EE">
        <w:rPr>
          <w:rFonts w:ascii="Arial" w:hAnsi="Arial" w:cs="Arial"/>
          <w:b/>
          <w:bCs/>
          <w:sz w:val="24"/>
          <w:szCs w:val="20"/>
        </w:rPr>
        <w:t>3.1</w:t>
      </w:r>
      <w:r w:rsidR="0015536A" w:rsidRPr="001A15EE">
        <w:rPr>
          <w:rFonts w:ascii="Arial" w:eastAsia="Times New Roman" w:hAnsi="Arial" w:cs="Arial"/>
          <w:b/>
          <w:bCs/>
          <w:sz w:val="24"/>
          <w:szCs w:val="20"/>
        </w:rPr>
        <w:t>Effect</w:t>
      </w:r>
      <w:r w:rsidR="0015536A" w:rsidRPr="001A15EE">
        <w:rPr>
          <w:rFonts w:ascii="Arial" w:hAnsi="Arial" w:cs="Arial"/>
          <w:b/>
          <w:bCs/>
          <w:sz w:val="24"/>
          <w:szCs w:val="20"/>
        </w:rPr>
        <w:t xml:space="preserve"> of Microbial Inoculation and Incubati</w:t>
      </w:r>
      <w:r w:rsidR="007F03DE">
        <w:rPr>
          <w:rFonts w:ascii="Arial" w:hAnsi="Arial" w:cs="Arial"/>
          <w:b/>
          <w:bCs/>
          <w:sz w:val="24"/>
          <w:szCs w:val="20"/>
        </w:rPr>
        <w:t>on Period on COD, BOD and OD of</w:t>
      </w:r>
      <w:r w:rsidR="0015536A" w:rsidRPr="001A15EE">
        <w:rPr>
          <w:rFonts w:ascii="Arial" w:hAnsi="Arial" w:cs="Arial"/>
          <w:b/>
          <w:bCs/>
          <w:sz w:val="24"/>
          <w:szCs w:val="20"/>
        </w:rPr>
        <w:t>Distillery Spent Wash</w:t>
      </w:r>
    </w:p>
    <w:p w:rsidR="0044325A" w:rsidRPr="001A15EE" w:rsidRDefault="00535F85" w:rsidP="00E07B87">
      <w:pPr>
        <w:spacing w:after="0"/>
        <w:ind w:firstLine="709"/>
        <w:jc w:val="both"/>
        <w:rPr>
          <w:rFonts w:ascii="Arial" w:eastAsia="Arial" w:hAnsi="Arial" w:cs="Arial"/>
          <w:sz w:val="24"/>
          <w:szCs w:val="24"/>
        </w:rPr>
      </w:pPr>
      <w:r w:rsidRPr="001A15EE">
        <w:rPr>
          <w:rFonts w:ascii="Arial" w:eastAsia="Arial" w:hAnsi="Arial" w:cs="Arial"/>
          <w:sz w:val="24"/>
          <w:szCs w:val="24"/>
        </w:rPr>
        <w:t xml:space="preserve">The results in Table </w:t>
      </w:r>
      <w:r w:rsidR="00BF319B">
        <w:rPr>
          <w:rFonts w:ascii="Arial" w:eastAsia="Arial" w:hAnsi="Arial" w:cs="Arial"/>
          <w:sz w:val="24"/>
          <w:szCs w:val="24"/>
        </w:rPr>
        <w:t xml:space="preserve">2 </w:t>
      </w:r>
      <w:r w:rsidRPr="001A15EE">
        <w:rPr>
          <w:rFonts w:ascii="Arial" w:eastAsia="Arial" w:hAnsi="Arial" w:cs="Arial"/>
          <w:sz w:val="24"/>
          <w:szCs w:val="24"/>
        </w:rPr>
        <w:t>and Fig. 1</w:t>
      </w:r>
      <w:r w:rsidR="000D07A3" w:rsidRPr="001A15EE">
        <w:rPr>
          <w:rFonts w:ascii="Arial" w:eastAsia="Arial" w:hAnsi="Arial" w:cs="Arial"/>
          <w:sz w:val="24"/>
          <w:szCs w:val="24"/>
        </w:rPr>
        <w:t xml:space="preserve"> show</w:t>
      </w:r>
      <w:r w:rsidR="0044325A" w:rsidRPr="001A15EE">
        <w:rPr>
          <w:rFonts w:ascii="Arial" w:eastAsia="Arial" w:hAnsi="Arial" w:cs="Arial"/>
          <w:sz w:val="24"/>
          <w:szCs w:val="24"/>
        </w:rPr>
        <w:t>ed</w:t>
      </w:r>
      <w:r w:rsidR="000D07A3" w:rsidRPr="001A15EE">
        <w:rPr>
          <w:rFonts w:ascii="Arial" w:eastAsia="Arial" w:hAnsi="Arial" w:cs="Arial"/>
          <w:sz w:val="24"/>
          <w:szCs w:val="24"/>
        </w:rPr>
        <w:t xml:space="preserve"> that both microbial inoculation (M</w:t>
      </w:r>
      <w:r w:rsidR="000D07A3" w:rsidRPr="001A15EE">
        <w:rPr>
          <w:rFonts w:ascii="Arial" w:eastAsia="Arial" w:hAnsi="Arial" w:cs="Arial"/>
          <w:sz w:val="24"/>
          <w:szCs w:val="24"/>
          <w:vertAlign w:val="subscript"/>
        </w:rPr>
        <w:t>0</w:t>
      </w:r>
      <w:r w:rsidR="000D07A3" w:rsidRPr="001A15EE">
        <w:rPr>
          <w:rFonts w:ascii="Arial" w:eastAsia="Arial" w:hAnsi="Arial" w:cs="Arial"/>
          <w:sz w:val="24"/>
          <w:szCs w:val="24"/>
        </w:rPr>
        <w:t>, M</w:t>
      </w:r>
      <w:r w:rsidR="000D07A3" w:rsidRPr="001A15EE">
        <w:rPr>
          <w:rFonts w:ascii="Arial" w:eastAsia="Arial" w:hAnsi="Arial" w:cs="Arial"/>
          <w:sz w:val="24"/>
          <w:szCs w:val="24"/>
          <w:vertAlign w:val="subscript"/>
        </w:rPr>
        <w:t>1</w:t>
      </w:r>
      <w:r w:rsidR="000D07A3" w:rsidRPr="001A15EE">
        <w:rPr>
          <w:rFonts w:ascii="Arial" w:eastAsia="Arial" w:hAnsi="Arial" w:cs="Arial"/>
          <w:sz w:val="24"/>
          <w:szCs w:val="24"/>
        </w:rPr>
        <w:t>, M</w:t>
      </w:r>
      <w:r w:rsidR="000D07A3" w:rsidRPr="001A15EE">
        <w:rPr>
          <w:rFonts w:ascii="Arial" w:eastAsia="Arial" w:hAnsi="Arial" w:cs="Arial"/>
          <w:sz w:val="24"/>
          <w:szCs w:val="24"/>
          <w:vertAlign w:val="subscript"/>
        </w:rPr>
        <w:t>2</w:t>
      </w:r>
      <w:r w:rsidR="000D07A3" w:rsidRPr="001A15EE">
        <w:rPr>
          <w:rFonts w:ascii="Arial" w:eastAsia="Arial" w:hAnsi="Arial" w:cs="Arial"/>
          <w:sz w:val="24"/>
          <w:szCs w:val="24"/>
        </w:rPr>
        <w:t>) and incubation period (10, 20 and 30 days) significantly influenced the COD of distillery spent wash. The control (M</w:t>
      </w:r>
      <w:r w:rsidR="000D07A3" w:rsidRPr="001A15EE">
        <w:rPr>
          <w:rFonts w:ascii="Arial" w:eastAsia="Arial" w:hAnsi="Arial" w:cs="Arial"/>
          <w:sz w:val="24"/>
          <w:szCs w:val="24"/>
          <w:vertAlign w:val="subscript"/>
        </w:rPr>
        <w:t>0</w:t>
      </w:r>
      <w:r w:rsidR="000D07A3" w:rsidRPr="001A15EE">
        <w:rPr>
          <w:rFonts w:ascii="Arial" w:eastAsia="Arial" w:hAnsi="Arial" w:cs="Arial"/>
          <w:sz w:val="24"/>
          <w:szCs w:val="24"/>
        </w:rPr>
        <w:t xml:space="preserve">) recorded the highest mean COD (74,960.13 mg/L), while inoculation with </w:t>
      </w:r>
      <w:r w:rsidR="000D07A3" w:rsidRPr="001A15EE">
        <w:rPr>
          <w:rFonts w:ascii="Arial" w:eastAsia="Arial" w:hAnsi="Arial" w:cs="Arial"/>
          <w:i/>
          <w:sz w:val="24"/>
          <w:szCs w:val="24"/>
        </w:rPr>
        <w:t>Pseudomonas fluorescens</w:t>
      </w:r>
      <w:r w:rsidR="000D07A3" w:rsidRPr="001A15EE">
        <w:rPr>
          <w:rFonts w:ascii="Arial" w:eastAsia="Arial" w:hAnsi="Arial" w:cs="Arial"/>
          <w:sz w:val="24"/>
          <w:szCs w:val="24"/>
        </w:rPr>
        <w:t xml:space="preserve"> (M</w:t>
      </w:r>
      <w:r w:rsidR="000D07A3" w:rsidRPr="001A15EE">
        <w:rPr>
          <w:rFonts w:ascii="Arial" w:eastAsia="Arial" w:hAnsi="Arial" w:cs="Arial"/>
          <w:sz w:val="24"/>
          <w:szCs w:val="24"/>
          <w:vertAlign w:val="subscript"/>
        </w:rPr>
        <w:t>2</w:t>
      </w:r>
      <w:r w:rsidR="000D07A3" w:rsidRPr="001A15EE">
        <w:rPr>
          <w:rFonts w:ascii="Arial" w:eastAsia="Arial" w:hAnsi="Arial" w:cs="Arial"/>
          <w:sz w:val="24"/>
          <w:szCs w:val="24"/>
        </w:rPr>
        <w:t>) resulted in the lowest mean COD (31,055.47 mg/L), indicating a 58.57% reduction over M</w:t>
      </w:r>
      <w:r w:rsidR="000D07A3" w:rsidRPr="001A15EE">
        <w:rPr>
          <w:rFonts w:ascii="Arial" w:eastAsia="Arial" w:hAnsi="Arial" w:cs="Arial"/>
          <w:sz w:val="24"/>
          <w:szCs w:val="24"/>
          <w:vertAlign w:val="subscript"/>
        </w:rPr>
        <w:t>0</w:t>
      </w:r>
      <w:r w:rsidR="000D07A3" w:rsidRPr="001A15EE">
        <w:rPr>
          <w:rFonts w:ascii="Arial" w:eastAsia="Arial" w:hAnsi="Arial" w:cs="Arial"/>
          <w:sz w:val="24"/>
          <w:szCs w:val="24"/>
        </w:rPr>
        <w:t>. M</w:t>
      </w:r>
      <w:r w:rsidR="000D07A3" w:rsidRPr="001A15EE">
        <w:rPr>
          <w:rFonts w:ascii="Arial" w:eastAsia="Arial" w:hAnsi="Arial" w:cs="Arial"/>
          <w:sz w:val="24"/>
          <w:szCs w:val="24"/>
          <w:vertAlign w:val="subscript"/>
        </w:rPr>
        <w:t>1</w:t>
      </w:r>
      <w:r w:rsidR="000D07A3" w:rsidRPr="001A15EE">
        <w:rPr>
          <w:rFonts w:ascii="Arial" w:eastAsia="Arial" w:hAnsi="Arial" w:cs="Arial"/>
          <w:sz w:val="24"/>
          <w:szCs w:val="24"/>
        </w:rPr>
        <w:t xml:space="preserve"> also lowered</w:t>
      </w:r>
      <w:r w:rsidR="0044325A" w:rsidRPr="001A15EE">
        <w:rPr>
          <w:rFonts w:ascii="Arial" w:eastAsia="Arial" w:hAnsi="Arial" w:cs="Arial"/>
          <w:sz w:val="24"/>
          <w:szCs w:val="24"/>
        </w:rPr>
        <w:t xml:space="preserve"> the</w:t>
      </w:r>
      <w:r w:rsidR="000D07A3" w:rsidRPr="001A15EE">
        <w:rPr>
          <w:rFonts w:ascii="Arial" w:eastAsia="Arial" w:hAnsi="Arial" w:cs="Arial"/>
          <w:sz w:val="24"/>
          <w:szCs w:val="24"/>
        </w:rPr>
        <w:t xml:space="preserve"> COD </w:t>
      </w:r>
      <w:r w:rsidRPr="001A15EE">
        <w:rPr>
          <w:rFonts w:ascii="Arial" w:eastAsia="Arial" w:hAnsi="Arial" w:cs="Arial"/>
          <w:sz w:val="24"/>
          <w:szCs w:val="24"/>
        </w:rPr>
        <w:t xml:space="preserve">of spent wash </w:t>
      </w:r>
      <w:r w:rsidR="000D07A3" w:rsidRPr="001A15EE">
        <w:rPr>
          <w:rFonts w:ascii="Arial" w:eastAsia="Arial" w:hAnsi="Arial" w:cs="Arial"/>
          <w:sz w:val="24"/>
          <w:szCs w:val="24"/>
        </w:rPr>
        <w:t>by 48.11%. This decline can be attributed to the enhanced metabolic capability of the inoculated microbes, which break down organic pollutants more efficiently. COD values also decreased significantly with increasing incubation time, with the lowest value (44,998.07 mg/L) on the 30</w:t>
      </w:r>
      <w:r w:rsidR="000D07A3" w:rsidRPr="001A15EE">
        <w:rPr>
          <w:rFonts w:ascii="Arial" w:eastAsia="Arial" w:hAnsi="Arial" w:cs="Arial"/>
          <w:sz w:val="24"/>
          <w:szCs w:val="24"/>
          <w:vertAlign w:val="superscript"/>
        </w:rPr>
        <w:t>th</w:t>
      </w:r>
      <w:r w:rsidR="000D07A3" w:rsidRPr="001A15EE">
        <w:rPr>
          <w:rFonts w:ascii="Arial" w:eastAsia="Arial" w:hAnsi="Arial" w:cs="Arial"/>
          <w:sz w:val="24"/>
          <w:szCs w:val="24"/>
        </w:rPr>
        <w:t xml:space="preserve"> day, reflecting 15.14% and 4.03% reductions over the 10</w:t>
      </w:r>
      <w:r w:rsidR="000D07A3" w:rsidRPr="001A15EE">
        <w:rPr>
          <w:rFonts w:ascii="Arial" w:eastAsia="Arial" w:hAnsi="Arial" w:cs="Arial"/>
          <w:sz w:val="24"/>
          <w:szCs w:val="24"/>
          <w:vertAlign w:val="superscript"/>
        </w:rPr>
        <w:t>th</w:t>
      </w:r>
      <w:r w:rsidR="000D07A3" w:rsidRPr="001A15EE">
        <w:rPr>
          <w:rFonts w:ascii="Arial" w:eastAsia="Arial" w:hAnsi="Arial" w:cs="Arial"/>
          <w:sz w:val="24"/>
          <w:szCs w:val="24"/>
        </w:rPr>
        <w:t xml:space="preserve"> and 20</w:t>
      </w:r>
      <w:r w:rsidR="000D07A3" w:rsidRPr="001A15EE">
        <w:rPr>
          <w:rFonts w:ascii="Arial" w:eastAsia="Arial" w:hAnsi="Arial" w:cs="Arial"/>
          <w:sz w:val="24"/>
          <w:szCs w:val="24"/>
          <w:vertAlign w:val="superscript"/>
        </w:rPr>
        <w:t>th</w:t>
      </w:r>
      <w:r w:rsidR="000D07A3" w:rsidRPr="001A15EE">
        <w:rPr>
          <w:rFonts w:ascii="Arial" w:eastAsia="Arial" w:hAnsi="Arial" w:cs="Arial"/>
          <w:sz w:val="24"/>
          <w:szCs w:val="24"/>
        </w:rPr>
        <w:t xml:space="preserve"> days, respectively. The interaction effect (M×D) was significant, with M</w:t>
      </w:r>
      <w:r w:rsidR="000D07A3" w:rsidRPr="001A15EE">
        <w:rPr>
          <w:rFonts w:ascii="Arial" w:eastAsia="Arial" w:hAnsi="Arial" w:cs="Arial"/>
          <w:sz w:val="24"/>
          <w:szCs w:val="24"/>
          <w:vertAlign w:val="subscript"/>
        </w:rPr>
        <w:t>2</w:t>
      </w:r>
      <w:r w:rsidR="000D07A3" w:rsidRPr="001A15EE">
        <w:rPr>
          <w:rFonts w:ascii="Arial" w:eastAsia="Arial" w:hAnsi="Arial" w:cs="Arial"/>
          <w:sz w:val="24"/>
          <w:szCs w:val="24"/>
        </w:rPr>
        <w:t>D</w:t>
      </w:r>
      <w:r w:rsidR="000D07A3" w:rsidRPr="001A15EE">
        <w:rPr>
          <w:rFonts w:ascii="Arial" w:eastAsia="Arial" w:hAnsi="Arial" w:cs="Arial"/>
          <w:sz w:val="24"/>
          <w:szCs w:val="24"/>
          <w:vertAlign w:val="subscript"/>
        </w:rPr>
        <w:t>3</w:t>
      </w:r>
      <w:r w:rsidR="000D07A3" w:rsidRPr="001A15EE">
        <w:rPr>
          <w:rFonts w:ascii="Arial" w:eastAsia="Arial" w:hAnsi="Arial" w:cs="Arial"/>
          <w:sz w:val="24"/>
          <w:szCs w:val="24"/>
        </w:rPr>
        <w:t xml:space="preserve"> showing the minimum COD (28,201.60 mg/L), followed closely by M</w:t>
      </w:r>
      <w:r w:rsidR="000D07A3" w:rsidRPr="001A15EE">
        <w:rPr>
          <w:rFonts w:ascii="Arial" w:eastAsia="Arial" w:hAnsi="Arial" w:cs="Arial"/>
          <w:sz w:val="24"/>
          <w:szCs w:val="24"/>
          <w:vertAlign w:val="subscript"/>
        </w:rPr>
        <w:t>2</w:t>
      </w:r>
      <w:r w:rsidR="000D07A3" w:rsidRPr="001A15EE">
        <w:rPr>
          <w:rFonts w:ascii="Arial" w:eastAsia="Arial" w:hAnsi="Arial" w:cs="Arial"/>
          <w:sz w:val="24"/>
          <w:szCs w:val="24"/>
        </w:rPr>
        <w:t>D</w:t>
      </w:r>
      <w:r w:rsidR="000D07A3" w:rsidRPr="001A15EE">
        <w:rPr>
          <w:rFonts w:ascii="Arial" w:eastAsia="Arial" w:hAnsi="Arial" w:cs="Arial"/>
          <w:sz w:val="24"/>
          <w:szCs w:val="24"/>
          <w:vertAlign w:val="subscript"/>
        </w:rPr>
        <w:t>2</w:t>
      </w:r>
      <w:r w:rsidR="000D07A3" w:rsidRPr="001A15EE">
        <w:rPr>
          <w:rFonts w:ascii="Arial" w:eastAsia="Arial" w:hAnsi="Arial" w:cs="Arial"/>
          <w:sz w:val="24"/>
          <w:szCs w:val="24"/>
        </w:rPr>
        <w:t xml:space="preserve">. Reductions under these treatments exceeded 59–63% over their respective controls, highlighting the benefit of combining effective microorganisms with adequate incubation time. Comparable studies, such as those by </w:t>
      </w:r>
      <w:commentRangeStart w:id="23"/>
      <w:r w:rsidR="000D07A3" w:rsidRPr="001A15EE">
        <w:rPr>
          <w:rFonts w:ascii="Arial" w:eastAsia="Arial" w:hAnsi="Arial" w:cs="Arial"/>
          <w:sz w:val="24"/>
          <w:szCs w:val="24"/>
        </w:rPr>
        <w:t>Shayegan</w:t>
      </w:r>
      <w:r w:rsidR="000D07A3" w:rsidRPr="001A15EE">
        <w:rPr>
          <w:rFonts w:ascii="Arial" w:eastAsia="Arial" w:hAnsi="Arial" w:cs="Arial"/>
          <w:i/>
          <w:sz w:val="24"/>
          <w:szCs w:val="24"/>
        </w:rPr>
        <w:t>et al.</w:t>
      </w:r>
      <w:r w:rsidR="000D07A3" w:rsidRPr="001A15EE">
        <w:rPr>
          <w:rFonts w:ascii="Arial" w:eastAsia="Arial" w:hAnsi="Arial" w:cs="Arial"/>
          <w:sz w:val="24"/>
          <w:szCs w:val="24"/>
        </w:rPr>
        <w:t xml:space="preserve"> (2005) and Chavan </w:t>
      </w:r>
      <w:r w:rsidR="000D07A3" w:rsidRPr="001A15EE">
        <w:rPr>
          <w:rFonts w:ascii="Arial" w:eastAsia="Arial" w:hAnsi="Arial" w:cs="Arial"/>
          <w:i/>
          <w:sz w:val="24"/>
          <w:szCs w:val="24"/>
        </w:rPr>
        <w:t>et al.</w:t>
      </w:r>
      <w:r w:rsidR="00291A23" w:rsidRPr="001A15EE">
        <w:rPr>
          <w:rFonts w:ascii="Arial" w:eastAsia="Arial" w:hAnsi="Arial" w:cs="Arial"/>
          <w:sz w:val="24"/>
          <w:szCs w:val="24"/>
        </w:rPr>
        <w:t xml:space="preserve"> (2006), </w:t>
      </w:r>
      <w:commentRangeEnd w:id="23"/>
      <w:r w:rsidR="00F235E0">
        <w:rPr>
          <w:rStyle w:val="CommentReference"/>
        </w:rPr>
        <w:commentReference w:id="23"/>
      </w:r>
      <w:r w:rsidR="000D07A3" w:rsidRPr="001A15EE">
        <w:rPr>
          <w:rFonts w:ascii="Arial" w:eastAsia="Arial" w:hAnsi="Arial" w:cs="Arial"/>
          <w:sz w:val="24"/>
          <w:szCs w:val="24"/>
        </w:rPr>
        <w:t>also reported substantial COD reductions through fungal and bacterial treatments, supportin</w:t>
      </w:r>
      <w:r w:rsidRPr="001A15EE">
        <w:rPr>
          <w:rFonts w:ascii="Arial" w:eastAsia="Arial" w:hAnsi="Arial" w:cs="Arial"/>
          <w:sz w:val="24"/>
          <w:szCs w:val="24"/>
        </w:rPr>
        <w:t xml:space="preserve">g the effectiveness of microbes for the degradation of </w:t>
      </w:r>
      <w:r w:rsidR="000D07A3" w:rsidRPr="001A15EE">
        <w:rPr>
          <w:rFonts w:ascii="Arial" w:eastAsia="Arial" w:hAnsi="Arial" w:cs="Arial"/>
          <w:sz w:val="24"/>
          <w:szCs w:val="24"/>
        </w:rPr>
        <w:t>distillery spent wash.</w:t>
      </w:r>
    </w:p>
    <w:p w:rsidR="000D07A3" w:rsidRPr="001A15EE" w:rsidRDefault="000D07A3" w:rsidP="00AF0395">
      <w:pPr>
        <w:tabs>
          <w:tab w:val="left" w:pos="142"/>
          <w:tab w:val="left" w:pos="709"/>
        </w:tabs>
        <w:spacing w:after="0"/>
        <w:ind w:left="1418" w:hanging="1418"/>
        <w:jc w:val="both"/>
        <w:rPr>
          <w:rFonts w:ascii="Arial" w:hAnsi="Arial" w:cs="Arial"/>
          <w:b/>
          <w:bCs/>
          <w:sz w:val="24"/>
          <w:szCs w:val="24"/>
        </w:rPr>
      </w:pPr>
      <w:r w:rsidRPr="001A15EE">
        <w:rPr>
          <w:rFonts w:ascii="Arial" w:hAnsi="Arial" w:cs="Arial"/>
          <w:b/>
          <w:bCs/>
          <w:sz w:val="24"/>
          <w:szCs w:val="24"/>
        </w:rPr>
        <w:t xml:space="preserve">Table </w:t>
      </w:r>
      <w:r w:rsidR="00BF319B">
        <w:rPr>
          <w:rFonts w:ascii="Arial" w:hAnsi="Arial" w:cs="Arial"/>
          <w:b/>
          <w:bCs/>
          <w:sz w:val="24"/>
          <w:szCs w:val="24"/>
        </w:rPr>
        <w:t>2</w:t>
      </w:r>
      <w:r w:rsidRPr="001A15EE">
        <w:rPr>
          <w:rFonts w:ascii="Arial" w:hAnsi="Arial" w:cs="Arial"/>
          <w:b/>
          <w:bCs/>
          <w:sz w:val="24"/>
          <w:szCs w:val="24"/>
        </w:rPr>
        <w:t>: Effect of microbial inoculation and incubation period on COD (mg/L) of distillery spent wash</w:t>
      </w:r>
    </w:p>
    <w:tbl>
      <w:tblPr>
        <w:tblW w:w="4907" w:type="pct"/>
        <w:tblInd w:w="108" w:type="dxa"/>
        <w:tblLook w:val="04A0"/>
      </w:tblPr>
      <w:tblGrid>
        <w:gridCol w:w="2504"/>
        <w:gridCol w:w="1734"/>
        <w:gridCol w:w="1620"/>
        <w:gridCol w:w="1595"/>
        <w:gridCol w:w="1618"/>
      </w:tblGrid>
      <w:tr w:rsidR="00B63E43" w:rsidRPr="001A15EE" w:rsidTr="00535F85">
        <w:trPr>
          <w:trHeight w:val="46"/>
        </w:trPr>
        <w:tc>
          <w:tcPr>
            <w:tcW w:w="1380" w:type="pct"/>
            <w:vMerge w:val="restart"/>
            <w:tcBorders>
              <w:top w:val="single" w:sz="8" w:space="0" w:color="auto"/>
              <w:left w:val="single" w:sz="8" w:space="0" w:color="auto"/>
              <w:bottom w:val="single" w:sz="8" w:space="0" w:color="000000"/>
              <w:right w:val="single" w:sz="8" w:space="0" w:color="auto"/>
            </w:tcBorders>
            <w:noWrap/>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 xml:space="preserve">Microbial </w:t>
            </w:r>
          </w:p>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inoculation</w:t>
            </w:r>
          </w:p>
        </w:tc>
        <w:tc>
          <w:tcPr>
            <w:tcW w:w="3620" w:type="pct"/>
            <w:gridSpan w:val="4"/>
            <w:tcBorders>
              <w:top w:val="single" w:sz="8" w:space="0" w:color="auto"/>
              <w:left w:val="nil"/>
              <w:bottom w:val="single" w:sz="8" w:space="0" w:color="auto"/>
              <w:right w:val="single" w:sz="8" w:space="0" w:color="000000"/>
            </w:tcBorders>
            <w:noWrap/>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COD (mg/L)</w:t>
            </w:r>
          </w:p>
        </w:tc>
      </w:tr>
      <w:tr w:rsidR="00B63E43" w:rsidRPr="001A15EE" w:rsidTr="00535F85">
        <w:trPr>
          <w:trHeight w:val="46"/>
        </w:trPr>
        <w:tc>
          <w:tcPr>
            <w:tcW w:w="1380" w:type="pct"/>
            <w:vMerge/>
            <w:tcBorders>
              <w:top w:val="single" w:sz="8" w:space="0" w:color="auto"/>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c>
          <w:tcPr>
            <w:tcW w:w="2728" w:type="pct"/>
            <w:gridSpan w:val="3"/>
            <w:tcBorders>
              <w:top w:val="single" w:sz="8" w:space="0" w:color="auto"/>
              <w:left w:val="nil"/>
              <w:bottom w:val="single" w:sz="8" w:space="0" w:color="auto"/>
              <w:right w:val="nil"/>
            </w:tcBorders>
            <w:noWrap/>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Incubation period (Day)</w:t>
            </w:r>
          </w:p>
        </w:tc>
        <w:tc>
          <w:tcPr>
            <w:tcW w:w="893" w:type="pct"/>
            <w:vMerge w:val="restart"/>
            <w:tcBorders>
              <w:top w:val="nil"/>
              <w:left w:val="single" w:sz="8" w:space="0" w:color="auto"/>
              <w:bottom w:val="single" w:sz="8"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Mean (M)</w:t>
            </w:r>
          </w:p>
        </w:tc>
      </w:tr>
      <w:tr w:rsidR="00B63E43" w:rsidRPr="001A15EE" w:rsidTr="00535F85">
        <w:trPr>
          <w:trHeight w:val="46"/>
        </w:trPr>
        <w:tc>
          <w:tcPr>
            <w:tcW w:w="1380" w:type="pct"/>
            <w:vMerge/>
            <w:tcBorders>
              <w:top w:val="single" w:sz="8" w:space="0" w:color="auto"/>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c>
          <w:tcPr>
            <w:tcW w:w="956" w:type="pct"/>
            <w:tcBorders>
              <w:top w:val="nil"/>
              <w:left w:val="nil"/>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commentRangeStart w:id="24"/>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93" w:type="pct"/>
            <w:tcBorders>
              <w:top w:val="nil"/>
              <w:left w:val="nil"/>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79" w:type="pct"/>
            <w:tcBorders>
              <w:top w:val="nil"/>
              <w:left w:val="nil"/>
              <w:bottom w:val="single" w:sz="8" w:space="0" w:color="auto"/>
              <w:right w:val="nil"/>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commentRangeEnd w:id="24"/>
            <w:r w:rsidR="00F235E0">
              <w:rPr>
                <w:rStyle w:val="CommentReference"/>
              </w:rPr>
              <w:commentReference w:id="24"/>
            </w:r>
          </w:p>
        </w:tc>
        <w:tc>
          <w:tcPr>
            <w:tcW w:w="893" w:type="pct"/>
            <w:vMerge/>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r>
      <w:tr w:rsidR="00B63E43" w:rsidRPr="001A15EE" w:rsidTr="00535F85">
        <w:trPr>
          <w:trHeight w:val="46"/>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lastRenderedPageBreak/>
              <w:t>M</w:t>
            </w:r>
            <w:r w:rsidRPr="001A15EE">
              <w:rPr>
                <w:rFonts w:ascii="Arial" w:hAnsi="Arial" w:cs="Arial"/>
                <w:b/>
                <w:bCs/>
                <w:sz w:val="24"/>
                <w:szCs w:val="24"/>
                <w:vertAlign w:val="subscript"/>
              </w:rPr>
              <w:t>0</w:t>
            </w:r>
          </w:p>
        </w:tc>
        <w:tc>
          <w:tcPr>
            <w:tcW w:w="956" w:type="pct"/>
            <w:tcBorders>
              <w:top w:val="single" w:sz="4" w:space="0" w:color="000000"/>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76,748.00</w:t>
            </w:r>
          </w:p>
        </w:tc>
        <w:tc>
          <w:tcPr>
            <w:tcW w:w="893" w:type="pct"/>
            <w:tcBorders>
              <w:top w:val="single" w:sz="4" w:space="0" w:color="000000"/>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75,425.80</w:t>
            </w:r>
          </w:p>
        </w:tc>
        <w:tc>
          <w:tcPr>
            <w:tcW w:w="879" w:type="pct"/>
            <w:tcBorders>
              <w:top w:val="single" w:sz="4" w:space="0" w:color="000000"/>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72,706.60</w:t>
            </w:r>
          </w:p>
        </w:tc>
        <w:tc>
          <w:tcPr>
            <w:tcW w:w="893" w:type="pct"/>
            <w:tcBorders>
              <w:top w:val="single" w:sz="4" w:space="0" w:color="000000"/>
              <w:left w:val="nil"/>
              <w:bottom w:val="single" w:sz="4"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74,960.13</w:t>
            </w:r>
          </w:p>
        </w:tc>
      </w:tr>
      <w:tr w:rsidR="00B63E43" w:rsidRPr="001A15EE" w:rsidTr="00535F85">
        <w:trPr>
          <w:trHeight w:val="46"/>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56" w:type="pct"/>
            <w:tcBorders>
              <w:top w:val="nil"/>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46,489.80</w:t>
            </w:r>
          </w:p>
        </w:tc>
        <w:tc>
          <w:tcPr>
            <w:tcW w:w="893"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36,120.00</w:t>
            </w:r>
          </w:p>
        </w:tc>
        <w:tc>
          <w:tcPr>
            <w:tcW w:w="879"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34,086.00</w:t>
            </w:r>
          </w:p>
        </w:tc>
        <w:tc>
          <w:tcPr>
            <w:tcW w:w="893" w:type="pct"/>
            <w:tcBorders>
              <w:top w:val="nil"/>
              <w:left w:val="nil"/>
              <w:bottom w:val="single" w:sz="4"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38,898.60</w:t>
            </w:r>
          </w:p>
        </w:tc>
      </w:tr>
      <w:tr w:rsidR="00B63E43" w:rsidRPr="001A15EE" w:rsidTr="00535F85">
        <w:trPr>
          <w:trHeight w:val="46"/>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56" w:type="pct"/>
            <w:tcBorders>
              <w:top w:val="nil"/>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35,844.40</w:t>
            </w:r>
          </w:p>
        </w:tc>
        <w:tc>
          <w:tcPr>
            <w:tcW w:w="893"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29,120.40</w:t>
            </w:r>
          </w:p>
        </w:tc>
        <w:tc>
          <w:tcPr>
            <w:tcW w:w="879"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28,201.60</w:t>
            </w:r>
          </w:p>
        </w:tc>
        <w:tc>
          <w:tcPr>
            <w:tcW w:w="893" w:type="pct"/>
            <w:tcBorders>
              <w:top w:val="nil"/>
              <w:left w:val="nil"/>
              <w:bottom w:val="single" w:sz="4"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31,055.47</w:t>
            </w:r>
          </w:p>
        </w:tc>
      </w:tr>
      <w:tr w:rsidR="00B63E43" w:rsidRPr="001A15EE" w:rsidTr="00535F85">
        <w:trPr>
          <w:trHeight w:val="47"/>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Mean (D)</w:t>
            </w:r>
          </w:p>
        </w:tc>
        <w:tc>
          <w:tcPr>
            <w:tcW w:w="956" w:type="pct"/>
            <w:tcBorders>
              <w:top w:val="nil"/>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53,027.40</w:t>
            </w:r>
          </w:p>
        </w:tc>
        <w:tc>
          <w:tcPr>
            <w:tcW w:w="893"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46,888.73</w:t>
            </w:r>
          </w:p>
        </w:tc>
        <w:tc>
          <w:tcPr>
            <w:tcW w:w="879"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44,998.07</w:t>
            </w:r>
          </w:p>
        </w:tc>
        <w:tc>
          <w:tcPr>
            <w:tcW w:w="893" w:type="pct"/>
            <w:tcBorders>
              <w:top w:val="nil"/>
              <w:left w:val="single" w:sz="8" w:space="0" w:color="auto"/>
              <w:bottom w:val="single" w:sz="8" w:space="0" w:color="auto"/>
              <w:right w:val="single" w:sz="8" w:space="0" w:color="auto"/>
            </w:tcBorders>
            <w:noWrap/>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48,304.73</w:t>
            </w:r>
          </w:p>
        </w:tc>
      </w:tr>
      <w:tr w:rsidR="00B63E43" w:rsidRPr="001A15EE" w:rsidTr="00535F85">
        <w:trPr>
          <w:trHeight w:val="46"/>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Source</w:t>
            </w:r>
          </w:p>
        </w:tc>
        <w:tc>
          <w:tcPr>
            <w:tcW w:w="1849" w:type="pct"/>
            <w:gridSpan w:val="2"/>
            <w:tcBorders>
              <w:top w:val="single" w:sz="8" w:space="0" w:color="auto"/>
              <w:left w:val="nil"/>
              <w:bottom w:val="single" w:sz="8" w:space="0" w:color="auto"/>
              <w:right w:val="nil"/>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S.Em. (</w:t>
            </w:r>
            <w:r w:rsidRPr="001A15EE">
              <w:rPr>
                <w:rFonts w:ascii="Arial" w:hAnsi="Arial" w:cs="Arial"/>
                <w:sz w:val="24"/>
                <w:szCs w:val="24"/>
              </w:rPr>
              <w:t>±)</w:t>
            </w:r>
          </w:p>
        </w:tc>
        <w:tc>
          <w:tcPr>
            <w:tcW w:w="879" w:type="pct"/>
            <w:tcBorders>
              <w:top w:val="single" w:sz="8" w:space="0" w:color="auto"/>
              <w:left w:val="single" w:sz="8" w:space="0" w:color="auto"/>
              <w:bottom w:val="single" w:sz="8" w:space="0" w:color="auto"/>
              <w:right w:val="single" w:sz="8" w:space="0" w:color="auto"/>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CD at 5%</w:t>
            </w:r>
          </w:p>
        </w:tc>
        <w:tc>
          <w:tcPr>
            <w:tcW w:w="893" w:type="pct"/>
            <w:tcBorders>
              <w:top w:val="nil"/>
              <w:left w:val="nil"/>
              <w:bottom w:val="single" w:sz="8" w:space="0" w:color="auto"/>
              <w:right w:val="single" w:sz="8" w:space="0" w:color="auto"/>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CV (%)</w:t>
            </w:r>
          </w:p>
        </w:tc>
      </w:tr>
      <w:tr w:rsidR="00B63E43" w:rsidRPr="001A15EE" w:rsidTr="00535F85">
        <w:trPr>
          <w:trHeight w:val="46"/>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p>
        </w:tc>
        <w:tc>
          <w:tcPr>
            <w:tcW w:w="1849" w:type="pct"/>
            <w:gridSpan w:val="2"/>
            <w:tcBorders>
              <w:top w:val="single" w:sz="4" w:space="0" w:color="000000"/>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394.04</w:t>
            </w:r>
          </w:p>
        </w:tc>
        <w:tc>
          <w:tcPr>
            <w:tcW w:w="879" w:type="pct"/>
            <w:tcBorders>
              <w:top w:val="single" w:sz="4" w:space="0" w:color="000000"/>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1,134.78</w:t>
            </w:r>
          </w:p>
        </w:tc>
        <w:tc>
          <w:tcPr>
            <w:tcW w:w="893" w:type="pct"/>
            <w:vMerge w:val="restart"/>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3.15</w:t>
            </w:r>
          </w:p>
        </w:tc>
      </w:tr>
      <w:tr w:rsidR="00B63E43" w:rsidRPr="001A15EE" w:rsidTr="00535F85">
        <w:trPr>
          <w:trHeight w:val="46"/>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D</w:t>
            </w:r>
          </w:p>
        </w:tc>
        <w:tc>
          <w:tcPr>
            <w:tcW w:w="1849" w:type="pct"/>
            <w:gridSpan w:val="2"/>
            <w:tcBorders>
              <w:top w:val="nil"/>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394.04</w:t>
            </w:r>
          </w:p>
        </w:tc>
        <w:tc>
          <w:tcPr>
            <w:tcW w:w="879"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1,134.78</w:t>
            </w:r>
          </w:p>
        </w:tc>
        <w:tc>
          <w:tcPr>
            <w:tcW w:w="893" w:type="pct"/>
            <w:vMerge/>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r>
      <w:tr w:rsidR="00B63E43" w:rsidRPr="001A15EE" w:rsidTr="00535F85">
        <w:trPr>
          <w:trHeight w:val="46"/>
        </w:trPr>
        <w:tc>
          <w:tcPr>
            <w:tcW w:w="1380"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M×D</w:t>
            </w:r>
          </w:p>
        </w:tc>
        <w:tc>
          <w:tcPr>
            <w:tcW w:w="1849" w:type="pct"/>
            <w:gridSpan w:val="2"/>
            <w:tcBorders>
              <w:top w:val="nil"/>
              <w:left w:val="single" w:sz="4" w:space="0" w:color="000000"/>
              <w:bottom w:val="single" w:sz="8" w:space="0" w:color="auto"/>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682.5</w:t>
            </w:r>
          </w:p>
        </w:tc>
        <w:tc>
          <w:tcPr>
            <w:tcW w:w="879" w:type="pct"/>
            <w:tcBorders>
              <w:top w:val="nil"/>
              <w:left w:val="nil"/>
              <w:bottom w:val="single" w:sz="8" w:space="0" w:color="auto"/>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1,965.49</w:t>
            </w:r>
          </w:p>
        </w:tc>
        <w:tc>
          <w:tcPr>
            <w:tcW w:w="893" w:type="pct"/>
            <w:vMerge/>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r>
    </w:tbl>
    <w:p w:rsidR="00B63E43" w:rsidRPr="001A15EE" w:rsidRDefault="00535F85" w:rsidP="0044325A">
      <w:pPr>
        <w:spacing w:before="240" w:after="0"/>
        <w:ind w:firstLine="720"/>
        <w:jc w:val="both"/>
        <w:rPr>
          <w:rFonts w:ascii="Arial" w:eastAsia="Arial" w:hAnsi="Arial" w:cs="Arial"/>
          <w:sz w:val="24"/>
          <w:szCs w:val="24"/>
        </w:rPr>
      </w:pPr>
      <w:r w:rsidRPr="001A15EE">
        <w:rPr>
          <w:rFonts w:ascii="Arial" w:eastAsia="Arial" w:hAnsi="Arial" w:cs="Arial"/>
          <w:sz w:val="24"/>
          <w:szCs w:val="24"/>
        </w:rPr>
        <w:t xml:space="preserve">The data in Table </w:t>
      </w:r>
      <w:r w:rsidR="00BF319B">
        <w:rPr>
          <w:rFonts w:ascii="Arial" w:eastAsia="Arial" w:hAnsi="Arial" w:cs="Arial"/>
          <w:sz w:val="24"/>
          <w:szCs w:val="24"/>
        </w:rPr>
        <w:t>3</w:t>
      </w:r>
      <w:r w:rsidRPr="001A15EE">
        <w:rPr>
          <w:rFonts w:ascii="Arial" w:eastAsia="Arial" w:hAnsi="Arial" w:cs="Arial"/>
          <w:sz w:val="24"/>
          <w:szCs w:val="24"/>
        </w:rPr>
        <w:t xml:space="preserve"> and Fig. 1</w:t>
      </w:r>
      <w:r w:rsidR="0044325A" w:rsidRPr="001A15EE">
        <w:rPr>
          <w:rFonts w:ascii="Arial" w:eastAsia="Arial" w:hAnsi="Arial" w:cs="Arial"/>
          <w:sz w:val="24"/>
          <w:szCs w:val="24"/>
        </w:rPr>
        <w:t xml:space="preserve"> exhibited</w:t>
      </w:r>
      <w:r w:rsidR="00B63E43" w:rsidRPr="001A15EE">
        <w:rPr>
          <w:rFonts w:ascii="Arial" w:eastAsia="Arial" w:hAnsi="Arial" w:cs="Arial"/>
          <w:sz w:val="24"/>
          <w:szCs w:val="24"/>
        </w:rPr>
        <w:t xml:space="preserve"> that </w:t>
      </w:r>
      <w:r w:rsidRPr="001A15EE">
        <w:rPr>
          <w:rFonts w:ascii="Arial" w:eastAsia="Arial" w:hAnsi="Arial" w:cs="Arial"/>
          <w:sz w:val="24"/>
          <w:szCs w:val="24"/>
        </w:rPr>
        <w:t>t</w:t>
      </w:r>
      <w:r w:rsidR="00B63E43" w:rsidRPr="001A15EE">
        <w:rPr>
          <w:rFonts w:ascii="Arial" w:eastAsia="Arial" w:hAnsi="Arial" w:cs="Arial"/>
          <w:sz w:val="24"/>
          <w:szCs w:val="24"/>
        </w:rPr>
        <w:t>he highest mean BOD value was recorded in the control (M</w:t>
      </w:r>
      <w:r w:rsidR="00B63E43" w:rsidRPr="001A15EE">
        <w:rPr>
          <w:rFonts w:ascii="Arial" w:eastAsia="Arial" w:hAnsi="Arial" w:cs="Arial"/>
          <w:sz w:val="24"/>
          <w:szCs w:val="24"/>
          <w:vertAlign w:val="subscript"/>
        </w:rPr>
        <w:t>0</w:t>
      </w:r>
      <w:r w:rsidR="00B63E43" w:rsidRPr="001A15EE">
        <w:rPr>
          <w:rFonts w:ascii="Arial" w:eastAsia="Arial" w:hAnsi="Arial" w:cs="Arial"/>
          <w:sz w:val="24"/>
          <w:szCs w:val="24"/>
        </w:rPr>
        <w:t xml:space="preserve">) at 17,366.67 mg/L, while inoculation with </w:t>
      </w:r>
      <w:r w:rsidR="00B63E43" w:rsidRPr="001A15EE">
        <w:rPr>
          <w:rFonts w:ascii="Arial" w:eastAsia="Arial" w:hAnsi="Arial" w:cs="Arial"/>
          <w:i/>
          <w:sz w:val="24"/>
          <w:szCs w:val="24"/>
        </w:rPr>
        <w:t>Pseudomonas fluorescens</w:t>
      </w:r>
      <w:r w:rsidR="00B63E43" w:rsidRPr="001A15EE">
        <w:rPr>
          <w:rFonts w:ascii="Arial" w:eastAsia="Arial" w:hAnsi="Arial" w:cs="Arial"/>
          <w:sz w:val="24"/>
          <w:szCs w:val="24"/>
        </w:rPr>
        <w:t xml:space="preserve">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resulted in the lowest mean BOD (7,883.53 mg/L), reflecting a 54.61% reduction over M</w:t>
      </w:r>
      <w:r w:rsidR="00B63E43" w:rsidRPr="001A15EE">
        <w:rPr>
          <w:rFonts w:ascii="Arial" w:eastAsia="Arial" w:hAnsi="Arial" w:cs="Arial"/>
          <w:sz w:val="24"/>
          <w:szCs w:val="24"/>
          <w:vertAlign w:val="subscript"/>
        </w:rPr>
        <w:t>0</w:t>
      </w:r>
      <w:r w:rsidR="00B63E43" w:rsidRPr="001A15EE">
        <w:rPr>
          <w:rFonts w:ascii="Arial" w:eastAsia="Arial" w:hAnsi="Arial" w:cs="Arial"/>
          <w:sz w:val="24"/>
          <w:szCs w:val="24"/>
        </w:rPr>
        <w:t xml:space="preserve">. </w:t>
      </w:r>
      <w:r w:rsidR="00B63E43" w:rsidRPr="001A15EE">
        <w:rPr>
          <w:rFonts w:ascii="Arial" w:eastAsia="Arial" w:hAnsi="Arial" w:cs="Arial"/>
          <w:i/>
          <w:sz w:val="24"/>
          <w:szCs w:val="24"/>
        </w:rPr>
        <w:t>Aspergillus niger</w:t>
      </w:r>
      <w:r w:rsidR="00B63E43" w:rsidRPr="001A15EE">
        <w:rPr>
          <w:rFonts w:ascii="Arial" w:eastAsia="Arial" w:hAnsi="Arial" w:cs="Arial"/>
          <w:sz w:val="24"/>
          <w:szCs w:val="24"/>
        </w:rPr>
        <w:t xml:space="preserve"> (M</w:t>
      </w:r>
      <w:r w:rsidR="00B63E43" w:rsidRPr="001A15EE">
        <w:rPr>
          <w:rFonts w:ascii="Arial" w:eastAsia="Arial" w:hAnsi="Arial" w:cs="Arial"/>
          <w:sz w:val="24"/>
          <w:szCs w:val="24"/>
          <w:vertAlign w:val="subscript"/>
        </w:rPr>
        <w:t>1</w:t>
      </w:r>
      <w:r w:rsidR="00B63E43" w:rsidRPr="001A15EE">
        <w:rPr>
          <w:rFonts w:ascii="Arial" w:eastAsia="Arial" w:hAnsi="Arial" w:cs="Arial"/>
          <w:sz w:val="24"/>
          <w:szCs w:val="24"/>
        </w:rPr>
        <w:t>) also reduced BOD by 47.02%. The decline in BOD with M</w:t>
      </w:r>
      <w:r w:rsidR="00B63E43" w:rsidRPr="001A15EE">
        <w:rPr>
          <w:rFonts w:ascii="Arial" w:eastAsia="Arial" w:hAnsi="Arial" w:cs="Arial"/>
          <w:sz w:val="24"/>
          <w:szCs w:val="24"/>
          <w:vertAlign w:val="subscript"/>
        </w:rPr>
        <w:t>1</w:t>
      </w:r>
      <w:r w:rsidR="00B63E43" w:rsidRPr="001A15EE">
        <w:rPr>
          <w:rFonts w:ascii="Arial" w:eastAsia="Arial" w:hAnsi="Arial" w:cs="Arial"/>
          <w:sz w:val="24"/>
          <w:szCs w:val="24"/>
        </w:rPr>
        <w:t xml:space="preserve"> and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xml:space="preserve"> indicates enhanced microbial degradation of organic matter. Incubation time also played a role, with BOD decreasing from 12,354.87 mg/L on the 10</w:t>
      </w:r>
      <w:r w:rsidR="00B63E43" w:rsidRPr="001A15EE">
        <w:rPr>
          <w:rFonts w:ascii="Arial" w:eastAsia="Arial" w:hAnsi="Arial" w:cs="Arial"/>
          <w:sz w:val="24"/>
          <w:szCs w:val="24"/>
          <w:vertAlign w:val="superscript"/>
        </w:rPr>
        <w:t>th</w:t>
      </w:r>
      <w:r w:rsidR="00B63E43" w:rsidRPr="001A15EE">
        <w:rPr>
          <w:rFonts w:ascii="Arial" w:eastAsia="Arial" w:hAnsi="Arial" w:cs="Arial"/>
          <w:sz w:val="24"/>
          <w:szCs w:val="24"/>
        </w:rPr>
        <w:t xml:space="preserve"> day to 10,758.00 mg/L on the 30</w:t>
      </w:r>
      <w:r w:rsidR="00B63E43" w:rsidRPr="001A15EE">
        <w:rPr>
          <w:rFonts w:ascii="Arial" w:eastAsia="Arial" w:hAnsi="Arial" w:cs="Arial"/>
          <w:sz w:val="24"/>
          <w:szCs w:val="24"/>
          <w:vertAlign w:val="superscript"/>
        </w:rPr>
        <w:t>th</w:t>
      </w:r>
      <w:r w:rsidR="00B63E43" w:rsidRPr="001A15EE">
        <w:rPr>
          <w:rFonts w:ascii="Arial" w:eastAsia="Arial" w:hAnsi="Arial" w:cs="Arial"/>
          <w:sz w:val="24"/>
          <w:szCs w:val="24"/>
        </w:rPr>
        <w:t xml:space="preserve"> day, showing that prolonged m</w:t>
      </w:r>
      <w:r w:rsidR="0044325A" w:rsidRPr="001A15EE">
        <w:rPr>
          <w:rFonts w:ascii="Arial" w:eastAsia="Arial" w:hAnsi="Arial" w:cs="Arial"/>
          <w:sz w:val="24"/>
          <w:szCs w:val="24"/>
        </w:rPr>
        <w:t>icrobial action gradually lowered the</w:t>
      </w:r>
      <w:r w:rsidRPr="001A15EE">
        <w:rPr>
          <w:rFonts w:ascii="Arial" w:eastAsia="Arial" w:hAnsi="Arial" w:cs="Arial"/>
          <w:sz w:val="24"/>
          <w:szCs w:val="24"/>
        </w:rPr>
        <w:t>BOD</w:t>
      </w:r>
      <w:r w:rsidR="0044325A" w:rsidRPr="001A15EE">
        <w:rPr>
          <w:rFonts w:ascii="Arial" w:eastAsia="Arial" w:hAnsi="Arial" w:cs="Arial"/>
          <w:sz w:val="24"/>
          <w:szCs w:val="24"/>
        </w:rPr>
        <w:t xml:space="preserve"> content</w:t>
      </w:r>
      <w:r w:rsidR="00B63E43" w:rsidRPr="001A15EE">
        <w:rPr>
          <w:rFonts w:ascii="Arial" w:eastAsia="Arial" w:hAnsi="Arial" w:cs="Arial"/>
          <w:sz w:val="24"/>
          <w:szCs w:val="24"/>
        </w:rPr>
        <w:t>. The interaction effect (M×D) further confirmed that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xml:space="preserve"> at 30 days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D</w:t>
      </w:r>
      <w:r w:rsidR="00B63E43" w:rsidRPr="001A15EE">
        <w:rPr>
          <w:rFonts w:ascii="Arial" w:eastAsia="Arial" w:hAnsi="Arial" w:cs="Arial"/>
          <w:sz w:val="24"/>
          <w:szCs w:val="24"/>
          <w:vertAlign w:val="subscript"/>
        </w:rPr>
        <w:t>3</w:t>
      </w:r>
      <w:r w:rsidR="00B63E43" w:rsidRPr="001A15EE">
        <w:rPr>
          <w:rFonts w:ascii="Arial" w:eastAsia="Arial" w:hAnsi="Arial" w:cs="Arial"/>
          <w:sz w:val="24"/>
          <w:szCs w:val="24"/>
        </w:rPr>
        <w:t xml:space="preserve">) achieved the minimum BOD (7,451.80 mg/L), with reductions exceeding 54–59% over corresponding controls. These findings emphasize that both microbial type and incubation duration are key to efficient BOD removal. Similar reductions in BOD due to microbial treatments have been reported by </w:t>
      </w:r>
      <w:r w:rsidR="00291A23" w:rsidRPr="001A15EE">
        <w:rPr>
          <w:rFonts w:ascii="Arial" w:eastAsia="Arial" w:hAnsi="Arial" w:cs="Arial"/>
          <w:sz w:val="24"/>
          <w:szCs w:val="24"/>
        </w:rPr>
        <w:t xml:space="preserve">Choi (2016) </w:t>
      </w:r>
      <w:r w:rsidR="00B63E43" w:rsidRPr="001A15EE">
        <w:rPr>
          <w:rFonts w:ascii="Arial" w:eastAsia="Arial" w:hAnsi="Arial" w:cs="Arial"/>
          <w:sz w:val="24"/>
          <w:szCs w:val="24"/>
        </w:rPr>
        <w:t xml:space="preserve">and Yadav </w:t>
      </w:r>
      <w:r w:rsidRPr="001A15EE">
        <w:rPr>
          <w:rFonts w:ascii="Arial" w:eastAsia="Arial" w:hAnsi="Arial" w:cs="Arial"/>
          <w:sz w:val="24"/>
          <w:szCs w:val="24"/>
        </w:rPr>
        <w:t>and</w:t>
      </w:r>
      <w:r w:rsidR="00B63E43" w:rsidRPr="001A15EE">
        <w:rPr>
          <w:rFonts w:ascii="Arial" w:eastAsia="Arial" w:hAnsi="Arial" w:cs="Arial"/>
          <w:sz w:val="24"/>
          <w:szCs w:val="24"/>
        </w:rPr>
        <w:t xml:space="preserve"> Chandra (2012</w:t>
      </w:r>
      <w:r w:rsidR="0044325A" w:rsidRPr="001A15EE">
        <w:rPr>
          <w:rFonts w:ascii="Arial" w:eastAsia="Arial" w:hAnsi="Arial" w:cs="Arial"/>
          <w:sz w:val="24"/>
          <w:szCs w:val="24"/>
        </w:rPr>
        <w:t>), all highlighted</w:t>
      </w:r>
      <w:r w:rsidR="00B63E43" w:rsidRPr="001A15EE">
        <w:rPr>
          <w:rFonts w:ascii="Arial" w:eastAsia="Arial" w:hAnsi="Arial" w:cs="Arial"/>
          <w:sz w:val="24"/>
          <w:szCs w:val="24"/>
        </w:rPr>
        <w:t xml:space="preserve"> the effectiveness of microbial degradation in lowering BOD levels in industrial wastewaters.</w:t>
      </w:r>
    </w:p>
    <w:p w:rsidR="00B63E43" w:rsidRPr="001A15EE" w:rsidRDefault="00B63E43" w:rsidP="00535F85">
      <w:pPr>
        <w:tabs>
          <w:tab w:val="left" w:pos="142"/>
          <w:tab w:val="left" w:pos="709"/>
        </w:tabs>
        <w:spacing w:after="0"/>
        <w:ind w:left="1276" w:hanging="1276"/>
        <w:jc w:val="both"/>
        <w:rPr>
          <w:rFonts w:ascii="Arial" w:hAnsi="Arial" w:cs="Arial"/>
          <w:sz w:val="32"/>
          <w:szCs w:val="32"/>
        </w:rPr>
      </w:pPr>
      <w:r w:rsidRPr="001A15EE">
        <w:rPr>
          <w:rFonts w:ascii="Arial" w:hAnsi="Arial" w:cs="Arial"/>
          <w:b/>
          <w:bCs/>
          <w:sz w:val="24"/>
          <w:szCs w:val="24"/>
        </w:rPr>
        <w:t xml:space="preserve">Table </w:t>
      </w:r>
      <w:r w:rsidR="00535F85" w:rsidRPr="001A15EE">
        <w:rPr>
          <w:rFonts w:ascii="Arial" w:hAnsi="Arial" w:cs="Arial"/>
          <w:b/>
          <w:bCs/>
          <w:sz w:val="24"/>
          <w:szCs w:val="24"/>
        </w:rPr>
        <w:t>3.</w:t>
      </w:r>
      <w:r w:rsidRPr="001A15EE">
        <w:rPr>
          <w:rFonts w:ascii="Arial" w:hAnsi="Arial" w:cs="Arial"/>
          <w:b/>
          <w:bCs/>
          <w:sz w:val="24"/>
          <w:szCs w:val="24"/>
        </w:rPr>
        <w:t>: Effect of microbial inoculation and incubation period on BOD (mg/L) of distillery spent wash</w:t>
      </w:r>
    </w:p>
    <w:tbl>
      <w:tblPr>
        <w:tblW w:w="4915" w:type="pct"/>
        <w:tblInd w:w="108" w:type="dxa"/>
        <w:tblLook w:val="04A0"/>
      </w:tblPr>
      <w:tblGrid>
        <w:gridCol w:w="2593"/>
        <w:gridCol w:w="1645"/>
        <w:gridCol w:w="1530"/>
        <w:gridCol w:w="1601"/>
        <w:gridCol w:w="1717"/>
      </w:tblGrid>
      <w:tr w:rsidR="00B63E43" w:rsidRPr="001A15EE" w:rsidTr="0044325A">
        <w:trPr>
          <w:trHeight w:val="58"/>
        </w:trPr>
        <w:tc>
          <w:tcPr>
            <w:tcW w:w="1427" w:type="pct"/>
            <w:vMerge w:val="restart"/>
            <w:tcBorders>
              <w:top w:val="single" w:sz="8" w:space="0" w:color="auto"/>
              <w:left w:val="single" w:sz="8" w:space="0" w:color="auto"/>
              <w:bottom w:val="single" w:sz="8" w:space="0" w:color="000000"/>
              <w:right w:val="single" w:sz="8" w:space="0" w:color="auto"/>
            </w:tcBorders>
            <w:noWrap/>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Microbial</w:t>
            </w:r>
          </w:p>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 xml:space="preserve"> inoculation</w:t>
            </w:r>
          </w:p>
        </w:tc>
        <w:tc>
          <w:tcPr>
            <w:tcW w:w="3573" w:type="pct"/>
            <w:gridSpan w:val="4"/>
            <w:tcBorders>
              <w:top w:val="single" w:sz="8" w:space="0" w:color="auto"/>
              <w:left w:val="nil"/>
              <w:bottom w:val="single" w:sz="8" w:space="0" w:color="auto"/>
              <w:right w:val="single" w:sz="8" w:space="0" w:color="000000"/>
            </w:tcBorders>
            <w:noWrap/>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BOD (mg/L)</w:t>
            </w:r>
          </w:p>
        </w:tc>
      </w:tr>
      <w:tr w:rsidR="00B63E43" w:rsidRPr="001A15EE" w:rsidTr="0044325A">
        <w:trPr>
          <w:trHeight w:val="169"/>
        </w:trPr>
        <w:tc>
          <w:tcPr>
            <w:tcW w:w="1427" w:type="pct"/>
            <w:vMerge/>
            <w:tcBorders>
              <w:top w:val="single" w:sz="8" w:space="0" w:color="auto"/>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c>
          <w:tcPr>
            <w:tcW w:w="2628" w:type="pct"/>
            <w:gridSpan w:val="3"/>
            <w:tcBorders>
              <w:top w:val="single" w:sz="8" w:space="0" w:color="auto"/>
              <w:left w:val="nil"/>
              <w:bottom w:val="single" w:sz="8" w:space="0" w:color="auto"/>
              <w:right w:val="nil"/>
            </w:tcBorders>
            <w:noWrap/>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Incubation period (Day)</w:t>
            </w:r>
          </w:p>
        </w:tc>
        <w:tc>
          <w:tcPr>
            <w:tcW w:w="945" w:type="pct"/>
            <w:vMerge w:val="restart"/>
            <w:tcBorders>
              <w:top w:val="nil"/>
              <w:left w:val="single" w:sz="8" w:space="0" w:color="auto"/>
              <w:bottom w:val="single" w:sz="8"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Mean (M)</w:t>
            </w:r>
          </w:p>
        </w:tc>
      </w:tr>
      <w:tr w:rsidR="00B63E43" w:rsidRPr="001A15EE" w:rsidTr="0044325A">
        <w:trPr>
          <w:trHeight w:val="41"/>
        </w:trPr>
        <w:tc>
          <w:tcPr>
            <w:tcW w:w="1427" w:type="pct"/>
            <w:vMerge/>
            <w:tcBorders>
              <w:top w:val="single" w:sz="8" w:space="0" w:color="auto"/>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c>
          <w:tcPr>
            <w:tcW w:w="905" w:type="pct"/>
            <w:tcBorders>
              <w:top w:val="nil"/>
              <w:left w:val="nil"/>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42" w:type="pct"/>
            <w:tcBorders>
              <w:top w:val="nil"/>
              <w:left w:val="nil"/>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81" w:type="pct"/>
            <w:tcBorders>
              <w:top w:val="nil"/>
              <w:left w:val="nil"/>
              <w:bottom w:val="single" w:sz="8" w:space="0" w:color="auto"/>
              <w:right w:val="nil"/>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945" w:type="pct"/>
            <w:vMerge/>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r>
      <w:tr w:rsidR="00B63E43" w:rsidRPr="001A15EE" w:rsidTr="0044325A">
        <w:trPr>
          <w:trHeight w:val="140"/>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05" w:type="pct"/>
            <w:tcBorders>
              <w:top w:val="single" w:sz="4" w:space="0" w:color="000000"/>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18,289.20</w:t>
            </w:r>
          </w:p>
        </w:tc>
        <w:tc>
          <w:tcPr>
            <w:tcW w:w="842" w:type="pct"/>
            <w:tcBorders>
              <w:top w:val="single" w:sz="4" w:space="0" w:color="000000"/>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17,420.40</w:t>
            </w:r>
          </w:p>
        </w:tc>
        <w:tc>
          <w:tcPr>
            <w:tcW w:w="881" w:type="pct"/>
            <w:tcBorders>
              <w:top w:val="single" w:sz="4" w:space="0" w:color="000000"/>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16,390.40</w:t>
            </w:r>
          </w:p>
        </w:tc>
        <w:tc>
          <w:tcPr>
            <w:tcW w:w="945" w:type="pct"/>
            <w:tcBorders>
              <w:top w:val="single" w:sz="4" w:space="0" w:color="000000"/>
              <w:left w:val="nil"/>
              <w:bottom w:val="single" w:sz="4"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17,366.67</w:t>
            </w:r>
          </w:p>
        </w:tc>
      </w:tr>
      <w:tr w:rsidR="00B63E43" w:rsidRPr="001A15EE" w:rsidTr="0044325A">
        <w:trPr>
          <w:trHeight w:val="169"/>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05" w:type="pct"/>
            <w:tcBorders>
              <w:top w:val="nil"/>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10,538.60</w:t>
            </w:r>
          </w:p>
        </w:tc>
        <w:tc>
          <w:tcPr>
            <w:tcW w:w="842"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8,631.80</w:t>
            </w:r>
          </w:p>
        </w:tc>
        <w:tc>
          <w:tcPr>
            <w:tcW w:w="881"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8,431.80</w:t>
            </w:r>
          </w:p>
        </w:tc>
        <w:tc>
          <w:tcPr>
            <w:tcW w:w="945" w:type="pct"/>
            <w:tcBorders>
              <w:top w:val="nil"/>
              <w:left w:val="nil"/>
              <w:bottom w:val="single" w:sz="4"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9,200.73</w:t>
            </w:r>
          </w:p>
        </w:tc>
      </w:tr>
      <w:tr w:rsidR="00B63E43" w:rsidRPr="001A15EE" w:rsidTr="0044325A">
        <w:trPr>
          <w:trHeight w:val="123"/>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05" w:type="pct"/>
            <w:tcBorders>
              <w:top w:val="nil"/>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8,236.80</w:t>
            </w:r>
          </w:p>
        </w:tc>
        <w:tc>
          <w:tcPr>
            <w:tcW w:w="842"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7,962.00</w:t>
            </w:r>
          </w:p>
        </w:tc>
        <w:tc>
          <w:tcPr>
            <w:tcW w:w="881"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7,451.80</w:t>
            </w:r>
          </w:p>
        </w:tc>
        <w:tc>
          <w:tcPr>
            <w:tcW w:w="945" w:type="pct"/>
            <w:tcBorders>
              <w:top w:val="nil"/>
              <w:left w:val="nil"/>
              <w:bottom w:val="single" w:sz="4" w:space="0" w:color="000000"/>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7,883.53</w:t>
            </w:r>
          </w:p>
        </w:tc>
      </w:tr>
      <w:tr w:rsidR="00B63E43" w:rsidRPr="001A15EE" w:rsidTr="0044325A">
        <w:trPr>
          <w:trHeight w:val="115"/>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Mean (D)</w:t>
            </w:r>
          </w:p>
        </w:tc>
        <w:tc>
          <w:tcPr>
            <w:tcW w:w="905" w:type="pct"/>
            <w:tcBorders>
              <w:top w:val="nil"/>
              <w:left w:val="single" w:sz="4" w:space="0" w:color="000000"/>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12,354.87</w:t>
            </w:r>
          </w:p>
        </w:tc>
        <w:tc>
          <w:tcPr>
            <w:tcW w:w="842"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11,338.07</w:t>
            </w:r>
          </w:p>
        </w:tc>
        <w:tc>
          <w:tcPr>
            <w:tcW w:w="881"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10,758.00</w:t>
            </w:r>
          </w:p>
        </w:tc>
        <w:tc>
          <w:tcPr>
            <w:tcW w:w="945" w:type="pct"/>
            <w:tcBorders>
              <w:top w:val="nil"/>
              <w:left w:val="single" w:sz="8" w:space="0" w:color="auto"/>
              <w:bottom w:val="single" w:sz="8" w:space="0" w:color="auto"/>
              <w:right w:val="single" w:sz="8" w:space="0" w:color="auto"/>
            </w:tcBorders>
            <w:noWrap/>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11,483.64</w:t>
            </w:r>
          </w:p>
        </w:tc>
      </w:tr>
      <w:tr w:rsidR="00B63E43" w:rsidRPr="001A15EE" w:rsidTr="0044325A">
        <w:trPr>
          <w:trHeight w:val="43"/>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Source</w:t>
            </w:r>
          </w:p>
        </w:tc>
        <w:tc>
          <w:tcPr>
            <w:tcW w:w="1747" w:type="pct"/>
            <w:gridSpan w:val="2"/>
            <w:tcBorders>
              <w:top w:val="single" w:sz="8" w:space="0" w:color="auto"/>
              <w:left w:val="nil"/>
              <w:bottom w:val="single" w:sz="8" w:space="0" w:color="auto"/>
              <w:right w:val="nil"/>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S.Em. (</w:t>
            </w:r>
            <w:r w:rsidRPr="001A15EE">
              <w:rPr>
                <w:rFonts w:ascii="Arial" w:hAnsi="Arial" w:cs="Arial"/>
                <w:sz w:val="24"/>
                <w:szCs w:val="24"/>
              </w:rPr>
              <w:t>±)</w:t>
            </w:r>
          </w:p>
        </w:tc>
        <w:tc>
          <w:tcPr>
            <w:tcW w:w="881" w:type="pct"/>
            <w:tcBorders>
              <w:top w:val="single" w:sz="8" w:space="0" w:color="auto"/>
              <w:left w:val="single" w:sz="8" w:space="0" w:color="auto"/>
              <w:bottom w:val="single" w:sz="8" w:space="0" w:color="auto"/>
              <w:right w:val="single" w:sz="8" w:space="0" w:color="auto"/>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CD at 5%</w:t>
            </w:r>
          </w:p>
        </w:tc>
        <w:tc>
          <w:tcPr>
            <w:tcW w:w="945" w:type="pct"/>
            <w:tcBorders>
              <w:top w:val="nil"/>
              <w:left w:val="nil"/>
              <w:bottom w:val="single" w:sz="8" w:space="0" w:color="auto"/>
              <w:right w:val="single" w:sz="8" w:space="0" w:color="auto"/>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CV (%)</w:t>
            </w:r>
          </w:p>
        </w:tc>
      </w:tr>
      <w:tr w:rsidR="00B63E43" w:rsidRPr="001A15EE" w:rsidTr="0044325A">
        <w:trPr>
          <w:trHeight w:val="89"/>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p>
        </w:tc>
        <w:tc>
          <w:tcPr>
            <w:tcW w:w="1747" w:type="pct"/>
            <w:gridSpan w:val="2"/>
            <w:tcBorders>
              <w:top w:val="single" w:sz="8" w:space="0" w:color="auto"/>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117.46</w:t>
            </w:r>
          </w:p>
        </w:tc>
        <w:tc>
          <w:tcPr>
            <w:tcW w:w="881" w:type="pct"/>
            <w:tcBorders>
              <w:top w:val="single" w:sz="4" w:space="0" w:color="000000"/>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338.26</w:t>
            </w:r>
          </w:p>
        </w:tc>
        <w:tc>
          <w:tcPr>
            <w:tcW w:w="945" w:type="pct"/>
            <w:vMerge w:val="restart"/>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3.96</w:t>
            </w:r>
          </w:p>
        </w:tc>
      </w:tr>
      <w:tr w:rsidR="00B63E43" w:rsidRPr="001A15EE" w:rsidTr="0044325A">
        <w:trPr>
          <w:trHeight w:val="43"/>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D</w:t>
            </w:r>
          </w:p>
        </w:tc>
        <w:tc>
          <w:tcPr>
            <w:tcW w:w="1747" w:type="pct"/>
            <w:gridSpan w:val="2"/>
            <w:tcBorders>
              <w:top w:val="single" w:sz="4" w:space="0" w:color="000000"/>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117.46</w:t>
            </w:r>
          </w:p>
        </w:tc>
        <w:tc>
          <w:tcPr>
            <w:tcW w:w="881" w:type="pct"/>
            <w:tcBorders>
              <w:top w:val="nil"/>
              <w:left w:val="nil"/>
              <w:bottom w:val="single" w:sz="4" w:space="0" w:color="000000"/>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338.26</w:t>
            </w:r>
          </w:p>
        </w:tc>
        <w:tc>
          <w:tcPr>
            <w:tcW w:w="945" w:type="pct"/>
            <w:vMerge/>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r>
      <w:tr w:rsidR="00B63E43" w:rsidRPr="001A15EE" w:rsidTr="0044325A">
        <w:trPr>
          <w:trHeight w:val="43"/>
        </w:trPr>
        <w:tc>
          <w:tcPr>
            <w:tcW w:w="1427" w:type="pct"/>
            <w:tcBorders>
              <w:top w:val="nil"/>
              <w:left w:val="single" w:sz="8" w:space="0" w:color="auto"/>
              <w:bottom w:val="single" w:sz="8" w:space="0" w:color="auto"/>
              <w:right w:val="single" w:sz="8" w:space="0" w:color="auto"/>
            </w:tcBorders>
            <w:vAlign w:val="bottom"/>
            <w:hideMark/>
          </w:tcPr>
          <w:p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M×D</w:t>
            </w:r>
          </w:p>
        </w:tc>
        <w:tc>
          <w:tcPr>
            <w:tcW w:w="1747" w:type="pct"/>
            <w:gridSpan w:val="2"/>
            <w:tcBorders>
              <w:top w:val="single" w:sz="4" w:space="0" w:color="000000"/>
              <w:left w:val="nil"/>
              <w:bottom w:val="single" w:sz="8" w:space="0" w:color="auto"/>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203.44</w:t>
            </w:r>
          </w:p>
        </w:tc>
        <w:tc>
          <w:tcPr>
            <w:tcW w:w="881" w:type="pct"/>
            <w:tcBorders>
              <w:top w:val="nil"/>
              <w:left w:val="nil"/>
              <w:bottom w:val="single" w:sz="8" w:space="0" w:color="auto"/>
              <w:right w:val="single" w:sz="4" w:space="0" w:color="000000"/>
            </w:tcBorders>
            <w:vAlign w:val="bottom"/>
            <w:hideMark/>
          </w:tcPr>
          <w:p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585.89</w:t>
            </w:r>
          </w:p>
        </w:tc>
        <w:tc>
          <w:tcPr>
            <w:tcW w:w="945" w:type="pct"/>
            <w:vMerge/>
            <w:tcBorders>
              <w:top w:val="nil"/>
              <w:left w:val="single" w:sz="8" w:space="0" w:color="auto"/>
              <w:bottom w:val="single" w:sz="8" w:space="0" w:color="000000"/>
              <w:right w:val="single" w:sz="8" w:space="0" w:color="auto"/>
            </w:tcBorders>
            <w:vAlign w:val="center"/>
            <w:hideMark/>
          </w:tcPr>
          <w:p w:rsidR="00B63E43" w:rsidRPr="001A15EE" w:rsidRDefault="00B63E43" w:rsidP="00535F85">
            <w:pPr>
              <w:spacing w:after="0" w:line="240" w:lineRule="auto"/>
              <w:ind w:hanging="284"/>
              <w:rPr>
                <w:rFonts w:ascii="Arial" w:hAnsi="Arial" w:cs="Arial"/>
                <w:b/>
                <w:bCs/>
                <w:sz w:val="24"/>
                <w:szCs w:val="24"/>
              </w:rPr>
            </w:pPr>
          </w:p>
        </w:tc>
      </w:tr>
    </w:tbl>
    <w:p w:rsidR="00291A23" w:rsidRPr="001A15EE" w:rsidRDefault="00291A23" w:rsidP="00291A23">
      <w:pPr>
        <w:spacing w:after="0" w:line="240" w:lineRule="auto"/>
        <w:jc w:val="both"/>
        <w:rPr>
          <w:rFonts w:ascii="Arial" w:hAnsi="Arial" w:cs="Arial"/>
          <w:sz w:val="24"/>
          <w:szCs w:val="24"/>
        </w:rPr>
      </w:pPr>
    </w:p>
    <w:p w:rsidR="00ED0D79" w:rsidRPr="001A15EE" w:rsidRDefault="00ED0D79" w:rsidP="00535F85">
      <w:pPr>
        <w:spacing w:after="0" w:line="360" w:lineRule="auto"/>
        <w:jc w:val="both"/>
        <w:rPr>
          <w:rFonts w:ascii="Arial" w:hAnsi="Arial" w:cs="Arial"/>
          <w:sz w:val="24"/>
          <w:szCs w:val="24"/>
        </w:rPr>
      </w:pPr>
      <w:r w:rsidRPr="001A15EE">
        <w:rPr>
          <w:rFonts w:ascii="Arial" w:hAnsi="Arial" w:cs="Arial"/>
          <w:noProof/>
          <w:sz w:val="24"/>
          <w:szCs w:val="24"/>
        </w:rPr>
        <w:lastRenderedPageBreak/>
        <w:drawing>
          <wp:inline distT="0" distB="0" distL="0" distR="0">
            <wp:extent cx="5737722" cy="2520563"/>
            <wp:effectExtent l="19050" t="0" r="15378" b="0"/>
            <wp:docPr id="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D0D79" w:rsidRPr="001A15EE" w:rsidRDefault="00535F85" w:rsidP="0044325A">
      <w:pPr>
        <w:tabs>
          <w:tab w:val="left" w:pos="1134"/>
        </w:tabs>
        <w:spacing w:after="0"/>
        <w:ind w:left="851" w:hanging="851"/>
        <w:jc w:val="both"/>
        <w:rPr>
          <w:rFonts w:ascii="Arial" w:hAnsi="Arial" w:cs="Arial"/>
          <w:b/>
          <w:bCs/>
          <w:sz w:val="24"/>
          <w:szCs w:val="24"/>
        </w:rPr>
      </w:pPr>
      <w:r w:rsidRPr="001A15EE">
        <w:rPr>
          <w:rFonts w:ascii="Arial" w:hAnsi="Arial" w:cs="Arial"/>
          <w:b/>
          <w:bCs/>
          <w:sz w:val="24"/>
          <w:szCs w:val="24"/>
        </w:rPr>
        <w:t>Fig. 1</w:t>
      </w:r>
      <w:r w:rsidR="00ED0D79" w:rsidRPr="001A15EE">
        <w:rPr>
          <w:rFonts w:ascii="Arial" w:hAnsi="Arial" w:cs="Arial"/>
          <w:b/>
          <w:bCs/>
          <w:sz w:val="24"/>
          <w:szCs w:val="24"/>
        </w:rPr>
        <w:t xml:space="preserve"> Effect of microbial inoculation and inc</w:t>
      </w:r>
      <w:r w:rsidR="00E6200E" w:rsidRPr="001A15EE">
        <w:rPr>
          <w:rFonts w:ascii="Arial" w:hAnsi="Arial" w:cs="Arial"/>
          <w:b/>
          <w:bCs/>
          <w:sz w:val="24"/>
          <w:szCs w:val="24"/>
        </w:rPr>
        <w:t>ubation period on reduction of C</w:t>
      </w:r>
      <w:r w:rsidR="00ED0D79" w:rsidRPr="001A15EE">
        <w:rPr>
          <w:rFonts w:ascii="Arial" w:hAnsi="Arial" w:cs="Arial"/>
          <w:b/>
          <w:bCs/>
          <w:sz w:val="24"/>
          <w:szCs w:val="24"/>
        </w:rPr>
        <w:t xml:space="preserve">OD and </w:t>
      </w:r>
      <w:r w:rsidR="00E6200E" w:rsidRPr="001A15EE">
        <w:rPr>
          <w:rFonts w:ascii="Arial" w:hAnsi="Arial" w:cs="Arial"/>
          <w:b/>
          <w:bCs/>
          <w:sz w:val="24"/>
          <w:szCs w:val="24"/>
        </w:rPr>
        <w:t>B</w:t>
      </w:r>
      <w:r w:rsidR="00ED0D79" w:rsidRPr="001A15EE">
        <w:rPr>
          <w:rFonts w:ascii="Arial" w:hAnsi="Arial" w:cs="Arial"/>
          <w:b/>
          <w:bCs/>
          <w:sz w:val="24"/>
          <w:szCs w:val="24"/>
        </w:rPr>
        <w:t>OD in distillery spent wash</w:t>
      </w:r>
    </w:p>
    <w:p w:rsidR="00535F85" w:rsidRPr="001A15EE" w:rsidRDefault="00535F85" w:rsidP="00E07B87">
      <w:pPr>
        <w:spacing w:after="0"/>
        <w:ind w:firstLine="720"/>
        <w:jc w:val="both"/>
        <w:rPr>
          <w:rFonts w:ascii="Arial" w:eastAsia="Arial" w:hAnsi="Arial" w:cs="Arial"/>
          <w:sz w:val="24"/>
          <w:szCs w:val="24"/>
        </w:rPr>
      </w:pPr>
      <w:r w:rsidRPr="001A15EE">
        <w:rPr>
          <w:rFonts w:ascii="Arial" w:eastAsia="Arial" w:hAnsi="Arial" w:cs="Arial"/>
          <w:sz w:val="24"/>
          <w:szCs w:val="24"/>
        </w:rPr>
        <w:t xml:space="preserve">Table </w:t>
      </w:r>
      <w:r w:rsidR="00BF319B">
        <w:rPr>
          <w:rFonts w:ascii="Arial" w:eastAsia="Arial" w:hAnsi="Arial" w:cs="Arial"/>
          <w:sz w:val="24"/>
          <w:szCs w:val="24"/>
        </w:rPr>
        <w:t>4</w:t>
      </w:r>
      <w:r w:rsidR="00B63E43" w:rsidRPr="001A15EE">
        <w:rPr>
          <w:rFonts w:ascii="Arial" w:eastAsia="Arial" w:hAnsi="Arial" w:cs="Arial"/>
          <w:sz w:val="24"/>
          <w:szCs w:val="24"/>
        </w:rPr>
        <w:t xml:space="preserve"> presents the decolourization efficiency of distillery spent wash, assessed through reductions in optical density (OD) under different microbial inoculation treatments (M</w:t>
      </w:r>
      <w:r w:rsidR="00B63E43" w:rsidRPr="001A15EE">
        <w:rPr>
          <w:rFonts w:ascii="Arial" w:eastAsia="Arial" w:hAnsi="Arial" w:cs="Arial"/>
          <w:sz w:val="24"/>
          <w:szCs w:val="24"/>
          <w:vertAlign w:val="subscript"/>
        </w:rPr>
        <w:t>0</w:t>
      </w:r>
      <w:r w:rsidR="00B63E43" w:rsidRPr="001A15EE">
        <w:rPr>
          <w:rFonts w:ascii="Arial" w:eastAsia="Arial" w:hAnsi="Arial" w:cs="Arial"/>
          <w:sz w:val="24"/>
          <w:szCs w:val="24"/>
        </w:rPr>
        <w:t>, M</w:t>
      </w:r>
      <w:r w:rsidR="00B63E43" w:rsidRPr="001A15EE">
        <w:rPr>
          <w:rFonts w:ascii="Arial" w:eastAsia="Arial" w:hAnsi="Arial" w:cs="Arial"/>
          <w:sz w:val="24"/>
          <w:szCs w:val="24"/>
          <w:vertAlign w:val="subscript"/>
        </w:rPr>
        <w:t>1</w:t>
      </w:r>
      <w:r w:rsidR="00B63E43" w:rsidRPr="001A15EE">
        <w:rPr>
          <w:rFonts w:ascii="Arial" w:eastAsia="Arial" w:hAnsi="Arial" w:cs="Arial"/>
          <w:sz w:val="24"/>
          <w:szCs w:val="24"/>
        </w:rPr>
        <w:t>,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incubation periods (10, 20 and 30 days) and spent wash concentrations (1–5%). Initial OD values increased with concentration and served as the baseline. OD decreased across treatments and incubation periods, with the greatest reduction generally observed on the 10</w:t>
      </w:r>
      <w:r w:rsidR="00B63E43" w:rsidRPr="001A15EE">
        <w:rPr>
          <w:rFonts w:ascii="Arial" w:eastAsia="Arial" w:hAnsi="Arial" w:cs="Arial"/>
          <w:sz w:val="24"/>
          <w:szCs w:val="24"/>
          <w:vertAlign w:val="superscript"/>
        </w:rPr>
        <w:t>th</w:t>
      </w:r>
      <w:r w:rsidR="00B63E43" w:rsidRPr="001A15EE">
        <w:rPr>
          <w:rFonts w:ascii="Arial" w:eastAsia="Arial" w:hAnsi="Arial" w:cs="Arial"/>
          <w:sz w:val="24"/>
          <w:szCs w:val="24"/>
        </w:rPr>
        <w:t xml:space="preserve"> day. </w:t>
      </w:r>
      <w:r w:rsidR="00B63E43" w:rsidRPr="001A15EE">
        <w:rPr>
          <w:rFonts w:ascii="Arial" w:eastAsia="Arial" w:hAnsi="Arial" w:cs="Arial"/>
          <w:i/>
          <w:sz w:val="24"/>
          <w:szCs w:val="24"/>
        </w:rPr>
        <w:t>Aspergillus niger</w:t>
      </w:r>
      <w:r w:rsidR="00B63E43" w:rsidRPr="001A15EE">
        <w:rPr>
          <w:rFonts w:ascii="Arial" w:eastAsia="Arial" w:hAnsi="Arial" w:cs="Arial"/>
          <w:sz w:val="24"/>
          <w:szCs w:val="24"/>
        </w:rPr>
        <w:t xml:space="preserve"> (M</w:t>
      </w:r>
      <w:r w:rsidR="00B63E43" w:rsidRPr="001A15EE">
        <w:rPr>
          <w:rFonts w:ascii="Arial" w:eastAsia="Arial" w:hAnsi="Arial" w:cs="Arial"/>
          <w:sz w:val="24"/>
          <w:szCs w:val="24"/>
          <w:vertAlign w:val="subscript"/>
        </w:rPr>
        <w:t>1</w:t>
      </w:r>
      <w:r w:rsidR="00B63E43" w:rsidRPr="001A15EE">
        <w:rPr>
          <w:rFonts w:ascii="Arial" w:eastAsia="Arial" w:hAnsi="Arial" w:cs="Arial"/>
          <w:sz w:val="24"/>
          <w:szCs w:val="24"/>
        </w:rPr>
        <w:t xml:space="preserve">) improved decolourization over the control, particularly at higher concentrations, while </w:t>
      </w:r>
      <w:r w:rsidR="00B63E43" w:rsidRPr="001A15EE">
        <w:rPr>
          <w:rFonts w:ascii="Arial" w:eastAsia="Arial" w:hAnsi="Arial" w:cs="Arial"/>
          <w:i/>
          <w:sz w:val="24"/>
          <w:szCs w:val="24"/>
        </w:rPr>
        <w:t>Pseudomonas fluorescens</w:t>
      </w:r>
      <w:r w:rsidR="00B63E43" w:rsidRPr="001A15EE">
        <w:rPr>
          <w:rFonts w:ascii="Arial" w:eastAsia="Arial" w:hAnsi="Arial" w:cs="Arial"/>
          <w:sz w:val="24"/>
          <w:szCs w:val="24"/>
        </w:rPr>
        <w:t xml:space="preserve">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xml:space="preserve">) consistently showed the maximum OD reduction at all concentrations. </w:t>
      </w:r>
      <w:commentRangeStart w:id="25"/>
      <w:r w:rsidR="00B63E43" w:rsidRPr="001A15EE">
        <w:rPr>
          <w:rFonts w:ascii="Arial" w:eastAsia="Arial" w:hAnsi="Arial" w:cs="Arial"/>
          <w:sz w:val="24"/>
          <w:szCs w:val="24"/>
        </w:rPr>
        <w:t xml:space="preserve">For example, </w:t>
      </w:r>
      <w:commentRangeEnd w:id="25"/>
      <w:r w:rsidR="002F397F">
        <w:rPr>
          <w:rStyle w:val="CommentReference"/>
        </w:rPr>
        <w:commentReference w:id="25"/>
      </w:r>
      <w:r w:rsidR="00B63E43" w:rsidRPr="001A15EE">
        <w:rPr>
          <w:rFonts w:ascii="Arial" w:eastAsia="Arial" w:hAnsi="Arial" w:cs="Arial"/>
          <w:sz w:val="24"/>
          <w:szCs w:val="24"/>
        </w:rPr>
        <w:t>at 1% concentration on the 10</w:t>
      </w:r>
      <w:r w:rsidR="00B63E43" w:rsidRPr="001A15EE">
        <w:rPr>
          <w:rFonts w:ascii="Arial" w:eastAsia="Arial" w:hAnsi="Arial" w:cs="Arial"/>
          <w:sz w:val="24"/>
          <w:szCs w:val="24"/>
          <w:vertAlign w:val="superscript"/>
        </w:rPr>
        <w:t>th</w:t>
      </w:r>
      <w:r w:rsidR="00B63E43" w:rsidRPr="001A15EE">
        <w:rPr>
          <w:rFonts w:ascii="Arial" w:eastAsia="Arial" w:hAnsi="Arial" w:cs="Arial"/>
          <w:sz w:val="24"/>
          <w:szCs w:val="24"/>
        </w:rPr>
        <w:t xml:space="preserve"> day,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xml:space="preserve"> achieved a </w:t>
      </w:r>
      <w:commentRangeStart w:id="26"/>
      <w:r w:rsidR="00B63E43" w:rsidRPr="001A15EE">
        <w:rPr>
          <w:rFonts w:ascii="Arial" w:eastAsia="Arial" w:hAnsi="Arial" w:cs="Arial"/>
          <w:sz w:val="24"/>
          <w:szCs w:val="24"/>
        </w:rPr>
        <w:t>44.63% reduction, outperforming M</w:t>
      </w:r>
      <w:r w:rsidR="00B63E43" w:rsidRPr="001A15EE">
        <w:rPr>
          <w:rFonts w:ascii="Arial" w:eastAsia="Arial" w:hAnsi="Arial" w:cs="Arial"/>
          <w:sz w:val="24"/>
          <w:szCs w:val="24"/>
          <w:vertAlign w:val="subscript"/>
        </w:rPr>
        <w:t>1</w:t>
      </w:r>
      <w:r w:rsidR="00B63E43" w:rsidRPr="001A15EE">
        <w:rPr>
          <w:rFonts w:ascii="Arial" w:eastAsia="Arial" w:hAnsi="Arial" w:cs="Arial"/>
          <w:sz w:val="24"/>
          <w:szCs w:val="24"/>
        </w:rPr>
        <w:t xml:space="preserve"> (19.37%) and M</w:t>
      </w:r>
      <w:r w:rsidR="00B63E43" w:rsidRPr="001A15EE">
        <w:rPr>
          <w:rFonts w:ascii="Arial" w:eastAsia="Arial" w:hAnsi="Arial" w:cs="Arial"/>
          <w:sz w:val="24"/>
          <w:szCs w:val="24"/>
          <w:vertAlign w:val="subscript"/>
        </w:rPr>
        <w:t>0</w:t>
      </w:r>
      <w:r w:rsidR="00B63E43" w:rsidRPr="001A15EE">
        <w:rPr>
          <w:rFonts w:ascii="Arial" w:eastAsia="Arial" w:hAnsi="Arial" w:cs="Arial"/>
          <w:sz w:val="24"/>
          <w:szCs w:val="24"/>
        </w:rPr>
        <w:t xml:space="preserve"> (4.42%).</w:t>
      </w:r>
      <w:commentRangeEnd w:id="26"/>
      <w:r w:rsidR="002F397F">
        <w:rPr>
          <w:rStyle w:val="CommentReference"/>
        </w:rPr>
        <w:commentReference w:id="26"/>
      </w:r>
      <w:r w:rsidR="00B63E43" w:rsidRPr="001A15EE">
        <w:rPr>
          <w:rFonts w:ascii="Arial" w:eastAsia="Arial" w:hAnsi="Arial" w:cs="Arial"/>
          <w:sz w:val="24"/>
          <w:szCs w:val="24"/>
        </w:rPr>
        <w:t xml:space="preserve"> Overall,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xml:space="preserve"> proved most effective, followed by M</w:t>
      </w:r>
      <w:r w:rsidR="00B63E43" w:rsidRPr="001A15EE">
        <w:rPr>
          <w:rFonts w:ascii="Arial" w:eastAsia="Arial" w:hAnsi="Arial" w:cs="Arial"/>
          <w:sz w:val="24"/>
          <w:szCs w:val="24"/>
          <w:vertAlign w:val="subscript"/>
        </w:rPr>
        <w:t>1</w:t>
      </w:r>
      <w:r w:rsidR="0044325A" w:rsidRPr="001A15EE">
        <w:rPr>
          <w:rFonts w:ascii="Arial" w:eastAsia="Arial" w:hAnsi="Arial" w:cs="Arial"/>
          <w:sz w:val="24"/>
          <w:szCs w:val="24"/>
        </w:rPr>
        <w:t>, indicated</w:t>
      </w:r>
      <w:r w:rsidR="00B63E43" w:rsidRPr="001A15EE">
        <w:rPr>
          <w:rFonts w:ascii="Arial" w:eastAsia="Arial" w:hAnsi="Arial" w:cs="Arial"/>
          <w:sz w:val="24"/>
          <w:szCs w:val="24"/>
        </w:rPr>
        <w:t xml:space="preserve"> that microbial inoculation substantially enhances the breakdown of melanoidins responsible for the dark colour of spent wash. These findings align with earlier reports by Wagh</w:t>
      </w:r>
      <w:r w:rsidRPr="001A15EE">
        <w:rPr>
          <w:rFonts w:ascii="Arial" w:eastAsia="Arial" w:hAnsi="Arial" w:cs="Arial"/>
          <w:sz w:val="24"/>
          <w:szCs w:val="24"/>
        </w:rPr>
        <w:t>and</w:t>
      </w:r>
      <w:r w:rsidR="00291A23" w:rsidRPr="001A15EE">
        <w:rPr>
          <w:rFonts w:ascii="Arial" w:eastAsia="Arial" w:hAnsi="Arial" w:cs="Arial"/>
          <w:sz w:val="24"/>
          <w:szCs w:val="24"/>
        </w:rPr>
        <w:t>Nemade (</w:t>
      </w:r>
      <w:commentRangeStart w:id="27"/>
      <w:r w:rsidR="00291A23" w:rsidRPr="001A15EE">
        <w:rPr>
          <w:rFonts w:ascii="Arial" w:eastAsia="Arial" w:hAnsi="Arial" w:cs="Arial"/>
          <w:sz w:val="24"/>
          <w:szCs w:val="24"/>
        </w:rPr>
        <w:t xml:space="preserve">2018) </w:t>
      </w:r>
      <w:r w:rsidR="00B63E43" w:rsidRPr="001A15EE">
        <w:rPr>
          <w:rFonts w:ascii="Arial" w:eastAsia="Arial" w:hAnsi="Arial" w:cs="Arial"/>
          <w:sz w:val="24"/>
          <w:szCs w:val="24"/>
        </w:rPr>
        <w:t xml:space="preserve">and Chavan </w:t>
      </w:r>
      <w:r w:rsidR="00B63E43" w:rsidRPr="001A15EE">
        <w:rPr>
          <w:rFonts w:ascii="Arial" w:eastAsia="Arial" w:hAnsi="Arial" w:cs="Arial"/>
          <w:i/>
          <w:sz w:val="24"/>
          <w:szCs w:val="24"/>
        </w:rPr>
        <w:t>et al.</w:t>
      </w:r>
      <w:r w:rsidR="00B63E43" w:rsidRPr="001A15EE">
        <w:rPr>
          <w:rFonts w:ascii="Arial" w:eastAsia="Arial" w:hAnsi="Arial" w:cs="Arial"/>
          <w:sz w:val="24"/>
          <w:szCs w:val="24"/>
        </w:rPr>
        <w:t xml:space="preserve"> (2006), who also observed high decolourization efficiencies using fungal and bacterial isolates. </w:t>
      </w:r>
      <w:commentRangeEnd w:id="27"/>
      <w:r w:rsidR="002F397F">
        <w:rPr>
          <w:rStyle w:val="CommentReference"/>
        </w:rPr>
        <w:commentReference w:id="27"/>
      </w:r>
      <w:r w:rsidR="00B63E43" w:rsidRPr="001A15EE">
        <w:rPr>
          <w:rFonts w:ascii="Arial" w:eastAsia="Arial" w:hAnsi="Arial" w:cs="Arial"/>
          <w:sz w:val="24"/>
          <w:szCs w:val="24"/>
        </w:rPr>
        <w:t>The results highlight</w:t>
      </w:r>
      <w:r w:rsidR="0044325A" w:rsidRPr="001A15EE">
        <w:rPr>
          <w:rFonts w:ascii="Arial" w:eastAsia="Arial" w:hAnsi="Arial" w:cs="Arial"/>
          <w:sz w:val="24"/>
          <w:szCs w:val="24"/>
        </w:rPr>
        <w:t>ed</w:t>
      </w:r>
      <w:r w:rsidR="00B63E43" w:rsidRPr="001A15EE">
        <w:rPr>
          <w:rFonts w:ascii="Arial" w:eastAsia="Arial" w:hAnsi="Arial" w:cs="Arial"/>
          <w:sz w:val="24"/>
          <w:szCs w:val="24"/>
        </w:rPr>
        <w:t xml:space="preserve"> the strong potential of targeted microbial treatments for bioremediation of coloured industrial effluents.</w:t>
      </w:r>
    </w:p>
    <w:p w:rsidR="00535F85" w:rsidRPr="001A15EE" w:rsidRDefault="00535F85" w:rsidP="00E07B87">
      <w:pPr>
        <w:spacing w:after="0"/>
        <w:ind w:firstLine="720"/>
        <w:jc w:val="both"/>
        <w:rPr>
          <w:rFonts w:ascii="Arial" w:eastAsia="Arial" w:hAnsi="Arial" w:cs="Arial"/>
          <w:sz w:val="24"/>
          <w:szCs w:val="24"/>
        </w:rPr>
      </w:pPr>
    </w:p>
    <w:p w:rsidR="00535F85" w:rsidRPr="001A15EE" w:rsidRDefault="00535F85" w:rsidP="00535F85">
      <w:pPr>
        <w:spacing w:after="0" w:line="360" w:lineRule="auto"/>
        <w:ind w:firstLine="720"/>
        <w:jc w:val="both"/>
        <w:rPr>
          <w:rFonts w:ascii="Arial" w:eastAsia="Arial" w:hAnsi="Arial" w:cs="Arial"/>
          <w:sz w:val="24"/>
          <w:szCs w:val="24"/>
        </w:rPr>
      </w:pPr>
    </w:p>
    <w:p w:rsidR="00535F85" w:rsidRPr="001A15EE" w:rsidRDefault="00535F85" w:rsidP="00535F85">
      <w:pPr>
        <w:spacing w:after="0" w:line="360" w:lineRule="auto"/>
        <w:ind w:firstLine="720"/>
        <w:jc w:val="both"/>
        <w:rPr>
          <w:rFonts w:ascii="Arial" w:eastAsia="Arial" w:hAnsi="Arial" w:cs="Arial"/>
          <w:sz w:val="24"/>
          <w:szCs w:val="24"/>
        </w:rPr>
      </w:pPr>
    </w:p>
    <w:p w:rsidR="00535F85" w:rsidRPr="001A15EE" w:rsidRDefault="00535F85" w:rsidP="00535F85">
      <w:pPr>
        <w:spacing w:after="0" w:line="360" w:lineRule="auto"/>
        <w:ind w:firstLine="720"/>
        <w:jc w:val="both"/>
        <w:rPr>
          <w:rFonts w:ascii="Arial" w:hAnsi="Arial" w:cs="Arial"/>
          <w:sz w:val="24"/>
          <w:szCs w:val="24"/>
        </w:rPr>
      </w:pPr>
    </w:p>
    <w:p w:rsidR="00535F85" w:rsidRPr="001A15EE" w:rsidRDefault="00535F85" w:rsidP="001A15EE">
      <w:pPr>
        <w:spacing w:after="0"/>
        <w:jc w:val="both"/>
        <w:rPr>
          <w:rFonts w:ascii="Arial" w:hAnsi="Arial" w:cs="Arial"/>
          <w:b/>
          <w:bCs/>
          <w:sz w:val="24"/>
          <w:szCs w:val="24"/>
        </w:rPr>
        <w:sectPr w:rsidR="00535F85" w:rsidRPr="001A15EE" w:rsidSect="004C6229">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1440" w:right="1440" w:bottom="1440" w:left="1440" w:header="720" w:footer="720" w:gutter="0"/>
          <w:pgNumType w:start="1"/>
          <w:cols w:space="720"/>
          <w:docGrid w:linePitch="360"/>
        </w:sectPr>
      </w:pPr>
    </w:p>
    <w:p w:rsidR="00ED0D79" w:rsidRPr="001A15EE" w:rsidRDefault="00B63E43" w:rsidP="00535F85">
      <w:pPr>
        <w:spacing w:after="0"/>
        <w:ind w:hanging="284"/>
        <w:jc w:val="center"/>
        <w:rPr>
          <w:rFonts w:ascii="Arial" w:hAnsi="Arial" w:cs="Arial"/>
          <w:b/>
          <w:bCs/>
          <w:sz w:val="24"/>
          <w:szCs w:val="24"/>
        </w:rPr>
      </w:pPr>
      <w:r w:rsidRPr="001A15EE">
        <w:rPr>
          <w:rFonts w:ascii="Arial" w:hAnsi="Arial" w:cs="Arial"/>
          <w:b/>
          <w:bCs/>
          <w:sz w:val="24"/>
          <w:szCs w:val="24"/>
        </w:rPr>
        <w:lastRenderedPageBreak/>
        <w:t xml:space="preserve">Table </w:t>
      </w:r>
      <w:r w:rsidR="00BF319B">
        <w:rPr>
          <w:rFonts w:ascii="Arial" w:hAnsi="Arial" w:cs="Arial"/>
          <w:b/>
          <w:bCs/>
          <w:sz w:val="24"/>
          <w:szCs w:val="24"/>
        </w:rPr>
        <w:t>4</w:t>
      </w:r>
      <w:r w:rsidRPr="001A15EE">
        <w:rPr>
          <w:rFonts w:ascii="Arial" w:hAnsi="Arial" w:cs="Arial"/>
          <w:b/>
          <w:bCs/>
          <w:sz w:val="24"/>
          <w:szCs w:val="24"/>
        </w:rPr>
        <w:t xml:space="preserve">: Effect of microbial inoculation and incubation period on </w:t>
      </w:r>
      <w:commentRangeStart w:id="28"/>
      <w:r w:rsidRPr="001A15EE">
        <w:rPr>
          <w:rFonts w:ascii="Arial" w:hAnsi="Arial" w:cs="Arial"/>
          <w:b/>
          <w:bCs/>
          <w:sz w:val="24"/>
          <w:szCs w:val="24"/>
        </w:rPr>
        <w:t xml:space="preserve">optical density </w:t>
      </w:r>
      <w:commentRangeEnd w:id="28"/>
      <w:r w:rsidR="002F397F">
        <w:rPr>
          <w:rStyle w:val="CommentReference"/>
        </w:rPr>
        <w:commentReference w:id="28"/>
      </w:r>
      <w:r w:rsidRPr="001A15EE">
        <w:rPr>
          <w:rFonts w:ascii="Arial" w:hAnsi="Arial" w:cs="Arial"/>
          <w:b/>
          <w:bCs/>
          <w:sz w:val="24"/>
          <w:szCs w:val="24"/>
        </w:rPr>
        <w:t>of distillery spent wash</w:t>
      </w:r>
    </w:p>
    <w:tbl>
      <w:tblPr>
        <w:tblStyle w:val="TableGrid"/>
        <w:tblpPr w:leftFromText="180" w:rightFromText="180" w:vertAnchor="text" w:horzAnchor="margin" w:tblpXSpec="center" w:tblpY="213"/>
        <w:tblW w:w="13007" w:type="dxa"/>
        <w:tblLook w:val="04A0"/>
      </w:tblPr>
      <w:tblGrid>
        <w:gridCol w:w="916"/>
        <w:gridCol w:w="911"/>
        <w:gridCol w:w="951"/>
        <w:gridCol w:w="1310"/>
        <w:gridCol w:w="951"/>
        <w:gridCol w:w="1310"/>
        <w:gridCol w:w="951"/>
        <w:gridCol w:w="1310"/>
        <w:gridCol w:w="951"/>
        <w:gridCol w:w="1310"/>
        <w:gridCol w:w="951"/>
        <w:gridCol w:w="1310"/>
      </w:tblGrid>
      <w:tr w:rsidR="00535F85" w:rsidRPr="001A15EE" w:rsidTr="00535F85">
        <w:trPr>
          <w:trHeight w:val="635"/>
        </w:trPr>
        <w:tc>
          <w:tcPr>
            <w:tcW w:w="916" w:type="dxa"/>
            <w:vMerge w:val="restart"/>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Treat.</w:t>
            </w:r>
          </w:p>
        </w:tc>
        <w:tc>
          <w:tcPr>
            <w:tcW w:w="911" w:type="dxa"/>
            <w:vMerge w:val="restart"/>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Days</w:t>
            </w:r>
          </w:p>
        </w:tc>
        <w:tc>
          <w:tcPr>
            <w:tcW w:w="2236" w:type="dxa"/>
            <w:gridSpan w:val="2"/>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Spent wash 1%</w:t>
            </w:r>
          </w:p>
        </w:tc>
        <w:tc>
          <w:tcPr>
            <w:tcW w:w="2236" w:type="dxa"/>
            <w:gridSpan w:val="2"/>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Spent wash 2%</w:t>
            </w:r>
          </w:p>
        </w:tc>
        <w:tc>
          <w:tcPr>
            <w:tcW w:w="2236" w:type="dxa"/>
            <w:gridSpan w:val="2"/>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Spent wash 3%</w:t>
            </w:r>
          </w:p>
        </w:tc>
        <w:tc>
          <w:tcPr>
            <w:tcW w:w="2236" w:type="dxa"/>
            <w:gridSpan w:val="2"/>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Spent wash 4%</w:t>
            </w:r>
          </w:p>
        </w:tc>
        <w:tc>
          <w:tcPr>
            <w:tcW w:w="2236" w:type="dxa"/>
            <w:gridSpan w:val="2"/>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Spent wash 5%</w:t>
            </w:r>
          </w:p>
        </w:tc>
      </w:tr>
      <w:tr w:rsidR="00535F85" w:rsidRPr="001A15EE" w:rsidTr="00535F85">
        <w:trPr>
          <w:trHeight w:val="635"/>
        </w:trPr>
        <w:tc>
          <w:tcPr>
            <w:tcW w:w="916" w:type="dxa"/>
            <w:vMerge/>
            <w:vAlign w:val="center"/>
            <w:hideMark/>
          </w:tcPr>
          <w:p w:rsidR="00535F85" w:rsidRPr="001A15EE" w:rsidRDefault="00535F85" w:rsidP="004F79E0">
            <w:pPr>
              <w:jc w:val="center"/>
              <w:rPr>
                <w:rFonts w:ascii="Arial" w:hAnsi="Arial" w:cs="Arial"/>
                <w:b/>
                <w:bCs/>
                <w:sz w:val="24"/>
                <w:szCs w:val="24"/>
              </w:rPr>
            </w:pPr>
          </w:p>
        </w:tc>
        <w:tc>
          <w:tcPr>
            <w:tcW w:w="911" w:type="dxa"/>
            <w:vMerge/>
            <w:vAlign w:val="center"/>
            <w:hideMark/>
          </w:tcPr>
          <w:p w:rsidR="00535F85" w:rsidRPr="001A15EE" w:rsidRDefault="00535F85" w:rsidP="004F79E0">
            <w:pPr>
              <w:jc w:val="center"/>
              <w:rPr>
                <w:rFonts w:ascii="Arial" w:hAnsi="Arial" w:cs="Arial"/>
                <w:b/>
                <w:bCs/>
                <w:sz w:val="24"/>
                <w:szCs w:val="24"/>
              </w:rPr>
            </w:pPr>
          </w:p>
        </w:tc>
        <w:tc>
          <w:tcPr>
            <w:tcW w:w="950"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Mean</w:t>
            </w:r>
          </w:p>
        </w:tc>
        <w:tc>
          <w:tcPr>
            <w:tcW w:w="1286"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 reduction</w:t>
            </w:r>
          </w:p>
        </w:tc>
        <w:tc>
          <w:tcPr>
            <w:tcW w:w="950"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Mean</w:t>
            </w:r>
          </w:p>
        </w:tc>
        <w:tc>
          <w:tcPr>
            <w:tcW w:w="1286"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 reduction</w:t>
            </w:r>
          </w:p>
        </w:tc>
        <w:tc>
          <w:tcPr>
            <w:tcW w:w="950"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Mean</w:t>
            </w:r>
          </w:p>
        </w:tc>
        <w:tc>
          <w:tcPr>
            <w:tcW w:w="1286"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 reduction</w:t>
            </w:r>
          </w:p>
        </w:tc>
        <w:tc>
          <w:tcPr>
            <w:tcW w:w="950"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Mean</w:t>
            </w:r>
          </w:p>
        </w:tc>
        <w:tc>
          <w:tcPr>
            <w:tcW w:w="1286"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 reduction</w:t>
            </w:r>
          </w:p>
        </w:tc>
        <w:tc>
          <w:tcPr>
            <w:tcW w:w="950"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Mean</w:t>
            </w:r>
          </w:p>
        </w:tc>
        <w:tc>
          <w:tcPr>
            <w:tcW w:w="1286" w:type="dxa"/>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 reduction</w:t>
            </w:r>
          </w:p>
        </w:tc>
      </w:tr>
      <w:tr w:rsidR="00535F85" w:rsidRPr="001A15EE" w:rsidTr="00535F85">
        <w:trPr>
          <w:trHeight w:val="635"/>
        </w:trPr>
        <w:tc>
          <w:tcPr>
            <w:tcW w:w="916" w:type="dxa"/>
            <w:vMerge/>
            <w:vAlign w:val="center"/>
            <w:hideMark/>
          </w:tcPr>
          <w:p w:rsidR="00535F85" w:rsidRPr="001A15EE" w:rsidRDefault="00535F85" w:rsidP="004F79E0">
            <w:pPr>
              <w:jc w:val="center"/>
              <w:rPr>
                <w:rFonts w:ascii="Arial" w:hAnsi="Arial" w:cs="Arial"/>
                <w:sz w:val="24"/>
                <w:szCs w:val="24"/>
              </w:rPr>
            </w:pPr>
          </w:p>
        </w:tc>
        <w:tc>
          <w:tcPr>
            <w:tcW w:w="911" w:type="dxa"/>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Initial</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0.1244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0.00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0.2513</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0.00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0.3876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0.00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0.5206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0.00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0.6590</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0.00</w:t>
            </w:r>
          </w:p>
        </w:tc>
      </w:tr>
      <w:tr w:rsidR="00535F85" w:rsidRPr="001A15EE" w:rsidTr="00535F85">
        <w:trPr>
          <w:trHeight w:val="606"/>
        </w:trPr>
        <w:tc>
          <w:tcPr>
            <w:tcW w:w="916" w:type="dxa"/>
            <w:vMerge w:val="restart"/>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0.1189</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4.42</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0.2394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4.75</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0.3785</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2.36</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0.5114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1.75</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0.6455</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2.04</w:t>
            </w:r>
          </w:p>
        </w:tc>
      </w:tr>
      <w:tr w:rsidR="00535F85" w:rsidRPr="001A15EE" w:rsidTr="00535F85">
        <w:trPr>
          <w:trHeight w:val="606"/>
        </w:trPr>
        <w:tc>
          <w:tcPr>
            <w:tcW w:w="916" w:type="dxa"/>
            <w:vMerge/>
            <w:vAlign w:val="center"/>
            <w:hideMark/>
          </w:tcPr>
          <w:p w:rsidR="00535F85" w:rsidRPr="001A15EE" w:rsidRDefault="00535F85" w:rsidP="004F79E0">
            <w:pPr>
              <w:jc w:val="center"/>
              <w:rPr>
                <w:rFonts w:ascii="Arial" w:hAnsi="Arial" w:cs="Arial"/>
                <w:b/>
                <w:bCs/>
                <w:sz w:val="24"/>
                <w:szCs w:val="24"/>
              </w:rPr>
            </w:pP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0.1182</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5.05</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0.2364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5.94</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0.3734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3.65</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0.5026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3.45</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0.6388</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3.07</w:t>
            </w:r>
          </w:p>
        </w:tc>
      </w:tr>
      <w:tr w:rsidR="00535F85" w:rsidRPr="001A15EE" w:rsidTr="00535F85">
        <w:trPr>
          <w:trHeight w:val="606"/>
        </w:trPr>
        <w:tc>
          <w:tcPr>
            <w:tcW w:w="916" w:type="dxa"/>
            <w:vMerge/>
            <w:vAlign w:val="center"/>
            <w:hideMark/>
          </w:tcPr>
          <w:p w:rsidR="00535F85" w:rsidRPr="001A15EE" w:rsidRDefault="00535F85" w:rsidP="004F79E0">
            <w:pPr>
              <w:jc w:val="center"/>
              <w:rPr>
                <w:rFonts w:ascii="Arial" w:hAnsi="Arial" w:cs="Arial"/>
                <w:b/>
                <w:bCs/>
                <w:sz w:val="24"/>
                <w:szCs w:val="24"/>
              </w:rPr>
            </w:pP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0.1164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6.49</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0.2353</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6.39</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0.3695</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4.67</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0.4976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4.41</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0.6214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5.71</w:t>
            </w:r>
          </w:p>
        </w:tc>
      </w:tr>
      <w:tr w:rsidR="00535F85" w:rsidRPr="001A15EE" w:rsidTr="00535F85">
        <w:trPr>
          <w:trHeight w:val="606"/>
        </w:trPr>
        <w:tc>
          <w:tcPr>
            <w:tcW w:w="916" w:type="dxa"/>
            <w:vMerge w:val="restart"/>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0.1003</w:t>
            </w:r>
          </w:p>
        </w:tc>
        <w:tc>
          <w:tcPr>
            <w:tcW w:w="1286" w:type="dxa"/>
            <w:noWrap/>
            <w:vAlign w:val="center"/>
            <w:hideMark/>
          </w:tcPr>
          <w:p w:rsidR="00535F85" w:rsidRPr="00CC79AF" w:rsidRDefault="00535F85" w:rsidP="004F79E0">
            <w:pPr>
              <w:jc w:val="center"/>
              <w:rPr>
                <w:rFonts w:ascii="Arial" w:hAnsi="Arial" w:cs="Arial"/>
                <w:b/>
                <w:sz w:val="24"/>
                <w:szCs w:val="24"/>
              </w:rPr>
            </w:pPr>
            <w:r w:rsidRPr="00CC79AF">
              <w:rPr>
                <w:rFonts w:ascii="Arial" w:hAnsi="Arial" w:cs="Arial"/>
                <w:b/>
                <w:sz w:val="24"/>
                <w:szCs w:val="24"/>
              </w:rPr>
              <w:t>19.37</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0.1998</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20.51</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0.2540</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34.46</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0.3751</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27.95</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0.4913</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25.45</w:t>
            </w:r>
          </w:p>
        </w:tc>
      </w:tr>
      <w:tr w:rsidR="00535F85" w:rsidRPr="001A15EE" w:rsidTr="00535F85">
        <w:trPr>
          <w:trHeight w:val="606"/>
        </w:trPr>
        <w:tc>
          <w:tcPr>
            <w:tcW w:w="916" w:type="dxa"/>
            <w:vMerge/>
            <w:vAlign w:val="center"/>
            <w:hideMark/>
          </w:tcPr>
          <w:p w:rsidR="00535F85" w:rsidRPr="001A15EE" w:rsidRDefault="00535F85" w:rsidP="004F79E0">
            <w:pPr>
              <w:jc w:val="center"/>
              <w:rPr>
                <w:rFonts w:ascii="Arial" w:hAnsi="Arial" w:cs="Arial"/>
                <w:b/>
                <w:bCs/>
                <w:sz w:val="24"/>
                <w:szCs w:val="24"/>
              </w:rPr>
            </w:pP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0.1094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12.12</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0.2094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16.69</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0.3133</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19.16</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0.4516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13.24</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0.5623</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14.67</w:t>
            </w:r>
          </w:p>
        </w:tc>
      </w:tr>
      <w:tr w:rsidR="00535F85" w:rsidRPr="001A15EE" w:rsidTr="00535F85">
        <w:trPr>
          <w:trHeight w:val="606"/>
        </w:trPr>
        <w:tc>
          <w:tcPr>
            <w:tcW w:w="916" w:type="dxa"/>
            <w:vMerge/>
            <w:vAlign w:val="center"/>
            <w:hideMark/>
          </w:tcPr>
          <w:p w:rsidR="00535F85" w:rsidRPr="001A15EE" w:rsidRDefault="00535F85" w:rsidP="004F79E0">
            <w:pPr>
              <w:jc w:val="center"/>
              <w:rPr>
                <w:rFonts w:ascii="Arial" w:hAnsi="Arial" w:cs="Arial"/>
                <w:b/>
                <w:bCs/>
                <w:sz w:val="24"/>
                <w:szCs w:val="24"/>
              </w:rPr>
            </w:pP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0.1129</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9.24</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0.2294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8.73</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0.3339</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13.85</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0.4726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9.22</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0.6105</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7.36</w:t>
            </w:r>
          </w:p>
        </w:tc>
      </w:tr>
      <w:tr w:rsidR="00535F85" w:rsidRPr="001A15EE" w:rsidTr="00535F85">
        <w:trPr>
          <w:trHeight w:val="606"/>
        </w:trPr>
        <w:tc>
          <w:tcPr>
            <w:tcW w:w="916" w:type="dxa"/>
            <w:vMerge w:val="restart"/>
            <w:noWrap/>
            <w:vAlign w:val="center"/>
            <w:hideMark/>
          </w:tcPr>
          <w:p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0.0689</w:t>
            </w:r>
          </w:p>
        </w:tc>
        <w:tc>
          <w:tcPr>
            <w:tcW w:w="1286" w:type="dxa"/>
            <w:noWrap/>
            <w:vAlign w:val="center"/>
            <w:hideMark/>
          </w:tcPr>
          <w:p w:rsidR="00535F85" w:rsidRPr="00CC79AF" w:rsidRDefault="00535F85" w:rsidP="004F79E0">
            <w:pPr>
              <w:jc w:val="center"/>
              <w:rPr>
                <w:rFonts w:ascii="Arial" w:hAnsi="Arial" w:cs="Arial"/>
                <w:b/>
                <w:sz w:val="24"/>
                <w:szCs w:val="24"/>
              </w:rPr>
            </w:pPr>
            <w:r w:rsidRPr="00CC79AF">
              <w:rPr>
                <w:rFonts w:ascii="Arial" w:hAnsi="Arial" w:cs="Arial"/>
                <w:b/>
                <w:sz w:val="24"/>
                <w:szCs w:val="24"/>
              </w:rPr>
              <w:t>44.63</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0.1429</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43.16</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0.2218</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42.77</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0.3106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40.33</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0.3573</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45.78</w:t>
            </w:r>
          </w:p>
        </w:tc>
      </w:tr>
      <w:tr w:rsidR="00535F85" w:rsidRPr="001A15EE" w:rsidTr="00535F85">
        <w:trPr>
          <w:trHeight w:val="606"/>
        </w:trPr>
        <w:tc>
          <w:tcPr>
            <w:tcW w:w="916" w:type="dxa"/>
            <w:vMerge/>
            <w:vAlign w:val="center"/>
            <w:hideMark/>
          </w:tcPr>
          <w:p w:rsidR="00535F85" w:rsidRPr="001A15EE" w:rsidRDefault="00535F85" w:rsidP="004F79E0">
            <w:pPr>
              <w:jc w:val="center"/>
              <w:rPr>
                <w:rFonts w:ascii="Arial" w:hAnsi="Arial" w:cs="Arial"/>
                <w:sz w:val="24"/>
                <w:szCs w:val="24"/>
              </w:rPr>
            </w:pP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0.0888</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28.62</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0.1721</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31.53</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0.2814</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27.39</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0.3616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30.53</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0.4893</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25.75</w:t>
            </w:r>
          </w:p>
        </w:tc>
      </w:tr>
      <w:tr w:rsidR="00535F85" w:rsidRPr="001A15EE" w:rsidTr="00535F85">
        <w:trPr>
          <w:trHeight w:val="635"/>
        </w:trPr>
        <w:tc>
          <w:tcPr>
            <w:tcW w:w="916" w:type="dxa"/>
            <w:vMerge/>
            <w:vAlign w:val="center"/>
            <w:hideMark/>
          </w:tcPr>
          <w:p w:rsidR="00535F85" w:rsidRPr="001A15EE" w:rsidRDefault="00535F85" w:rsidP="004F79E0">
            <w:pPr>
              <w:jc w:val="center"/>
              <w:rPr>
                <w:rFonts w:ascii="Arial" w:hAnsi="Arial" w:cs="Arial"/>
                <w:sz w:val="24"/>
                <w:szCs w:val="24"/>
              </w:rPr>
            </w:pPr>
          </w:p>
        </w:tc>
        <w:tc>
          <w:tcPr>
            <w:tcW w:w="911"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30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0.1012</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18.66</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0.2106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16.20</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0.3106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19.88</w:t>
            </w:r>
          </w:p>
        </w:tc>
        <w:tc>
          <w:tcPr>
            <w:tcW w:w="950" w:type="dxa"/>
            <w:noWrap/>
            <w:vAlign w:val="center"/>
            <w:hideMark/>
          </w:tcPr>
          <w:p w:rsidR="00535F85" w:rsidRPr="001A15EE" w:rsidRDefault="00535F85" w:rsidP="004F79E0">
            <w:pPr>
              <w:ind w:right="-102"/>
              <w:jc w:val="center"/>
              <w:rPr>
                <w:rFonts w:ascii="Arial" w:hAnsi="Arial" w:cs="Arial"/>
                <w:sz w:val="24"/>
                <w:szCs w:val="24"/>
              </w:rPr>
            </w:pPr>
            <w:r w:rsidRPr="001A15EE">
              <w:rPr>
                <w:rFonts w:ascii="Arial" w:hAnsi="Arial" w:cs="Arial"/>
                <w:sz w:val="24"/>
                <w:szCs w:val="24"/>
              </w:rPr>
              <w:t>0.4316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17.09</w:t>
            </w:r>
          </w:p>
        </w:tc>
        <w:tc>
          <w:tcPr>
            <w:tcW w:w="950"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0.5266</w:t>
            </w:r>
          </w:p>
        </w:tc>
        <w:tc>
          <w:tcPr>
            <w:tcW w:w="1286" w:type="dxa"/>
            <w:noWrap/>
            <w:vAlign w:val="center"/>
            <w:hideMark/>
          </w:tcPr>
          <w:p w:rsidR="00535F85" w:rsidRPr="001A15EE" w:rsidRDefault="00535F85" w:rsidP="004F79E0">
            <w:pPr>
              <w:jc w:val="center"/>
              <w:rPr>
                <w:rFonts w:ascii="Arial" w:hAnsi="Arial" w:cs="Arial"/>
                <w:sz w:val="24"/>
                <w:szCs w:val="24"/>
              </w:rPr>
            </w:pPr>
            <w:r w:rsidRPr="001A15EE">
              <w:rPr>
                <w:rFonts w:ascii="Arial" w:hAnsi="Arial" w:cs="Arial"/>
                <w:sz w:val="24"/>
                <w:szCs w:val="24"/>
              </w:rPr>
              <w:t>20.09</w:t>
            </w:r>
          </w:p>
        </w:tc>
      </w:tr>
    </w:tbl>
    <w:p w:rsidR="00535F85" w:rsidRPr="001A15EE" w:rsidRDefault="00535F85" w:rsidP="00535F85">
      <w:pPr>
        <w:tabs>
          <w:tab w:val="left" w:pos="142"/>
          <w:tab w:val="left" w:pos="709"/>
        </w:tabs>
        <w:spacing w:after="0" w:line="360" w:lineRule="auto"/>
        <w:jc w:val="both"/>
        <w:rPr>
          <w:rFonts w:ascii="Arial" w:hAnsi="Arial" w:cs="Arial"/>
          <w:b/>
          <w:bCs/>
          <w:sz w:val="26"/>
          <w:szCs w:val="26"/>
        </w:rPr>
        <w:sectPr w:rsidR="00535F85" w:rsidRPr="001A15EE" w:rsidSect="00535F85">
          <w:pgSz w:w="16839" w:h="11907" w:orient="landscape" w:code="9"/>
          <w:pgMar w:top="1440" w:right="1440" w:bottom="1440" w:left="1440" w:header="708" w:footer="708" w:gutter="0"/>
          <w:cols w:space="708"/>
          <w:docGrid w:linePitch="360"/>
        </w:sectPr>
      </w:pPr>
    </w:p>
    <w:p w:rsidR="00535F85" w:rsidRPr="001A15EE" w:rsidRDefault="00535F85" w:rsidP="00535F85">
      <w:pPr>
        <w:tabs>
          <w:tab w:val="left" w:pos="142"/>
          <w:tab w:val="left" w:pos="709"/>
        </w:tabs>
        <w:spacing w:after="0" w:line="360" w:lineRule="auto"/>
        <w:jc w:val="both"/>
        <w:rPr>
          <w:rFonts w:ascii="Arial" w:hAnsi="Arial" w:cs="Arial"/>
          <w:b/>
          <w:bCs/>
          <w:sz w:val="24"/>
          <w:szCs w:val="24"/>
        </w:rPr>
      </w:pPr>
      <w:r w:rsidRPr="001A15EE">
        <w:rPr>
          <w:rFonts w:ascii="Arial" w:hAnsi="Arial" w:cs="Arial"/>
          <w:b/>
          <w:bCs/>
          <w:noProof/>
          <w:sz w:val="24"/>
          <w:szCs w:val="24"/>
        </w:rPr>
        <w:lastRenderedPageBreak/>
        <w:drawing>
          <wp:inline distT="0" distB="0" distL="0" distR="0">
            <wp:extent cx="5691637" cy="2478407"/>
            <wp:effectExtent l="19050" t="19050" r="23363" b="17143"/>
            <wp:docPr id="1" name="Picture 1" descr="C:\Users\Admin\Desktop\OD 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D images\1%.jpg"/>
                    <pic:cNvPicPr>
                      <a:picLocks noChangeAspect="1" noChangeArrowheads="1"/>
                    </pic:cNvPicPr>
                  </pic:nvPicPr>
                  <pic:blipFill>
                    <a:blip r:embed="rId16" cstate="print"/>
                    <a:srcRect/>
                    <a:stretch>
                      <a:fillRect/>
                    </a:stretch>
                  </pic:blipFill>
                  <pic:spPr bwMode="auto">
                    <a:xfrm>
                      <a:off x="0" y="0"/>
                      <a:ext cx="5690920" cy="2478095"/>
                    </a:xfrm>
                    <a:prstGeom prst="rect">
                      <a:avLst/>
                    </a:prstGeom>
                    <a:noFill/>
                    <a:ln w="9525">
                      <a:solidFill>
                        <a:schemeClr val="tx1"/>
                      </a:solidFill>
                      <a:miter lim="800000"/>
                      <a:headEnd/>
                      <a:tailEnd/>
                    </a:ln>
                  </pic:spPr>
                </pic:pic>
              </a:graphicData>
            </a:graphic>
          </wp:inline>
        </w:drawing>
      </w:r>
    </w:p>
    <w:p w:rsidR="00535F85" w:rsidRPr="001A15EE" w:rsidRDefault="00535F85" w:rsidP="00535F85">
      <w:pPr>
        <w:tabs>
          <w:tab w:val="left" w:pos="142"/>
          <w:tab w:val="left" w:pos="709"/>
        </w:tabs>
        <w:spacing w:after="0"/>
        <w:ind w:hanging="284"/>
        <w:jc w:val="center"/>
        <w:rPr>
          <w:rFonts w:ascii="Arial" w:hAnsi="Arial" w:cs="Arial"/>
          <w:b/>
          <w:bCs/>
          <w:noProof/>
          <w:sz w:val="24"/>
          <w:shd w:val="clear" w:color="auto" w:fill="FFFFFF"/>
        </w:rPr>
      </w:pPr>
      <w:r w:rsidRPr="001A15EE">
        <w:rPr>
          <w:rFonts w:ascii="Arial" w:hAnsi="Arial" w:cs="Arial"/>
          <w:b/>
          <w:bCs/>
          <w:noProof/>
          <w:sz w:val="24"/>
          <w:shd w:val="clear" w:color="auto" w:fill="FFFFFF"/>
        </w:rPr>
        <w:t xml:space="preserve">Photo No. </w:t>
      </w:r>
      <w:r w:rsidR="009A05A6">
        <w:rPr>
          <w:rFonts w:ascii="Arial" w:hAnsi="Arial" w:cs="Arial"/>
          <w:b/>
          <w:bCs/>
          <w:noProof/>
          <w:sz w:val="24"/>
          <w:shd w:val="clear" w:color="auto" w:fill="FFFFFF"/>
        </w:rPr>
        <w:t>1</w:t>
      </w:r>
      <w:r w:rsidRPr="001A15EE">
        <w:rPr>
          <w:rFonts w:ascii="Arial" w:hAnsi="Arial" w:cs="Arial"/>
          <w:b/>
          <w:bCs/>
          <w:noProof/>
          <w:sz w:val="24"/>
          <w:shd w:val="clear" w:color="auto" w:fill="FFFFFF"/>
        </w:rPr>
        <w:t>: Reduction in optical density of distillery spent wash (1%)  due to microbial inoculation</w:t>
      </w:r>
    </w:p>
    <w:p w:rsidR="00535F85" w:rsidRPr="001A15EE" w:rsidRDefault="00535F85" w:rsidP="00535F85">
      <w:pPr>
        <w:tabs>
          <w:tab w:val="left" w:pos="142"/>
          <w:tab w:val="left" w:pos="709"/>
        </w:tabs>
        <w:spacing w:after="0"/>
        <w:jc w:val="center"/>
        <w:rPr>
          <w:rFonts w:ascii="Arial" w:hAnsi="Arial" w:cs="Arial"/>
          <w:b/>
          <w:bCs/>
          <w:noProof/>
          <w:shd w:val="clear" w:color="auto" w:fill="FFFFFF"/>
        </w:rPr>
      </w:pPr>
      <w:r w:rsidRPr="001A15EE">
        <w:rPr>
          <w:rFonts w:ascii="Arial" w:hAnsi="Arial" w:cs="Arial"/>
          <w:b/>
          <w:bCs/>
          <w:noProof/>
          <w:sz w:val="24"/>
          <w:szCs w:val="24"/>
        </w:rPr>
        <w:drawing>
          <wp:inline distT="0" distB="0" distL="0" distR="0">
            <wp:extent cx="5694656" cy="2418895"/>
            <wp:effectExtent l="19050" t="19050" r="20344" b="19505"/>
            <wp:docPr id="4" name="Picture 2" descr="C:\Users\Admin\Desktop\OD 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OD images\2%.jpg"/>
                    <pic:cNvPicPr>
                      <a:picLocks noChangeAspect="1" noChangeArrowheads="1"/>
                    </pic:cNvPicPr>
                  </pic:nvPicPr>
                  <pic:blipFill>
                    <a:blip r:embed="rId17" cstate="print"/>
                    <a:srcRect/>
                    <a:stretch>
                      <a:fillRect/>
                    </a:stretch>
                  </pic:blipFill>
                  <pic:spPr bwMode="auto">
                    <a:xfrm>
                      <a:off x="0" y="0"/>
                      <a:ext cx="5718978" cy="2429226"/>
                    </a:xfrm>
                    <a:prstGeom prst="rect">
                      <a:avLst/>
                    </a:prstGeom>
                    <a:noFill/>
                    <a:ln w="9525">
                      <a:solidFill>
                        <a:schemeClr val="tx1"/>
                      </a:solidFill>
                      <a:miter lim="800000"/>
                      <a:headEnd/>
                      <a:tailEnd/>
                    </a:ln>
                  </pic:spPr>
                </pic:pic>
              </a:graphicData>
            </a:graphic>
          </wp:inline>
        </w:drawing>
      </w:r>
      <w:r w:rsidRPr="001A15EE">
        <w:rPr>
          <w:rFonts w:ascii="Arial" w:hAnsi="Arial" w:cs="Arial"/>
          <w:b/>
          <w:bCs/>
          <w:noProof/>
          <w:sz w:val="24"/>
          <w:shd w:val="clear" w:color="auto" w:fill="FFFFFF"/>
        </w:rPr>
        <w:t xml:space="preserve">Photo No. </w:t>
      </w:r>
      <w:r w:rsidR="009A05A6">
        <w:rPr>
          <w:rFonts w:ascii="Arial" w:hAnsi="Arial" w:cs="Arial"/>
          <w:b/>
          <w:bCs/>
          <w:noProof/>
          <w:sz w:val="24"/>
          <w:shd w:val="clear" w:color="auto" w:fill="FFFFFF"/>
        </w:rPr>
        <w:t>2</w:t>
      </w:r>
      <w:r w:rsidRPr="001A15EE">
        <w:rPr>
          <w:rFonts w:ascii="Arial" w:hAnsi="Arial" w:cs="Arial"/>
          <w:b/>
          <w:bCs/>
          <w:noProof/>
          <w:sz w:val="24"/>
          <w:shd w:val="clear" w:color="auto" w:fill="FFFFFF"/>
        </w:rPr>
        <w:t>: Reduction in optical density of distillery spent wash (2%)  due to microbial inoculation</w:t>
      </w:r>
    </w:p>
    <w:p w:rsidR="00535F85" w:rsidRPr="001A15EE" w:rsidRDefault="00535F85" w:rsidP="00535F85">
      <w:pPr>
        <w:tabs>
          <w:tab w:val="left" w:pos="142"/>
          <w:tab w:val="left" w:pos="709"/>
        </w:tabs>
        <w:spacing w:after="0" w:line="240" w:lineRule="auto"/>
        <w:jc w:val="center"/>
        <w:rPr>
          <w:rFonts w:ascii="Arial" w:hAnsi="Arial" w:cs="Arial"/>
          <w:b/>
          <w:bCs/>
          <w:sz w:val="24"/>
          <w:szCs w:val="24"/>
        </w:rPr>
      </w:pPr>
      <w:r w:rsidRPr="001A15EE">
        <w:rPr>
          <w:rFonts w:ascii="Arial" w:hAnsi="Arial" w:cs="Arial"/>
          <w:b/>
          <w:bCs/>
          <w:noProof/>
          <w:sz w:val="24"/>
          <w:szCs w:val="24"/>
        </w:rPr>
        <w:drawing>
          <wp:inline distT="0" distB="0" distL="0" distR="0">
            <wp:extent cx="5697196" cy="2428156"/>
            <wp:effectExtent l="19050" t="19050" r="17804" b="10244"/>
            <wp:docPr id="5" name="Picture 3" descr="C:\Users\Admin\Desktop\OD 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OD images\3%.jpg"/>
                    <pic:cNvPicPr>
                      <a:picLocks noChangeAspect="1" noChangeArrowheads="1"/>
                    </pic:cNvPicPr>
                  </pic:nvPicPr>
                  <pic:blipFill>
                    <a:blip r:embed="rId18" cstate="print"/>
                    <a:srcRect/>
                    <a:stretch>
                      <a:fillRect/>
                    </a:stretch>
                  </pic:blipFill>
                  <pic:spPr bwMode="auto">
                    <a:xfrm>
                      <a:off x="0" y="0"/>
                      <a:ext cx="5697196" cy="2428156"/>
                    </a:xfrm>
                    <a:prstGeom prst="rect">
                      <a:avLst/>
                    </a:prstGeom>
                    <a:noFill/>
                    <a:ln w="9525">
                      <a:solidFill>
                        <a:schemeClr val="tx1"/>
                      </a:solidFill>
                      <a:miter lim="800000"/>
                      <a:headEnd/>
                      <a:tailEnd/>
                    </a:ln>
                  </pic:spPr>
                </pic:pic>
              </a:graphicData>
            </a:graphic>
          </wp:inline>
        </w:drawing>
      </w:r>
    </w:p>
    <w:p w:rsidR="00535F85" w:rsidRPr="001A15EE" w:rsidRDefault="00535F85" w:rsidP="00535F85">
      <w:pPr>
        <w:tabs>
          <w:tab w:val="left" w:pos="142"/>
          <w:tab w:val="left" w:pos="709"/>
        </w:tabs>
        <w:spacing w:after="0"/>
        <w:ind w:hanging="284"/>
        <w:jc w:val="center"/>
        <w:rPr>
          <w:rFonts w:ascii="Arial" w:hAnsi="Arial" w:cs="Arial"/>
          <w:b/>
          <w:bCs/>
          <w:noProof/>
          <w:sz w:val="28"/>
          <w:szCs w:val="24"/>
        </w:rPr>
      </w:pPr>
      <w:r w:rsidRPr="001A15EE">
        <w:rPr>
          <w:rFonts w:ascii="Arial" w:hAnsi="Arial" w:cs="Arial"/>
          <w:b/>
          <w:bCs/>
          <w:noProof/>
          <w:sz w:val="24"/>
          <w:shd w:val="clear" w:color="auto" w:fill="FFFFFF"/>
        </w:rPr>
        <w:t xml:space="preserve">Photo No. </w:t>
      </w:r>
      <w:r w:rsidR="009A05A6">
        <w:rPr>
          <w:rFonts w:ascii="Arial" w:hAnsi="Arial" w:cs="Arial"/>
          <w:b/>
          <w:bCs/>
          <w:noProof/>
          <w:sz w:val="24"/>
          <w:shd w:val="clear" w:color="auto" w:fill="FFFFFF"/>
        </w:rPr>
        <w:t>3</w:t>
      </w:r>
      <w:r w:rsidRPr="001A15EE">
        <w:rPr>
          <w:rFonts w:ascii="Arial" w:hAnsi="Arial" w:cs="Arial"/>
          <w:b/>
          <w:bCs/>
          <w:noProof/>
          <w:sz w:val="24"/>
          <w:shd w:val="clear" w:color="auto" w:fill="FFFFFF"/>
        </w:rPr>
        <w:t>: Reduction in optical density of distillery spent wash (3%)  due to microbial inoculation</w:t>
      </w:r>
    </w:p>
    <w:p w:rsidR="00535F85" w:rsidRPr="001A15EE" w:rsidRDefault="00535F85" w:rsidP="00535F85">
      <w:pPr>
        <w:tabs>
          <w:tab w:val="left" w:pos="142"/>
          <w:tab w:val="left" w:pos="709"/>
        </w:tabs>
        <w:spacing w:after="0"/>
        <w:jc w:val="center"/>
        <w:rPr>
          <w:rFonts w:ascii="Arial" w:hAnsi="Arial" w:cs="Arial"/>
          <w:b/>
          <w:bCs/>
          <w:sz w:val="24"/>
          <w:szCs w:val="24"/>
        </w:rPr>
      </w:pPr>
      <w:r w:rsidRPr="001A15EE">
        <w:rPr>
          <w:rFonts w:ascii="Arial" w:hAnsi="Arial" w:cs="Arial"/>
          <w:b/>
          <w:bCs/>
          <w:noProof/>
          <w:sz w:val="24"/>
          <w:szCs w:val="24"/>
        </w:rPr>
        <w:lastRenderedPageBreak/>
        <w:drawing>
          <wp:inline distT="0" distB="0" distL="0" distR="0">
            <wp:extent cx="5657874" cy="2430852"/>
            <wp:effectExtent l="19050" t="19050" r="19026" b="26598"/>
            <wp:docPr id="6" name="Picture 4" descr="C:\Users\Admin\Desktop\OD 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OD images\4%.jpg"/>
                    <pic:cNvPicPr>
                      <a:picLocks noChangeAspect="1" noChangeArrowheads="1"/>
                    </pic:cNvPicPr>
                  </pic:nvPicPr>
                  <pic:blipFill>
                    <a:blip r:embed="rId19" cstate="print"/>
                    <a:srcRect/>
                    <a:stretch>
                      <a:fillRect/>
                    </a:stretch>
                  </pic:blipFill>
                  <pic:spPr bwMode="auto">
                    <a:xfrm>
                      <a:off x="0" y="0"/>
                      <a:ext cx="5689596" cy="2444481"/>
                    </a:xfrm>
                    <a:prstGeom prst="rect">
                      <a:avLst/>
                    </a:prstGeom>
                    <a:noFill/>
                    <a:ln w="9525">
                      <a:solidFill>
                        <a:schemeClr val="tx1"/>
                      </a:solidFill>
                      <a:miter lim="800000"/>
                      <a:headEnd/>
                      <a:tailEnd/>
                    </a:ln>
                  </pic:spPr>
                </pic:pic>
              </a:graphicData>
            </a:graphic>
          </wp:inline>
        </w:drawing>
      </w:r>
      <w:r w:rsidRPr="001A15EE">
        <w:rPr>
          <w:rFonts w:ascii="Arial" w:hAnsi="Arial" w:cs="Arial"/>
          <w:b/>
          <w:bCs/>
          <w:noProof/>
          <w:sz w:val="24"/>
          <w:shd w:val="clear" w:color="auto" w:fill="FFFFFF"/>
        </w:rPr>
        <w:t xml:space="preserve">Photo No. </w:t>
      </w:r>
      <w:r w:rsidR="009A05A6">
        <w:rPr>
          <w:rFonts w:ascii="Arial" w:hAnsi="Arial" w:cs="Arial"/>
          <w:b/>
          <w:bCs/>
          <w:noProof/>
          <w:sz w:val="24"/>
          <w:shd w:val="clear" w:color="auto" w:fill="FFFFFF"/>
        </w:rPr>
        <w:t>4</w:t>
      </w:r>
      <w:r w:rsidRPr="001A15EE">
        <w:rPr>
          <w:rFonts w:ascii="Arial" w:hAnsi="Arial" w:cs="Arial"/>
          <w:b/>
          <w:bCs/>
          <w:noProof/>
          <w:sz w:val="24"/>
          <w:shd w:val="clear" w:color="auto" w:fill="FFFFFF"/>
        </w:rPr>
        <w:t>: Reduction in optical density of distillery spent wash (4%)  due to microbial inoculation</w:t>
      </w:r>
    </w:p>
    <w:p w:rsidR="00535F85" w:rsidRPr="001A15EE" w:rsidRDefault="00535F85" w:rsidP="00535F85">
      <w:pPr>
        <w:tabs>
          <w:tab w:val="left" w:pos="4166"/>
        </w:tabs>
        <w:spacing w:after="0"/>
        <w:jc w:val="center"/>
        <w:rPr>
          <w:rFonts w:ascii="Arial" w:hAnsi="Arial" w:cs="Arial"/>
          <w:b/>
          <w:bCs/>
          <w:noProof/>
          <w:sz w:val="24"/>
          <w:shd w:val="clear" w:color="auto" w:fill="FFFFFF"/>
        </w:rPr>
      </w:pPr>
      <w:r w:rsidRPr="001A15EE">
        <w:rPr>
          <w:rFonts w:ascii="Arial" w:hAnsi="Arial" w:cs="Arial"/>
          <w:noProof/>
          <w:sz w:val="24"/>
          <w:szCs w:val="24"/>
        </w:rPr>
        <w:drawing>
          <wp:inline distT="0" distB="0" distL="0" distR="0">
            <wp:extent cx="5715000" cy="2276475"/>
            <wp:effectExtent l="19050" t="19050" r="19050" b="28575"/>
            <wp:docPr id="8" name="Picture 5" descr="C:\Users\Admin\Desktop\OD 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OD images\5%.jpg"/>
                    <pic:cNvPicPr>
                      <a:picLocks noChangeAspect="1" noChangeArrowheads="1"/>
                    </pic:cNvPicPr>
                  </pic:nvPicPr>
                  <pic:blipFill>
                    <a:blip r:embed="rId20" cstate="print"/>
                    <a:srcRect/>
                    <a:stretch>
                      <a:fillRect/>
                    </a:stretch>
                  </pic:blipFill>
                  <pic:spPr bwMode="auto">
                    <a:xfrm>
                      <a:off x="0" y="0"/>
                      <a:ext cx="5731140" cy="2282904"/>
                    </a:xfrm>
                    <a:prstGeom prst="rect">
                      <a:avLst/>
                    </a:prstGeom>
                    <a:noFill/>
                    <a:ln w="9525">
                      <a:solidFill>
                        <a:schemeClr val="tx1"/>
                      </a:solidFill>
                      <a:miter lim="800000"/>
                      <a:headEnd/>
                      <a:tailEnd/>
                    </a:ln>
                  </pic:spPr>
                </pic:pic>
              </a:graphicData>
            </a:graphic>
          </wp:inline>
        </w:drawing>
      </w:r>
      <w:r w:rsidRPr="001A15EE">
        <w:rPr>
          <w:rFonts w:ascii="Arial" w:hAnsi="Arial" w:cs="Arial"/>
          <w:b/>
          <w:bCs/>
          <w:noProof/>
          <w:sz w:val="24"/>
          <w:shd w:val="clear" w:color="auto" w:fill="FFFFFF"/>
        </w:rPr>
        <w:t xml:space="preserve">Photo No. </w:t>
      </w:r>
      <w:r w:rsidR="009A05A6">
        <w:rPr>
          <w:rFonts w:ascii="Arial" w:hAnsi="Arial" w:cs="Arial"/>
          <w:b/>
          <w:bCs/>
          <w:noProof/>
          <w:sz w:val="24"/>
          <w:shd w:val="clear" w:color="auto" w:fill="FFFFFF"/>
        </w:rPr>
        <w:t>5</w:t>
      </w:r>
      <w:r w:rsidRPr="001A15EE">
        <w:rPr>
          <w:rFonts w:ascii="Arial" w:hAnsi="Arial" w:cs="Arial"/>
          <w:b/>
          <w:bCs/>
          <w:noProof/>
          <w:sz w:val="24"/>
          <w:shd w:val="clear" w:color="auto" w:fill="FFFFFF"/>
        </w:rPr>
        <w:t>: Reduction in optical density of distillery spent wash (5%)  due to microbial inoculation</w:t>
      </w:r>
    </w:p>
    <w:p w:rsidR="001B7D35" w:rsidRPr="001A15EE" w:rsidRDefault="001B7D35" w:rsidP="00E83BBF">
      <w:pPr>
        <w:tabs>
          <w:tab w:val="left" w:pos="4166"/>
        </w:tabs>
        <w:spacing w:after="0"/>
        <w:ind w:left="567" w:hanging="567"/>
        <w:jc w:val="both"/>
        <w:rPr>
          <w:rFonts w:ascii="Arial" w:hAnsi="Arial" w:cs="Arial"/>
          <w:sz w:val="24"/>
          <w:szCs w:val="20"/>
        </w:rPr>
      </w:pPr>
      <w:r w:rsidRPr="001A15EE">
        <w:rPr>
          <w:rFonts w:ascii="Arial" w:hAnsi="Arial" w:cs="Arial"/>
          <w:b/>
          <w:bCs/>
          <w:sz w:val="24"/>
          <w:szCs w:val="20"/>
        </w:rPr>
        <w:t xml:space="preserve">3.2 </w:t>
      </w:r>
      <w:r w:rsidRPr="001A15EE">
        <w:rPr>
          <w:rFonts w:ascii="Arial" w:eastAsia="Times New Roman" w:hAnsi="Arial" w:cs="Arial"/>
          <w:b/>
          <w:bCs/>
          <w:sz w:val="24"/>
          <w:szCs w:val="20"/>
        </w:rPr>
        <w:t>Effect</w:t>
      </w:r>
      <w:r w:rsidRPr="001A15EE">
        <w:rPr>
          <w:rFonts w:ascii="Arial" w:hAnsi="Arial" w:cs="Arial"/>
          <w:b/>
          <w:bCs/>
          <w:sz w:val="24"/>
          <w:szCs w:val="20"/>
        </w:rPr>
        <w:t xml:space="preserve"> of Microbial Inoculation and Incubation Period on TS and TDS of Distillery Spent Wash</w:t>
      </w:r>
    </w:p>
    <w:p w:rsidR="001B7D35" w:rsidRPr="001A15EE" w:rsidRDefault="00535F85" w:rsidP="00E07B87">
      <w:pPr>
        <w:spacing w:after="0"/>
        <w:ind w:firstLine="720"/>
        <w:jc w:val="both"/>
        <w:rPr>
          <w:rFonts w:ascii="Arial" w:hAnsi="Arial" w:cs="Arial"/>
          <w:sz w:val="24"/>
          <w:szCs w:val="24"/>
        </w:rPr>
      </w:pPr>
      <w:r w:rsidRPr="001A15EE">
        <w:rPr>
          <w:rFonts w:ascii="Arial" w:eastAsia="Arial" w:hAnsi="Arial" w:cs="Arial"/>
          <w:sz w:val="24"/>
          <w:szCs w:val="24"/>
        </w:rPr>
        <w:t xml:space="preserve">Table </w:t>
      </w:r>
      <w:r w:rsidR="007152DC">
        <w:rPr>
          <w:rFonts w:ascii="Arial" w:eastAsia="Arial" w:hAnsi="Arial" w:cs="Arial"/>
          <w:sz w:val="24"/>
          <w:szCs w:val="24"/>
        </w:rPr>
        <w:t xml:space="preserve">5 </w:t>
      </w:r>
      <w:r w:rsidR="00E83BBF" w:rsidRPr="001A15EE">
        <w:rPr>
          <w:rFonts w:ascii="Arial" w:eastAsia="Arial" w:hAnsi="Arial" w:cs="Arial"/>
          <w:sz w:val="24"/>
          <w:szCs w:val="24"/>
        </w:rPr>
        <w:t xml:space="preserve">and Fig. </w:t>
      </w:r>
      <w:r w:rsidR="007152DC">
        <w:rPr>
          <w:rFonts w:ascii="Arial" w:eastAsia="Arial" w:hAnsi="Arial" w:cs="Arial"/>
          <w:sz w:val="24"/>
          <w:szCs w:val="24"/>
        </w:rPr>
        <w:t>2</w:t>
      </w:r>
      <w:r w:rsidR="001B7D35" w:rsidRPr="001A15EE">
        <w:rPr>
          <w:rFonts w:ascii="Arial" w:eastAsia="Arial" w:hAnsi="Arial" w:cs="Arial"/>
          <w:sz w:val="24"/>
          <w:szCs w:val="24"/>
        </w:rPr>
        <w:t>show</w:t>
      </w:r>
      <w:r w:rsidRPr="001A15EE">
        <w:rPr>
          <w:rFonts w:ascii="Arial" w:eastAsia="Arial" w:hAnsi="Arial" w:cs="Arial"/>
          <w:sz w:val="24"/>
          <w:szCs w:val="24"/>
        </w:rPr>
        <w:t>ed</w:t>
      </w:r>
      <w:r w:rsidR="001B7D35" w:rsidRPr="001A15EE">
        <w:rPr>
          <w:rFonts w:ascii="Arial" w:eastAsia="Arial" w:hAnsi="Arial" w:cs="Arial"/>
          <w:sz w:val="24"/>
          <w:szCs w:val="24"/>
        </w:rPr>
        <w:t xml:space="preserve"> that microbial inoculation and incubation time significantly reduced the total solids (TS) content of distillery spent wash. The control (M</w:t>
      </w:r>
      <w:r w:rsidR="001B7D35" w:rsidRPr="001A15EE">
        <w:rPr>
          <w:rFonts w:ascii="Arial" w:eastAsia="Arial" w:hAnsi="Arial" w:cs="Arial"/>
          <w:sz w:val="24"/>
          <w:szCs w:val="24"/>
          <w:vertAlign w:val="subscript"/>
        </w:rPr>
        <w:t>0</w:t>
      </w:r>
      <w:r w:rsidR="001B7D35" w:rsidRPr="001A15EE">
        <w:rPr>
          <w:rFonts w:ascii="Arial" w:eastAsia="Arial" w:hAnsi="Arial" w:cs="Arial"/>
          <w:sz w:val="24"/>
          <w:szCs w:val="24"/>
        </w:rPr>
        <w:t xml:space="preserve">) recorded the highest mean TS (94,025.34 mg/L), whereas </w:t>
      </w:r>
      <w:r w:rsidR="001B7D35" w:rsidRPr="001A15EE">
        <w:rPr>
          <w:rFonts w:ascii="Arial" w:eastAsia="Arial" w:hAnsi="Arial" w:cs="Arial"/>
          <w:i/>
          <w:sz w:val="24"/>
          <w:szCs w:val="24"/>
        </w:rPr>
        <w:t>Pseudomonas fluorescens</w:t>
      </w:r>
      <w:r w:rsidR="001B7D35" w:rsidRPr="001A15EE">
        <w:rPr>
          <w:rFonts w:ascii="Arial" w:eastAsia="Arial" w:hAnsi="Arial" w:cs="Arial"/>
          <w:sz w:val="24"/>
          <w:szCs w:val="24"/>
        </w:rPr>
        <w:t xml:space="preserve">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 achieved the lowest (20,064.40 mg/L), reflecting a 78.66% reduction over M</w:t>
      </w:r>
      <w:r w:rsidR="001B7D35" w:rsidRPr="001A15EE">
        <w:rPr>
          <w:rFonts w:ascii="Arial" w:eastAsia="Arial" w:hAnsi="Arial" w:cs="Arial"/>
          <w:sz w:val="24"/>
          <w:szCs w:val="24"/>
          <w:vertAlign w:val="subscript"/>
        </w:rPr>
        <w:t>0</w:t>
      </w:r>
      <w:r w:rsidR="001B7D35" w:rsidRPr="001A15EE">
        <w:rPr>
          <w:rFonts w:ascii="Arial" w:eastAsia="Arial" w:hAnsi="Arial" w:cs="Arial"/>
          <w:sz w:val="24"/>
          <w:szCs w:val="24"/>
        </w:rPr>
        <w:t xml:space="preserve">. </w:t>
      </w:r>
      <w:r w:rsidR="001B7D35" w:rsidRPr="001A15EE">
        <w:rPr>
          <w:rFonts w:ascii="Arial" w:eastAsia="Arial" w:hAnsi="Arial" w:cs="Arial"/>
          <w:i/>
          <w:sz w:val="24"/>
          <w:szCs w:val="24"/>
        </w:rPr>
        <w:t>Aspergillus niger</w:t>
      </w:r>
      <w:r w:rsidR="001B7D35" w:rsidRPr="001A15EE">
        <w:rPr>
          <w:rFonts w:ascii="Arial" w:eastAsia="Arial" w:hAnsi="Arial" w:cs="Arial"/>
          <w:sz w:val="24"/>
          <w:szCs w:val="24"/>
        </w:rPr>
        <w:t xml:space="preserve"> (M</w:t>
      </w:r>
      <w:r w:rsidR="001B7D35" w:rsidRPr="001A15EE">
        <w:rPr>
          <w:rFonts w:ascii="Arial" w:eastAsia="Arial" w:hAnsi="Arial" w:cs="Arial"/>
          <w:sz w:val="24"/>
          <w:szCs w:val="24"/>
          <w:vertAlign w:val="subscript"/>
        </w:rPr>
        <w:t>1</w:t>
      </w:r>
      <w:r w:rsidR="001B7D35" w:rsidRPr="001A15EE">
        <w:rPr>
          <w:rFonts w:ascii="Arial" w:eastAsia="Arial" w:hAnsi="Arial" w:cs="Arial"/>
          <w:sz w:val="24"/>
          <w:szCs w:val="24"/>
        </w:rPr>
        <w:t>) also lowered TS by 67.24%. This decline suggests that inoculated microbes actively degraded and utilized complex organic matter, with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 xml:space="preserve"> showing greater efficiency due to its stronger metabolic capabilities. TS levels also decreased with longer incubation, with the lowest value (44,455.07 mg/L) observed on the 30</w:t>
      </w:r>
      <w:r w:rsidR="001B7D35" w:rsidRPr="001A15EE">
        <w:rPr>
          <w:rFonts w:ascii="Arial" w:eastAsia="Arial" w:hAnsi="Arial" w:cs="Arial"/>
          <w:sz w:val="24"/>
          <w:szCs w:val="24"/>
          <w:vertAlign w:val="superscript"/>
        </w:rPr>
        <w:t>th</w:t>
      </w:r>
      <w:r w:rsidR="001B7D35" w:rsidRPr="001A15EE">
        <w:rPr>
          <w:rFonts w:ascii="Arial" w:eastAsia="Arial" w:hAnsi="Arial" w:cs="Arial"/>
          <w:sz w:val="24"/>
          <w:szCs w:val="24"/>
        </w:rPr>
        <w:t xml:space="preserve"> day, indicating that extended microbial activity enhances solids breakdown. The interaction effect (M×D) further confirmed that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 xml:space="preserve"> at 30 days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D</w:t>
      </w:r>
      <w:r w:rsidR="001B7D35" w:rsidRPr="001A15EE">
        <w:rPr>
          <w:rFonts w:ascii="Arial" w:eastAsia="Arial" w:hAnsi="Arial" w:cs="Arial"/>
          <w:sz w:val="24"/>
          <w:szCs w:val="24"/>
          <w:vertAlign w:val="subscript"/>
        </w:rPr>
        <w:t>3</w:t>
      </w:r>
      <w:r w:rsidR="001B7D35" w:rsidRPr="001A15EE">
        <w:rPr>
          <w:rFonts w:ascii="Arial" w:eastAsia="Arial" w:hAnsi="Arial" w:cs="Arial"/>
          <w:sz w:val="24"/>
          <w:szCs w:val="24"/>
        </w:rPr>
        <w:t>) produced the minimum TS (14,875.20 mg/L), achieving more than 83–84% reduction over respective controls. These findings align with earlier reports, such as Ratna and Kumar (2022), who also noted substantial TS reduction in distillery wastewater due to microbial degradation into simpler, soluble components.</w:t>
      </w:r>
    </w:p>
    <w:p w:rsidR="001B7D35" w:rsidRPr="001A15EE" w:rsidRDefault="001B7D35" w:rsidP="00535F85">
      <w:pPr>
        <w:tabs>
          <w:tab w:val="left" w:pos="142"/>
          <w:tab w:val="left" w:pos="709"/>
        </w:tabs>
        <w:spacing w:after="0"/>
        <w:ind w:left="1418" w:hanging="1418"/>
        <w:jc w:val="both"/>
        <w:rPr>
          <w:rFonts w:ascii="Arial" w:hAnsi="Arial" w:cs="Arial"/>
          <w:b/>
          <w:bCs/>
          <w:sz w:val="24"/>
          <w:szCs w:val="24"/>
        </w:rPr>
      </w:pPr>
      <w:r w:rsidRPr="001A15EE">
        <w:rPr>
          <w:rFonts w:ascii="Arial" w:hAnsi="Arial" w:cs="Arial"/>
          <w:b/>
          <w:bCs/>
          <w:sz w:val="24"/>
          <w:szCs w:val="24"/>
        </w:rPr>
        <w:lastRenderedPageBreak/>
        <w:t xml:space="preserve">Table </w:t>
      </w:r>
      <w:r w:rsidR="00BF319B">
        <w:rPr>
          <w:rFonts w:ascii="Arial" w:hAnsi="Arial" w:cs="Arial"/>
          <w:b/>
          <w:bCs/>
          <w:sz w:val="24"/>
          <w:szCs w:val="24"/>
        </w:rPr>
        <w:t>5</w:t>
      </w:r>
      <w:r w:rsidRPr="001A15EE">
        <w:rPr>
          <w:rFonts w:ascii="Arial" w:hAnsi="Arial" w:cs="Arial"/>
          <w:b/>
          <w:bCs/>
          <w:sz w:val="24"/>
          <w:szCs w:val="24"/>
        </w:rPr>
        <w:t>: Effect of microbial inoculation and incubation period on TS (mg/L) of distillery spent wash</w:t>
      </w:r>
    </w:p>
    <w:tbl>
      <w:tblPr>
        <w:tblW w:w="4907" w:type="pct"/>
        <w:tblInd w:w="108" w:type="dxa"/>
        <w:tblLook w:val="04A0"/>
      </w:tblPr>
      <w:tblGrid>
        <w:gridCol w:w="2583"/>
        <w:gridCol w:w="1638"/>
        <w:gridCol w:w="1524"/>
        <w:gridCol w:w="1593"/>
        <w:gridCol w:w="1733"/>
      </w:tblGrid>
      <w:tr w:rsidR="001B7D35" w:rsidRPr="001A15EE" w:rsidTr="00535F85">
        <w:trPr>
          <w:trHeight w:val="46"/>
        </w:trPr>
        <w:tc>
          <w:tcPr>
            <w:tcW w:w="1424" w:type="pct"/>
            <w:vMerge w:val="restart"/>
            <w:tcBorders>
              <w:top w:val="single" w:sz="8" w:space="0" w:color="auto"/>
              <w:left w:val="single" w:sz="8" w:space="0" w:color="auto"/>
              <w:bottom w:val="single" w:sz="8" w:space="0" w:color="000000"/>
              <w:right w:val="single" w:sz="8" w:space="0" w:color="auto"/>
            </w:tcBorders>
            <w:noWrap/>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Microbial</w:t>
            </w:r>
          </w:p>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 inoculation</w:t>
            </w:r>
          </w:p>
        </w:tc>
        <w:tc>
          <w:tcPr>
            <w:tcW w:w="3576" w:type="pct"/>
            <w:gridSpan w:val="4"/>
            <w:tcBorders>
              <w:top w:val="single" w:sz="8" w:space="0" w:color="auto"/>
              <w:left w:val="nil"/>
              <w:bottom w:val="single" w:sz="8" w:space="0" w:color="auto"/>
              <w:right w:val="single" w:sz="8" w:space="0" w:color="000000"/>
            </w:tcBorders>
            <w:noWrap/>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TS (mg/L)</w:t>
            </w:r>
          </w:p>
        </w:tc>
      </w:tr>
      <w:tr w:rsidR="001B7D35" w:rsidRPr="001A15EE" w:rsidTr="00535F85">
        <w:trPr>
          <w:trHeight w:val="137"/>
        </w:trPr>
        <w:tc>
          <w:tcPr>
            <w:tcW w:w="1424" w:type="pct"/>
            <w:vMerge/>
            <w:tcBorders>
              <w:top w:val="single" w:sz="8" w:space="0" w:color="auto"/>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c>
          <w:tcPr>
            <w:tcW w:w="2621" w:type="pct"/>
            <w:gridSpan w:val="3"/>
            <w:tcBorders>
              <w:top w:val="single" w:sz="8" w:space="0" w:color="auto"/>
              <w:left w:val="nil"/>
              <w:bottom w:val="single" w:sz="8" w:space="0" w:color="auto"/>
              <w:right w:val="nil"/>
            </w:tcBorders>
            <w:noWrap/>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955" w:type="pct"/>
            <w:vMerge w:val="restart"/>
            <w:tcBorders>
              <w:top w:val="nil"/>
              <w:left w:val="single" w:sz="8" w:space="0" w:color="auto"/>
              <w:bottom w:val="nil"/>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1B7D35" w:rsidRPr="001A15EE" w:rsidTr="00535F85">
        <w:trPr>
          <w:trHeight w:val="46"/>
        </w:trPr>
        <w:tc>
          <w:tcPr>
            <w:tcW w:w="1424" w:type="pct"/>
            <w:vMerge/>
            <w:tcBorders>
              <w:top w:val="single" w:sz="8" w:space="0" w:color="auto"/>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c>
          <w:tcPr>
            <w:tcW w:w="903" w:type="pct"/>
            <w:tcBorders>
              <w:top w:val="nil"/>
              <w:left w:val="nil"/>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40" w:type="pct"/>
            <w:tcBorders>
              <w:top w:val="nil"/>
              <w:left w:val="nil"/>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78" w:type="pct"/>
            <w:tcBorders>
              <w:top w:val="nil"/>
              <w:left w:val="nil"/>
              <w:bottom w:val="single" w:sz="8" w:space="0" w:color="auto"/>
              <w:right w:val="nil"/>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955" w:type="pct"/>
            <w:vMerge/>
            <w:tcBorders>
              <w:top w:val="nil"/>
              <w:left w:val="single" w:sz="8" w:space="0" w:color="auto"/>
              <w:bottom w:val="nil"/>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r>
      <w:tr w:rsidR="001B7D35" w:rsidRPr="001A15EE" w:rsidTr="00535F85">
        <w:trPr>
          <w:trHeight w:val="258"/>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03" w:type="pct"/>
            <w:tcBorders>
              <w:top w:val="single" w:sz="4" w:space="0" w:color="000000"/>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95,710.00</w:t>
            </w:r>
          </w:p>
        </w:tc>
        <w:tc>
          <w:tcPr>
            <w:tcW w:w="840" w:type="pct"/>
            <w:tcBorders>
              <w:top w:val="single" w:sz="4" w:space="0" w:color="000000"/>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93,512.00</w:t>
            </w:r>
          </w:p>
        </w:tc>
        <w:tc>
          <w:tcPr>
            <w:tcW w:w="878" w:type="pct"/>
            <w:tcBorders>
              <w:top w:val="single" w:sz="4" w:space="0" w:color="000000"/>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92,854.00</w:t>
            </w:r>
          </w:p>
        </w:tc>
        <w:tc>
          <w:tcPr>
            <w:tcW w:w="955" w:type="pct"/>
            <w:tcBorders>
              <w:top w:val="single" w:sz="4" w:space="0" w:color="000000"/>
              <w:left w:val="nil"/>
              <w:bottom w:val="single" w:sz="4" w:space="0" w:color="000000"/>
              <w:right w:val="single" w:sz="8" w:space="0" w:color="auto"/>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94,025.34</w:t>
            </w:r>
          </w:p>
        </w:tc>
      </w:tr>
      <w:tr w:rsidR="001B7D35" w:rsidRPr="001A15EE" w:rsidTr="00535F85">
        <w:trPr>
          <w:trHeight w:val="93"/>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03" w:type="pct"/>
            <w:tcBorders>
              <w:top w:val="nil"/>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40,582.00</w:t>
            </w:r>
          </w:p>
        </w:tc>
        <w:tc>
          <w:tcPr>
            <w:tcW w:w="840"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26,196.00</w:t>
            </w:r>
          </w:p>
        </w:tc>
        <w:tc>
          <w:tcPr>
            <w:tcW w:w="878"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25,636.00</w:t>
            </w:r>
          </w:p>
        </w:tc>
        <w:tc>
          <w:tcPr>
            <w:tcW w:w="955" w:type="pct"/>
            <w:tcBorders>
              <w:top w:val="nil"/>
              <w:left w:val="nil"/>
              <w:bottom w:val="single" w:sz="4" w:space="0" w:color="000000"/>
              <w:right w:val="single" w:sz="8" w:space="0" w:color="auto"/>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30,804.67</w:t>
            </w:r>
          </w:p>
        </w:tc>
      </w:tr>
      <w:tr w:rsidR="001B7D35" w:rsidRPr="001A15EE" w:rsidTr="00535F85">
        <w:trPr>
          <w:trHeight w:val="84"/>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03" w:type="pct"/>
            <w:tcBorders>
              <w:top w:val="nil"/>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29,834.00</w:t>
            </w:r>
          </w:p>
        </w:tc>
        <w:tc>
          <w:tcPr>
            <w:tcW w:w="840"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15,484.00</w:t>
            </w:r>
          </w:p>
        </w:tc>
        <w:tc>
          <w:tcPr>
            <w:tcW w:w="878"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14,875.20</w:t>
            </w:r>
          </w:p>
        </w:tc>
        <w:tc>
          <w:tcPr>
            <w:tcW w:w="955" w:type="pct"/>
            <w:tcBorders>
              <w:top w:val="nil"/>
              <w:left w:val="nil"/>
              <w:bottom w:val="single" w:sz="4" w:space="0" w:color="000000"/>
              <w:right w:val="single" w:sz="8" w:space="0" w:color="auto"/>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20,064.40</w:t>
            </w:r>
          </w:p>
        </w:tc>
      </w:tr>
      <w:tr w:rsidR="001B7D35" w:rsidRPr="001A15EE" w:rsidTr="00535F85">
        <w:trPr>
          <w:trHeight w:val="73"/>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903" w:type="pct"/>
            <w:tcBorders>
              <w:top w:val="nil"/>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55,375.33</w:t>
            </w:r>
          </w:p>
        </w:tc>
        <w:tc>
          <w:tcPr>
            <w:tcW w:w="840"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45,064.00</w:t>
            </w:r>
          </w:p>
        </w:tc>
        <w:tc>
          <w:tcPr>
            <w:tcW w:w="878"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44,455.07</w:t>
            </w:r>
          </w:p>
        </w:tc>
        <w:tc>
          <w:tcPr>
            <w:tcW w:w="955" w:type="pct"/>
            <w:tcBorders>
              <w:top w:val="single" w:sz="8" w:space="0" w:color="auto"/>
              <w:left w:val="single" w:sz="8" w:space="0" w:color="auto"/>
              <w:bottom w:val="single" w:sz="8" w:space="0" w:color="auto"/>
              <w:right w:val="single" w:sz="8" w:space="0" w:color="auto"/>
            </w:tcBorders>
            <w:noWrap/>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48,298.14</w:t>
            </w:r>
          </w:p>
        </w:tc>
      </w:tr>
      <w:tr w:rsidR="001B7D35" w:rsidRPr="001A15EE" w:rsidTr="00535F85">
        <w:trPr>
          <w:trHeight w:val="206"/>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1743" w:type="pct"/>
            <w:gridSpan w:val="2"/>
            <w:tcBorders>
              <w:top w:val="single" w:sz="8" w:space="0" w:color="auto"/>
              <w:left w:val="nil"/>
              <w:bottom w:val="single" w:sz="8" w:space="0" w:color="auto"/>
              <w:right w:val="nil"/>
            </w:tcBorders>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S.Em. (</w:t>
            </w:r>
            <w:r w:rsidRPr="001A15EE">
              <w:rPr>
                <w:rFonts w:ascii="Arial" w:hAnsi="Arial" w:cs="Arial"/>
                <w:sz w:val="24"/>
                <w:szCs w:val="24"/>
              </w:rPr>
              <w:t>±)</w:t>
            </w:r>
          </w:p>
        </w:tc>
        <w:tc>
          <w:tcPr>
            <w:tcW w:w="878" w:type="pct"/>
            <w:tcBorders>
              <w:top w:val="single" w:sz="8" w:space="0" w:color="auto"/>
              <w:left w:val="single" w:sz="8" w:space="0" w:color="auto"/>
              <w:bottom w:val="single" w:sz="8" w:space="0" w:color="auto"/>
              <w:right w:val="single" w:sz="8" w:space="0" w:color="auto"/>
            </w:tcBorders>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955" w:type="pct"/>
            <w:tcBorders>
              <w:top w:val="nil"/>
              <w:left w:val="nil"/>
              <w:bottom w:val="single" w:sz="8" w:space="0" w:color="auto"/>
              <w:right w:val="single" w:sz="8" w:space="0" w:color="auto"/>
            </w:tcBorders>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1B7D35" w:rsidRPr="001A15EE" w:rsidTr="00535F85">
        <w:trPr>
          <w:trHeight w:val="181"/>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1743" w:type="pct"/>
            <w:gridSpan w:val="2"/>
            <w:tcBorders>
              <w:top w:val="single" w:sz="8" w:space="0" w:color="auto"/>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86.30</w:t>
            </w:r>
          </w:p>
        </w:tc>
        <w:tc>
          <w:tcPr>
            <w:tcW w:w="878" w:type="pct"/>
            <w:tcBorders>
              <w:top w:val="single" w:sz="4" w:space="0" w:color="000000"/>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248.54</w:t>
            </w:r>
          </w:p>
        </w:tc>
        <w:tc>
          <w:tcPr>
            <w:tcW w:w="955" w:type="pct"/>
            <w:vMerge w:val="restart"/>
            <w:tcBorders>
              <w:top w:val="nil"/>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0.69</w:t>
            </w:r>
          </w:p>
        </w:tc>
      </w:tr>
      <w:tr w:rsidR="001B7D35" w:rsidRPr="001A15EE" w:rsidTr="00535F85">
        <w:trPr>
          <w:trHeight w:val="185"/>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1743" w:type="pct"/>
            <w:gridSpan w:val="2"/>
            <w:tcBorders>
              <w:top w:val="single" w:sz="4" w:space="0" w:color="000000"/>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86.30</w:t>
            </w:r>
          </w:p>
        </w:tc>
        <w:tc>
          <w:tcPr>
            <w:tcW w:w="878"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248.54</w:t>
            </w:r>
          </w:p>
        </w:tc>
        <w:tc>
          <w:tcPr>
            <w:tcW w:w="955" w:type="pct"/>
            <w:vMerge/>
            <w:tcBorders>
              <w:top w:val="nil"/>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r>
      <w:tr w:rsidR="001B7D35" w:rsidRPr="001A15EE" w:rsidTr="00535F85">
        <w:trPr>
          <w:trHeight w:val="345"/>
        </w:trPr>
        <w:tc>
          <w:tcPr>
            <w:tcW w:w="1424"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1743" w:type="pct"/>
            <w:gridSpan w:val="2"/>
            <w:tcBorders>
              <w:top w:val="single" w:sz="4" w:space="0" w:color="000000"/>
              <w:left w:val="nil"/>
              <w:bottom w:val="single" w:sz="8" w:space="0" w:color="auto"/>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149.48</w:t>
            </w:r>
          </w:p>
        </w:tc>
        <w:tc>
          <w:tcPr>
            <w:tcW w:w="878" w:type="pct"/>
            <w:tcBorders>
              <w:top w:val="nil"/>
              <w:left w:val="nil"/>
              <w:bottom w:val="single" w:sz="8" w:space="0" w:color="auto"/>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430.48</w:t>
            </w:r>
          </w:p>
        </w:tc>
        <w:tc>
          <w:tcPr>
            <w:tcW w:w="955" w:type="pct"/>
            <w:vMerge/>
            <w:tcBorders>
              <w:top w:val="nil"/>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r>
    </w:tbl>
    <w:p w:rsidR="00B63E43" w:rsidRPr="001A15EE" w:rsidRDefault="001B7D35" w:rsidP="00535F85">
      <w:pPr>
        <w:tabs>
          <w:tab w:val="left" w:pos="142"/>
          <w:tab w:val="left" w:pos="709"/>
        </w:tabs>
        <w:spacing w:before="240" w:after="0" w:line="360" w:lineRule="auto"/>
        <w:jc w:val="center"/>
        <w:rPr>
          <w:rFonts w:ascii="Arial" w:hAnsi="Arial" w:cs="Arial"/>
          <w:b/>
          <w:bCs/>
          <w:sz w:val="24"/>
          <w:szCs w:val="24"/>
        </w:rPr>
      </w:pPr>
      <w:r w:rsidRPr="001A15EE">
        <w:rPr>
          <w:rFonts w:ascii="Arial" w:hAnsi="Arial" w:cs="Arial"/>
          <w:b/>
          <w:bCs/>
          <w:noProof/>
          <w:sz w:val="24"/>
          <w:szCs w:val="24"/>
        </w:rPr>
        <w:drawing>
          <wp:inline distT="0" distB="0" distL="0" distR="0">
            <wp:extent cx="5747275" cy="2536466"/>
            <wp:effectExtent l="19050" t="0" r="24875"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B7D35" w:rsidRPr="001A15EE" w:rsidRDefault="00535F85" w:rsidP="0044325A">
      <w:pPr>
        <w:spacing w:after="0"/>
        <w:ind w:left="1134" w:hanging="1134"/>
        <w:jc w:val="both"/>
        <w:rPr>
          <w:rFonts w:ascii="Arial" w:hAnsi="Arial" w:cs="Arial"/>
          <w:b/>
          <w:bCs/>
          <w:sz w:val="24"/>
          <w:szCs w:val="24"/>
        </w:rPr>
      </w:pPr>
      <w:r w:rsidRPr="001A15EE">
        <w:rPr>
          <w:rFonts w:ascii="Arial" w:hAnsi="Arial" w:cs="Arial"/>
          <w:b/>
          <w:bCs/>
          <w:sz w:val="24"/>
          <w:szCs w:val="24"/>
        </w:rPr>
        <w:t xml:space="preserve">Fig. </w:t>
      </w:r>
      <w:r w:rsidR="007152DC">
        <w:rPr>
          <w:rFonts w:ascii="Arial" w:hAnsi="Arial" w:cs="Arial"/>
          <w:b/>
          <w:bCs/>
          <w:sz w:val="24"/>
          <w:szCs w:val="24"/>
        </w:rPr>
        <w:t>2</w:t>
      </w:r>
      <w:r w:rsidR="001B7D35" w:rsidRPr="001A15EE">
        <w:rPr>
          <w:rFonts w:ascii="Arial" w:hAnsi="Arial" w:cs="Arial"/>
          <w:b/>
          <w:bCs/>
          <w:sz w:val="24"/>
          <w:szCs w:val="24"/>
        </w:rPr>
        <w:t xml:space="preserve"> Effect of microbial inoculation and incubation period on reduction of TS in distillery spent wash</w:t>
      </w:r>
    </w:p>
    <w:p w:rsidR="0044325A" w:rsidRPr="001A15EE" w:rsidRDefault="0044325A" w:rsidP="0044325A">
      <w:pPr>
        <w:tabs>
          <w:tab w:val="left" w:pos="142"/>
          <w:tab w:val="left" w:pos="709"/>
        </w:tabs>
        <w:spacing w:after="0"/>
        <w:ind w:left="-142" w:right="-149" w:hanging="568"/>
        <w:jc w:val="both"/>
        <w:rPr>
          <w:rFonts w:ascii="Arial" w:hAnsi="Arial" w:cs="Arial"/>
          <w:sz w:val="24"/>
          <w:szCs w:val="24"/>
          <w:shd w:val="clear" w:color="auto" w:fill="FFFFFF"/>
        </w:rPr>
      </w:pPr>
      <w:r w:rsidRPr="001A15EE">
        <w:rPr>
          <w:rFonts w:ascii="Arial" w:eastAsia="Arial" w:hAnsi="Arial" w:cs="Arial"/>
          <w:sz w:val="24"/>
          <w:szCs w:val="24"/>
        </w:rPr>
        <w:tab/>
      </w:r>
      <w:r w:rsidRPr="001A15EE">
        <w:rPr>
          <w:rFonts w:ascii="Arial" w:eastAsia="Arial" w:hAnsi="Arial" w:cs="Arial"/>
          <w:sz w:val="24"/>
          <w:szCs w:val="24"/>
        </w:rPr>
        <w:tab/>
      </w:r>
      <w:r w:rsidRPr="001A15EE">
        <w:rPr>
          <w:rFonts w:ascii="Arial" w:eastAsia="Arial" w:hAnsi="Arial" w:cs="Arial"/>
          <w:sz w:val="24"/>
          <w:szCs w:val="24"/>
        </w:rPr>
        <w:tab/>
      </w:r>
      <w:r w:rsidR="001B7D35" w:rsidRPr="001A15EE">
        <w:rPr>
          <w:rFonts w:ascii="Arial" w:eastAsia="Arial" w:hAnsi="Arial" w:cs="Arial"/>
          <w:sz w:val="24"/>
          <w:szCs w:val="24"/>
        </w:rPr>
        <w:t xml:space="preserve">Table </w:t>
      </w:r>
      <w:r w:rsidR="007152DC">
        <w:rPr>
          <w:rFonts w:ascii="Arial" w:eastAsia="Arial" w:hAnsi="Arial" w:cs="Arial"/>
          <w:sz w:val="24"/>
          <w:szCs w:val="24"/>
        </w:rPr>
        <w:t>6</w:t>
      </w:r>
      <w:r w:rsidR="00E83BBF" w:rsidRPr="001A15EE">
        <w:rPr>
          <w:rFonts w:ascii="Arial" w:eastAsia="Arial" w:hAnsi="Arial" w:cs="Arial"/>
          <w:sz w:val="24"/>
          <w:szCs w:val="24"/>
        </w:rPr>
        <w:t xml:space="preserve">and Fig. </w:t>
      </w:r>
      <w:r w:rsidR="007152DC">
        <w:rPr>
          <w:rFonts w:ascii="Arial" w:eastAsia="Arial" w:hAnsi="Arial" w:cs="Arial"/>
          <w:sz w:val="24"/>
          <w:szCs w:val="24"/>
        </w:rPr>
        <w:t>3</w:t>
      </w:r>
      <w:r w:rsidR="001B7D35" w:rsidRPr="001A15EE">
        <w:rPr>
          <w:rFonts w:ascii="Arial" w:eastAsia="Arial" w:hAnsi="Arial" w:cs="Arial"/>
          <w:sz w:val="24"/>
          <w:szCs w:val="24"/>
        </w:rPr>
        <w:t xml:space="preserve"> show</w:t>
      </w:r>
      <w:r w:rsidR="00535F85" w:rsidRPr="001A15EE">
        <w:rPr>
          <w:rFonts w:ascii="Arial" w:eastAsia="Arial" w:hAnsi="Arial" w:cs="Arial"/>
          <w:sz w:val="24"/>
          <w:szCs w:val="24"/>
        </w:rPr>
        <w:t>ed</w:t>
      </w:r>
      <w:r w:rsidR="001B7D35" w:rsidRPr="001A15EE">
        <w:rPr>
          <w:rFonts w:ascii="Arial" w:eastAsia="Arial" w:hAnsi="Arial" w:cs="Arial"/>
          <w:sz w:val="24"/>
          <w:szCs w:val="24"/>
        </w:rPr>
        <w:t xml:space="preserve"> that microbial inoculation significantly reduced the TDS content of distillery spent wash. The control (M</w:t>
      </w:r>
      <w:r w:rsidR="001B7D35" w:rsidRPr="001A15EE">
        <w:rPr>
          <w:rFonts w:ascii="Arial" w:eastAsia="Arial" w:hAnsi="Arial" w:cs="Arial"/>
          <w:sz w:val="24"/>
          <w:szCs w:val="24"/>
          <w:vertAlign w:val="subscript"/>
        </w:rPr>
        <w:t>0</w:t>
      </w:r>
      <w:r w:rsidR="001B7D35" w:rsidRPr="001A15EE">
        <w:rPr>
          <w:rFonts w:ascii="Arial" w:eastAsia="Arial" w:hAnsi="Arial" w:cs="Arial"/>
          <w:sz w:val="24"/>
          <w:szCs w:val="24"/>
        </w:rPr>
        <w:t xml:space="preserve">) recorded the highest mean TDS (83,071.34 mg/L), while </w:t>
      </w:r>
      <w:r w:rsidR="001B7D35" w:rsidRPr="001A15EE">
        <w:rPr>
          <w:rFonts w:ascii="Arial" w:eastAsia="Arial" w:hAnsi="Arial" w:cs="Arial"/>
          <w:i/>
          <w:sz w:val="24"/>
          <w:szCs w:val="24"/>
        </w:rPr>
        <w:t>Pseudomonas fluorescens</w:t>
      </w:r>
      <w:r w:rsidR="001B7D35" w:rsidRPr="001A15EE">
        <w:rPr>
          <w:rFonts w:ascii="Arial" w:eastAsia="Arial" w:hAnsi="Arial" w:cs="Arial"/>
          <w:sz w:val="24"/>
          <w:szCs w:val="24"/>
        </w:rPr>
        <w:t xml:space="preserve">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 xml:space="preserve">) achieved the lowest value (12,974.67 mg/L), followed by </w:t>
      </w:r>
      <w:r w:rsidR="001B7D35" w:rsidRPr="001A15EE">
        <w:rPr>
          <w:rFonts w:ascii="Arial" w:eastAsia="Arial" w:hAnsi="Arial" w:cs="Arial"/>
          <w:i/>
          <w:sz w:val="24"/>
          <w:szCs w:val="24"/>
        </w:rPr>
        <w:t>Aspergillus niger</w:t>
      </w:r>
      <w:r w:rsidR="001B7D35" w:rsidRPr="001A15EE">
        <w:rPr>
          <w:rFonts w:ascii="Arial" w:eastAsia="Arial" w:hAnsi="Arial" w:cs="Arial"/>
          <w:sz w:val="24"/>
          <w:szCs w:val="24"/>
        </w:rPr>
        <w:t xml:space="preserve"> (M</w:t>
      </w:r>
      <w:r w:rsidR="001B7D35" w:rsidRPr="001A15EE">
        <w:rPr>
          <w:rFonts w:ascii="Arial" w:eastAsia="Arial" w:hAnsi="Arial" w:cs="Arial"/>
          <w:sz w:val="24"/>
          <w:szCs w:val="24"/>
          <w:vertAlign w:val="subscript"/>
        </w:rPr>
        <w:t>1</w:t>
      </w:r>
      <w:r w:rsidR="001B7D35" w:rsidRPr="001A15EE">
        <w:rPr>
          <w:rFonts w:ascii="Arial" w:eastAsia="Arial" w:hAnsi="Arial" w:cs="Arial"/>
          <w:sz w:val="24"/>
          <w:szCs w:val="24"/>
        </w:rPr>
        <w:t>) with 19,206.67 mg/L, corresponding to reductions of 76.88% and 84.38% over M</w:t>
      </w:r>
      <w:r w:rsidR="001B7D35" w:rsidRPr="001A15EE">
        <w:rPr>
          <w:rFonts w:ascii="Arial" w:eastAsia="Arial" w:hAnsi="Arial" w:cs="Arial"/>
          <w:sz w:val="24"/>
          <w:szCs w:val="24"/>
          <w:vertAlign w:val="subscript"/>
        </w:rPr>
        <w:t>0</w:t>
      </w:r>
      <w:r w:rsidR="001B7D35" w:rsidRPr="001A15EE">
        <w:rPr>
          <w:rFonts w:ascii="Arial" w:eastAsia="Arial" w:hAnsi="Arial" w:cs="Arial"/>
          <w:sz w:val="24"/>
          <w:szCs w:val="24"/>
        </w:rPr>
        <w:t>. This substantial decline indicates that the inoculated microbes effectively transformed or degraded dissolved solids due to their enzymatic activity and better adaptation to the spent wash environment. Incubation period also influenced TDS levels, with the lowest mean value observed on the 10</w:t>
      </w:r>
      <w:r w:rsidR="001B7D35" w:rsidRPr="001A15EE">
        <w:rPr>
          <w:rFonts w:ascii="Arial" w:eastAsia="Arial" w:hAnsi="Arial" w:cs="Arial"/>
          <w:sz w:val="24"/>
          <w:szCs w:val="24"/>
          <w:vertAlign w:val="superscript"/>
        </w:rPr>
        <w:t>th</w:t>
      </w:r>
      <w:r w:rsidR="001B7D35" w:rsidRPr="001A15EE">
        <w:rPr>
          <w:rFonts w:ascii="Arial" w:eastAsia="Arial" w:hAnsi="Arial" w:cs="Arial"/>
          <w:sz w:val="24"/>
          <w:szCs w:val="24"/>
        </w:rPr>
        <w:t xml:space="preserve"> day (36,319.33 mg/L). A slight rise on the 20</w:t>
      </w:r>
      <w:r w:rsidR="001B7D35" w:rsidRPr="001A15EE">
        <w:rPr>
          <w:rFonts w:ascii="Arial" w:eastAsia="Arial" w:hAnsi="Arial" w:cs="Arial"/>
          <w:sz w:val="24"/>
          <w:szCs w:val="24"/>
          <w:vertAlign w:val="superscript"/>
        </w:rPr>
        <w:t>th</w:t>
      </w:r>
      <w:r w:rsidR="001B7D35" w:rsidRPr="001A15EE">
        <w:rPr>
          <w:rFonts w:ascii="Arial" w:eastAsia="Arial" w:hAnsi="Arial" w:cs="Arial"/>
          <w:sz w:val="24"/>
          <w:szCs w:val="24"/>
        </w:rPr>
        <w:t xml:space="preserve"> day followed by a small drop on the 30</w:t>
      </w:r>
      <w:r w:rsidR="001B7D35" w:rsidRPr="001A15EE">
        <w:rPr>
          <w:rFonts w:ascii="Arial" w:eastAsia="Arial" w:hAnsi="Arial" w:cs="Arial"/>
          <w:sz w:val="24"/>
          <w:szCs w:val="24"/>
          <w:vertAlign w:val="superscript"/>
        </w:rPr>
        <w:t>th</w:t>
      </w:r>
      <w:r w:rsidR="001B7D35" w:rsidRPr="001A15EE">
        <w:rPr>
          <w:rFonts w:ascii="Arial" w:eastAsia="Arial" w:hAnsi="Arial" w:cs="Arial"/>
          <w:sz w:val="24"/>
          <w:szCs w:val="24"/>
        </w:rPr>
        <w:t xml:space="preserve"> day suggests complex microbial dynamics, where early degradation may release soluble compounds before further breakdown occurs later. The interaction effect (M×D) showed that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 xml:space="preserve"> at the 10</w:t>
      </w:r>
      <w:r w:rsidR="001B7D35" w:rsidRPr="001A15EE">
        <w:rPr>
          <w:rFonts w:ascii="Arial" w:eastAsia="Arial" w:hAnsi="Arial" w:cs="Arial"/>
          <w:sz w:val="24"/>
          <w:szCs w:val="24"/>
          <w:vertAlign w:val="superscript"/>
        </w:rPr>
        <w:t>th</w:t>
      </w:r>
      <w:r w:rsidR="001B7D35" w:rsidRPr="001A15EE">
        <w:rPr>
          <w:rFonts w:ascii="Arial" w:eastAsia="Arial" w:hAnsi="Arial" w:cs="Arial"/>
          <w:sz w:val="24"/>
          <w:szCs w:val="24"/>
        </w:rPr>
        <w:t xml:space="preserve"> day produced the lowest TDS (12,480.00 mg/L), achieving over 84–85% reduction compared to respective controls. </w:t>
      </w:r>
      <w:r w:rsidRPr="001A15EE">
        <w:rPr>
          <w:rFonts w:ascii="Arial" w:hAnsi="Arial" w:cs="Arial"/>
          <w:sz w:val="24"/>
          <w:szCs w:val="24"/>
          <w:shd w:val="clear" w:color="auto" w:fill="FFFFFF"/>
        </w:rPr>
        <w:t>Shugaba</w:t>
      </w:r>
      <w:r w:rsidRPr="001A15EE">
        <w:rPr>
          <w:rFonts w:ascii="Arial" w:hAnsi="Arial" w:cs="Arial"/>
          <w:i/>
          <w:iCs/>
          <w:sz w:val="24"/>
          <w:szCs w:val="24"/>
          <w:shd w:val="clear" w:color="auto" w:fill="FFFFFF"/>
        </w:rPr>
        <w:t>et al.</w:t>
      </w:r>
      <w:r w:rsidRPr="001A15EE">
        <w:rPr>
          <w:rFonts w:ascii="Arial" w:hAnsi="Arial" w:cs="Arial"/>
          <w:sz w:val="24"/>
          <w:szCs w:val="24"/>
          <w:shd w:val="clear" w:color="auto" w:fill="FFFFFF"/>
        </w:rPr>
        <w:t xml:space="preserve"> (2010) also found that the TDS of tannery wastewater decreased from </w:t>
      </w:r>
      <w:r w:rsidRPr="001A15EE">
        <w:rPr>
          <w:rFonts w:ascii="Arial" w:hAnsi="Arial" w:cs="Arial"/>
          <w:sz w:val="24"/>
          <w:szCs w:val="24"/>
          <w:shd w:val="clear" w:color="auto" w:fill="FFFFFF"/>
        </w:rPr>
        <w:lastRenderedPageBreak/>
        <w:t xml:space="preserve">9,171 mg/L to 1,138 mg/L after treatment with </w:t>
      </w:r>
      <w:r w:rsidRPr="001A15EE">
        <w:rPr>
          <w:rFonts w:ascii="Arial" w:hAnsi="Arial" w:cs="Arial"/>
          <w:i/>
          <w:iCs/>
          <w:sz w:val="24"/>
          <w:szCs w:val="24"/>
          <w:shd w:val="clear" w:color="auto" w:fill="FFFFFF"/>
        </w:rPr>
        <w:t xml:space="preserve">A. niger, </w:t>
      </w:r>
      <w:r w:rsidRPr="001A15EE">
        <w:rPr>
          <w:rFonts w:ascii="Arial" w:hAnsi="Arial" w:cs="Arial"/>
          <w:sz w:val="24"/>
          <w:szCs w:val="24"/>
          <w:shd w:val="clear" w:color="auto" w:fill="FFFFFF"/>
        </w:rPr>
        <w:t>which showed efficiency of reducing TDS content (87.59%) of distillery spent wash.</w:t>
      </w:r>
    </w:p>
    <w:p w:rsidR="001B7D35" w:rsidRPr="001A15EE" w:rsidRDefault="001B7D35" w:rsidP="0044325A">
      <w:pPr>
        <w:spacing w:after="0"/>
        <w:ind w:right="-45" w:firstLine="720"/>
        <w:jc w:val="both"/>
        <w:rPr>
          <w:rFonts w:ascii="Arial" w:eastAsia="Arial" w:hAnsi="Arial" w:cs="Arial"/>
          <w:sz w:val="24"/>
          <w:szCs w:val="24"/>
        </w:rPr>
      </w:pPr>
    </w:p>
    <w:p w:rsidR="001B7D35" w:rsidRPr="001A15EE" w:rsidRDefault="001B7D35" w:rsidP="00535F85">
      <w:pPr>
        <w:tabs>
          <w:tab w:val="left" w:pos="142"/>
          <w:tab w:val="left" w:pos="709"/>
        </w:tabs>
        <w:spacing w:after="0"/>
        <w:ind w:left="1418" w:hanging="1418"/>
        <w:jc w:val="both"/>
        <w:rPr>
          <w:rFonts w:ascii="Arial" w:hAnsi="Arial" w:cs="Arial"/>
          <w:sz w:val="32"/>
          <w:szCs w:val="32"/>
        </w:rPr>
      </w:pPr>
      <w:r w:rsidRPr="001A15EE">
        <w:rPr>
          <w:rFonts w:ascii="Arial" w:hAnsi="Arial" w:cs="Arial"/>
          <w:b/>
          <w:bCs/>
          <w:sz w:val="24"/>
          <w:szCs w:val="24"/>
        </w:rPr>
        <w:t xml:space="preserve">Table </w:t>
      </w:r>
      <w:r w:rsidR="00BF319B">
        <w:rPr>
          <w:rFonts w:ascii="Arial" w:hAnsi="Arial" w:cs="Arial"/>
          <w:b/>
          <w:bCs/>
          <w:sz w:val="24"/>
          <w:szCs w:val="24"/>
        </w:rPr>
        <w:t>6</w:t>
      </w:r>
      <w:r w:rsidRPr="001A15EE">
        <w:rPr>
          <w:rFonts w:ascii="Arial" w:hAnsi="Arial" w:cs="Arial"/>
          <w:b/>
          <w:bCs/>
          <w:sz w:val="24"/>
          <w:szCs w:val="24"/>
        </w:rPr>
        <w:t>: Effect of microbial inoculation and incubation period on TDS (mg/L) of distillery spent wash</w:t>
      </w:r>
    </w:p>
    <w:tbl>
      <w:tblPr>
        <w:tblW w:w="4907" w:type="pct"/>
        <w:tblInd w:w="108" w:type="dxa"/>
        <w:tblLook w:val="04A0"/>
      </w:tblPr>
      <w:tblGrid>
        <w:gridCol w:w="2527"/>
        <w:gridCol w:w="1749"/>
        <w:gridCol w:w="1633"/>
        <w:gridCol w:w="1609"/>
        <w:gridCol w:w="1553"/>
      </w:tblGrid>
      <w:tr w:rsidR="001B7D35" w:rsidRPr="001A15EE" w:rsidTr="00535F85">
        <w:trPr>
          <w:trHeight w:val="139"/>
        </w:trPr>
        <w:tc>
          <w:tcPr>
            <w:tcW w:w="1393" w:type="pct"/>
            <w:vMerge w:val="restart"/>
            <w:tcBorders>
              <w:top w:val="single" w:sz="8" w:space="0" w:color="auto"/>
              <w:left w:val="single" w:sz="8" w:space="0" w:color="auto"/>
              <w:bottom w:val="single" w:sz="8" w:space="0" w:color="000000"/>
              <w:right w:val="single" w:sz="8" w:space="0" w:color="auto"/>
            </w:tcBorders>
            <w:noWrap/>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Microbial </w:t>
            </w:r>
          </w:p>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inoculation</w:t>
            </w:r>
          </w:p>
        </w:tc>
        <w:tc>
          <w:tcPr>
            <w:tcW w:w="3607" w:type="pct"/>
            <w:gridSpan w:val="4"/>
            <w:tcBorders>
              <w:top w:val="single" w:sz="8" w:space="0" w:color="auto"/>
              <w:left w:val="nil"/>
              <w:bottom w:val="single" w:sz="8" w:space="0" w:color="auto"/>
              <w:right w:val="single" w:sz="8" w:space="0" w:color="000000"/>
            </w:tcBorders>
            <w:noWrap/>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TDS (mg/L)</w:t>
            </w:r>
          </w:p>
        </w:tc>
      </w:tr>
      <w:tr w:rsidR="001B7D35" w:rsidRPr="001A15EE" w:rsidTr="00535F85">
        <w:trPr>
          <w:trHeight w:val="115"/>
        </w:trPr>
        <w:tc>
          <w:tcPr>
            <w:tcW w:w="1393" w:type="pct"/>
            <w:vMerge/>
            <w:tcBorders>
              <w:top w:val="single" w:sz="8" w:space="0" w:color="auto"/>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c>
          <w:tcPr>
            <w:tcW w:w="2751" w:type="pct"/>
            <w:gridSpan w:val="3"/>
            <w:tcBorders>
              <w:top w:val="single" w:sz="8" w:space="0" w:color="auto"/>
              <w:left w:val="nil"/>
              <w:bottom w:val="single" w:sz="8" w:space="0" w:color="auto"/>
              <w:right w:val="nil"/>
            </w:tcBorders>
            <w:noWrap/>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855" w:type="pct"/>
            <w:vMerge w:val="restart"/>
            <w:tcBorders>
              <w:top w:val="nil"/>
              <w:left w:val="single" w:sz="8" w:space="0" w:color="auto"/>
              <w:bottom w:val="single" w:sz="8" w:space="0" w:color="000000"/>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1B7D35" w:rsidRPr="001A15EE" w:rsidTr="00535F85">
        <w:trPr>
          <w:trHeight w:val="105"/>
        </w:trPr>
        <w:tc>
          <w:tcPr>
            <w:tcW w:w="1393" w:type="pct"/>
            <w:vMerge/>
            <w:tcBorders>
              <w:top w:val="single" w:sz="8" w:space="0" w:color="auto"/>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c>
          <w:tcPr>
            <w:tcW w:w="964" w:type="pct"/>
            <w:tcBorders>
              <w:top w:val="nil"/>
              <w:left w:val="nil"/>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900" w:type="pct"/>
            <w:tcBorders>
              <w:top w:val="nil"/>
              <w:left w:val="nil"/>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87" w:type="pct"/>
            <w:tcBorders>
              <w:top w:val="nil"/>
              <w:left w:val="nil"/>
              <w:bottom w:val="single" w:sz="8" w:space="0" w:color="auto"/>
              <w:right w:val="nil"/>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855" w:type="pct"/>
            <w:vMerge/>
            <w:tcBorders>
              <w:top w:val="nil"/>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r>
      <w:tr w:rsidR="001B7D35" w:rsidRPr="001A15EE" w:rsidTr="00535F85">
        <w:trPr>
          <w:trHeight w:val="96"/>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64" w:type="pct"/>
            <w:tcBorders>
              <w:top w:val="single" w:sz="4" w:space="0" w:color="000000"/>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83,978.00</w:t>
            </w:r>
          </w:p>
        </w:tc>
        <w:tc>
          <w:tcPr>
            <w:tcW w:w="900" w:type="pct"/>
            <w:tcBorders>
              <w:top w:val="single" w:sz="4" w:space="0" w:color="000000"/>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82,752.00</w:t>
            </w:r>
          </w:p>
        </w:tc>
        <w:tc>
          <w:tcPr>
            <w:tcW w:w="887" w:type="pct"/>
            <w:tcBorders>
              <w:top w:val="single" w:sz="4" w:space="0" w:color="000000"/>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82,484.00</w:t>
            </w:r>
          </w:p>
        </w:tc>
        <w:tc>
          <w:tcPr>
            <w:tcW w:w="855" w:type="pct"/>
            <w:tcBorders>
              <w:top w:val="single" w:sz="4" w:space="0" w:color="000000"/>
              <w:left w:val="nil"/>
              <w:bottom w:val="single" w:sz="4" w:space="0" w:color="000000"/>
              <w:right w:val="single" w:sz="8" w:space="0" w:color="auto"/>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83,071.34</w:t>
            </w:r>
          </w:p>
        </w:tc>
      </w:tr>
      <w:tr w:rsidR="001B7D35" w:rsidRPr="001A15EE" w:rsidTr="00535F85">
        <w:trPr>
          <w:trHeight w:val="85"/>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64" w:type="pct"/>
            <w:tcBorders>
              <w:top w:val="nil"/>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12,500.00</w:t>
            </w:r>
          </w:p>
        </w:tc>
        <w:tc>
          <w:tcPr>
            <w:tcW w:w="900"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22,800.00</w:t>
            </w:r>
          </w:p>
        </w:tc>
        <w:tc>
          <w:tcPr>
            <w:tcW w:w="887"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22,320.00</w:t>
            </w:r>
          </w:p>
        </w:tc>
        <w:tc>
          <w:tcPr>
            <w:tcW w:w="855" w:type="pct"/>
            <w:tcBorders>
              <w:top w:val="nil"/>
              <w:left w:val="nil"/>
              <w:bottom w:val="single" w:sz="4" w:space="0" w:color="000000"/>
              <w:right w:val="single" w:sz="8" w:space="0" w:color="auto"/>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19,206.67</w:t>
            </w:r>
          </w:p>
        </w:tc>
      </w:tr>
      <w:tr w:rsidR="001B7D35" w:rsidRPr="001A15EE" w:rsidTr="00535F85">
        <w:trPr>
          <w:trHeight w:val="76"/>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64" w:type="pct"/>
            <w:tcBorders>
              <w:top w:val="nil"/>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12,480.00</w:t>
            </w:r>
          </w:p>
        </w:tc>
        <w:tc>
          <w:tcPr>
            <w:tcW w:w="900"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13,494.00</w:t>
            </w:r>
          </w:p>
        </w:tc>
        <w:tc>
          <w:tcPr>
            <w:tcW w:w="887"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12,950.00</w:t>
            </w:r>
          </w:p>
        </w:tc>
        <w:tc>
          <w:tcPr>
            <w:tcW w:w="855" w:type="pct"/>
            <w:tcBorders>
              <w:top w:val="nil"/>
              <w:left w:val="nil"/>
              <w:bottom w:val="single" w:sz="4" w:space="0" w:color="000000"/>
              <w:right w:val="single" w:sz="8" w:space="0" w:color="auto"/>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12,974.67</w:t>
            </w:r>
          </w:p>
        </w:tc>
      </w:tr>
      <w:tr w:rsidR="001B7D35" w:rsidRPr="001A15EE" w:rsidTr="00535F85">
        <w:trPr>
          <w:trHeight w:val="65"/>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964" w:type="pct"/>
            <w:tcBorders>
              <w:top w:val="nil"/>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36,319.33</w:t>
            </w:r>
          </w:p>
        </w:tc>
        <w:tc>
          <w:tcPr>
            <w:tcW w:w="900"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39,682.00</w:t>
            </w:r>
          </w:p>
        </w:tc>
        <w:tc>
          <w:tcPr>
            <w:tcW w:w="887"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39,251.33</w:t>
            </w:r>
          </w:p>
        </w:tc>
        <w:tc>
          <w:tcPr>
            <w:tcW w:w="855" w:type="pct"/>
            <w:tcBorders>
              <w:top w:val="nil"/>
              <w:left w:val="single" w:sz="8" w:space="0" w:color="auto"/>
              <w:bottom w:val="single" w:sz="8" w:space="0" w:color="auto"/>
              <w:right w:val="single" w:sz="8" w:space="0" w:color="auto"/>
            </w:tcBorders>
            <w:noWrap/>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38,417.56</w:t>
            </w:r>
          </w:p>
        </w:tc>
      </w:tr>
      <w:tr w:rsidR="001B7D35" w:rsidRPr="001A15EE" w:rsidTr="00535F85">
        <w:trPr>
          <w:trHeight w:val="183"/>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1864" w:type="pct"/>
            <w:gridSpan w:val="2"/>
            <w:tcBorders>
              <w:top w:val="single" w:sz="8" w:space="0" w:color="auto"/>
              <w:left w:val="nil"/>
              <w:bottom w:val="single" w:sz="8" w:space="0" w:color="auto"/>
              <w:right w:val="nil"/>
            </w:tcBorders>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S.Em. (</w:t>
            </w:r>
            <w:r w:rsidRPr="001A15EE">
              <w:rPr>
                <w:rFonts w:ascii="Arial" w:hAnsi="Arial" w:cs="Arial"/>
                <w:sz w:val="24"/>
                <w:szCs w:val="24"/>
              </w:rPr>
              <w:t>±)</w:t>
            </w:r>
          </w:p>
        </w:tc>
        <w:tc>
          <w:tcPr>
            <w:tcW w:w="887" w:type="pct"/>
            <w:tcBorders>
              <w:top w:val="single" w:sz="8" w:space="0" w:color="auto"/>
              <w:left w:val="single" w:sz="8" w:space="0" w:color="auto"/>
              <w:bottom w:val="single" w:sz="8" w:space="0" w:color="auto"/>
              <w:right w:val="single" w:sz="8" w:space="0" w:color="auto"/>
            </w:tcBorders>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855" w:type="pct"/>
            <w:tcBorders>
              <w:top w:val="nil"/>
              <w:left w:val="nil"/>
              <w:bottom w:val="single" w:sz="8" w:space="0" w:color="auto"/>
              <w:right w:val="single" w:sz="8" w:space="0" w:color="auto"/>
            </w:tcBorders>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1B7D35" w:rsidRPr="001A15EE" w:rsidTr="00535F85">
        <w:trPr>
          <w:trHeight w:val="46"/>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1864" w:type="pct"/>
            <w:gridSpan w:val="2"/>
            <w:tcBorders>
              <w:top w:val="single" w:sz="4" w:space="0" w:color="000000"/>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64.53</w:t>
            </w:r>
          </w:p>
        </w:tc>
        <w:tc>
          <w:tcPr>
            <w:tcW w:w="887" w:type="pct"/>
            <w:tcBorders>
              <w:top w:val="single" w:sz="4" w:space="0" w:color="000000"/>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185.83</w:t>
            </w:r>
          </w:p>
        </w:tc>
        <w:tc>
          <w:tcPr>
            <w:tcW w:w="855" w:type="pct"/>
            <w:vMerge w:val="restart"/>
            <w:tcBorders>
              <w:top w:val="nil"/>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0.65</w:t>
            </w:r>
          </w:p>
        </w:tc>
      </w:tr>
      <w:tr w:rsidR="001B7D35" w:rsidRPr="001A15EE" w:rsidTr="00535F85">
        <w:trPr>
          <w:trHeight w:val="277"/>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1864" w:type="pct"/>
            <w:gridSpan w:val="2"/>
            <w:tcBorders>
              <w:top w:val="nil"/>
              <w:left w:val="single" w:sz="4" w:space="0" w:color="000000"/>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64.53</w:t>
            </w:r>
          </w:p>
        </w:tc>
        <w:tc>
          <w:tcPr>
            <w:tcW w:w="887" w:type="pct"/>
            <w:tcBorders>
              <w:top w:val="nil"/>
              <w:left w:val="nil"/>
              <w:bottom w:val="single" w:sz="4" w:space="0" w:color="000000"/>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185.83</w:t>
            </w:r>
          </w:p>
        </w:tc>
        <w:tc>
          <w:tcPr>
            <w:tcW w:w="855" w:type="pct"/>
            <w:vMerge/>
            <w:tcBorders>
              <w:top w:val="nil"/>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r>
      <w:tr w:rsidR="001B7D35" w:rsidRPr="001A15EE" w:rsidTr="00535F85">
        <w:trPr>
          <w:trHeight w:val="111"/>
        </w:trPr>
        <w:tc>
          <w:tcPr>
            <w:tcW w:w="1393" w:type="pct"/>
            <w:tcBorders>
              <w:top w:val="nil"/>
              <w:left w:val="single" w:sz="8" w:space="0" w:color="auto"/>
              <w:bottom w:val="single" w:sz="8" w:space="0" w:color="auto"/>
              <w:right w:val="single" w:sz="8" w:space="0" w:color="auto"/>
            </w:tcBorders>
            <w:vAlign w:val="bottom"/>
            <w:hideMark/>
          </w:tcPr>
          <w:p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1864" w:type="pct"/>
            <w:gridSpan w:val="2"/>
            <w:tcBorders>
              <w:top w:val="nil"/>
              <w:left w:val="single" w:sz="4" w:space="0" w:color="000000"/>
              <w:bottom w:val="single" w:sz="8" w:space="0" w:color="auto"/>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111.76</w:t>
            </w:r>
          </w:p>
        </w:tc>
        <w:tc>
          <w:tcPr>
            <w:tcW w:w="887" w:type="pct"/>
            <w:tcBorders>
              <w:top w:val="nil"/>
              <w:left w:val="nil"/>
              <w:bottom w:val="single" w:sz="8" w:space="0" w:color="auto"/>
              <w:right w:val="single" w:sz="4" w:space="0" w:color="000000"/>
            </w:tcBorders>
            <w:vAlign w:val="bottom"/>
            <w:hideMark/>
          </w:tcPr>
          <w:p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321.86</w:t>
            </w:r>
          </w:p>
        </w:tc>
        <w:tc>
          <w:tcPr>
            <w:tcW w:w="855" w:type="pct"/>
            <w:vMerge/>
            <w:tcBorders>
              <w:top w:val="nil"/>
              <w:left w:val="single" w:sz="8" w:space="0" w:color="auto"/>
              <w:bottom w:val="single" w:sz="8" w:space="0" w:color="000000"/>
              <w:right w:val="single" w:sz="8" w:space="0" w:color="auto"/>
            </w:tcBorders>
            <w:vAlign w:val="center"/>
            <w:hideMark/>
          </w:tcPr>
          <w:p w:rsidR="001B7D35" w:rsidRPr="001A15EE" w:rsidRDefault="001B7D35" w:rsidP="00535F85">
            <w:pPr>
              <w:spacing w:after="0" w:line="240" w:lineRule="auto"/>
              <w:rPr>
                <w:rFonts w:ascii="Arial" w:hAnsi="Arial" w:cs="Arial"/>
                <w:b/>
                <w:bCs/>
                <w:sz w:val="24"/>
                <w:szCs w:val="24"/>
              </w:rPr>
            </w:pPr>
          </w:p>
        </w:tc>
      </w:tr>
    </w:tbl>
    <w:p w:rsidR="00C673D6" w:rsidRPr="001A15EE" w:rsidRDefault="00C673D6" w:rsidP="00535F85">
      <w:pPr>
        <w:spacing w:after="0"/>
        <w:ind w:hanging="851"/>
        <w:jc w:val="center"/>
        <w:rPr>
          <w:rFonts w:ascii="Arial" w:hAnsi="Arial" w:cs="Arial"/>
          <w:b/>
          <w:bCs/>
          <w:sz w:val="24"/>
          <w:szCs w:val="24"/>
        </w:rPr>
      </w:pPr>
    </w:p>
    <w:p w:rsidR="00C673D6" w:rsidRPr="001A15EE" w:rsidRDefault="001B7D35" w:rsidP="00535F85">
      <w:pPr>
        <w:jc w:val="center"/>
        <w:rPr>
          <w:rFonts w:ascii="Arial" w:hAnsi="Arial" w:cs="Arial"/>
          <w:b/>
          <w:bCs/>
          <w:sz w:val="24"/>
          <w:szCs w:val="24"/>
        </w:rPr>
      </w:pPr>
      <w:r w:rsidRPr="001A15EE">
        <w:rPr>
          <w:rFonts w:ascii="Arial" w:hAnsi="Arial" w:cs="Arial"/>
          <w:b/>
          <w:bCs/>
          <w:noProof/>
          <w:sz w:val="24"/>
          <w:szCs w:val="24"/>
        </w:rPr>
        <w:drawing>
          <wp:inline distT="0" distB="0" distL="0" distR="0">
            <wp:extent cx="5734547" cy="2464905"/>
            <wp:effectExtent l="19050" t="0" r="18553" b="0"/>
            <wp:docPr id="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B7D35" w:rsidRPr="001A15EE" w:rsidRDefault="00535F85" w:rsidP="00DB7809">
      <w:pPr>
        <w:spacing w:after="0"/>
        <w:ind w:left="993" w:hanging="993"/>
        <w:jc w:val="both"/>
        <w:rPr>
          <w:rFonts w:ascii="Arial" w:hAnsi="Arial" w:cs="Arial"/>
          <w:b/>
          <w:bCs/>
          <w:sz w:val="24"/>
          <w:szCs w:val="24"/>
        </w:rPr>
      </w:pPr>
      <w:r w:rsidRPr="001A15EE">
        <w:rPr>
          <w:rFonts w:ascii="Arial" w:hAnsi="Arial" w:cs="Arial"/>
          <w:b/>
          <w:bCs/>
          <w:sz w:val="24"/>
          <w:szCs w:val="24"/>
        </w:rPr>
        <w:t xml:space="preserve">Fig. </w:t>
      </w:r>
      <w:r w:rsidR="007152DC">
        <w:rPr>
          <w:rFonts w:ascii="Arial" w:hAnsi="Arial" w:cs="Arial"/>
          <w:b/>
          <w:bCs/>
          <w:sz w:val="24"/>
          <w:szCs w:val="24"/>
        </w:rPr>
        <w:t>3</w:t>
      </w:r>
      <w:r w:rsidR="001B7D35" w:rsidRPr="001A15EE">
        <w:rPr>
          <w:rFonts w:ascii="Arial" w:hAnsi="Arial" w:cs="Arial"/>
          <w:b/>
          <w:bCs/>
          <w:sz w:val="24"/>
          <w:szCs w:val="24"/>
        </w:rPr>
        <w:t xml:space="preserve"> Effect of microbial inoculation and incubation period on reduction of TDS in distillery spent wash</w:t>
      </w:r>
    </w:p>
    <w:p w:rsidR="007037ED" w:rsidRPr="001A15EE" w:rsidRDefault="007037ED" w:rsidP="00DB7809">
      <w:pPr>
        <w:tabs>
          <w:tab w:val="left" w:pos="1395"/>
        </w:tabs>
        <w:spacing w:after="0"/>
        <w:ind w:left="426" w:hanging="426"/>
        <w:jc w:val="both"/>
        <w:rPr>
          <w:rFonts w:ascii="Arial" w:hAnsi="Arial" w:cs="Arial"/>
          <w:b/>
          <w:bCs/>
          <w:sz w:val="24"/>
          <w:szCs w:val="20"/>
        </w:rPr>
      </w:pPr>
      <w:r w:rsidRPr="001A15EE">
        <w:rPr>
          <w:rFonts w:ascii="Arial" w:eastAsia="Times New Roman" w:hAnsi="Arial" w:cs="Arial"/>
          <w:b/>
          <w:bCs/>
          <w:sz w:val="24"/>
          <w:szCs w:val="20"/>
        </w:rPr>
        <w:t>3.3 Effect</w:t>
      </w:r>
      <w:r w:rsidRPr="001A15EE">
        <w:rPr>
          <w:rFonts w:ascii="Arial" w:hAnsi="Arial" w:cs="Arial"/>
          <w:b/>
          <w:bCs/>
          <w:sz w:val="24"/>
          <w:szCs w:val="20"/>
        </w:rPr>
        <w:t xml:space="preserve"> of Microbial Inoculation and Incubation Period on Fe, Mn, Zn and Cu Content of Distillery Spent Wash</w:t>
      </w:r>
    </w:p>
    <w:p w:rsidR="007037ED" w:rsidRPr="001A15EE" w:rsidRDefault="00535F85" w:rsidP="00E07B87">
      <w:pPr>
        <w:tabs>
          <w:tab w:val="left" w:pos="142"/>
          <w:tab w:val="left" w:pos="567"/>
          <w:tab w:val="left" w:pos="709"/>
        </w:tabs>
        <w:spacing w:after="0"/>
        <w:jc w:val="both"/>
        <w:rPr>
          <w:rFonts w:ascii="Arial" w:hAnsi="Arial" w:cs="Arial"/>
          <w:sz w:val="24"/>
          <w:szCs w:val="20"/>
        </w:rPr>
      </w:pPr>
      <w:r w:rsidRPr="001A15EE">
        <w:rPr>
          <w:rFonts w:ascii="Arial" w:hAnsi="Arial" w:cs="Arial"/>
          <w:sz w:val="24"/>
          <w:szCs w:val="20"/>
        </w:rPr>
        <w:tab/>
      </w:r>
      <w:r w:rsidRPr="001A15EE">
        <w:rPr>
          <w:rFonts w:ascii="Arial" w:hAnsi="Arial" w:cs="Arial"/>
          <w:sz w:val="24"/>
          <w:szCs w:val="20"/>
        </w:rPr>
        <w:tab/>
      </w:r>
      <w:r w:rsidRPr="001A15EE">
        <w:rPr>
          <w:rFonts w:ascii="Arial" w:hAnsi="Arial" w:cs="Arial"/>
          <w:sz w:val="24"/>
          <w:szCs w:val="20"/>
        </w:rPr>
        <w:tab/>
      </w:r>
      <w:r w:rsidRPr="001A15EE">
        <w:rPr>
          <w:rFonts w:ascii="Arial" w:hAnsi="Arial" w:cs="Arial"/>
          <w:sz w:val="24"/>
          <w:szCs w:val="20"/>
        </w:rPr>
        <w:tab/>
      </w:r>
      <w:r w:rsidR="007037ED" w:rsidRPr="001A15EE">
        <w:rPr>
          <w:rFonts w:ascii="Arial" w:hAnsi="Arial" w:cs="Arial"/>
          <w:sz w:val="24"/>
          <w:szCs w:val="20"/>
        </w:rPr>
        <w:t>Treatment M</w:t>
      </w:r>
      <w:r w:rsidR="007037ED" w:rsidRPr="001A15EE">
        <w:rPr>
          <w:rFonts w:ascii="Arial" w:hAnsi="Arial" w:cs="Arial"/>
          <w:sz w:val="24"/>
          <w:szCs w:val="20"/>
          <w:vertAlign w:val="subscript"/>
        </w:rPr>
        <w:t>0</w:t>
      </w:r>
      <w:r w:rsidR="007037ED" w:rsidRPr="001A15EE">
        <w:rPr>
          <w:rFonts w:ascii="Arial" w:hAnsi="Arial" w:cs="Arial"/>
          <w:sz w:val="24"/>
          <w:szCs w:val="20"/>
        </w:rPr>
        <w:t xml:space="preserve"> (without inoculation) showed significantly the highest mean Fe content (33.36 mg/L), while significantly the lowest Fe content was observed in M</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(19.50 mg/L) which was statistically at par with M</w:t>
      </w:r>
      <w:r w:rsidR="007037ED" w:rsidRPr="001A15EE">
        <w:rPr>
          <w:rFonts w:ascii="Arial" w:hAnsi="Arial" w:cs="Arial"/>
          <w:sz w:val="24"/>
          <w:szCs w:val="20"/>
          <w:vertAlign w:val="subscript"/>
        </w:rPr>
        <w:t>2</w:t>
      </w:r>
      <w:r w:rsidR="007037ED" w:rsidRPr="001A15EE">
        <w:rPr>
          <w:rFonts w:ascii="Arial" w:hAnsi="Arial" w:cs="Arial"/>
          <w:sz w:val="24"/>
          <w:szCs w:val="20"/>
        </w:rPr>
        <w:t>. The data further showed that 41.55 and 37.20 per cent Fe content was decreased due to M</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and M</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over M</w:t>
      </w:r>
      <w:r w:rsidR="007037ED" w:rsidRPr="001A15EE">
        <w:rPr>
          <w:rFonts w:ascii="Arial" w:hAnsi="Arial" w:cs="Arial"/>
          <w:sz w:val="24"/>
          <w:szCs w:val="20"/>
          <w:vertAlign w:val="subscript"/>
        </w:rPr>
        <w:t>0</w:t>
      </w:r>
      <w:r w:rsidR="007037ED" w:rsidRPr="001A15EE">
        <w:rPr>
          <w:rFonts w:ascii="Arial" w:hAnsi="Arial" w:cs="Arial"/>
          <w:sz w:val="24"/>
          <w:szCs w:val="20"/>
        </w:rPr>
        <w:t>. In relation with the incubation period significantly lower Fe content (23.43 mg/L) in distillery spent wash was observed at 10</w:t>
      </w:r>
      <w:r w:rsidR="007037ED" w:rsidRPr="001A15EE">
        <w:rPr>
          <w:rFonts w:ascii="Arial" w:hAnsi="Arial" w:cs="Arial"/>
          <w:sz w:val="24"/>
          <w:szCs w:val="20"/>
          <w:vertAlign w:val="superscript"/>
        </w:rPr>
        <w:t>th</w:t>
      </w:r>
      <w:r w:rsidR="007037ED" w:rsidRPr="001A15EE">
        <w:rPr>
          <w:rFonts w:ascii="Arial" w:hAnsi="Arial" w:cs="Arial"/>
          <w:sz w:val="24"/>
          <w:szCs w:val="20"/>
        </w:rPr>
        <w:t xml:space="preserve"> day of incubation period. The data further showed that decrement in Fe content in distillery spent wash due to M</w:t>
      </w:r>
      <w:r w:rsidR="007037ED" w:rsidRPr="001A15EE">
        <w:rPr>
          <w:rFonts w:ascii="Arial" w:hAnsi="Arial" w:cs="Arial"/>
          <w:sz w:val="24"/>
          <w:szCs w:val="20"/>
          <w:vertAlign w:val="subscript"/>
        </w:rPr>
        <w:t>1</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was 53.12, 50.58 and 43.23 per cent over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and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3</w:t>
      </w:r>
      <w:r w:rsidR="007037ED" w:rsidRPr="001A15EE">
        <w:rPr>
          <w:rFonts w:ascii="Arial" w:hAnsi="Arial" w:cs="Arial"/>
          <w:sz w:val="24"/>
          <w:szCs w:val="20"/>
        </w:rPr>
        <w:t>, while in case of M</w:t>
      </w:r>
      <w:r w:rsidR="007037ED" w:rsidRPr="001A15EE">
        <w:rPr>
          <w:rFonts w:ascii="Arial" w:hAnsi="Arial" w:cs="Arial"/>
          <w:sz w:val="24"/>
          <w:szCs w:val="20"/>
          <w:vertAlign w:val="subscript"/>
        </w:rPr>
        <w:t>2</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,decrement in Fe content of spent wash was 52.04, 49.44 and 41.93 per cent over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and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3</w:t>
      </w:r>
      <w:r w:rsidR="007037ED" w:rsidRPr="001A15EE">
        <w:rPr>
          <w:rFonts w:ascii="Arial" w:hAnsi="Arial" w:cs="Arial"/>
          <w:sz w:val="24"/>
          <w:szCs w:val="20"/>
        </w:rPr>
        <w:t xml:space="preserve">, respectively. Verma </w:t>
      </w:r>
      <w:r w:rsidR="007037ED" w:rsidRPr="001A15EE">
        <w:rPr>
          <w:rFonts w:ascii="Arial" w:hAnsi="Arial" w:cs="Arial"/>
          <w:i/>
          <w:iCs/>
          <w:sz w:val="24"/>
          <w:szCs w:val="20"/>
        </w:rPr>
        <w:t>et al.</w:t>
      </w:r>
      <w:r w:rsidR="007037ED" w:rsidRPr="001A15EE">
        <w:rPr>
          <w:rFonts w:ascii="Arial" w:hAnsi="Arial" w:cs="Arial"/>
          <w:sz w:val="24"/>
          <w:szCs w:val="20"/>
        </w:rPr>
        <w:t xml:space="preserve"> (2022) reported that heavy </w:t>
      </w:r>
      <w:r w:rsidR="007037ED" w:rsidRPr="001A15EE">
        <w:rPr>
          <w:rFonts w:ascii="Arial" w:hAnsi="Arial" w:cs="Arial"/>
          <w:sz w:val="24"/>
          <w:szCs w:val="20"/>
        </w:rPr>
        <w:lastRenderedPageBreak/>
        <w:t>metal concentrations also decreased significantly like Fe content was decreased from 65.02 mg/L to 13.01 mg/L in pulp paper industrial effluent through bacterial treatment. This is because of mechanisms such as biosorption, precipitation or redox conversion of Fe²</w:t>
      </w:r>
      <w:r w:rsidR="007037ED" w:rsidRPr="001A15EE">
        <w:rPr>
          <w:rFonts w:ascii="Times New Roman" w:hAnsi="Times New Roman" w:cs="Arial"/>
          <w:sz w:val="24"/>
          <w:szCs w:val="20"/>
        </w:rPr>
        <w:t>⁺</w:t>
      </w:r>
      <w:r w:rsidR="007037ED" w:rsidRPr="001A15EE">
        <w:rPr>
          <w:rFonts w:ascii="Arial" w:hAnsi="Arial" w:cs="Arial"/>
          <w:sz w:val="24"/>
          <w:szCs w:val="20"/>
        </w:rPr>
        <w:t xml:space="preserve"> to insoluble forms.</w:t>
      </w:r>
    </w:p>
    <w:p w:rsidR="007037ED" w:rsidRPr="001A15EE" w:rsidRDefault="007037ED" w:rsidP="00535F85">
      <w:pPr>
        <w:tabs>
          <w:tab w:val="left" w:pos="142"/>
          <w:tab w:val="left" w:pos="709"/>
        </w:tabs>
        <w:spacing w:after="0"/>
        <w:ind w:left="1276" w:hanging="1276"/>
        <w:jc w:val="both"/>
        <w:rPr>
          <w:rFonts w:ascii="Arial" w:hAnsi="Arial" w:cs="Arial"/>
          <w:b/>
          <w:bCs/>
          <w:sz w:val="24"/>
          <w:szCs w:val="24"/>
        </w:rPr>
      </w:pPr>
      <w:r w:rsidRPr="001A15EE">
        <w:rPr>
          <w:rFonts w:ascii="Arial" w:hAnsi="Arial" w:cs="Arial"/>
          <w:b/>
          <w:bCs/>
          <w:sz w:val="24"/>
          <w:szCs w:val="24"/>
        </w:rPr>
        <w:t xml:space="preserve">Table </w:t>
      </w:r>
      <w:r w:rsidR="00BF319B">
        <w:rPr>
          <w:rFonts w:ascii="Arial" w:hAnsi="Arial" w:cs="Arial"/>
          <w:b/>
          <w:bCs/>
          <w:sz w:val="24"/>
          <w:szCs w:val="24"/>
        </w:rPr>
        <w:t>7</w:t>
      </w:r>
      <w:r w:rsidRPr="001A15EE">
        <w:rPr>
          <w:rFonts w:ascii="Arial" w:hAnsi="Arial" w:cs="Arial"/>
          <w:b/>
          <w:bCs/>
          <w:sz w:val="24"/>
          <w:szCs w:val="24"/>
        </w:rPr>
        <w:t>: Effect of microbial inoculation and incubation period on Fe content (mg/L) of distillery spent wash</w:t>
      </w:r>
    </w:p>
    <w:tbl>
      <w:tblPr>
        <w:tblW w:w="4907" w:type="pct"/>
        <w:tblInd w:w="108" w:type="dxa"/>
        <w:tblLook w:val="04A0"/>
      </w:tblPr>
      <w:tblGrid>
        <w:gridCol w:w="2579"/>
        <w:gridCol w:w="1635"/>
        <w:gridCol w:w="1526"/>
        <w:gridCol w:w="1593"/>
        <w:gridCol w:w="1738"/>
      </w:tblGrid>
      <w:tr w:rsidR="007037ED" w:rsidRPr="001A15EE" w:rsidTr="00535F85">
        <w:trPr>
          <w:trHeight w:val="60"/>
        </w:trPr>
        <w:tc>
          <w:tcPr>
            <w:tcW w:w="1422" w:type="pct"/>
            <w:vMerge w:val="restart"/>
            <w:tcBorders>
              <w:top w:val="single" w:sz="8" w:space="0" w:color="auto"/>
              <w:left w:val="single" w:sz="8" w:space="0" w:color="auto"/>
              <w:bottom w:val="single" w:sz="8" w:space="0" w:color="000000"/>
              <w:right w:val="single" w:sz="8" w:space="0" w:color="auto"/>
            </w:tcBorders>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Microbial </w:t>
            </w:r>
          </w:p>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inoculation</w:t>
            </w:r>
          </w:p>
        </w:tc>
        <w:tc>
          <w:tcPr>
            <w:tcW w:w="3578" w:type="pct"/>
            <w:gridSpan w:val="4"/>
            <w:tcBorders>
              <w:top w:val="single" w:sz="8" w:space="0" w:color="auto"/>
              <w:left w:val="nil"/>
              <w:bottom w:val="single" w:sz="8" w:space="0" w:color="auto"/>
              <w:right w:val="single" w:sz="8" w:space="0" w:color="000000"/>
            </w:tcBorders>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Fe (mg/L)</w:t>
            </w:r>
          </w:p>
        </w:tc>
      </w:tr>
      <w:tr w:rsidR="007037ED" w:rsidRPr="001A15EE" w:rsidTr="00535F85">
        <w:trPr>
          <w:trHeight w:val="60"/>
        </w:trPr>
        <w:tc>
          <w:tcPr>
            <w:tcW w:w="1422" w:type="pct"/>
            <w:vMerge/>
            <w:tcBorders>
              <w:top w:val="single" w:sz="8" w:space="0" w:color="auto"/>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c>
          <w:tcPr>
            <w:tcW w:w="2620" w:type="pct"/>
            <w:gridSpan w:val="3"/>
            <w:tcBorders>
              <w:top w:val="single" w:sz="8" w:space="0" w:color="auto"/>
              <w:left w:val="nil"/>
              <w:bottom w:val="single" w:sz="8" w:space="0" w:color="auto"/>
              <w:right w:val="nil"/>
            </w:tcBorders>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958" w:type="pct"/>
            <w:vMerge w:val="restart"/>
            <w:tcBorders>
              <w:top w:val="nil"/>
              <w:left w:val="single" w:sz="8" w:space="0" w:color="auto"/>
              <w:bottom w:val="single" w:sz="8"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7037ED" w:rsidRPr="001A15EE" w:rsidTr="00535F85">
        <w:trPr>
          <w:trHeight w:val="122"/>
        </w:trPr>
        <w:tc>
          <w:tcPr>
            <w:tcW w:w="1422" w:type="pct"/>
            <w:vMerge/>
            <w:tcBorders>
              <w:top w:val="single" w:sz="8" w:space="0" w:color="auto"/>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c>
          <w:tcPr>
            <w:tcW w:w="901" w:type="pct"/>
            <w:tcBorders>
              <w:top w:val="nil"/>
              <w:left w:val="nil"/>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41" w:type="pct"/>
            <w:tcBorders>
              <w:top w:val="nil"/>
              <w:left w:val="nil"/>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78" w:type="pct"/>
            <w:tcBorders>
              <w:top w:val="nil"/>
              <w:left w:val="nil"/>
              <w:bottom w:val="single" w:sz="8" w:space="0" w:color="auto"/>
              <w:right w:val="nil"/>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958"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535F85">
        <w:trPr>
          <w:trHeight w:val="112"/>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01"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36.07</w:t>
            </w:r>
          </w:p>
        </w:tc>
        <w:tc>
          <w:tcPr>
            <w:tcW w:w="841"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34.22</w:t>
            </w:r>
          </w:p>
        </w:tc>
        <w:tc>
          <w:tcPr>
            <w:tcW w:w="878"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29.79</w:t>
            </w:r>
          </w:p>
        </w:tc>
        <w:tc>
          <w:tcPr>
            <w:tcW w:w="958" w:type="pct"/>
            <w:tcBorders>
              <w:top w:val="single" w:sz="4" w:space="0" w:color="000000"/>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33.36</w:t>
            </w:r>
          </w:p>
        </w:tc>
      </w:tr>
      <w:tr w:rsidR="007037ED" w:rsidRPr="001A15EE" w:rsidTr="00535F85">
        <w:trPr>
          <w:trHeight w:val="102"/>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01"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16.91</w:t>
            </w:r>
          </w:p>
        </w:tc>
        <w:tc>
          <w:tcPr>
            <w:tcW w:w="841"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19.97</w:t>
            </w:r>
          </w:p>
        </w:tc>
        <w:tc>
          <w:tcPr>
            <w:tcW w:w="878"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21.63</w:t>
            </w:r>
          </w:p>
        </w:tc>
        <w:tc>
          <w:tcPr>
            <w:tcW w:w="958" w:type="pct"/>
            <w:tcBorders>
              <w:top w:val="nil"/>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19.50</w:t>
            </w:r>
          </w:p>
        </w:tc>
      </w:tr>
      <w:tr w:rsidR="007037ED" w:rsidRPr="001A15EE" w:rsidTr="00535F85">
        <w:trPr>
          <w:trHeight w:val="60"/>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01"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17.30</w:t>
            </w:r>
          </w:p>
        </w:tc>
        <w:tc>
          <w:tcPr>
            <w:tcW w:w="841"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21.99</w:t>
            </w:r>
          </w:p>
        </w:tc>
        <w:tc>
          <w:tcPr>
            <w:tcW w:w="878"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23.56</w:t>
            </w:r>
          </w:p>
        </w:tc>
        <w:tc>
          <w:tcPr>
            <w:tcW w:w="958" w:type="pct"/>
            <w:tcBorders>
              <w:top w:val="nil"/>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20.95</w:t>
            </w:r>
          </w:p>
        </w:tc>
      </w:tr>
      <w:tr w:rsidR="007037ED" w:rsidRPr="001A15EE" w:rsidTr="00535F85">
        <w:trPr>
          <w:trHeight w:val="68"/>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901"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23.43</w:t>
            </w:r>
          </w:p>
        </w:tc>
        <w:tc>
          <w:tcPr>
            <w:tcW w:w="841"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25.39</w:t>
            </w:r>
          </w:p>
        </w:tc>
        <w:tc>
          <w:tcPr>
            <w:tcW w:w="878"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25.00</w:t>
            </w:r>
          </w:p>
        </w:tc>
        <w:tc>
          <w:tcPr>
            <w:tcW w:w="958" w:type="pct"/>
            <w:tcBorders>
              <w:top w:val="nil"/>
              <w:left w:val="single" w:sz="8" w:space="0" w:color="auto"/>
              <w:bottom w:val="single" w:sz="8" w:space="0" w:color="auto"/>
              <w:right w:val="single" w:sz="8" w:space="0" w:color="auto"/>
            </w:tcBorders>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24.60</w:t>
            </w:r>
          </w:p>
        </w:tc>
      </w:tr>
      <w:tr w:rsidR="007037ED" w:rsidRPr="001A15EE" w:rsidTr="00535F85">
        <w:trPr>
          <w:trHeight w:val="60"/>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1742" w:type="pct"/>
            <w:gridSpan w:val="2"/>
            <w:tcBorders>
              <w:top w:val="single" w:sz="8" w:space="0" w:color="auto"/>
              <w:left w:val="nil"/>
              <w:bottom w:val="single" w:sz="8" w:space="0" w:color="auto"/>
              <w:right w:val="nil"/>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S.Em. (</w:t>
            </w:r>
            <w:r w:rsidRPr="001A15EE">
              <w:rPr>
                <w:rFonts w:ascii="Arial" w:hAnsi="Arial" w:cs="Arial"/>
                <w:sz w:val="24"/>
                <w:szCs w:val="24"/>
              </w:rPr>
              <w:t>±)</w:t>
            </w:r>
          </w:p>
        </w:tc>
        <w:tc>
          <w:tcPr>
            <w:tcW w:w="878" w:type="pct"/>
            <w:tcBorders>
              <w:top w:val="single" w:sz="8" w:space="0" w:color="auto"/>
              <w:left w:val="single" w:sz="8" w:space="0" w:color="auto"/>
              <w:bottom w:val="single" w:sz="8" w:space="0" w:color="auto"/>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958" w:type="pct"/>
            <w:tcBorders>
              <w:top w:val="nil"/>
              <w:left w:val="nil"/>
              <w:bottom w:val="single" w:sz="8" w:space="0" w:color="auto"/>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7037ED" w:rsidRPr="001A15EE" w:rsidTr="00535F85">
        <w:trPr>
          <w:trHeight w:val="60"/>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1742" w:type="pct"/>
            <w:gridSpan w:val="2"/>
            <w:tcBorders>
              <w:top w:val="single" w:sz="8" w:space="0" w:color="auto"/>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1.12</w:t>
            </w:r>
          </w:p>
        </w:tc>
        <w:tc>
          <w:tcPr>
            <w:tcW w:w="878"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3.23</w:t>
            </w:r>
          </w:p>
        </w:tc>
        <w:tc>
          <w:tcPr>
            <w:tcW w:w="958" w:type="pct"/>
            <w:vMerge w:val="restart"/>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17.64</w:t>
            </w:r>
          </w:p>
        </w:tc>
      </w:tr>
      <w:tr w:rsidR="007037ED" w:rsidRPr="001A15EE" w:rsidTr="00535F85">
        <w:trPr>
          <w:trHeight w:val="179"/>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1742" w:type="pct"/>
            <w:gridSpan w:val="2"/>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1.12</w:t>
            </w:r>
          </w:p>
        </w:tc>
        <w:tc>
          <w:tcPr>
            <w:tcW w:w="878"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NS</w:t>
            </w:r>
          </w:p>
        </w:tc>
        <w:tc>
          <w:tcPr>
            <w:tcW w:w="958"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535F85">
        <w:trPr>
          <w:trHeight w:val="155"/>
        </w:trPr>
        <w:tc>
          <w:tcPr>
            <w:tcW w:w="1422"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1742" w:type="pct"/>
            <w:gridSpan w:val="2"/>
            <w:tcBorders>
              <w:top w:val="single" w:sz="4" w:space="0" w:color="000000"/>
              <w:left w:val="nil"/>
              <w:bottom w:val="single" w:sz="8" w:space="0" w:color="auto"/>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1.94</w:t>
            </w:r>
          </w:p>
        </w:tc>
        <w:tc>
          <w:tcPr>
            <w:tcW w:w="878" w:type="pct"/>
            <w:tcBorders>
              <w:top w:val="nil"/>
              <w:left w:val="nil"/>
              <w:bottom w:val="single" w:sz="8" w:space="0" w:color="auto"/>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5.59</w:t>
            </w:r>
          </w:p>
        </w:tc>
        <w:tc>
          <w:tcPr>
            <w:tcW w:w="958"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bl>
    <w:p w:rsidR="007037ED" w:rsidRPr="001A15EE" w:rsidRDefault="007037ED" w:rsidP="00535F85">
      <w:pPr>
        <w:tabs>
          <w:tab w:val="left" w:pos="142"/>
          <w:tab w:val="left" w:pos="567"/>
          <w:tab w:val="left" w:pos="709"/>
        </w:tabs>
        <w:spacing w:after="0" w:line="240" w:lineRule="auto"/>
        <w:ind w:hanging="57"/>
        <w:jc w:val="both"/>
        <w:rPr>
          <w:rFonts w:ascii="Arial" w:hAnsi="Arial" w:cs="Arial"/>
          <w:sz w:val="24"/>
          <w:szCs w:val="20"/>
        </w:rPr>
      </w:pPr>
    </w:p>
    <w:p w:rsidR="007037ED" w:rsidRPr="001A15EE" w:rsidRDefault="007037ED" w:rsidP="00E07B87">
      <w:pPr>
        <w:tabs>
          <w:tab w:val="left" w:pos="0"/>
          <w:tab w:val="left" w:pos="567"/>
          <w:tab w:val="left" w:pos="709"/>
        </w:tabs>
        <w:spacing w:after="0"/>
        <w:ind w:hanging="57"/>
        <w:jc w:val="both"/>
        <w:rPr>
          <w:rFonts w:ascii="Arial" w:hAnsi="Arial" w:cs="Arial"/>
          <w:sz w:val="24"/>
          <w:szCs w:val="20"/>
        </w:rPr>
      </w:pPr>
      <w:r w:rsidRPr="001A15EE">
        <w:rPr>
          <w:rFonts w:ascii="Arial" w:hAnsi="Arial" w:cs="Arial"/>
          <w:sz w:val="24"/>
          <w:szCs w:val="20"/>
        </w:rPr>
        <w:tab/>
      </w:r>
      <w:r w:rsidRPr="001A15EE">
        <w:rPr>
          <w:rFonts w:ascii="Arial" w:hAnsi="Arial" w:cs="Arial"/>
          <w:sz w:val="24"/>
          <w:szCs w:val="20"/>
        </w:rPr>
        <w:tab/>
      </w:r>
      <w:r w:rsidRPr="001A15EE">
        <w:rPr>
          <w:rFonts w:ascii="Arial" w:hAnsi="Arial" w:cs="Arial"/>
          <w:sz w:val="24"/>
          <w:szCs w:val="20"/>
        </w:rPr>
        <w:tab/>
      </w:r>
      <w:r w:rsidRPr="001A15EE">
        <w:rPr>
          <w:rFonts w:ascii="Arial" w:hAnsi="Arial" w:cs="Arial"/>
          <w:sz w:val="24"/>
          <w:szCs w:val="20"/>
        </w:rPr>
        <w:tab/>
        <w:t>Significantly the highest mean Mn content (4.52 mg/L) was found in M</w:t>
      </w:r>
      <w:r w:rsidRPr="001A15EE">
        <w:rPr>
          <w:rFonts w:ascii="Arial" w:hAnsi="Arial" w:cs="Arial"/>
          <w:sz w:val="24"/>
          <w:szCs w:val="20"/>
          <w:vertAlign w:val="subscript"/>
        </w:rPr>
        <w:t>0</w:t>
      </w:r>
      <w:r w:rsidRPr="001A15EE">
        <w:rPr>
          <w:rFonts w:ascii="Arial" w:hAnsi="Arial" w:cs="Arial"/>
          <w:sz w:val="24"/>
          <w:szCs w:val="20"/>
        </w:rPr>
        <w:t xml:space="preserve"> treatment (without inoculation) and significantly lower Mn content (2.74 mg/L) was observed in distillery spent wash treated by </w:t>
      </w:r>
      <w:r w:rsidRPr="001A15EE">
        <w:rPr>
          <w:rFonts w:ascii="Arial" w:hAnsi="Arial" w:cs="Arial"/>
          <w:i/>
          <w:iCs/>
          <w:sz w:val="24"/>
          <w:szCs w:val="20"/>
        </w:rPr>
        <w:t>Aspergillus niger</w:t>
      </w:r>
      <w:r w:rsidRPr="001A15EE">
        <w:rPr>
          <w:rFonts w:ascii="Arial" w:hAnsi="Arial" w:cs="Arial"/>
          <w:sz w:val="24"/>
          <w:szCs w:val="20"/>
        </w:rPr>
        <w:t>. The observed reduction in Mn content with microbial inoculation, particularly with M</w:t>
      </w:r>
      <w:r w:rsidRPr="001A15EE">
        <w:rPr>
          <w:rFonts w:ascii="Arial" w:hAnsi="Arial" w:cs="Arial"/>
          <w:sz w:val="24"/>
          <w:szCs w:val="20"/>
          <w:vertAlign w:val="subscript"/>
        </w:rPr>
        <w:t xml:space="preserve">1 </w:t>
      </w:r>
      <w:r w:rsidRPr="001A15EE">
        <w:rPr>
          <w:rFonts w:ascii="Arial" w:hAnsi="Arial" w:cs="Arial"/>
          <w:sz w:val="24"/>
          <w:szCs w:val="20"/>
        </w:rPr>
        <w:t>and M</w:t>
      </w:r>
      <w:r w:rsidRPr="001A15EE">
        <w:rPr>
          <w:rFonts w:ascii="Arial" w:hAnsi="Arial" w:cs="Arial"/>
          <w:sz w:val="24"/>
          <w:szCs w:val="20"/>
          <w:vertAlign w:val="subscript"/>
        </w:rPr>
        <w:t>2</w:t>
      </w:r>
      <w:r w:rsidRPr="001A15EE">
        <w:rPr>
          <w:rFonts w:ascii="Arial" w:hAnsi="Arial" w:cs="Arial"/>
          <w:sz w:val="24"/>
          <w:szCs w:val="20"/>
        </w:rPr>
        <w:t xml:space="preserve"> was 39.38 and 22.79 per cent over M</w:t>
      </w:r>
      <w:r w:rsidRPr="001A15EE">
        <w:rPr>
          <w:rFonts w:ascii="Arial" w:hAnsi="Arial" w:cs="Arial"/>
          <w:sz w:val="24"/>
          <w:szCs w:val="20"/>
          <w:vertAlign w:val="subscript"/>
        </w:rPr>
        <w:t>0</w:t>
      </w:r>
      <w:r w:rsidRPr="001A15EE">
        <w:rPr>
          <w:rFonts w:ascii="Arial" w:hAnsi="Arial" w:cs="Arial"/>
          <w:sz w:val="24"/>
          <w:szCs w:val="20"/>
        </w:rPr>
        <w:t xml:space="preserve">, respectively. Significantly the lowest Mn content (1.65 mg/L) was found in distillery spent wash treated by </w:t>
      </w:r>
      <w:r w:rsidRPr="001A15EE">
        <w:rPr>
          <w:rFonts w:ascii="Arial" w:hAnsi="Arial" w:cs="Arial"/>
          <w:i/>
          <w:iCs/>
          <w:sz w:val="24"/>
          <w:szCs w:val="20"/>
        </w:rPr>
        <w:t>Aspergillus niger</w:t>
      </w:r>
      <w:r w:rsidRPr="001A15EE">
        <w:rPr>
          <w:rFonts w:ascii="Arial" w:hAnsi="Arial" w:cs="Arial"/>
          <w:sz w:val="24"/>
          <w:szCs w:val="20"/>
        </w:rPr>
        <w:t xml:space="preserve"> at 10</w:t>
      </w:r>
      <w:r w:rsidRPr="001A15EE">
        <w:rPr>
          <w:rFonts w:ascii="Arial" w:hAnsi="Arial" w:cs="Arial"/>
          <w:sz w:val="24"/>
          <w:szCs w:val="20"/>
          <w:vertAlign w:val="superscript"/>
        </w:rPr>
        <w:t>th</w:t>
      </w:r>
      <w:r w:rsidRPr="001A15EE">
        <w:rPr>
          <w:rFonts w:ascii="Arial" w:hAnsi="Arial" w:cs="Arial"/>
          <w:sz w:val="24"/>
          <w:szCs w:val="20"/>
        </w:rPr>
        <w:t xml:space="preserve"> day of incubation. Decrement in Mn content of distillery spent wash due to M</w:t>
      </w:r>
      <w:r w:rsidRPr="001A15EE">
        <w:rPr>
          <w:rFonts w:ascii="Arial" w:hAnsi="Arial" w:cs="Arial"/>
          <w:sz w:val="24"/>
          <w:szCs w:val="20"/>
          <w:vertAlign w:val="subscript"/>
        </w:rPr>
        <w:t>1</w:t>
      </w:r>
      <w:r w:rsidRPr="001A15EE">
        <w:rPr>
          <w:rFonts w:ascii="Arial" w:hAnsi="Arial" w:cs="Arial"/>
          <w:sz w:val="24"/>
          <w:szCs w:val="20"/>
        </w:rPr>
        <w:t>D</w:t>
      </w:r>
      <w:r w:rsidRPr="001A15EE">
        <w:rPr>
          <w:rFonts w:ascii="Arial" w:hAnsi="Arial" w:cs="Arial"/>
          <w:sz w:val="24"/>
          <w:szCs w:val="20"/>
          <w:vertAlign w:val="subscript"/>
        </w:rPr>
        <w:t>1</w:t>
      </w:r>
      <w:r w:rsidRPr="001A15EE">
        <w:rPr>
          <w:rFonts w:ascii="Arial" w:hAnsi="Arial" w:cs="Arial"/>
          <w:sz w:val="24"/>
          <w:szCs w:val="20"/>
        </w:rPr>
        <w:t xml:space="preserve"> was 75.15, 55.88 and 48.11 per cent over M</w:t>
      </w:r>
      <w:r w:rsidRPr="001A15EE">
        <w:rPr>
          <w:rFonts w:ascii="Arial" w:hAnsi="Arial" w:cs="Arial"/>
          <w:sz w:val="24"/>
          <w:szCs w:val="20"/>
          <w:vertAlign w:val="subscript"/>
        </w:rPr>
        <w:t>0</w:t>
      </w:r>
      <w:r w:rsidRPr="001A15EE">
        <w:rPr>
          <w:rFonts w:ascii="Arial" w:hAnsi="Arial" w:cs="Arial"/>
          <w:sz w:val="24"/>
          <w:szCs w:val="20"/>
        </w:rPr>
        <w:t>D</w:t>
      </w:r>
      <w:r w:rsidRPr="001A15EE">
        <w:rPr>
          <w:rFonts w:ascii="Arial" w:hAnsi="Arial" w:cs="Arial"/>
          <w:sz w:val="24"/>
          <w:szCs w:val="20"/>
          <w:vertAlign w:val="subscript"/>
        </w:rPr>
        <w:t>1</w:t>
      </w:r>
      <w:r w:rsidRPr="001A15EE">
        <w:rPr>
          <w:rFonts w:ascii="Arial" w:hAnsi="Arial" w:cs="Arial"/>
          <w:sz w:val="24"/>
          <w:szCs w:val="20"/>
        </w:rPr>
        <w:t>, M</w:t>
      </w:r>
      <w:r w:rsidRPr="001A15EE">
        <w:rPr>
          <w:rFonts w:ascii="Arial" w:hAnsi="Arial" w:cs="Arial"/>
          <w:sz w:val="24"/>
          <w:szCs w:val="20"/>
          <w:vertAlign w:val="subscript"/>
        </w:rPr>
        <w:t>0</w:t>
      </w:r>
      <w:r w:rsidRPr="001A15EE">
        <w:rPr>
          <w:rFonts w:ascii="Arial" w:hAnsi="Arial" w:cs="Arial"/>
          <w:sz w:val="24"/>
          <w:szCs w:val="20"/>
        </w:rPr>
        <w:t>D</w:t>
      </w:r>
      <w:r w:rsidRPr="001A15EE">
        <w:rPr>
          <w:rFonts w:ascii="Arial" w:hAnsi="Arial" w:cs="Arial"/>
          <w:sz w:val="24"/>
          <w:szCs w:val="20"/>
          <w:vertAlign w:val="subscript"/>
        </w:rPr>
        <w:t>2</w:t>
      </w:r>
      <w:r w:rsidRPr="001A15EE">
        <w:rPr>
          <w:rFonts w:ascii="Arial" w:hAnsi="Arial" w:cs="Arial"/>
          <w:sz w:val="24"/>
          <w:szCs w:val="20"/>
        </w:rPr>
        <w:t xml:space="preserve"> and M</w:t>
      </w:r>
      <w:r w:rsidRPr="001A15EE">
        <w:rPr>
          <w:rFonts w:ascii="Arial" w:hAnsi="Arial" w:cs="Arial"/>
          <w:sz w:val="24"/>
          <w:szCs w:val="20"/>
          <w:vertAlign w:val="subscript"/>
        </w:rPr>
        <w:t>0</w:t>
      </w:r>
      <w:r w:rsidRPr="001A15EE">
        <w:rPr>
          <w:rFonts w:ascii="Arial" w:hAnsi="Arial" w:cs="Arial"/>
          <w:sz w:val="24"/>
          <w:szCs w:val="20"/>
        </w:rPr>
        <w:t>D</w:t>
      </w:r>
      <w:r w:rsidRPr="001A15EE">
        <w:rPr>
          <w:rFonts w:ascii="Arial" w:hAnsi="Arial" w:cs="Arial"/>
          <w:sz w:val="24"/>
          <w:szCs w:val="20"/>
          <w:vertAlign w:val="subscript"/>
        </w:rPr>
        <w:t xml:space="preserve">3, </w:t>
      </w:r>
      <w:r w:rsidRPr="001A15EE">
        <w:rPr>
          <w:rFonts w:ascii="Arial" w:hAnsi="Arial" w:cs="Arial"/>
          <w:sz w:val="24"/>
          <w:szCs w:val="20"/>
        </w:rPr>
        <w:t xml:space="preserve">respectively. According to Chaturvedi </w:t>
      </w:r>
      <w:r w:rsidRPr="001A15EE">
        <w:rPr>
          <w:rFonts w:ascii="Arial" w:hAnsi="Arial" w:cs="Arial"/>
          <w:i/>
          <w:iCs/>
          <w:sz w:val="24"/>
          <w:szCs w:val="20"/>
        </w:rPr>
        <w:t>et al.</w:t>
      </w:r>
      <w:r w:rsidRPr="001A15EE">
        <w:rPr>
          <w:rFonts w:ascii="Arial" w:hAnsi="Arial" w:cs="Arial"/>
          <w:sz w:val="24"/>
          <w:szCs w:val="20"/>
        </w:rPr>
        <w:t xml:space="preserve"> (2006) microbial treatment can reduce Mn through bioaccumulation and enzymatic transformation into less soluble forms because they observed that bacterial inoculated distillery spent wash reduced 98.34% Mn content. Similar findings reported that both bacteria and fungi are capable of oxidizing Mn</w:t>
      </w:r>
      <w:r w:rsidRPr="001A15EE">
        <w:rPr>
          <w:rFonts w:ascii="Arial" w:hAnsi="Arial" w:cs="Arial"/>
          <w:sz w:val="24"/>
          <w:szCs w:val="20"/>
          <w:vertAlign w:val="superscript"/>
        </w:rPr>
        <w:t>2</w:t>
      </w:r>
      <w:r w:rsidRPr="001A15EE">
        <w:rPr>
          <w:rFonts w:ascii="Arial" w:hAnsi="Times New Roman" w:cs="Arial"/>
          <w:sz w:val="24"/>
          <w:szCs w:val="20"/>
        </w:rPr>
        <w:t>⁺</w:t>
      </w:r>
      <w:r w:rsidRPr="001A15EE">
        <w:rPr>
          <w:rFonts w:ascii="Arial" w:hAnsi="Arial" w:cs="Arial"/>
          <w:sz w:val="24"/>
          <w:szCs w:val="20"/>
        </w:rPr>
        <w:t xml:space="preserve"> to Mn</w:t>
      </w:r>
      <w:r w:rsidRPr="001A15EE">
        <w:rPr>
          <w:rFonts w:ascii="Arial" w:hAnsi="Arial" w:cs="Arial"/>
          <w:sz w:val="24"/>
          <w:szCs w:val="20"/>
          <w:vertAlign w:val="superscript"/>
        </w:rPr>
        <w:t>4</w:t>
      </w:r>
      <w:r w:rsidRPr="001A15EE">
        <w:rPr>
          <w:rFonts w:ascii="Arial" w:hAnsi="Times New Roman" w:cs="Arial"/>
          <w:sz w:val="24"/>
          <w:szCs w:val="20"/>
        </w:rPr>
        <w:t>⁺</w:t>
      </w:r>
      <w:r w:rsidRPr="001A15EE">
        <w:rPr>
          <w:rFonts w:ascii="Arial" w:hAnsi="Arial" w:cs="Arial"/>
          <w:sz w:val="24"/>
          <w:szCs w:val="20"/>
        </w:rPr>
        <w:t>, leading to precipitation and removal from solution.</w:t>
      </w:r>
    </w:p>
    <w:p w:rsidR="00535F85" w:rsidRPr="001A15EE" w:rsidRDefault="007037ED" w:rsidP="00E07B87">
      <w:pPr>
        <w:tabs>
          <w:tab w:val="left" w:pos="142"/>
          <w:tab w:val="left" w:pos="709"/>
        </w:tabs>
        <w:spacing w:after="0"/>
        <w:ind w:left="1418" w:hanging="1418"/>
        <w:jc w:val="both"/>
        <w:rPr>
          <w:rFonts w:ascii="Arial" w:hAnsi="Arial" w:cs="Arial"/>
          <w:b/>
          <w:bCs/>
          <w:sz w:val="24"/>
          <w:szCs w:val="24"/>
        </w:rPr>
      </w:pPr>
      <w:r w:rsidRPr="001A15EE">
        <w:rPr>
          <w:rFonts w:ascii="Arial" w:hAnsi="Arial" w:cs="Arial"/>
          <w:b/>
          <w:bCs/>
          <w:sz w:val="24"/>
          <w:szCs w:val="24"/>
        </w:rPr>
        <w:t xml:space="preserve">Table </w:t>
      </w:r>
      <w:r w:rsidR="00BF319B">
        <w:rPr>
          <w:rFonts w:ascii="Arial" w:hAnsi="Arial" w:cs="Arial"/>
          <w:b/>
          <w:bCs/>
          <w:sz w:val="24"/>
          <w:szCs w:val="24"/>
        </w:rPr>
        <w:t>8</w:t>
      </w:r>
      <w:r w:rsidRPr="001A15EE">
        <w:rPr>
          <w:rFonts w:ascii="Arial" w:hAnsi="Arial" w:cs="Arial"/>
          <w:b/>
          <w:bCs/>
          <w:sz w:val="24"/>
          <w:szCs w:val="24"/>
        </w:rPr>
        <w:t>: Effect of microbial inoculation and incubation period on Mn content (mg/L) of distillery spent wash</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8"/>
        <w:gridCol w:w="1729"/>
        <w:gridCol w:w="1613"/>
        <w:gridCol w:w="1591"/>
        <w:gridCol w:w="1640"/>
      </w:tblGrid>
      <w:tr w:rsidR="007037ED" w:rsidRPr="001A15EE" w:rsidTr="00E83BBF">
        <w:trPr>
          <w:trHeight w:val="60"/>
        </w:trPr>
        <w:tc>
          <w:tcPr>
            <w:tcW w:w="1377" w:type="pct"/>
            <w:vMerge w:val="restart"/>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Microbial </w:t>
            </w:r>
          </w:p>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inoculation</w:t>
            </w:r>
          </w:p>
        </w:tc>
        <w:tc>
          <w:tcPr>
            <w:tcW w:w="3623" w:type="pct"/>
            <w:gridSpan w:val="4"/>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Mn (mg/L)</w:t>
            </w:r>
          </w:p>
        </w:tc>
      </w:tr>
      <w:tr w:rsidR="007037ED" w:rsidRPr="001A15EE" w:rsidTr="00E83BBF">
        <w:trPr>
          <w:trHeight w:val="60"/>
        </w:trPr>
        <w:tc>
          <w:tcPr>
            <w:tcW w:w="1377" w:type="pct"/>
            <w:vMerge/>
            <w:vAlign w:val="center"/>
            <w:hideMark/>
          </w:tcPr>
          <w:p w:rsidR="007037ED" w:rsidRPr="001A15EE" w:rsidRDefault="007037ED" w:rsidP="00535F85">
            <w:pPr>
              <w:spacing w:after="0" w:line="240" w:lineRule="auto"/>
              <w:rPr>
                <w:rFonts w:ascii="Arial" w:hAnsi="Arial" w:cs="Arial"/>
                <w:b/>
                <w:bCs/>
                <w:sz w:val="24"/>
                <w:szCs w:val="24"/>
              </w:rPr>
            </w:pPr>
          </w:p>
        </w:tc>
        <w:tc>
          <w:tcPr>
            <w:tcW w:w="2719" w:type="pct"/>
            <w:gridSpan w:val="3"/>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904" w:type="pct"/>
            <w:vMerge w:val="restar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7037ED" w:rsidRPr="001A15EE" w:rsidTr="00E83BBF">
        <w:trPr>
          <w:trHeight w:val="144"/>
        </w:trPr>
        <w:tc>
          <w:tcPr>
            <w:tcW w:w="1377" w:type="pct"/>
            <w:vMerge/>
            <w:vAlign w:val="center"/>
            <w:hideMark/>
          </w:tcPr>
          <w:p w:rsidR="007037ED" w:rsidRPr="001A15EE" w:rsidRDefault="007037ED" w:rsidP="00535F85">
            <w:pPr>
              <w:spacing w:after="0" w:line="240" w:lineRule="auto"/>
              <w:rPr>
                <w:rFonts w:ascii="Arial" w:hAnsi="Arial" w:cs="Arial"/>
                <w:b/>
                <w:bCs/>
                <w:sz w:val="24"/>
                <w:szCs w:val="24"/>
              </w:rPr>
            </w:pPr>
          </w:p>
        </w:tc>
        <w:tc>
          <w:tcPr>
            <w:tcW w:w="953"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89"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904" w:type="pct"/>
            <w:vMerge/>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E83BBF">
        <w:trPr>
          <w:trHeight w:val="60"/>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53"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6.64</w:t>
            </w:r>
          </w:p>
        </w:tc>
        <w:tc>
          <w:tcPr>
            <w:tcW w:w="889"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3.74</w:t>
            </w:r>
          </w:p>
        </w:tc>
        <w:tc>
          <w:tcPr>
            <w:tcW w:w="877"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3.18</w:t>
            </w:r>
          </w:p>
        </w:tc>
        <w:tc>
          <w:tcPr>
            <w:tcW w:w="904"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4.52</w:t>
            </w:r>
          </w:p>
        </w:tc>
      </w:tr>
      <w:tr w:rsidR="007037ED" w:rsidRPr="001A15EE" w:rsidTr="00E83BBF">
        <w:trPr>
          <w:trHeight w:val="110"/>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53"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1.65</w:t>
            </w:r>
          </w:p>
        </w:tc>
        <w:tc>
          <w:tcPr>
            <w:tcW w:w="889"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3.47</w:t>
            </w:r>
          </w:p>
        </w:tc>
        <w:tc>
          <w:tcPr>
            <w:tcW w:w="877"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3.10</w:t>
            </w:r>
          </w:p>
        </w:tc>
        <w:tc>
          <w:tcPr>
            <w:tcW w:w="904"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2.74</w:t>
            </w:r>
          </w:p>
        </w:tc>
      </w:tr>
      <w:tr w:rsidR="007037ED" w:rsidRPr="001A15EE" w:rsidTr="00E83BBF">
        <w:trPr>
          <w:trHeight w:val="85"/>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53"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3.71</w:t>
            </w:r>
          </w:p>
        </w:tc>
        <w:tc>
          <w:tcPr>
            <w:tcW w:w="889"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3.58</w:t>
            </w:r>
          </w:p>
        </w:tc>
        <w:tc>
          <w:tcPr>
            <w:tcW w:w="877"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3.16</w:t>
            </w:r>
          </w:p>
        </w:tc>
        <w:tc>
          <w:tcPr>
            <w:tcW w:w="904"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3.49</w:t>
            </w:r>
          </w:p>
        </w:tc>
      </w:tr>
      <w:tr w:rsidR="007037ED" w:rsidRPr="001A15EE" w:rsidTr="00E83BBF">
        <w:trPr>
          <w:trHeight w:val="89"/>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953"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4.00</w:t>
            </w:r>
          </w:p>
        </w:tc>
        <w:tc>
          <w:tcPr>
            <w:tcW w:w="889"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3.60</w:t>
            </w:r>
          </w:p>
        </w:tc>
        <w:tc>
          <w:tcPr>
            <w:tcW w:w="877"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3.15</w:t>
            </w:r>
          </w:p>
        </w:tc>
        <w:tc>
          <w:tcPr>
            <w:tcW w:w="904" w:type="pct"/>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3.58</w:t>
            </w:r>
          </w:p>
        </w:tc>
      </w:tr>
      <w:tr w:rsidR="007037ED" w:rsidRPr="001A15EE" w:rsidTr="00E83BBF">
        <w:trPr>
          <w:trHeight w:val="65"/>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1842" w:type="pct"/>
            <w:gridSpan w:val="2"/>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S.Em. (</w:t>
            </w:r>
            <w:r w:rsidRPr="001A15EE">
              <w:rPr>
                <w:rFonts w:ascii="Arial" w:hAnsi="Arial" w:cs="Arial"/>
                <w:sz w:val="24"/>
                <w:szCs w:val="24"/>
              </w:rPr>
              <w:t>±)</w:t>
            </w:r>
          </w:p>
        </w:tc>
        <w:tc>
          <w:tcPr>
            <w:tcW w:w="877" w:type="pct"/>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904" w:type="pct"/>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7037ED" w:rsidRPr="001A15EE" w:rsidTr="00E83BBF">
        <w:trPr>
          <w:trHeight w:val="197"/>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1842" w:type="pct"/>
            <w:gridSpan w:val="2"/>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0.17</w:t>
            </w:r>
          </w:p>
        </w:tc>
        <w:tc>
          <w:tcPr>
            <w:tcW w:w="877"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0.50</w:t>
            </w:r>
          </w:p>
        </w:tc>
        <w:tc>
          <w:tcPr>
            <w:tcW w:w="904" w:type="pct"/>
            <w:vMerge w:val="restart"/>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18.86</w:t>
            </w:r>
          </w:p>
        </w:tc>
      </w:tr>
      <w:tr w:rsidR="007037ED" w:rsidRPr="001A15EE" w:rsidTr="00E83BBF">
        <w:trPr>
          <w:trHeight w:val="60"/>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1842" w:type="pct"/>
            <w:gridSpan w:val="2"/>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0.17</w:t>
            </w:r>
          </w:p>
        </w:tc>
        <w:tc>
          <w:tcPr>
            <w:tcW w:w="877"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0.50</w:t>
            </w:r>
          </w:p>
        </w:tc>
        <w:tc>
          <w:tcPr>
            <w:tcW w:w="904" w:type="pct"/>
            <w:vMerge/>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E83BBF">
        <w:trPr>
          <w:trHeight w:val="60"/>
        </w:trPr>
        <w:tc>
          <w:tcPr>
            <w:tcW w:w="1377" w:type="pct"/>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1842" w:type="pct"/>
            <w:gridSpan w:val="2"/>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0.30</w:t>
            </w:r>
          </w:p>
        </w:tc>
        <w:tc>
          <w:tcPr>
            <w:tcW w:w="877" w:type="pct"/>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0.87</w:t>
            </w:r>
          </w:p>
        </w:tc>
        <w:tc>
          <w:tcPr>
            <w:tcW w:w="904" w:type="pct"/>
            <w:vMerge/>
            <w:vAlign w:val="center"/>
            <w:hideMark/>
          </w:tcPr>
          <w:p w:rsidR="007037ED" w:rsidRPr="001A15EE" w:rsidRDefault="007037ED" w:rsidP="00535F85">
            <w:pPr>
              <w:spacing w:after="0" w:line="240" w:lineRule="auto"/>
              <w:rPr>
                <w:rFonts w:ascii="Arial" w:hAnsi="Arial" w:cs="Arial"/>
                <w:b/>
                <w:bCs/>
                <w:sz w:val="24"/>
                <w:szCs w:val="24"/>
              </w:rPr>
            </w:pPr>
          </w:p>
        </w:tc>
      </w:tr>
    </w:tbl>
    <w:p w:rsidR="007037ED" w:rsidRPr="001A15EE" w:rsidRDefault="007037ED" w:rsidP="00535F85">
      <w:pPr>
        <w:tabs>
          <w:tab w:val="left" w:pos="0"/>
          <w:tab w:val="left" w:pos="567"/>
          <w:tab w:val="left" w:pos="709"/>
        </w:tabs>
        <w:spacing w:after="0" w:line="240" w:lineRule="auto"/>
        <w:ind w:hanging="57"/>
        <w:jc w:val="both"/>
        <w:rPr>
          <w:rFonts w:ascii="Arial" w:hAnsi="Arial" w:cs="Arial"/>
          <w:sz w:val="24"/>
          <w:szCs w:val="20"/>
        </w:rPr>
      </w:pPr>
    </w:p>
    <w:p w:rsidR="007037ED" w:rsidRPr="001A15EE" w:rsidRDefault="00535F85" w:rsidP="00E07B87">
      <w:pPr>
        <w:tabs>
          <w:tab w:val="left" w:pos="567"/>
          <w:tab w:val="left" w:pos="709"/>
        </w:tabs>
        <w:spacing w:after="0"/>
        <w:jc w:val="both"/>
        <w:rPr>
          <w:rFonts w:ascii="Arial" w:hAnsi="Arial" w:cs="Arial"/>
          <w:sz w:val="24"/>
          <w:szCs w:val="24"/>
        </w:rPr>
      </w:pPr>
      <w:r w:rsidRPr="001A15EE">
        <w:rPr>
          <w:rFonts w:ascii="Arial" w:hAnsi="Arial" w:cs="Arial"/>
          <w:sz w:val="24"/>
          <w:szCs w:val="20"/>
        </w:rPr>
        <w:lastRenderedPageBreak/>
        <w:tab/>
      </w:r>
      <w:r w:rsidRPr="001A15EE">
        <w:rPr>
          <w:rFonts w:ascii="Arial" w:hAnsi="Arial" w:cs="Arial"/>
          <w:sz w:val="24"/>
          <w:szCs w:val="20"/>
        </w:rPr>
        <w:tab/>
      </w:r>
      <w:r w:rsidRPr="001A15EE">
        <w:rPr>
          <w:rFonts w:ascii="Arial" w:hAnsi="Arial" w:cs="Arial"/>
          <w:sz w:val="24"/>
          <w:szCs w:val="20"/>
        </w:rPr>
        <w:tab/>
      </w:r>
      <w:r w:rsidR="007037ED" w:rsidRPr="001A15EE">
        <w:rPr>
          <w:rFonts w:ascii="Arial" w:hAnsi="Arial" w:cs="Arial"/>
          <w:sz w:val="24"/>
          <w:szCs w:val="20"/>
        </w:rPr>
        <w:t>M</w:t>
      </w:r>
      <w:r w:rsidR="007037ED" w:rsidRPr="001A15EE">
        <w:rPr>
          <w:rFonts w:ascii="Arial" w:hAnsi="Arial" w:cs="Arial"/>
          <w:sz w:val="24"/>
          <w:szCs w:val="20"/>
          <w:vertAlign w:val="subscript"/>
        </w:rPr>
        <w:t>0</w:t>
      </w:r>
      <w:r w:rsidR="007037ED" w:rsidRPr="001A15EE">
        <w:rPr>
          <w:rFonts w:ascii="Arial" w:hAnsi="Arial" w:cs="Arial"/>
          <w:sz w:val="24"/>
          <w:szCs w:val="20"/>
        </w:rPr>
        <w:t xml:space="preserve"> treatment exhibited significantly the highest mean Zn content (5.68 mg/L) in distillery spent wash. With microbial inoculation M</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and M</w:t>
      </w:r>
      <w:r w:rsidR="007037ED" w:rsidRPr="001A15EE">
        <w:rPr>
          <w:rFonts w:ascii="Arial" w:hAnsi="Arial" w:cs="Arial"/>
          <w:sz w:val="24"/>
          <w:szCs w:val="20"/>
          <w:vertAlign w:val="subscript"/>
        </w:rPr>
        <w:t>2</w:t>
      </w:r>
      <w:r w:rsidR="007037ED" w:rsidRPr="001A15EE">
        <w:rPr>
          <w:rFonts w:ascii="Arial" w:hAnsi="Arial" w:cs="Arial"/>
          <w:sz w:val="24"/>
          <w:szCs w:val="20"/>
        </w:rPr>
        <w:t>, the mean Zn content significantly decreased to 2.53 mg/L and 2.80 mg/L, respectively. The results further revealed that 55.45 and 50.70 per cent decrement in Zn content of distillery spent wash was observed with M</w:t>
      </w:r>
      <w:r w:rsidR="007037ED" w:rsidRPr="001A15EE">
        <w:rPr>
          <w:rFonts w:ascii="Arial" w:hAnsi="Arial" w:cs="Arial"/>
          <w:sz w:val="24"/>
          <w:szCs w:val="20"/>
          <w:vertAlign w:val="subscript"/>
        </w:rPr>
        <w:t xml:space="preserve">1 </w:t>
      </w:r>
      <w:r w:rsidR="007037ED" w:rsidRPr="001A15EE">
        <w:rPr>
          <w:rFonts w:ascii="Arial" w:hAnsi="Arial" w:cs="Arial"/>
          <w:sz w:val="24"/>
          <w:szCs w:val="20"/>
        </w:rPr>
        <w:t>and M</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over M</w:t>
      </w:r>
      <w:r w:rsidR="007037ED" w:rsidRPr="001A15EE">
        <w:rPr>
          <w:rFonts w:ascii="Arial" w:hAnsi="Arial" w:cs="Arial"/>
          <w:sz w:val="24"/>
          <w:szCs w:val="20"/>
          <w:vertAlign w:val="subscript"/>
        </w:rPr>
        <w:t>0</w:t>
      </w:r>
      <w:r w:rsidR="007037ED" w:rsidRPr="001A15EE">
        <w:rPr>
          <w:rFonts w:ascii="Arial" w:hAnsi="Arial" w:cs="Arial"/>
          <w:sz w:val="24"/>
          <w:szCs w:val="20"/>
        </w:rPr>
        <w:t>, respectively. Significantly the lowest Zn content in distillery spent wash was observed in M</w:t>
      </w:r>
      <w:r w:rsidR="007037ED" w:rsidRPr="001A15EE">
        <w:rPr>
          <w:rFonts w:ascii="Arial" w:hAnsi="Arial" w:cs="Arial"/>
          <w:sz w:val="24"/>
          <w:szCs w:val="20"/>
          <w:vertAlign w:val="subscript"/>
        </w:rPr>
        <w:t>1</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with corresponding value of 1.78 mg/L. The data also revealed that the decrement in Zn content of distillery spent wash due to M</w:t>
      </w:r>
      <w:r w:rsidR="007037ED" w:rsidRPr="001A15EE">
        <w:rPr>
          <w:rFonts w:ascii="Arial" w:hAnsi="Arial" w:cs="Arial"/>
          <w:sz w:val="24"/>
          <w:szCs w:val="20"/>
          <w:vertAlign w:val="subscript"/>
        </w:rPr>
        <w:t>1</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was 71.87, 67.58 and 65.77 per cent over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and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3</w:t>
      </w:r>
      <w:r w:rsidR="007037ED" w:rsidRPr="001A15EE">
        <w:rPr>
          <w:rFonts w:ascii="Arial" w:hAnsi="Arial" w:cs="Arial"/>
          <w:sz w:val="24"/>
          <w:szCs w:val="20"/>
        </w:rPr>
        <w:t>, while in case of M</w:t>
      </w:r>
      <w:r w:rsidR="007037ED" w:rsidRPr="001A15EE">
        <w:rPr>
          <w:rFonts w:ascii="Arial" w:hAnsi="Arial" w:cs="Arial"/>
          <w:sz w:val="24"/>
          <w:szCs w:val="20"/>
          <w:vertAlign w:val="subscript"/>
        </w:rPr>
        <w:t>2</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decrement in Zn content of spent wash was 50.87, 43.35 and 40.19 per cent over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and </w:t>
      </w:r>
      <w:r w:rsidR="007037ED" w:rsidRPr="001A15EE">
        <w:rPr>
          <w:rFonts w:ascii="Arial" w:hAnsi="Arial" w:cs="Arial"/>
          <w:sz w:val="24"/>
          <w:szCs w:val="24"/>
        </w:rPr>
        <w:t>M</w:t>
      </w:r>
      <w:r w:rsidR="007037ED" w:rsidRPr="001A15EE">
        <w:rPr>
          <w:rFonts w:ascii="Arial" w:hAnsi="Arial" w:cs="Arial"/>
          <w:sz w:val="24"/>
          <w:szCs w:val="24"/>
          <w:vertAlign w:val="subscript"/>
        </w:rPr>
        <w:t>0</w:t>
      </w:r>
      <w:r w:rsidR="007037ED" w:rsidRPr="001A15EE">
        <w:rPr>
          <w:rFonts w:ascii="Arial" w:hAnsi="Arial" w:cs="Arial"/>
          <w:sz w:val="24"/>
          <w:szCs w:val="24"/>
        </w:rPr>
        <w:t>D</w:t>
      </w:r>
      <w:r w:rsidR="007037ED" w:rsidRPr="001A15EE">
        <w:rPr>
          <w:rFonts w:ascii="Arial" w:hAnsi="Arial" w:cs="Arial"/>
          <w:sz w:val="24"/>
          <w:szCs w:val="24"/>
          <w:vertAlign w:val="subscript"/>
        </w:rPr>
        <w:t>3</w:t>
      </w:r>
      <w:r w:rsidR="007037ED" w:rsidRPr="001A15EE">
        <w:rPr>
          <w:rFonts w:ascii="Arial" w:hAnsi="Arial" w:cs="Arial"/>
          <w:sz w:val="24"/>
          <w:szCs w:val="24"/>
        </w:rPr>
        <w:t>, respectively.</w:t>
      </w:r>
      <w:r w:rsidR="007037ED" w:rsidRPr="001A15EE">
        <w:rPr>
          <w:rFonts w:ascii="Arial" w:hAnsi="Arial" w:cs="Arial"/>
          <w:sz w:val="24"/>
          <w:szCs w:val="24"/>
          <w:shd w:val="clear" w:color="auto" w:fill="FFFFFF"/>
        </w:rPr>
        <w:t xml:space="preserve"> Chau </w:t>
      </w:r>
      <w:r w:rsidRPr="001A15EE">
        <w:rPr>
          <w:rFonts w:ascii="Arial" w:hAnsi="Arial" w:cs="Arial"/>
          <w:i/>
          <w:iCs/>
          <w:sz w:val="24"/>
          <w:szCs w:val="24"/>
          <w:shd w:val="clear" w:color="auto" w:fill="FFFFFF"/>
        </w:rPr>
        <w:t>et</w:t>
      </w:r>
      <w:r w:rsidR="007037ED" w:rsidRPr="001A15EE">
        <w:rPr>
          <w:rFonts w:ascii="Arial" w:hAnsi="Arial" w:cs="Arial"/>
          <w:i/>
          <w:iCs/>
          <w:sz w:val="24"/>
          <w:szCs w:val="24"/>
          <w:shd w:val="clear" w:color="auto" w:fill="FFFFFF"/>
        </w:rPr>
        <w:t xml:space="preserve"> al.</w:t>
      </w:r>
      <w:r w:rsidR="007037ED" w:rsidRPr="001A15EE">
        <w:rPr>
          <w:rFonts w:ascii="Arial" w:hAnsi="Arial" w:cs="Arial"/>
          <w:sz w:val="24"/>
          <w:szCs w:val="24"/>
          <w:shd w:val="clear" w:color="auto" w:fill="FFFFFF"/>
        </w:rPr>
        <w:t xml:space="preserve"> (2023) also found similar result that zinc reduced from 8.1±0.35 mg/L to 7.8±0.32 mg/L in tannery effluent treated by </w:t>
      </w:r>
      <w:r w:rsidR="007037ED" w:rsidRPr="001A15EE">
        <w:rPr>
          <w:rFonts w:ascii="Arial" w:hAnsi="Arial" w:cs="Arial"/>
          <w:i/>
          <w:iCs/>
          <w:sz w:val="24"/>
          <w:szCs w:val="24"/>
          <w:shd w:val="clear" w:color="auto" w:fill="FFFFFF"/>
        </w:rPr>
        <w:t>Aspergillus niger</w:t>
      </w:r>
      <w:r w:rsidR="007037ED" w:rsidRPr="001A15EE">
        <w:rPr>
          <w:rFonts w:ascii="Arial" w:hAnsi="Arial" w:cs="Arial"/>
          <w:sz w:val="24"/>
          <w:szCs w:val="24"/>
        </w:rPr>
        <w:t xml:space="preserve"> via biosorption, complexation and cellular uptake. Similarly, it was also found that Zn removal is enhanced through fungal enzymatic activity and chelation.</w:t>
      </w:r>
    </w:p>
    <w:p w:rsidR="007037ED" w:rsidRPr="001A15EE" w:rsidRDefault="007037ED" w:rsidP="00535F85">
      <w:pPr>
        <w:tabs>
          <w:tab w:val="left" w:pos="142"/>
          <w:tab w:val="left" w:pos="709"/>
        </w:tabs>
        <w:spacing w:after="0"/>
        <w:ind w:left="1276" w:hanging="1276"/>
        <w:jc w:val="both"/>
        <w:rPr>
          <w:rFonts w:ascii="Arial" w:hAnsi="Arial" w:cs="Arial"/>
          <w:sz w:val="32"/>
          <w:szCs w:val="32"/>
        </w:rPr>
      </w:pPr>
      <w:r w:rsidRPr="001A15EE">
        <w:rPr>
          <w:rFonts w:ascii="Arial" w:hAnsi="Arial" w:cs="Arial"/>
          <w:b/>
          <w:bCs/>
          <w:sz w:val="24"/>
          <w:szCs w:val="24"/>
        </w:rPr>
        <w:t xml:space="preserve">Table </w:t>
      </w:r>
      <w:r w:rsidR="00BF319B">
        <w:rPr>
          <w:rFonts w:ascii="Arial" w:hAnsi="Arial" w:cs="Arial"/>
          <w:b/>
          <w:bCs/>
          <w:sz w:val="24"/>
          <w:szCs w:val="24"/>
        </w:rPr>
        <w:t>9</w:t>
      </w:r>
      <w:r w:rsidRPr="001A15EE">
        <w:rPr>
          <w:rFonts w:ascii="Arial" w:hAnsi="Arial" w:cs="Arial"/>
          <w:b/>
          <w:bCs/>
          <w:sz w:val="24"/>
          <w:szCs w:val="24"/>
        </w:rPr>
        <w:t>: Effect of microbial inoculation and incubation period on Zn content (mg/L) of distillery spent wash</w:t>
      </w:r>
    </w:p>
    <w:tbl>
      <w:tblPr>
        <w:tblW w:w="4907" w:type="pct"/>
        <w:tblInd w:w="108" w:type="dxa"/>
        <w:tblLook w:val="04A0"/>
      </w:tblPr>
      <w:tblGrid>
        <w:gridCol w:w="2568"/>
        <w:gridCol w:w="1742"/>
        <w:gridCol w:w="1626"/>
        <w:gridCol w:w="1513"/>
        <w:gridCol w:w="1622"/>
      </w:tblGrid>
      <w:tr w:rsidR="007037ED" w:rsidRPr="001A15EE" w:rsidTr="00535F85">
        <w:trPr>
          <w:trHeight w:val="181"/>
        </w:trPr>
        <w:tc>
          <w:tcPr>
            <w:tcW w:w="1416" w:type="pct"/>
            <w:vMerge w:val="restart"/>
            <w:tcBorders>
              <w:top w:val="single" w:sz="8" w:space="0" w:color="auto"/>
              <w:left w:val="single" w:sz="8" w:space="0" w:color="auto"/>
              <w:bottom w:val="single" w:sz="8" w:space="0" w:color="000000"/>
              <w:right w:val="single" w:sz="8" w:space="0" w:color="auto"/>
            </w:tcBorders>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Microbial </w:t>
            </w:r>
          </w:p>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inoculation</w:t>
            </w:r>
          </w:p>
        </w:tc>
        <w:tc>
          <w:tcPr>
            <w:tcW w:w="3584" w:type="pct"/>
            <w:gridSpan w:val="4"/>
            <w:tcBorders>
              <w:top w:val="single" w:sz="8" w:space="0" w:color="auto"/>
              <w:left w:val="nil"/>
              <w:bottom w:val="single" w:sz="8" w:space="0" w:color="auto"/>
              <w:right w:val="single" w:sz="8" w:space="0" w:color="000000"/>
            </w:tcBorders>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  Zn (mg/L)</w:t>
            </w:r>
          </w:p>
        </w:tc>
      </w:tr>
      <w:tr w:rsidR="007037ED" w:rsidRPr="001A15EE" w:rsidTr="00535F85">
        <w:trPr>
          <w:trHeight w:val="157"/>
        </w:trPr>
        <w:tc>
          <w:tcPr>
            <w:tcW w:w="1416" w:type="pct"/>
            <w:vMerge/>
            <w:tcBorders>
              <w:top w:val="single" w:sz="8" w:space="0" w:color="auto"/>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c>
          <w:tcPr>
            <w:tcW w:w="2689" w:type="pct"/>
            <w:gridSpan w:val="3"/>
            <w:tcBorders>
              <w:top w:val="single" w:sz="8" w:space="0" w:color="auto"/>
              <w:left w:val="nil"/>
              <w:bottom w:val="single" w:sz="8" w:space="0" w:color="auto"/>
              <w:right w:val="nil"/>
            </w:tcBorders>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895" w:type="pct"/>
            <w:vMerge w:val="restart"/>
            <w:tcBorders>
              <w:top w:val="nil"/>
              <w:left w:val="single" w:sz="8" w:space="0" w:color="auto"/>
              <w:bottom w:val="single" w:sz="8"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7037ED" w:rsidRPr="001A15EE" w:rsidTr="00535F85">
        <w:trPr>
          <w:trHeight w:val="119"/>
        </w:trPr>
        <w:tc>
          <w:tcPr>
            <w:tcW w:w="1416" w:type="pct"/>
            <w:vMerge/>
            <w:tcBorders>
              <w:top w:val="single" w:sz="8" w:space="0" w:color="auto"/>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c>
          <w:tcPr>
            <w:tcW w:w="960" w:type="pct"/>
            <w:tcBorders>
              <w:top w:val="nil"/>
              <w:left w:val="nil"/>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96" w:type="pct"/>
            <w:tcBorders>
              <w:top w:val="nil"/>
              <w:left w:val="nil"/>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34" w:type="pct"/>
            <w:tcBorders>
              <w:top w:val="nil"/>
              <w:left w:val="nil"/>
              <w:bottom w:val="single" w:sz="8" w:space="0" w:color="auto"/>
              <w:right w:val="nil"/>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895"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535F85">
        <w:trPr>
          <w:trHeight w:val="95"/>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60" w:type="pct"/>
            <w:tcBorders>
              <w:top w:val="single" w:sz="4" w:space="0" w:color="000000"/>
              <w:left w:val="single" w:sz="4" w:space="0" w:color="000000"/>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6.33</w:t>
            </w:r>
          </w:p>
        </w:tc>
        <w:tc>
          <w:tcPr>
            <w:tcW w:w="896"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5.49</w:t>
            </w:r>
          </w:p>
        </w:tc>
        <w:tc>
          <w:tcPr>
            <w:tcW w:w="834"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5.20</w:t>
            </w:r>
          </w:p>
        </w:tc>
        <w:tc>
          <w:tcPr>
            <w:tcW w:w="895" w:type="pct"/>
            <w:tcBorders>
              <w:top w:val="single" w:sz="4" w:space="0" w:color="000000"/>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5.68</w:t>
            </w:r>
          </w:p>
        </w:tc>
      </w:tr>
      <w:tr w:rsidR="007037ED" w:rsidRPr="001A15EE" w:rsidTr="00535F85">
        <w:trPr>
          <w:trHeight w:val="127"/>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60" w:type="pct"/>
            <w:tcBorders>
              <w:top w:val="nil"/>
              <w:left w:val="single" w:sz="4" w:space="0" w:color="000000"/>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1.78</w:t>
            </w:r>
          </w:p>
        </w:tc>
        <w:tc>
          <w:tcPr>
            <w:tcW w:w="896"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2.81</w:t>
            </w:r>
          </w:p>
        </w:tc>
        <w:tc>
          <w:tcPr>
            <w:tcW w:w="834"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2.98</w:t>
            </w:r>
          </w:p>
        </w:tc>
        <w:tc>
          <w:tcPr>
            <w:tcW w:w="895" w:type="pct"/>
            <w:tcBorders>
              <w:top w:val="nil"/>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2.53</w:t>
            </w:r>
          </w:p>
        </w:tc>
      </w:tr>
      <w:tr w:rsidR="007037ED" w:rsidRPr="001A15EE" w:rsidTr="00535F85">
        <w:trPr>
          <w:trHeight w:val="104"/>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60" w:type="pct"/>
            <w:tcBorders>
              <w:top w:val="nil"/>
              <w:left w:val="single" w:sz="4" w:space="0" w:color="000000"/>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3.11</w:t>
            </w:r>
          </w:p>
        </w:tc>
        <w:tc>
          <w:tcPr>
            <w:tcW w:w="896"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2.74</w:t>
            </w:r>
          </w:p>
        </w:tc>
        <w:tc>
          <w:tcPr>
            <w:tcW w:w="834"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2.54</w:t>
            </w:r>
          </w:p>
        </w:tc>
        <w:tc>
          <w:tcPr>
            <w:tcW w:w="895" w:type="pct"/>
            <w:tcBorders>
              <w:top w:val="nil"/>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2.80</w:t>
            </w:r>
          </w:p>
        </w:tc>
      </w:tr>
      <w:tr w:rsidR="007037ED" w:rsidRPr="001A15EE" w:rsidTr="00535F85">
        <w:trPr>
          <w:trHeight w:val="107"/>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960" w:type="pct"/>
            <w:tcBorders>
              <w:top w:val="nil"/>
              <w:left w:val="single" w:sz="4" w:space="0" w:color="000000"/>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3.74</w:t>
            </w:r>
          </w:p>
        </w:tc>
        <w:tc>
          <w:tcPr>
            <w:tcW w:w="896"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3.68</w:t>
            </w:r>
          </w:p>
        </w:tc>
        <w:tc>
          <w:tcPr>
            <w:tcW w:w="834"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3.57</w:t>
            </w:r>
          </w:p>
        </w:tc>
        <w:tc>
          <w:tcPr>
            <w:tcW w:w="895" w:type="pct"/>
            <w:tcBorders>
              <w:top w:val="nil"/>
              <w:left w:val="single" w:sz="8" w:space="0" w:color="auto"/>
              <w:bottom w:val="single" w:sz="8" w:space="0" w:color="auto"/>
              <w:right w:val="single" w:sz="8" w:space="0" w:color="auto"/>
            </w:tcBorders>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3.67</w:t>
            </w:r>
          </w:p>
        </w:tc>
      </w:tr>
      <w:tr w:rsidR="007037ED" w:rsidRPr="001A15EE" w:rsidTr="00535F85">
        <w:trPr>
          <w:trHeight w:val="98"/>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1855" w:type="pct"/>
            <w:gridSpan w:val="2"/>
            <w:tcBorders>
              <w:top w:val="single" w:sz="8" w:space="0" w:color="auto"/>
              <w:left w:val="nil"/>
              <w:bottom w:val="single" w:sz="8" w:space="0" w:color="auto"/>
              <w:right w:val="nil"/>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S.Em. (</w:t>
            </w:r>
            <w:r w:rsidRPr="001A15EE">
              <w:rPr>
                <w:rFonts w:ascii="Arial" w:hAnsi="Arial" w:cs="Arial"/>
                <w:sz w:val="24"/>
                <w:szCs w:val="24"/>
              </w:rPr>
              <w:t>±)</w:t>
            </w:r>
          </w:p>
        </w:tc>
        <w:tc>
          <w:tcPr>
            <w:tcW w:w="834" w:type="pct"/>
            <w:tcBorders>
              <w:top w:val="single" w:sz="8" w:space="0" w:color="auto"/>
              <w:left w:val="single" w:sz="8" w:space="0" w:color="auto"/>
              <w:bottom w:val="single" w:sz="8" w:space="0" w:color="auto"/>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895" w:type="pct"/>
            <w:tcBorders>
              <w:top w:val="nil"/>
              <w:left w:val="nil"/>
              <w:bottom w:val="single" w:sz="8" w:space="0" w:color="auto"/>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7037ED" w:rsidRPr="001A15EE" w:rsidTr="00535F85">
        <w:trPr>
          <w:trHeight w:val="73"/>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1855" w:type="pct"/>
            <w:gridSpan w:val="2"/>
            <w:tcBorders>
              <w:top w:val="single" w:sz="4" w:space="0" w:color="000000"/>
              <w:left w:val="single" w:sz="4" w:space="0" w:color="000000"/>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0.09</w:t>
            </w:r>
          </w:p>
        </w:tc>
        <w:tc>
          <w:tcPr>
            <w:tcW w:w="834"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0.27</w:t>
            </w:r>
          </w:p>
        </w:tc>
        <w:tc>
          <w:tcPr>
            <w:tcW w:w="895" w:type="pct"/>
            <w:vMerge w:val="restart"/>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9.86</w:t>
            </w:r>
          </w:p>
        </w:tc>
      </w:tr>
      <w:tr w:rsidR="007037ED" w:rsidRPr="001A15EE" w:rsidTr="00535F85">
        <w:trPr>
          <w:trHeight w:val="77"/>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1855" w:type="pct"/>
            <w:gridSpan w:val="2"/>
            <w:tcBorders>
              <w:top w:val="nil"/>
              <w:left w:val="single" w:sz="4" w:space="0" w:color="000000"/>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0.09</w:t>
            </w:r>
          </w:p>
        </w:tc>
        <w:tc>
          <w:tcPr>
            <w:tcW w:w="834"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NS</w:t>
            </w:r>
          </w:p>
        </w:tc>
        <w:tc>
          <w:tcPr>
            <w:tcW w:w="895"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535F85">
        <w:trPr>
          <w:trHeight w:val="195"/>
        </w:trPr>
        <w:tc>
          <w:tcPr>
            <w:tcW w:w="141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1855" w:type="pct"/>
            <w:gridSpan w:val="2"/>
            <w:tcBorders>
              <w:top w:val="nil"/>
              <w:left w:val="single" w:sz="4" w:space="0" w:color="000000"/>
              <w:bottom w:val="single" w:sz="8" w:space="0" w:color="auto"/>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0.16</w:t>
            </w:r>
          </w:p>
        </w:tc>
        <w:tc>
          <w:tcPr>
            <w:tcW w:w="834" w:type="pct"/>
            <w:tcBorders>
              <w:top w:val="nil"/>
              <w:left w:val="nil"/>
              <w:bottom w:val="single" w:sz="8" w:space="0" w:color="auto"/>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0.47</w:t>
            </w:r>
          </w:p>
        </w:tc>
        <w:tc>
          <w:tcPr>
            <w:tcW w:w="895"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bl>
    <w:p w:rsidR="001A15EE" w:rsidRDefault="007037ED" w:rsidP="001A15EE">
      <w:pPr>
        <w:tabs>
          <w:tab w:val="left" w:pos="0"/>
          <w:tab w:val="left" w:pos="567"/>
          <w:tab w:val="left" w:pos="709"/>
        </w:tabs>
        <w:spacing w:before="240" w:after="0"/>
        <w:ind w:hanging="57"/>
        <w:jc w:val="both"/>
        <w:rPr>
          <w:rFonts w:ascii="Arial" w:hAnsi="Arial" w:cs="Arial"/>
          <w:sz w:val="24"/>
          <w:szCs w:val="24"/>
        </w:rPr>
      </w:pPr>
      <w:r w:rsidRPr="001A15EE">
        <w:rPr>
          <w:rFonts w:ascii="Arial" w:hAnsi="Arial" w:cs="Arial"/>
          <w:sz w:val="24"/>
          <w:szCs w:val="24"/>
        </w:rPr>
        <w:t xml:space="preserve">                      Significantly the highest mean Cu content (1.81 mg/L) in distillery spent wash was found in M</w:t>
      </w:r>
      <w:r w:rsidRPr="001A15EE">
        <w:rPr>
          <w:rFonts w:ascii="Arial" w:hAnsi="Arial" w:cs="Arial"/>
          <w:sz w:val="24"/>
          <w:szCs w:val="24"/>
          <w:vertAlign w:val="subscript"/>
        </w:rPr>
        <w:t>0</w:t>
      </w:r>
      <w:r w:rsidRPr="001A15EE">
        <w:rPr>
          <w:rFonts w:ascii="Arial" w:hAnsi="Arial" w:cs="Arial"/>
          <w:sz w:val="24"/>
          <w:szCs w:val="24"/>
        </w:rPr>
        <w:t xml:space="preserve"> (control). However, 28.18 and 18.78 per cent decrement in </w:t>
      </w:r>
      <w:r w:rsidR="00E91A01" w:rsidRPr="001A15EE">
        <w:rPr>
          <w:rFonts w:ascii="Arial" w:hAnsi="Arial" w:cs="Arial"/>
          <w:sz w:val="24"/>
          <w:szCs w:val="24"/>
        </w:rPr>
        <w:t>Cu</w:t>
      </w:r>
      <w:r w:rsidRPr="001A15EE">
        <w:rPr>
          <w:rFonts w:ascii="Arial" w:hAnsi="Arial" w:cs="Arial"/>
          <w:sz w:val="24"/>
          <w:szCs w:val="24"/>
        </w:rPr>
        <w:t xml:space="preserve"> content of distillery spent wash was observed due to M</w:t>
      </w:r>
      <w:r w:rsidRPr="001A15EE">
        <w:rPr>
          <w:rFonts w:ascii="Arial" w:hAnsi="Arial" w:cs="Arial"/>
          <w:sz w:val="24"/>
          <w:szCs w:val="24"/>
          <w:vertAlign w:val="subscript"/>
        </w:rPr>
        <w:t>1</w:t>
      </w:r>
      <w:r w:rsidRPr="001A15EE">
        <w:rPr>
          <w:rFonts w:ascii="Arial" w:hAnsi="Arial" w:cs="Arial"/>
          <w:sz w:val="24"/>
          <w:szCs w:val="24"/>
        </w:rPr>
        <w:t xml:space="preserve"> and M</w:t>
      </w:r>
      <w:r w:rsidRPr="001A15EE">
        <w:rPr>
          <w:rFonts w:ascii="Arial" w:hAnsi="Arial" w:cs="Arial"/>
          <w:sz w:val="24"/>
          <w:szCs w:val="24"/>
          <w:vertAlign w:val="subscript"/>
        </w:rPr>
        <w:t>2</w:t>
      </w:r>
      <w:r w:rsidRPr="001A15EE">
        <w:rPr>
          <w:rFonts w:ascii="Arial" w:hAnsi="Arial" w:cs="Arial"/>
          <w:sz w:val="24"/>
          <w:szCs w:val="24"/>
        </w:rPr>
        <w:t xml:space="preserve"> over M</w:t>
      </w:r>
      <w:r w:rsidRPr="001A15EE">
        <w:rPr>
          <w:rFonts w:ascii="Arial" w:hAnsi="Arial" w:cs="Arial"/>
          <w:sz w:val="24"/>
          <w:szCs w:val="24"/>
          <w:vertAlign w:val="subscript"/>
        </w:rPr>
        <w:t>0</w:t>
      </w:r>
      <w:r w:rsidRPr="001A15EE">
        <w:rPr>
          <w:rFonts w:ascii="Arial" w:hAnsi="Arial" w:cs="Arial"/>
          <w:sz w:val="24"/>
          <w:szCs w:val="24"/>
        </w:rPr>
        <w:t>. Significantly lower mean Cu content (1.43 mg/L) was found at 20</w:t>
      </w:r>
      <w:r w:rsidRPr="001A15EE">
        <w:rPr>
          <w:rFonts w:ascii="Arial" w:hAnsi="Arial" w:cs="Arial"/>
          <w:sz w:val="24"/>
          <w:szCs w:val="24"/>
          <w:vertAlign w:val="superscript"/>
        </w:rPr>
        <w:t>th</w:t>
      </w:r>
      <w:r w:rsidRPr="001A15EE">
        <w:rPr>
          <w:rFonts w:ascii="Arial" w:hAnsi="Arial" w:cs="Arial"/>
          <w:sz w:val="24"/>
          <w:szCs w:val="24"/>
        </w:rPr>
        <w:t xml:space="preserve"> day of incubation period (D</w:t>
      </w:r>
      <w:r w:rsidRPr="001A15EE">
        <w:rPr>
          <w:rFonts w:ascii="Arial" w:hAnsi="Arial" w:cs="Arial"/>
          <w:sz w:val="24"/>
          <w:szCs w:val="24"/>
          <w:vertAlign w:val="subscript"/>
        </w:rPr>
        <w:t>2</w:t>
      </w:r>
      <w:r w:rsidRPr="001A15EE">
        <w:rPr>
          <w:rFonts w:ascii="Arial" w:hAnsi="Arial" w:cs="Arial"/>
          <w:sz w:val="24"/>
          <w:szCs w:val="24"/>
        </w:rPr>
        <w:t>) which was statistically at par with the 10</w:t>
      </w:r>
      <w:r w:rsidRPr="001A15EE">
        <w:rPr>
          <w:rFonts w:ascii="Arial" w:hAnsi="Arial" w:cs="Arial"/>
          <w:sz w:val="24"/>
          <w:szCs w:val="24"/>
          <w:vertAlign w:val="superscript"/>
        </w:rPr>
        <w:t>th</w:t>
      </w:r>
      <w:r w:rsidRPr="001A15EE">
        <w:rPr>
          <w:rFonts w:ascii="Arial" w:hAnsi="Arial" w:cs="Arial"/>
          <w:sz w:val="24"/>
          <w:szCs w:val="24"/>
        </w:rPr>
        <w:t xml:space="preserve"> day of incubation period (D</w:t>
      </w:r>
      <w:r w:rsidRPr="001A15EE">
        <w:rPr>
          <w:rFonts w:ascii="Arial" w:hAnsi="Arial" w:cs="Arial"/>
          <w:sz w:val="24"/>
          <w:szCs w:val="24"/>
          <w:vertAlign w:val="subscript"/>
        </w:rPr>
        <w:t>1</w:t>
      </w:r>
      <w:r w:rsidRPr="001A15EE">
        <w:rPr>
          <w:rFonts w:ascii="Arial" w:hAnsi="Arial" w:cs="Arial"/>
          <w:sz w:val="24"/>
          <w:szCs w:val="24"/>
        </w:rPr>
        <w:t>). Significantly the lowest Cu content (1.16 mg/L) was found in distillery spent wash treated by</w:t>
      </w:r>
      <w:r w:rsidRPr="001A15EE">
        <w:rPr>
          <w:rFonts w:ascii="Arial" w:hAnsi="Arial" w:cs="Arial"/>
          <w:i/>
          <w:iCs/>
          <w:sz w:val="24"/>
          <w:szCs w:val="24"/>
        </w:rPr>
        <w:t xml:space="preserve"> Aspergillusniger</w:t>
      </w:r>
      <w:r w:rsidRPr="001A15EE">
        <w:rPr>
          <w:rFonts w:ascii="Arial" w:hAnsi="Arial" w:cs="Arial"/>
          <w:sz w:val="24"/>
          <w:szCs w:val="24"/>
        </w:rPr>
        <w:t xml:space="preserve"> at 10</w:t>
      </w:r>
      <w:r w:rsidRPr="001A15EE">
        <w:rPr>
          <w:rFonts w:ascii="Arial" w:hAnsi="Arial" w:cs="Arial"/>
          <w:sz w:val="24"/>
          <w:szCs w:val="24"/>
          <w:vertAlign w:val="superscript"/>
        </w:rPr>
        <w:t>th</w:t>
      </w:r>
      <w:r w:rsidRPr="001A15EE">
        <w:rPr>
          <w:rFonts w:ascii="Arial" w:hAnsi="Arial" w:cs="Arial"/>
          <w:sz w:val="24"/>
          <w:szCs w:val="24"/>
        </w:rPr>
        <w:t xml:space="preserve"> day of incubation period (M</w:t>
      </w:r>
      <w:r w:rsidRPr="001A15EE">
        <w:rPr>
          <w:rFonts w:ascii="Arial" w:hAnsi="Arial" w:cs="Arial"/>
          <w:sz w:val="24"/>
          <w:szCs w:val="24"/>
          <w:vertAlign w:val="subscript"/>
        </w:rPr>
        <w:t>1</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which was statistically at par with M</w:t>
      </w:r>
      <w:r w:rsidRPr="001A15EE">
        <w:rPr>
          <w:rFonts w:ascii="Arial" w:hAnsi="Arial" w:cs="Arial"/>
          <w:sz w:val="24"/>
          <w:szCs w:val="24"/>
          <w:vertAlign w:val="subscript"/>
        </w:rPr>
        <w:t>1</w:t>
      </w:r>
      <w:r w:rsidRPr="001A15EE">
        <w:rPr>
          <w:rFonts w:ascii="Arial" w:hAnsi="Arial" w:cs="Arial"/>
          <w:sz w:val="24"/>
          <w:szCs w:val="24"/>
        </w:rPr>
        <w:t>D</w:t>
      </w:r>
      <w:r w:rsidRPr="001A15EE">
        <w:rPr>
          <w:rFonts w:ascii="Arial" w:hAnsi="Arial" w:cs="Arial"/>
          <w:sz w:val="24"/>
          <w:szCs w:val="24"/>
          <w:vertAlign w:val="subscript"/>
        </w:rPr>
        <w:t>2</w:t>
      </w:r>
      <w:r w:rsidRPr="001A15EE">
        <w:rPr>
          <w:rFonts w:ascii="Arial" w:hAnsi="Arial" w:cs="Arial"/>
          <w:sz w:val="24"/>
          <w:szCs w:val="24"/>
        </w:rPr>
        <w:t>, M</w:t>
      </w:r>
      <w:r w:rsidRPr="001A15EE">
        <w:rPr>
          <w:rFonts w:ascii="Arial" w:hAnsi="Arial" w:cs="Arial"/>
          <w:sz w:val="24"/>
          <w:szCs w:val="24"/>
          <w:vertAlign w:val="subscript"/>
        </w:rPr>
        <w:t>2</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xml:space="preserve"> and M</w:t>
      </w:r>
      <w:r w:rsidRPr="001A15EE">
        <w:rPr>
          <w:rFonts w:ascii="Arial" w:hAnsi="Arial" w:cs="Arial"/>
          <w:sz w:val="24"/>
          <w:szCs w:val="24"/>
          <w:vertAlign w:val="subscript"/>
        </w:rPr>
        <w:t>2</w:t>
      </w:r>
      <w:r w:rsidRPr="001A15EE">
        <w:rPr>
          <w:rFonts w:ascii="Arial" w:hAnsi="Arial" w:cs="Arial"/>
          <w:sz w:val="24"/>
          <w:szCs w:val="24"/>
        </w:rPr>
        <w:t>D</w:t>
      </w:r>
      <w:r w:rsidRPr="001A15EE">
        <w:rPr>
          <w:rFonts w:ascii="Arial" w:hAnsi="Arial" w:cs="Arial"/>
          <w:sz w:val="24"/>
          <w:szCs w:val="24"/>
          <w:vertAlign w:val="subscript"/>
        </w:rPr>
        <w:t>2</w:t>
      </w:r>
      <w:r w:rsidRPr="001A15EE">
        <w:rPr>
          <w:rFonts w:ascii="Arial" w:hAnsi="Arial" w:cs="Arial"/>
          <w:sz w:val="24"/>
          <w:szCs w:val="24"/>
        </w:rPr>
        <w:t>. The data also revealed that the decrement in Cu content in distillery spent wash due to M</w:t>
      </w:r>
      <w:r w:rsidRPr="001A15EE">
        <w:rPr>
          <w:rFonts w:ascii="Arial" w:hAnsi="Arial" w:cs="Arial"/>
          <w:sz w:val="24"/>
          <w:szCs w:val="24"/>
          <w:vertAlign w:val="subscript"/>
        </w:rPr>
        <w:t>1</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xml:space="preserve"> was 40.81, 29.26 and 36.26 per cent over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2</w:t>
      </w:r>
      <w:r w:rsidRPr="001A15EE">
        <w:rPr>
          <w:rFonts w:ascii="Arial" w:hAnsi="Arial" w:cs="Arial"/>
          <w:sz w:val="24"/>
          <w:szCs w:val="24"/>
        </w:rPr>
        <w:t xml:space="preserve"> and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3</w:t>
      </w:r>
      <w:r w:rsidRPr="001A15EE">
        <w:rPr>
          <w:rFonts w:ascii="Arial" w:hAnsi="Arial" w:cs="Arial"/>
          <w:sz w:val="24"/>
          <w:szCs w:val="24"/>
        </w:rPr>
        <w:t>, while in case of M</w:t>
      </w:r>
      <w:r w:rsidRPr="001A15EE">
        <w:rPr>
          <w:rFonts w:ascii="Arial" w:hAnsi="Arial" w:cs="Arial"/>
          <w:sz w:val="24"/>
          <w:szCs w:val="24"/>
          <w:vertAlign w:val="subscript"/>
        </w:rPr>
        <w:t>2</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decrement in Cu content of spent wash was 38.77, 26.83 and 34.06 per cent over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2</w:t>
      </w:r>
      <w:r w:rsidRPr="001A15EE">
        <w:rPr>
          <w:rFonts w:ascii="Arial" w:hAnsi="Arial" w:cs="Arial"/>
          <w:sz w:val="24"/>
          <w:szCs w:val="24"/>
        </w:rPr>
        <w:t xml:space="preserve"> and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3</w:t>
      </w:r>
      <w:r w:rsidRPr="001A15EE">
        <w:rPr>
          <w:rFonts w:ascii="Arial" w:hAnsi="Arial" w:cs="Arial"/>
          <w:sz w:val="24"/>
          <w:szCs w:val="24"/>
        </w:rPr>
        <w:t xml:space="preserve">, respectively. Similar result was found by Agnihotri (2011) that </w:t>
      </w:r>
      <w:r w:rsidRPr="001A15EE">
        <w:rPr>
          <w:rFonts w:ascii="Arial" w:hAnsi="Arial" w:cs="Arial"/>
          <w:i/>
          <w:iCs/>
          <w:sz w:val="24"/>
          <w:szCs w:val="24"/>
        </w:rPr>
        <w:t xml:space="preserve">Aspergillus spp. </w:t>
      </w:r>
      <w:r w:rsidRPr="001A15EE">
        <w:rPr>
          <w:rFonts w:ascii="Arial" w:hAnsi="Arial" w:cs="Arial"/>
          <w:sz w:val="24"/>
          <w:szCs w:val="24"/>
        </w:rPr>
        <w:t>was capable of reducing Cu content from biomethanated distillery effluent as copper declined from 0.097 ppm to 0.0198 ppm (79.59% reduction) because Cu is often sequestered in microbial biomass or transformed into less bioavailable forms during effluent treatment.</w:t>
      </w:r>
    </w:p>
    <w:p w:rsidR="007037ED" w:rsidRPr="001A15EE" w:rsidRDefault="007037ED" w:rsidP="001A15EE">
      <w:pPr>
        <w:tabs>
          <w:tab w:val="left" w:pos="567"/>
          <w:tab w:val="left" w:pos="709"/>
        </w:tabs>
        <w:spacing w:before="240" w:after="0"/>
        <w:ind w:left="1276" w:hanging="1333"/>
        <w:jc w:val="both"/>
        <w:rPr>
          <w:rFonts w:ascii="Arial" w:hAnsi="Arial" w:cs="Arial"/>
          <w:sz w:val="24"/>
          <w:szCs w:val="24"/>
        </w:rPr>
      </w:pPr>
      <w:r w:rsidRPr="001A15EE">
        <w:rPr>
          <w:rFonts w:ascii="Arial" w:hAnsi="Arial" w:cs="Arial"/>
          <w:b/>
          <w:bCs/>
          <w:sz w:val="24"/>
          <w:szCs w:val="24"/>
        </w:rPr>
        <w:lastRenderedPageBreak/>
        <w:t xml:space="preserve">Table </w:t>
      </w:r>
      <w:r w:rsidR="00BF319B">
        <w:rPr>
          <w:rFonts w:ascii="Arial" w:hAnsi="Arial" w:cs="Arial"/>
          <w:b/>
          <w:bCs/>
          <w:sz w:val="24"/>
          <w:szCs w:val="24"/>
        </w:rPr>
        <w:t>10</w:t>
      </w:r>
      <w:r w:rsidRPr="001A15EE">
        <w:rPr>
          <w:rFonts w:ascii="Arial" w:hAnsi="Arial" w:cs="Arial"/>
          <w:b/>
          <w:bCs/>
          <w:sz w:val="24"/>
          <w:szCs w:val="24"/>
        </w:rPr>
        <w:t>: Effect of microbial inoculation and incubation period on Cu content (mg/L) of distillery spent wash</w:t>
      </w:r>
    </w:p>
    <w:tbl>
      <w:tblPr>
        <w:tblW w:w="4907" w:type="pct"/>
        <w:tblInd w:w="108" w:type="dxa"/>
        <w:tblLook w:val="04A0"/>
      </w:tblPr>
      <w:tblGrid>
        <w:gridCol w:w="1862"/>
        <w:gridCol w:w="1914"/>
        <w:gridCol w:w="1809"/>
        <w:gridCol w:w="1890"/>
        <w:gridCol w:w="1596"/>
      </w:tblGrid>
      <w:tr w:rsidR="007037ED" w:rsidRPr="001A15EE" w:rsidTr="00535F85">
        <w:trPr>
          <w:trHeight w:val="159"/>
        </w:trPr>
        <w:tc>
          <w:tcPr>
            <w:tcW w:w="1026" w:type="pct"/>
            <w:vMerge w:val="restart"/>
            <w:tcBorders>
              <w:top w:val="single" w:sz="8" w:space="0" w:color="auto"/>
              <w:left w:val="single" w:sz="8" w:space="0" w:color="auto"/>
              <w:bottom w:val="single" w:sz="8" w:space="0" w:color="000000"/>
              <w:right w:val="single" w:sz="8" w:space="0" w:color="auto"/>
            </w:tcBorders>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Microbial </w:t>
            </w:r>
          </w:p>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inoculation</w:t>
            </w:r>
          </w:p>
        </w:tc>
        <w:tc>
          <w:tcPr>
            <w:tcW w:w="3974" w:type="pct"/>
            <w:gridSpan w:val="4"/>
            <w:tcBorders>
              <w:top w:val="single" w:sz="8" w:space="0" w:color="auto"/>
              <w:left w:val="nil"/>
              <w:bottom w:val="single" w:sz="8" w:space="0" w:color="auto"/>
              <w:right w:val="single" w:sz="8" w:space="0" w:color="000000"/>
            </w:tcBorders>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Cu (mg/L)</w:t>
            </w:r>
          </w:p>
        </w:tc>
      </w:tr>
      <w:tr w:rsidR="007037ED" w:rsidRPr="001A15EE" w:rsidTr="00535F85">
        <w:trPr>
          <w:trHeight w:val="60"/>
        </w:trPr>
        <w:tc>
          <w:tcPr>
            <w:tcW w:w="1026" w:type="pct"/>
            <w:vMerge/>
            <w:tcBorders>
              <w:top w:val="single" w:sz="8" w:space="0" w:color="auto"/>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c>
          <w:tcPr>
            <w:tcW w:w="3094" w:type="pct"/>
            <w:gridSpan w:val="3"/>
            <w:tcBorders>
              <w:top w:val="single" w:sz="8" w:space="0" w:color="auto"/>
              <w:left w:val="nil"/>
              <w:bottom w:val="single" w:sz="8" w:space="0" w:color="auto"/>
              <w:right w:val="nil"/>
            </w:tcBorders>
            <w:noWrap/>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880" w:type="pct"/>
            <w:vMerge w:val="restart"/>
            <w:tcBorders>
              <w:top w:val="nil"/>
              <w:left w:val="single" w:sz="8" w:space="0" w:color="auto"/>
              <w:bottom w:val="single" w:sz="8"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7037ED" w:rsidRPr="001A15EE" w:rsidTr="00535F85">
        <w:trPr>
          <w:trHeight w:val="139"/>
        </w:trPr>
        <w:tc>
          <w:tcPr>
            <w:tcW w:w="1026" w:type="pct"/>
            <w:vMerge/>
            <w:tcBorders>
              <w:top w:val="single" w:sz="8" w:space="0" w:color="auto"/>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c>
          <w:tcPr>
            <w:tcW w:w="1055" w:type="pct"/>
            <w:tcBorders>
              <w:top w:val="nil"/>
              <w:left w:val="nil"/>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997" w:type="pct"/>
            <w:tcBorders>
              <w:top w:val="nil"/>
              <w:left w:val="nil"/>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1042" w:type="pct"/>
            <w:tcBorders>
              <w:top w:val="nil"/>
              <w:left w:val="nil"/>
              <w:bottom w:val="single" w:sz="8" w:space="0" w:color="auto"/>
              <w:right w:val="nil"/>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880"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535F85">
        <w:trPr>
          <w:trHeight w:val="129"/>
        </w:trPr>
        <w:tc>
          <w:tcPr>
            <w:tcW w:w="102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1055"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1.96</w:t>
            </w:r>
          </w:p>
        </w:tc>
        <w:tc>
          <w:tcPr>
            <w:tcW w:w="997"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1.64</w:t>
            </w:r>
          </w:p>
        </w:tc>
        <w:tc>
          <w:tcPr>
            <w:tcW w:w="1042"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1.82</w:t>
            </w:r>
          </w:p>
        </w:tc>
        <w:tc>
          <w:tcPr>
            <w:tcW w:w="880" w:type="pct"/>
            <w:tcBorders>
              <w:top w:val="nil"/>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1.81</w:t>
            </w:r>
          </w:p>
        </w:tc>
      </w:tr>
      <w:tr w:rsidR="007037ED" w:rsidRPr="001A15EE" w:rsidTr="00535F85">
        <w:trPr>
          <w:trHeight w:val="105"/>
        </w:trPr>
        <w:tc>
          <w:tcPr>
            <w:tcW w:w="102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1055"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1.16</w:t>
            </w:r>
          </w:p>
        </w:tc>
        <w:tc>
          <w:tcPr>
            <w:tcW w:w="997"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1.29</w:t>
            </w:r>
          </w:p>
        </w:tc>
        <w:tc>
          <w:tcPr>
            <w:tcW w:w="1042"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1.45</w:t>
            </w:r>
          </w:p>
        </w:tc>
        <w:tc>
          <w:tcPr>
            <w:tcW w:w="880" w:type="pct"/>
            <w:tcBorders>
              <w:top w:val="nil"/>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1.30</w:t>
            </w:r>
          </w:p>
        </w:tc>
      </w:tr>
      <w:tr w:rsidR="007037ED" w:rsidRPr="001A15EE" w:rsidTr="00535F85">
        <w:trPr>
          <w:trHeight w:val="96"/>
        </w:trPr>
        <w:tc>
          <w:tcPr>
            <w:tcW w:w="102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1055"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1.20</w:t>
            </w:r>
          </w:p>
        </w:tc>
        <w:tc>
          <w:tcPr>
            <w:tcW w:w="997"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1.36</w:t>
            </w:r>
          </w:p>
        </w:tc>
        <w:tc>
          <w:tcPr>
            <w:tcW w:w="1042"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1.83</w:t>
            </w:r>
          </w:p>
        </w:tc>
        <w:tc>
          <w:tcPr>
            <w:tcW w:w="880" w:type="pct"/>
            <w:tcBorders>
              <w:top w:val="nil"/>
              <w:left w:val="nil"/>
              <w:bottom w:val="single" w:sz="4" w:space="0" w:color="000000"/>
              <w:right w:val="single" w:sz="8" w:space="0" w:color="auto"/>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1.47</w:t>
            </w:r>
          </w:p>
        </w:tc>
      </w:tr>
      <w:tr w:rsidR="007037ED" w:rsidRPr="001A15EE" w:rsidTr="00535F85">
        <w:trPr>
          <w:trHeight w:val="85"/>
        </w:trPr>
        <w:tc>
          <w:tcPr>
            <w:tcW w:w="102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1055"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1.44</w:t>
            </w:r>
          </w:p>
        </w:tc>
        <w:tc>
          <w:tcPr>
            <w:tcW w:w="997"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1.43</w:t>
            </w:r>
          </w:p>
        </w:tc>
        <w:tc>
          <w:tcPr>
            <w:tcW w:w="1042"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1.70</w:t>
            </w:r>
          </w:p>
        </w:tc>
        <w:tc>
          <w:tcPr>
            <w:tcW w:w="880" w:type="pct"/>
            <w:tcBorders>
              <w:top w:val="nil"/>
              <w:left w:val="single" w:sz="8" w:space="0" w:color="auto"/>
              <w:bottom w:val="single" w:sz="8" w:space="0" w:color="auto"/>
              <w:right w:val="single" w:sz="8" w:space="0" w:color="auto"/>
            </w:tcBorders>
            <w:noWrap/>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1.52</w:t>
            </w:r>
          </w:p>
        </w:tc>
      </w:tr>
      <w:tr w:rsidR="007037ED" w:rsidRPr="001A15EE" w:rsidTr="00535F85">
        <w:trPr>
          <w:trHeight w:val="218"/>
        </w:trPr>
        <w:tc>
          <w:tcPr>
            <w:tcW w:w="102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2052" w:type="pct"/>
            <w:gridSpan w:val="2"/>
            <w:tcBorders>
              <w:top w:val="single" w:sz="8" w:space="0" w:color="auto"/>
              <w:left w:val="nil"/>
              <w:bottom w:val="single" w:sz="8" w:space="0" w:color="auto"/>
              <w:right w:val="nil"/>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S.Em. (</w:t>
            </w:r>
            <w:r w:rsidRPr="001A15EE">
              <w:rPr>
                <w:rFonts w:ascii="Arial" w:hAnsi="Arial" w:cs="Arial"/>
                <w:sz w:val="24"/>
                <w:szCs w:val="24"/>
              </w:rPr>
              <w:t>±)</w:t>
            </w:r>
          </w:p>
        </w:tc>
        <w:tc>
          <w:tcPr>
            <w:tcW w:w="1042" w:type="pct"/>
            <w:tcBorders>
              <w:top w:val="single" w:sz="8" w:space="0" w:color="auto"/>
              <w:left w:val="single" w:sz="8" w:space="0" w:color="auto"/>
              <w:bottom w:val="single" w:sz="8" w:space="0" w:color="auto"/>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880" w:type="pct"/>
            <w:tcBorders>
              <w:top w:val="nil"/>
              <w:left w:val="nil"/>
              <w:bottom w:val="single" w:sz="8" w:space="0" w:color="auto"/>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7037ED" w:rsidRPr="001A15EE" w:rsidTr="00535F85">
        <w:trPr>
          <w:trHeight w:val="60"/>
        </w:trPr>
        <w:tc>
          <w:tcPr>
            <w:tcW w:w="102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2052" w:type="pct"/>
            <w:gridSpan w:val="2"/>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0.06</w:t>
            </w:r>
          </w:p>
        </w:tc>
        <w:tc>
          <w:tcPr>
            <w:tcW w:w="1042" w:type="pct"/>
            <w:tcBorders>
              <w:top w:val="single" w:sz="4" w:space="0" w:color="000000"/>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0.18</w:t>
            </w:r>
          </w:p>
        </w:tc>
        <w:tc>
          <w:tcPr>
            <w:tcW w:w="880" w:type="pct"/>
            <w:vMerge w:val="restart"/>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15.84</w:t>
            </w:r>
          </w:p>
        </w:tc>
      </w:tr>
      <w:tr w:rsidR="007037ED" w:rsidRPr="001A15EE" w:rsidTr="00535F85">
        <w:trPr>
          <w:trHeight w:val="198"/>
        </w:trPr>
        <w:tc>
          <w:tcPr>
            <w:tcW w:w="1026" w:type="pct"/>
            <w:tcBorders>
              <w:top w:val="nil"/>
              <w:left w:val="single" w:sz="8" w:space="0" w:color="auto"/>
              <w:bottom w:val="single" w:sz="8" w:space="0" w:color="auto"/>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2052" w:type="pct"/>
            <w:gridSpan w:val="2"/>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0.06</w:t>
            </w:r>
          </w:p>
        </w:tc>
        <w:tc>
          <w:tcPr>
            <w:tcW w:w="1042" w:type="pct"/>
            <w:tcBorders>
              <w:top w:val="nil"/>
              <w:left w:val="nil"/>
              <w:bottom w:val="single" w:sz="4" w:space="0" w:color="000000"/>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0.18</w:t>
            </w:r>
          </w:p>
        </w:tc>
        <w:tc>
          <w:tcPr>
            <w:tcW w:w="880" w:type="pct"/>
            <w:vMerge/>
            <w:tcBorders>
              <w:top w:val="nil"/>
              <w:left w:val="single" w:sz="8" w:space="0" w:color="auto"/>
              <w:bottom w:val="single" w:sz="8" w:space="0" w:color="000000"/>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r w:rsidR="007037ED" w:rsidRPr="001A15EE" w:rsidTr="001A15EE">
        <w:trPr>
          <w:trHeight w:val="60"/>
        </w:trPr>
        <w:tc>
          <w:tcPr>
            <w:tcW w:w="1026" w:type="pct"/>
            <w:tcBorders>
              <w:top w:val="nil"/>
              <w:left w:val="single" w:sz="8" w:space="0" w:color="auto"/>
              <w:bottom w:val="nil"/>
              <w:right w:val="single" w:sz="8" w:space="0" w:color="auto"/>
            </w:tcBorders>
            <w:vAlign w:val="bottom"/>
            <w:hideMark/>
          </w:tcPr>
          <w:p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2052" w:type="pct"/>
            <w:gridSpan w:val="2"/>
            <w:tcBorders>
              <w:top w:val="nil"/>
              <w:left w:val="nil"/>
              <w:bottom w:val="nil"/>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0.11</w:t>
            </w:r>
          </w:p>
        </w:tc>
        <w:tc>
          <w:tcPr>
            <w:tcW w:w="1042" w:type="pct"/>
            <w:tcBorders>
              <w:top w:val="nil"/>
              <w:left w:val="nil"/>
              <w:bottom w:val="nil"/>
              <w:right w:val="single" w:sz="4" w:space="0" w:color="000000"/>
            </w:tcBorders>
            <w:vAlign w:val="bottom"/>
            <w:hideMark/>
          </w:tcPr>
          <w:p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0.31</w:t>
            </w:r>
          </w:p>
        </w:tc>
        <w:tc>
          <w:tcPr>
            <w:tcW w:w="880" w:type="pct"/>
            <w:vMerge/>
            <w:tcBorders>
              <w:top w:val="nil"/>
              <w:left w:val="single" w:sz="8" w:space="0" w:color="auto"/>
              <w:bottom w:val="nil"/>
              <w:right w:val="single" w:sz="8" w:space="0" w:color="auto"/>
            </w:tcBorders>
            <w:vAlign w:val="center"/>
            <w:hideMark/>
          </w:tcPr>
          <w:p w:rsidR="007037ED" w:rsidRPr="001A15EE" w:rsidRDefault="007037ED" w:rsidP="00535F85">
            <w:pPr>
              <w:spacing w:after="0" w:line="240" w:lineRule="auto"/>
              <w:rPr>
                <w:rFonts w:ascii="Arial" w:hAnsi="Arial" w:cs="Arial"/>
                <w:b/>
                <w:bCs/>
                <w:sz w:val="24"/>
                <w:szCs w:val="24"/>
              </w:rPr>
            </w:pPr>
          </w:p>
        </w:tc>
      </w:tr>
      <w:tr w:rsidR="001A15EE" w:rsidRPr="001A15EE" w:rsidTr="00535F85">
        <w:trPr>
          <w:trHeight w:val="60"/>
        </w:trPr>
        <w:tc>
          <w:tcPr>
            <w:tcW w:w="1026" w:type="pct"/>
            <w:tcBorders>
              <w:top w:val="nil"/>
              <w:left w:val="single" w:sz="8" w:space="0" w:color="auto"/>
              <w:bottom w:val="single" w:sz="8" w:space="0" w:color="auto"/>
              <w:right w:val="single" w:sz="8" w:space="0" w:color="auto"/>
            </w:tcBorders>
            <w:vAlign w:val="bottom"/>
            <w:hideMark/>
          </w:tcPr>
          <w:p w:rsidR="001A15EE" w:rsidRPr="001A15EE" w:rsidRDefault="001A15EE" w:rsidP="00535F85">
            <w:pPr>
              <w:spacing w:after="0" w:line="240" w:lineRule="auto"/>
              <w:jc w:val="center"/>
              <w:rPr>
                <w:rFonts w:ascii="Arial" w:hAnsi="Arial" w:cs="Arial"/>
                <w:b/>
                <w:bCs/>
                <w:sz w:val="24"/>
                <w:szCs w:val="24"/>
              </w:rPr>
            </w:pPr>
          </w:p>
        </w:tc>
        <w:tc>
          <w:tcPr>
            <w:tcW w:w="2052" w:type="pct"/>
            <w:gridSpan w:val="2"/>
            <w:tcBorders>
              <w:top w:val="nil"/>
              <w:left w:val="nil"/>
              <w:bottom w:val="single" w:sz="8" w:space="0" w:color="auto"/>
              <w:right w:val="single" w:sz="4" w:space="0" w:color="000000"/>
            </w:tcBorders>
            <w:vAlign w:val="bottom"/>
            <w:hideMark/>
          </w:tcPr>
          <w:p w:rsidR="001A15EE" w:rsidRPr="001A15EE" w:rsidRDefault="001A15EE" w:rsidP="00535F85">
            <w:pPr>
              <w:spacing w:after="0" w:line="240" w:lineRule="auto"/>
              <w:jc w:val="center"/>
              <w:rPr>
                <w:rFonts w:ascii="Arial" w:hAnsi="Arial" w:cs="Arial"/>
                <w:sz w:val="24"/>
                <w:szCs w:val="24"/>
              </w:rPr>
            </w:pPr>
          </w:p>
        </w:tc>
        <w:tc>
          <w:tcPr>
            <w:tcW w:w="1042" w:type="pct"/>
            <w:tcBorders>
              <w:top w:val="nil"/>
              <w:left w:val="nil"/>
              <w:bottom w:val="single" w:sz="8" w:space="0" w:color="auto"/>
              <w:right w:val="single" w:sz="4" w:space="0" w:color="000000"/>
            </w:tcBorders>
            <w:vAlign w:val="bottom"/>
            <w:hideMark/>
          </w:tcPr>
          <w:p w:rsidR="001A15EE" w:rsidRPr="001A15EE" w:rsidRDefault="001A15EE" w:rsidP="00535F85">
            <w:pPr>
              <w:spacing w:after="0" w:line="240" w:lineRule="auto"/>
              <w:jc w:val="center"/>
              <w:rPr>
                <w:rFonts w:ascii="Arial" w:hAnsi="Arial" w:cs="Arial"/>
                <w:sz w:val="24"/>
                <w:szCs w:val="24"/>
              </w:rPr>
            </w:pPr>
          </w:p>
        </w:tc>
        <w:tc>
          <w:tcPr>
            <w:tcW w:w="880" w:type="pct"/>
            <w:tcBorders>
              <w:top w:val="nil"/>
              <w:left w:val="single" w:sz="8" w:space="0" w:color="auto"/>
              <w:bottom w:val="single" w:sz="8" w:space="0" w:color="000000"/>
              <w:right w:val="single" w:sz="8" w:space="0" w:color="auto"/>
            </w:tcBorders>
            <w:vAlign w:val="center"/>
            <w:hideMark/>
          </w:tcPr>
          <w:p w:rsidR="001A15EE" w:rsidRPr="001A15EE" w:rsidRDefault="001A15EE" w:rsidP="00535F85">
            <w:pPr>
              <w:spacing w:after="0" w:line="240" w:lineRule="auto"/>
              <w:rPr>
                <w:rFonts w:ascii="Arial" w:hAnsi="Arial" w:cs="Arial"/>
                <w:b/>
                <w:bCs/>
                <w:sz w:val="24"/>
                <w:szCs w:val="24"/>
              </w:rPr>
            </w:pPr>
          </w:p>
        </w:tc>
      </w:tr>
    </w:tbl>
    <w:p w:rsidR="00535F85" w:rsidRPr="001A15EE" w:rsidRDefault="00535F85" w:rsidP="00291A23">
      <w:pPr>
        <w:tabs>
          <w:tab w:val="left" w:pos="142"/>
          <w:tab w:val="left" w:pos="567"/>
          <w:tab w:val="left" w:pos="709"/>
        </w:tabs>
        <w:spacing w:after="0" w:line="240" w:lineRule="auto"/>
        <w:ind w:hanging="57"/>
        <w:jc w:val="both"/>
        <w:rPr>
          <w:rFonts w:ascii="Arial" w:hAnsi="Arial" w:cs="Arial"/>
          <w:b/>
          <w:bCs/>
          <w:sz w:val="24"/>
          <w:szCs w:val="24"/>
        </w:rPr>
      </w:pPr>
    </w:p>
    <w:p w:rsidR="00535F85" w:rsidRPr="001A15EE" w:rsidRDefault="00535F85" w:rsidP="00535F85">
      <w:pPr>
        <w:tabs>
          <w:tab w:val="left" w:pos="142"/>
          <w:tab w:val="left" w:pos="567"/>
          <w:tab w:val="left" w:pos="709"/>
        </w:tabs>
        <w:spacing w:after="0" w:line="360" w:lineRule="auto"/>
        <w:ind w:hanging="57"/>
        <w:jc w:val="both"/>
        <w:rPr>
          <w:rFonts w:ascii="Arial" w:hAnsi="Arial" w:cs="Arial"/>
          <w:b/>
          <w:bCs/>
          <w:sz w:val="24"/>
          <w:szCs w:val="24"/>
        </w:rPr>
      </w:pPr>
      <w:r w:rsidRPr="001A15EE">
        <w:rPr>
          <w:rFonts w:ascii="Arial" w:hAnsi="Arial" w:cs="Arial"/>
          <w:noProof/>
          <w:sz w:val="24"/>
          <w:szCs w:val="24"/>
        </w:rPr>
        <w:drawing>
          <wp:inline distT="0" distB="0" distL="0" distR="0">
            <wp:extent cx="5822950" cy="2830665"/>
            <wp:effectExtent l="19050" t="0" r="25400" b="7785"/>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037ED" w:rsidRPr="001A15EE" w:rsidRDefault="00D25314" w:rsidP="00E07B87">
      <w:pPr>
        <w:tabs>
          <w:tab w:val="left" w:pos="142"/>
          <w:tab w:val="left" w:pos="567"/>
          <w:tab w:val="left" w:pos="709"/>
        </w:tabs>
        <w:spacing w:after="0"/>
        <w:ind w:left="851" w:hanging="908"/>
        <w:jc w:val="both"/>
        <w:rPr>
          <w:rFonts w:ascii="Arial" w:hAnsi="Arial" w:cs="Arial"/>
          <w:b/>
          <w:bCs/>
          <w:sz w:val="24"/>
          <w:szCs w:val="24"/>
        </w:rPr>
      </w:pPr>
      <w:r w:rsidRPr="001A15EE">
        <w:rPr>
          <w:rFonts w:ascii="Arial" w:hAnsi="Arial" w:cs="Arial"/>
          <w:b/>
          <w:bCs/>
          <w:sz w:val="24"/>
          <w:szCs w:val="24"/>
        </w:rPr>
        <w:t xml:space="preserve">Fig. </w:t>
      </w:r>
      <w:r w:rsidR="00560D44">
        <w:rPr>
          <w:rFonts w:ascii="Arial" w:hAnsi="Arial" w:cs="Arial"/>
          <w:b/>
          <w:bCs/>
          <w:sz w:val="24"/>
          <w:szCs w:val="24"/>
        </w:rPr>
        <w:t>4</w:t>
      </w:r>
      <w:r w:rsidR="00535F85" w:rsidRPr="001A15EE">
        <w:rPr>
          <w:rFonts w:ascii="Arial" w:hAnsi="Arial" w:cs="Arial"/>
          <w:b/>
          <w:bCs/>
          <w:sz w:val="24"/>
          <w:szCs w:val="24"/>
        </w:rPr>
        <w:t xml:space="preserve"> Effect of microbial inoculation and incubation period on reduction of Fe, Mn, Zn and Cu content in distillery spent wash</w:t>
      </w:r>
    </w:p>
    <w:p w:rsidR="00535F85" w:rsidRPr="001A15EE" w:rsidRDefault="00535F85" w:rsidP="00CC79AF">
      <w:pPr>
        <w:pStyle w:val="ListParagraph"/>
        <w:numPr>
          <w:ilvl w:val="0"/>
          <w:numId w:val="1"/>
        </w:numPr>
        <w:tabs>
          <w:tab w:val="left" w:pos="284"/>
        </w:tabs>
        <w:spacing w:before="240" w:after="0"/>
        <w:ind w:left="0" w:firstLine="0"/>
        <w:rPr>
          <w:rFonts w:ascii="Arial" w:hAnsi="Arial" w:cs="Arial"/>
          <w:sz w:val="40"/>
          <w:szCs w:val="32"/>
          <w:shd w:val="clear" w:color="auto" w:fill="FFFFFF"/>
        </w:rPr>
      </w:pPr>
      <w:r w:rsidRPr="001A15EE">
        <w:rPr>
          <w:rFonts w:ascii="Arial" w:hAnsi="Arial" w:cs="Arial"/>
          <w:b/>
          <w:bCs/>
          <w:sz w:val="24"/>
          <w:szCs w:val="20"/>
        </w:rPr>
        <w:t>CONCLUSION</w:t>
      </w:r>
    </w:p>
    <w:p w:rsidR="00535F85" w:rsidRPr="001A15EE" w:rsidRDefault="00535F85" w:rsidP="00E07B87">
      <w:pPr>
        <w:spacing w:after="0"/>
        <w:jc w:val="both"/>
        <w:rPr>
          <w:rFonts w:ascii="Arial" w:hAnsi="Arial" w:cs="Arial"/>
          <w:sz w:val="24"/>
          <w:szCs w:val="24"/>
        </w:rPr>
      </w:pPr>
      <w:r w:rsidRPr="001A15EE">
        <w:rPr>
          <w:rFonts w:ascii="Arial" w:hAnsi="Arial" w:cs="Arial"/>
          <w:sz w:val="24"/>
          <w:szCs w:val="20"/>
        </w:rPr>
        <w:t xml:space="preserve">            The present investigation clearly demonstrated that both </w:t>
      </w:r>
      <w:r w:rsidRPr="001A15EE">
        <w:rPr>
          <w:rFonts w:ascii="Arial" w:hAnsi="Arial" w:cs="Arial"/>
          <w:i/>
          <w:iCs/>
          <w:sz w:val="24"/>
          <w:szCs w:val="20"/>
        </w:rPr>
        <w:t>Aspergillus niger</w:t>
      </w:r>
      <w:r w:rsidRPr="001A15EE">
        <w:rPr>
          <w:rFonts w:ascii="Arial" w:hAnsi="Arial" w:cs="Arial"/>
          <w:sz w:val="24"/>
          <w:szCs w:val="20"/>
        </w:rPr>
        <w:t xml:space="preserve"> and </w:t>
      </w:r>
      <w:r w:rsidRPr="001A15EE">
        <w:rPr>
          <w:rFonts w:ascii="Arial" w:hAnsi="Arial" w:cs="Arial"/>
          <w:i/>
          <w:iCs/>
          <w:sz w:val="24"/>
          <w:szCs w:val="20"/>
        </w:rPr>
        <w:t>Pseudomonas fluorescens</w:t>
      </w:r>
      <w:r w:rsidRPr="001A15EE">
        <w:rPr>
          <w:rFonts w:ascii="Arial" w:hAnsi="Arial" w:cs="Arial"/>
          <w:sz w:val="24"/>
          <w:szCs w:val="20"/>
        </w:rPr>
        <w:t xml:space="preserve"> played an effective roles in the microbial degradation and </w:t>
      </w:r>
      <w:commentRangeStart w:id="29"/>
      <w:r w:rsidRPr="001A15EE">
        <w:rPr>
          <w:rFonts w:ascii="Arial" w:hAnsi="Arial" w:cs="Arial"/>
          <w:sz w:val="24"/>
          <w:szCs w:val="20"/>
        </w:rPr>
        <w:t>detoxification</w:t>
      </w:r>
      <w:commentRangeEnd w:id="29"/>
      <w:r w:rsidR="00336FE7">
        <w:rPr>
          <w:rStyle w:val="CommentReference"/>
        </w:rPr>
        <w:commentReference w:id="29"/>
      </w:r>
      <w:r w:rsidRPr="001A15EE">
        <w:rPr>
          <w:rFonts w:ascii="Arial" w:hAnsi="Arial" w:cs="Arial"/>
          <w:sz w:val="24"/>
          <w:szCs w:val="20"/>
        </w:rPr>
        <w:t xml:space="preserve"> of distillery spent wash, though their efficiencies varied across parameters at 10</w:t>
      </w:r>
      <w:r w:rsidRPr="001A15EE">
        <w:rPr>
          <w:rFonts w:ascii="Arial" w:hAnsi="Arial" w:cs="Arial"/>
          <w:sz w:val="24"/>
          <w:szCs w:val="20"/>
          <w:vertAlign w:val="superscript"/>
        </w:rPr>
        <w:t>th</w:t>
      </w:r>
      <w:r w:rsidRPr="001A15EE">
        <w:rPr>
          <w:rFonts w:ascii="Arial" w:hAnsi="Arial" w:cs="Arial"/>
          <w:sz w:val="24"/>
          <w:szCs w:val="20"/>
        </w:rPr>
        <w:t>, 20</w:t>
      </w:r>
      <w:r w:rsidRPr="001A15EE">
        <w:rPr>
          <w:rFonts w:ascii="Arial" w:hAnsi="Arial" w:cs="Arial"/>
          <w:sz w:val="24"/>
          <w:szCs w:val="20"/>
          <w:vertAlign w:val="superscript"/>
        </w:rPr>
        <w:t>th</w:t>
      </w:r>
      <w:r w:rsidRPr="001A15EE">
        <w:rPr>
          <w:rFonts w:ascii="Arial" w:hAnsi="Arial" w:cs="Arial"/>
          <w:sz w:val="24"/>
          <w:szCs w:val="20"/>
        </w:rPr>
        <w:t xml:space="preserve"> and 30</w:t>
      </w:r>
      <w:r w:rsidRPr="001A15EE">
        <w:rPr>
          <w:rFonts w:ascii="Arial" w:hAnsi="Arial" w:cs="Arial"/>
          <w:sz w:val="24"/>
          <w:szCs w:val="20"/>
          <w:vertAlign w:val="superscript"/>
        </w:rPr>
        <w:t>th</w:t>
      </w:r>
      <w:r w:rsidRPr="001A15EE">
        <w:rPr>
          <w:rFonts w:ascii="Arial" w:hAnsi="Arial" w:cs="Arial"/>
          <w:sz w:val="24"/>
          <w:szCs w:val="20"/>
        </w:rPr>
        <w:t xml:space="preserve"> day of incubation period. </w:t>
      </w:r>
      <w:r w:rsidRPr="001A15EE">
        <w:rPr>
          <w:rFonts w:ascii="Arial" w:hAnsi="Arial" w:cs="Arial"/>
          <w:i/>
          <w:iCs/>
          <w:sz w:val="24"/>
          <w:szCs w:val="24"/>
        </w:rPr>
        <w:t>Pseudomonas fluorescens</w:t>
      </w:r>
      <w:r w:rsidRPr="001A15EE">
        <w:rPr>
          <w:rFonts w:ascii="Arial" w:hAnsi="Arial" w:cs="Arial"/>
          <w:sz w:val="24"/>
          <w:szCs w:val="24"/>
        </w:rPr>
        <w:t xml:space="preserve"> demonstrated superior performance in reducing Biochemical Oxygen Demand (BOD), Chemical Oxygen Demand (COD), Total Solids (TS), Total Dissolved Solids (TDS) and optical density (OD), indicating its strong capacity for reducing organic load and colour. </w:t>
      </w:r>
      <w:r w:rsidRPr="001A15EE">
        <w:rPr>
          <w:rFonts w:ascii="Arial" w:hAnsi="Arial" w:cs="Arial"/>
          <w:sz w:val="24"/>
          <w:szCs w:val="20"/>
        </w:rPr>
        <w:t xml:space="preserve">On the other hand, </w:t>
      </w:r>
      <w:r w:rsidRPr="001A15EE">
        <w:rPr>
          <w:rFonts w:ascii="Arial" w:hAnsi="Arial" w:cs="Arial"/>
          <w:i/>
          <w:iCs/>
          <w:sz w:val="24"/>
          <w:szCs w:val="20"/>
        </w:rPr>
        <w:t>Aspergillus niger</w:t>
      </w:r>
      <w:r w:rsidRPr="001A15EE">
        <w:rPr>
          <w:rFonts w:ascii="Arial" w:hAnsi="Arial" w:cs="Arial"/>
          <w:sz w:val="24"/>
          <w:szCs w:val="20"/>
        </w:rPr>
        <w:t xml:space="preserve"> was particularly efficient in reducing heavy metals like iron (Fe), manganese (Mn), zinc (Zn), copper (Cu) at 10</w:t>
      </w:r>
      <w:r w:rsidRPr="001A15EE">
        <w:rPr>
          <w:rFonts w:ascii="Arial" w:hAnsi="Arial" w:cs="Arial"/>
          <w:sz w:val="24"/>
          <w:szCs w:val="20"/>
          <w:vertAlign w:val="superscript"/>
        </w:rPr>
        <w:t>th</w:t>
      </w:r>
      <w:r w:rsidRPr="001A15EE">
        <w:rPr>
          <w:rFonts w:ascii="Arial" w:hAnsi="Arial" w:cs="Arial"/>
          <w:sz w:val="24"/>
          <w:szCs w:val="20"/>
        </w:rPr>
        <w:t xml:space="preserve"> day incubation period </w:t>
      </w:r>
      <w:r w:rsidRPr="001A15EE">
        <w:rPr>
          <w:rFonts w:ascii="Arial" w:hAnsi="Arial" w:cs="Arial"/>
          <w:sz w:val="24"/>
          <w:szCs w:val="24"/>
        </w:rPr>
        <w:t xml:space="preserve">and it </w:t>
      </w:r>
      <w:commentRangeStart w:id="30"/>
      <w:r w:rsidRPr="001A15EE">
        <w:rPr>
          <w:rFonts w:ascii="Arial" w:hAnsi="Arial" w:cs="Arial"/>
          <w:sz w:val="24"/>
          <w:szCs w:val="24"/>
        </w:rPr>
        <w:t>was</w:t>
      </w:r>
      <w:commentRangeEnd w:id="30"/>
      <w:r w:rsidR="00336FE7">
        <w:rPr>
          <w:rStyle w:val="CommentReference"/>
        </w:rPr>
        <w:commentReference w:id="30"/>
      </w:r>
      <w:r w:rsidRPr="001A15EE">
        <w:rPr>
          <w:rFonts w:ascii="Arial" w:hAnsi="Arial" w:cs="Arial"/>
          <w:sz w:val="24"/>
          <w:szCs w:val="24"/>
        </w:rPr>
        <w:t xml:space="preserve"> also contributed significantly in reductions of BOD, COD and decolourization at 10</w:t>
      </w:r>
      <w:r w:rsidRPr="001A15EE">
        <w:rPr>
          <w:rFonts w:ascii="Arial" w:hAnsi="Arial" w:cs="Arial"/>
          <w:sz w:val="24"/>
          <w:szCs w:val="24"/>
          <w:vertAlign w:val="superscript"/>
        </w:rPr>
        <w:t>th</w:t>
      </w:r>
      <w:r w:rsidRPr="001A15EE">
        <w:rPr>
          <w:rFonts w:ascii="Arial" w:hAnsi="Arial" w:cs="Arial"/>
          <w:sz w:val="24"/>
          <w:szCs w:val="24"/>
        </w:rPr>
        <w:t xml:space="preserve"> day of incubation period over no microbial inoculation.</w:t>
      </w:r>
      <w:r w:rsidR="0044325A" w:rsidRPr="001A15EE">
        <w:rPr>
          <w:rFonts w:ascii="Arial" w:hAnsi="Arial" w:cs="Arial"/>
          <w:sz w:val="24"/>
          <w:szCs w:val="24"/>
        </w:rPr>
        <w:t xml:space="preserve">Future studies may focus on optimizing microbial consortia, scaling up </w:t>
      </w:r>
      <w:r w:rsidR="0044325A" w:rsidRPr="001A15EE">
        <w:rPr>
          <w:rFonts w:ascii="Arial" w:hAnsi="Arial" w:cs="Arial"/>
          <w:sz w:val="24"/>
          <w:szCs w:val="24"/>
        </w:rPr>
        <w:lastRenderedPageBreak/>
        <w:t>the treatment process and evaluating the safe use of treated or diluted distillery spent wash for fertigation or as a nutrient-rich fertilizer in agricultural fields.</w:t>
      </w:r>
    </w:p>
    <w:p w:rsidR="00535F85" w:rsidRPr="001A15EE" w:rsidRDefault="00535F85" w:rsidP="001A15EE">
      <w:pPr>
        <w:pStyle w:val="BodyText"/>
        <w:numPr>
          <w:ilvl w:val="0"/>
          <w:numId w:val="1"/>
        </w:numPr>
        <w:tabs>
          <w:tab w:val="left" w:pos="284"/>
          <w:tab w:val="right" w:pos="9356"/>
        </w:tabs>
        <w:spacing w:before="240" w:line="360" w:lineRule="auto"/>
        <w:ind w:left="0" w:firstLine="0"/>
        <w:jc w:val="both"/>
        <w:rPr>
          <w:rFonts w:ascii="Arial" w:hAnsi="Arial" w:cs="Arial"/>
          <w:b/>
          <w:bCs/>
        </w:rPr>
      </w:pPr>
      <w:commentRangeStart w:id="31"/>
      <w:r w:rsidRPr="001A15EE">
        <w:rPr>
          <w:rFonts w:ascii="Arial" w:hAnsi="Arial" w:cs="Arial"/>
          <w:b/>
          <w:bCs/>
        </w:rPr>
        <w:t>REFERENCES</w:t>
      </w:r>
    </w:p>
    <w:p w:rsidR="00CA25A2" w:rsidRPr="00C637D5" w:rsidRDefault="00CA25A2" w:rsidP="00C637D5">
      <w:pPr>
        <w:tabs>
          <w:tab w:val="left" w:pos="4026"/>
          <w:tab w:val="left" w:pos="4310"/>
          <w:tab w:val="left" w:pos="4877"/>
        </w:tabs>
        <w:spacing w:after="0"/>
        <w:jc w:val="both"/>
        <w:rPr>
          <w:rFonts w:ascii="Arial" w:hAnsi="Arial" w:cs="Arial"/>
          <w:sz w:val="24"/>
          <w:szCs w:val="24"/>
          <w:shd w:val="clear" w:color="auto" w:fill="FFFFFF"/>
        </w:rPr>
      </w:pPr>
      <w:r w:rsidRPr="00C637D5">
        <w:rPr>
          <w:rFonts w:ascii="Arial" w:hAnsi="Arial" w:cs="Arial"/>
          <w:sz w:val="24"/>
          <w:szCs w:val="24"/>
          <w:shd w:val="clear" w:color="auto" w:fill="FFFFFF"/>
        </w:rPr>
        <w:t>Agnihotri, S. N. (2011). Bioremediation of biomethanated distillery effluent before discharge to reduce contamination of aquatic sources. </w:t>
      </w:r>
      <w:r w:rsidRPr="00C637D5">
        <w:rPr>
          <w:rFonts w:ascii="Arial" w:hAnsi="Arial" w:cs="Arial"/>
          <w:i/>
          <w:iCs/>
          <w:sz w:val="24"/>
          <w:szCs w:val="24"/>
          <w:shd w:val="clear" w:color="auto" w:fill="FFFFFF"/>
        </w:rPr>
        <w:t>WIT Transactions on Ecology and the Environment</w:t>
      </w:r>
      <w:r w:rsidRPr="00C637D5">
        <w:rPr>
          <w:rFonts w:ascii="Arial" w:hAnsi="Arial" w:cs="Arial"/>
          <w:sz w:val="24"/>
          <w:szCs w:val="24"/>
          <w:shd w:val="clear" w:color="auto" w:fill="FFFFFF"/>
        </w:rPr>
        <w:t>, </w:t>
      </w:r>
      <w:r w:rsidRPr="00C637D5">
        <w:rPr>
          <w:rFonts w:ascii="Arial" w:hAnsi="Arial" w:cs="Arial"/>
          <w:b/>
          <w:bCs/>
          <w:sz w:val="24"/>
          <w:szCs w:val="24"/>
          <w:shd w:val="clear" w:color="auto" w:fill="FFFFFF"/>
        </w:rPr>
        <w:t>153</w:t>
      </w:r>
      <w:r w:rsidRPr="00C637D5">
        <w:rPr>
          <w:rFonts w:ascii="Arial" w:hAnsi="Arial" w:cs="Arial"/>
          <w:sz w:val="24"/>
          <w:szCs w:val="24"/>
          <w:shd w:val="clear" w:color="auto" w:fill="FFFFFF"/>
        </w:rPr>
        <w:t>: 253-261.</w:t>
      </w:r>
    </w:p>
    <w:p w:rsidR="00CA25A2" w:rsidRPr="001A15EE" w:rsidRDefault="00101CBF" w:rsidP="00C637D5">
      <w:pPr>
        <w:pStyle w:val="BodyText"/>
        <w:tabs>
          <w:tab w:val="left" w:pos="4026"/>
          <w:tab w:val="left" w:pos="4310"/>
          <w:tab w:val="left" w:pos="4735"/>
          <w:tab w:val="left" w:pos="4877"/>
          <w:tab w:val="right" w:pos="9356"/>
        </w:tabs>
        <w:spacing w:line="276" w:lineRule="auto"/>
        <w:jc w:val="both"/>
        <w:rPr>
          <w:rFonts w:ascii="Arial" w:hAnsi="Arial" w:cs="Arial"/>
        </w:rPr>
      </w:pPr>
      <w:r w:rsidRPr="00101CBF">
        <w:rPr>
          <w:rFonts w:ascii="Arial" w:hAnsi="Arial" w:cs="Arial"/>
        </w:rPr>
        <w:t>American Public Health Association</w:t>
      </w:r>
      <w:commentRangeEnd w:id="31"/>
      <w:r w:rsidR="00336FE7">
        <w:rPr>
          <w:rStyle w:val="CommentReference"/>
          <w:rFonts w:asciiTheme="minorHAnsi" w:eastAsiaTheme="minorHAnsi" w:hAnsiTheme="minorHAnsi" w:cstheme="minorBidi"/>
        </w:rPr>
        <w:commentReference w:id="31"/>
      </w:r>
      <w:r w:rsidRPr="00101CBF">
        <w:rPr>
          <w:rFonts w:ascii="Arial" w:hAnsi="Arial" w:cs="Arial"/>
        </w:rPr>
        <w:t>, American Water Works Association, &amp; Water Environment Federation. (1999). Standard methods for the examination of water and wastewater. American Public Health Association.</w:t>
      </w:r>
    </w:p>
    <w:p w:rsidR="00CA25A2" w:rsidRPr="00C637D5" w:rsidRDefault="00C82E27" w:rsidP="00C637D5">
      <w:pPr>
        <w:spacing w:after="0"/>
        <w:ind w:right="-7"/>
        <w:jc w:val="both"/>
        <w:rPr>
          <w:rFonts w:ascii="Arial" w:hAnsi="Arial" w:cs="Arial"/>
          <w:sz w:val="24"/>
          <w:szCs w:val="24"/>
        </w:rPr>
      </w:pPr>
      <w:r w:rsidRPr="00C637D5">
        <w:rPr>
          <w:rFonts w:ascii="Arial" w:hAnsi="Arial" w:cs="Arial"/>
          <w:sz w:val="24"/>
          <w:szCs w:val="24"/>
        </w:rPr>
        <w:t xml:space="preserve">Berg, C. (2004). World fuel ethanol – analysis and outlook. In *Sugar Trading Manual*. </w:t>
      </w:r>
      <w:hyperlink r:id="rId24" w:history="1">
        <w:r w:rsidRPr="00C637D5">
          <w:rPr>
            <w:rStyle w:val="Hyperlink"/>
            <w:rFonts w:ascii="Arial" w:hAnsi="Arial" w:cs="Arial"/>
            <w:sz w:val="24"/>
            <w:szCs w:val="24"/>
          </w:rPr>
          <w:t>https://doi.org/10.1016/B978-1-85573-457-9.50012-3</w:t>
        </w:r>
      </w:hyperlink>
    </w:p>
    <w:p w:rsidR="00CA25A2" w:rsidRPr="00C637D5" w:rsidRDefault="007C4D7D" w:rsidP="00C637D5">
      <w:pPr>
        <w:tabs>
          <w:tab w:val="left" w:pos="4310"/>
        </w:tabs>
        <w:spacing w:after="0"/>
        <w:jc w:val="both"/>
        <w:rPr>
          <w:rFonts w:ascii="Arial" w:hAnsi="Arial" w:cs="Arial"/>
          <w:sz w:val="24"/>
          <w:szCs w:val="24"/>
          <w:shd w:val="clear" w:color="auto" w:fill="FFFFFF"/>
        </w:rPr>
      </w:pPr>
      <w:r w:rsidRPr="00C637D5">
        <w:rPr>
          <w:rFonts w:ascii="Arial" w:hAnsi="Arial" w:cs="Arial"/>
          <w:sz w:val="24"/>
          <w:szCs w:val="24"/>
          <w:shd w:val="clear" w:color="auto" w:fill="FFFFFF"/>
        </w:rPr>
        <w:t xml:space="preserve">Chaturvedi, S., Chandra, R., &amp; Rai, V. (2006). Isolation and characterization of Phragmites australis (L.) rhizosphere bacteria from contaminated site for bioremediation of colored distillery effluent. Ecological Engineering, 27(3), 202-207. </w:t>
      </w:r>
      <w:hyperlink r:id="rId25" w:history="1">
        <w:r w:rsidRPr="00C637D5">
          <w:rPr>
            <w:rStyle w:val="Hyperlink"/>
            <w:rFonts w:ascii="Arial" w:hAnsi="Arial" w:cs="Arial"/>
            <w:sz w:val="24"/>
            <w:szCs w:val="24"/>
            <w:shd w:val="clear" w:color="auto" w:fill="FFFFFF"/>
          </w:rPr>
          <w:t>https://doi.org/10.1016/j.ecoleng.2006.02.008</w:t>
        </w:r>
      </w:hyperlink>
    </w:p>
    <w:p w:rsidR="00CA25A2" w:rsidRPr="00C637D5" w:rsidRDefault="009D5FC7" w:rsidP="00C637D5">
      <w:pPr>
        <w:spacing w:after="0"/>
        <w:ind w:right="-7"/>
        <w:jc w:val="both"/>
        <w:rPr>
          <w:rFonts w:ascii="Arial" w:hAnsi="Arial" w:cs="Arial"/>
          <w:sz w:val="24"/>
          <w:szCs w:val="24"/>
          <w:shd w:val="clear" w:color="auto" w:fill="FFFFFF"/>
        </w:rPr>
      </w:pPr>
      <w:r w:rsidRPr="00C637D5">
        <w:rPr>
          <w:rFonts w:ascii="Arial" w:hAnsi="Arial" w:cs="Arial"/>
          <w:sz w:val="24"/>
          <w:szCs w:val="24"/>
          <w:shd w:val="clear" w:color="auto" w:fill="FFFFFF"/>
        </w:rPr>
        <w:t xml:space="preserve">Chau, T. P., Bulgariu, L., Saravanan, M., Rajkumar, R., Chinnathambi, A., Salmen, S. H., &amp;Jhanani, G. K. (2023). Bioremediation efficiency of free and immobilized form of Aspergillus niger and Aspergillus tubigenesis biomass on tannery effluent. Environmental Research. </w:t>
      </w:r>
      <w:hyperlink r:id="rId26" w:history="1">
        <w:r w:rsidRPr="00C637D5">
          <w:rPr>
            <w:rStyle w:val="Hyperlink"/>
            <w:rFonts w:ascii="Arial" w:hAnsi="Arial" w:cs="Arial"/>
            <w:sz w:val="24"/>
            <w:szCs w:val="24"/>
            <w:shd w:val="clear" w:color="auto" w:fill="FFFFFF"/>
          </w:rPr>
          <w:t>https://doi.org/10.1016/j.envres.2023.116275</w:t>
        </w:r>
      </w:hyperlink>
    </w:p>
    <w:p w:rsidR="00CA25A2" w:rsidRPr="001A15EE" w:rsidRDefault="00B57DE5" w:rsidP="00C637D5">
      <w:pPr>
        <w:pStyle w:val="BodyText"/>
        <w:tabs>
          <w:tab w:val="left" w:pos="4310"/>
          <w:tab w:val="left" w:pos="4820"/>
          <w:tab w:val="right" w:pos="9214"/>
        </w:tabs>
        <w:spacing w:line="276" w:lineRule="auto"/>
        <w:jc w:val="both"/>
        <w:rPr>
          <w:rFonts w:ascii="Arial" w:hAnsi="Arial" w:cs="Arial"/>
        </w:rPr>
      </w:pPr>
      <w:r w:rsidRPr="00B57DE5">
        <w:rPr>
          <w:rFonts w:ascii="Arial" w:hAnsi="Arial" w:cs="Arial"/>
          <w:shd w:val="clear" w:color="auto" w:fill="FFFFFF"/>
        </w:rPr>
        <w:t xml:space="preserve">Chavan, M. N., Kulkarni, M. V., Zope, V. P., &amp;Mahulikar, P. P. (2006). Microbial degradation of melanoidins in distillery spent wash by an indigenous isolate. Indian Journal of Biotechnology, 5(3), 416-421. </w:t>
      </w:r>
      <w:hyperlink r:id="rId27" w:history="1">
        <w:r w:rsidRPr="00B57C88">
          <w:rPr>
            <w:rStyle w:val="Hyperlink"/>
            <w:rFonts w:ascii="Arial" w:hAnsi="Arial" w:cs="Arial"/>
            <w:shd w:val="clear" w:color="auto" w:fill="FFFFFF"/>
          </w:rPr>
          <w:t>http://nopr.niscpr.res.in/handle/123456789/38</w:t>
        </w:r>
      </w:hyperlink>
    </w:p>
    <w:p w:rsidR="00CA25A2" w:rsidRPr="00C637D5" w:rsidRDefault="00D01B2B" w:rsidP="00C637D5">
      <w:pPr>
        <w:spacing w:after="0"/>
        <w:jc w:val="both"/>
        <w:rPr>
          <w:rFonts w:ascii="Arial" w:hAnsi="Arial" w:cs="Arial"/>
          <w:sz w:val="24"/>
          <w:szCs w:val="24"/>
          <w:shd w:val="clear" w:color="auto" w:fill="FFFFFF"/>
        </w:rPr>
      </w:pPr>
      <w:r w:rsidRPr="00C637D5">
        <w:rPr>
          <w:rFonts w:ascii="Arial" w:hAnsi="Arial" w:cs="Arial"/>
          <w:sz w:val="24"/>
          <w:szCs w:val="24"/>
          <w:shd w:val="clear" w:color="auto" w:fill="FFFFFF"/>
        </w:rPr>
        <w:t xml:space="preserve">Choi, H. J. (2016). Parametric study of brewery wastewater effluent treatment using Chlorella vulgaris microalgae. Environmental Engineering Research, 21(4), 401-408. </w:t>
      </w:r>
      <w:hyperlink r:id="rId28" w:history="1">
        <w:r w:rsidRPr="00C637D5">
          <w:rPr>
            <w:rStyle w:val="Hyperlink"/>
            <w:rFonts w:ascii="Arial" w:hAnsi="Arial" w:cs="Arial"/>
            <w:sz w:val="24"/>
            <w:szCs w:val="24"/>
            <w:shd w:val="clear" w:color="auto" w:fill="FFFFFF"/>
          </w:rPr>
          <w:t>https://doi.org/10.4491/eer.2016.024</w:t>
        </w:r>
      </w:hyperlink>
    </w:p>
    <w:p w:rsidR="00CA25A2" w:rsidRPr="001A15EE" w:rsidRDefault="00490AE7" w:rsidP="00C637D5">
      <w:pPr>
        <w:pStyle w:val="BodyText"/>
        <w:tabs>
          <w:tab w:val="right" w:pos="9356"/>
        </w:tabs>
        <w:spacing w:line="276" w:lineRule="auto"/>
        <w:jc w:val="both"/>
        <w:rPr>
          <w:rFonts w:ascii="Arial" w:hAnsi="Arial" w:cs="Arial"/>
        </w:rPr>
      </w:pPr>
      <w:r w:rsidRPr="00490AE7">
        <w:rPr>
          <w:rFonts w:ascii="Arial" w:hAnsi="Arial" w:cs="Arial"/>
        </w:rPr>
        <w:t>Greenberg, A. E., Trussell, R. R., &amp;Clesceri, L. S. (Eds.). (1985). Standard methods for the examination of water and wastewater (16th ed.). American Public Health Association; American Water Works Association; Water Pollution Control Federation.</w:t>
      </w:r>
    </w:p>
    <w:p w:rsidR="00CA25A2" w:rsidRPr="001A15EE" w:rsidRDefault="00743628" w:rsidP="00C637D5">
      <w:pPr>
        <w:pStyle w:val="BodyText"/>
        <w:tabs>
          <w:tab w:val="right" w:pos="9356"/>
        </w:tabs>
        <w:spacing w:line="276" w:lineRule="auto"/>
        <w:jc w:val="both"/>
        <w:rPr>
          <w:rFonts w:ascii="Arial" w:hAnsi="Arial" w:cs="Arial"/>
        </w:rPr>
      </w:pPr>
      <w:r w:rsidRPr="00743628">
        <w:rPr>
          <w:rFonts w:ascii="Arial" w:hAnsi="Arial" w:cs="Arial"/>
          <w:shd w:val="clear" w:color="auto" w:fill="FFFFFF"/>
        </w:rPr>
        <w:t xml:space="preserve">Howard, C. S. (1933). Determination of Total Dissolved Solids in Water Analysis. Industrial &amp; Engineering Chemistry Analytical Edition, 5(1), 4-6. </w:t>
      </w:r>
      <w:hyperlink r:id="rId29" w:history="1">
        <w:r w:rsidRPr="00B57C88">
          <w:rPr>
            <w:rStyle w:val="Hyperlink"/>
            <w:rFonts w:ascii="Arial" w:hAnsi="Arial" w:cs="Arial"/>
            <w:shd w:val="clear" w:color="auto" w:fill="FFFFFF"/>
          </w:rPr>
          <w:t>https://doi.org/10.1021/ac50081a004</w:t>
        </w:r>
      </w:hyperlink>
    </w:p>
    <w:p w:rsidR="00CA25A2" w:rsidRPr="001A15EE" w:rsidRDefault="00000FE1" w:rsidP="00C637D5">
      <w:pPr>
        <w:pStyle w:val="BodyText"/>
        <w:tabs>
          <w:tab w:val="right" w:pos="9356"/>
        </w:tabs>
        <w:spacing w:line="276" w:lineRule="auto"/>
        <w:ind w:right="-149"/>
        <w:jc w:val="both"/>
        <w:rPr>
          <w:rFonts w:ascii="Arial" w:hAnsi="Arial" w:cs="Arial"/>
          <w:shd w:val="clear" w:color="auto" w:fill="FFFFFF"/>
        </w:rPr>
      </w:pPr>
      <w:r w:rsidRPr="00000FE1">
        <w:rPr>
          <w:rFonts w:ascii="Arial" w:hAnsi="Arial" w:cs="Arial"/>
          <w:shd w:val="clear" w:color="auto" w:fill="FFFFFF"/>
        </w:rPr>
        <w:t xml:space="preserve">Nandy, T., Shastry, S., &amp; Kaul, S. N. (2002). Wastewater management in a cane molasses distillery involving bioresource recovery. Journal of Environmental Management, 65(1), 25-38. </w:t>
      </w:r>
      <w:hyperlink r:id="rId30" w:history="1">
        <w:r w:rsidRPr="00B57C88">
          <w:rPr>
            <w:rStyle w:val="Hyperlink"/>
            <w:rFonts w:ascii="Arial" w:hAnsi="Arial" w:cs="Arial"/>
            <w:shd w:val="clear" w:color="auto" w:fill="FFFFFF"/>
          </w:rPr>
          <w:t>https://doi.org/10.1006/jema.2001.0505</w:t>
        </w:r>
      </w:hyperlink>
    </w:p>
    <w:p w:rsidR="00CA25A2" w:rsidRPr="00C637D5" w:rsidRDefault="00CA25A2" w:rsidP="00C637D5">
      <w:pPr>
        <w:spacing w:after="0"/>
        <w:ind w:right="-149"/>
        <w:jc w:val="both"/>
        <w:rPr>
          <w:rFonts w:ascii="Arial" w:hAnsi="Arial" w:cs="Arial"/>
          <w:sz w:val="24"/>
          <w:szCs w:val="24"/>
          <w:shd w:val="clear" w:color="auto" w:fill="FFFFFF"/>
        </w:rPr>
      </w:pPr>
      <w:r w:rsidRPr="00C637D5">
        <w:rPr>
          <w:rFonts w:ascii="Arial" w:hAnsi="Arial" w:cs="Arial"/>
          <w:sz w:val="24"/>
          <w:szCs w:val="24"/>
          <w:shd w:val="clear" w:color="auto" w:fill="FFFFFF"/>
        </w:rPr>
        <w:t>Ogbonna, J. C. (2004). Fuel ethanol production from renewable biomass resources. </w:t>
      </w:r>
      <w:r w:rsidRPr="00C637D5">
        <w:rPr>
          <w:rFonts w:ascii="Arial" w:hAnsi="Arial" w:cs="Arial"/>
          <w:i/>
          <w:iCs/>
          <w:sz w:val="24"/>
          <w:szCs w:val="24"/>
          <w:shd w:val="clear" w:color="auto" w:fill="FFFFFF"/>
        </w:rPr>
        <w:t>Concise Encyclopedia of Bioresource Technology, Food Products Press, New York, USA</w:t>
      </w:r>
      <w:r w:rsidRPr="00C637D5">
        <w:rPr>
          <w:rFonts w:ascii="Arial" w:hAnsi="Arial" w:cs="Arial"/>
          <w:sz w:val="24"/>
          <w:szCs w:val="24"/>
          <w:shd w:val="clear" w:color="auto" w:fill="FFFFFF"/>
        </w:rPr>
        <w:t>, 346-361.</w:t>
      </w:r>
    </w:p>
    <w:p w:rsidR="00CA25A2" w:rsidRPr="001A15EE" w:rsidRDefault="00620CA4" w:rsidP="00C637D5">
      <w:pPr>
        <w:pStyle w:val="BodyText"/>
        <w:tabs>
          <w:tab w:val="left" w:pos="4310"/>
          <w:tab w:val="left" w:pos="4820"/>
          <w:tab w:val="right" w:pos="9214"/>
        </w:tabs>
        <w:spacing w:line="276" w:lineRule="auto"/>
        <w:jc w:val="both"/>
        <w:rPr>
          <w:rFonts w:ascii="Arial" w:hAnsi="Arial" w:cs="Arial"/>
          <w:shd w:val="clear" w:color="auto" w:fill="FFFFFF"/>
        </w:rPr>
      </w:pPr>
      <w:r w:rsidRPr="00620CA4">
        <w:rPr>
          <w:rFonts w:ascii="Arial" w:hAnsi="Arial" w:cs="Arial"/>
          <w:shd w:val="clear" w:color="auto" w:fill="FFFFFF"/>
        </w:rPr>
        <w:t xml:space="preserve">Page, A. L., Miller, R. H., &amp; Keeney, D. R. (Eds.). (1982). *Methods of soil analysis. Part 2. Chemical and microbiological properties*. American Society of Agronomy; Soil Science Society of America. </w:t>
      </w:r>
      <w:hyperlink r:id="rId31" w:history="1">
        <w:r w:rsidRPr="00B57C88">
          <w:rPr>
            <w:rStyle w:val="Hyperlink"/>
            <w:rFonts w:ascii="Arial" w:hAnsi="Arial" w:cs="Arial"/>
            <w:shd w:val="clear" w:color="auto" w:fill="FFFFFF"/>
          </w:rPr>
          <w:t>https://doi.org/10.2134/agronmonogr9.2.2ed</w:t>
        </w:r>
      </w:hyperlink>
    </w:p>
    <w:p w:rsidR="00CA25A2" w:rsidRPr="00C637D5" w:rsidRDefault="00ED2078" w:rsidP="00C637D5">
      <w:pPr>
        <w:shd w:val="clear" w:color="auto" w:fill="FFFFFF"/>
        <w:tabs>
          <w:tab w:val="left" w:pos="4310"/>
          <w:tab w:val="left" w:pos="4820"/>
        </w:tabs>
        <w:spacing w:after="0"/>
        <w:jc w:val="both"/>
        <w:outlineLvl w:val="1"/>
        <w:rPr>
          <w:rFonts w:ascii="Arial" w:eastAsia="Times New Roman" w:hAnsi="Arial" w:cs="Arial"/>
          <w:i/>
          <w:iCs/>
          <w:sz w:val="24"/>
          <w:szCs w:val="24"/>
        </w:rPr>
      </w:pPr>
      <w:r w:rsidRPr="00C637D5">
        <w:rPr>
          <w:rFonts w:ascii="Arial" w:hAnsi="Arial" w:cs="Arial"/>
          <w:sz w:val="24"/>
          <w:szCs w:val="24"/>
          <w:shd w:val="clear" w:color="auto" w:fill="FFFFFF"/>
        </w:rPr>
        <w:t xml:space="preserve">Pazouki, M., Shayegan, J., &amp;Afshari, A. (2008). Screening of microorganisms for decolorization of treated distillery wastewater. Iranian Journal of Science and </w:t>
      </w:r>
      <w:r w:rsidRPr="00C637D5">
        <w:rPr>
          <w:rFonts w:ascii="Arial" w:hAnsi="Arial" w:cs="Arial"/>
          <w:sz w:val="24"/>
          <w:szCs w:val="24"/>
          <w:shd w:val="clear" w:color="auto" w:fill="FFFFFF"/>
        </w:rPr>
        <w:lastRenderedPageBreak/>
        <w:t xml:space="preserve">Technology, Transaction B: Engineering, 32(B1), 53-60. </w:t>
      </w:r>
      <w:hyperlink r:id="rId32" w:history="1">
        <w:r w:rsidRPr="00C637D5">
          <w:rPr>
            <w:rStyle w:val="Hyperlink"/>
            <w:rFonts w:ascii="Arial" w:hAnsi="Arial" w:cs="Arial"/>
            <w:sz w:val="24"/>
            <w:szCs w:val="24"/>
            <w:shd w:val="clear" w:color="auto" w:fill="FFFFFF"/>
          </w:rPr>
          <w:t>https://www.researchgate.net/publication/267370006_Screening_of_microorganisms_for_decolorization_of_treated_distillery_wastewater</w:t>
        </w:r>
      </w:hyperlink>
    </w:p>
    <w:p w:rsidR="00CA25A2" w:rsidRPr="001A15EE" w:rsidRDefault="00CA25A2" w:rsidP="00C637D5">
      <w:pPr>
        <w:pStyle w:val="BodyText"/>
        <w:tabs>
          <w:tab w:val="left" w:pos="4026"/>
          <w:tab w:val="left" w:pos="4451"/>
          <w:tab w:val="left" w:pos="4877"/>
          <w:tab w:val="right" w:pos="9214"/>
        </w:tabs>
        <w:spacing w:line="276" w:lineRule="auto"/>
        <w:jc w:val="both"/>
        <w:rPr>
          <w:rFonts w:ascii="Arial" w:hAnsi="Arial" w:cs="Arial"/>
          <w:shd w:val="clear" w:color="auto" w:fill="FFFFFF"/>
        </w:rPr>
      </w:pPr>
      <w:r w:rsidRPr="001A15EE">
        <w:rPr>
          <w:rFonts w:ascii="Arial" w:hAnsi="Arial" w:cs="Arial"/>
          <w:shd w:val="clear" w:color="auto" w:fill="FFFFFF"/>
        </w:rPr>
        <w:t>Ratna, S. and Kumar, R. (2022). Production of di-rhamnolipid with simultaneous distillery wastewater degradation anddetoxification by newly isolated</w:t>
      </w:r>
      <w:r w:rsidRPr="001A15EE">
        <w:rPr>
          <w:rFonts w:ascii="Arial" w:hAnsi="Arial" w:cs="Arial"/>
          <w:i/>
          <w:iCs/>
          <w:shd w:val="clear" w:color="auto" w:fill="FFFFFF"/>
        </w:rPr>
        <w:t xml:space="preserve"> Pseudomonasaeruginosa</w:t>
      </w:r>
      <w:r w:rsidRPr="001A15EE">
        <w:rPr>
          <w:rFonts w:ascii="Arial" w:hAnsi="Arial" w:cs="Arial"/>
          <w:shd w:val="clear" w:color="auto" w:fill="FFFFFF"/>
        </w:rPr>
        <w:t xml:space="preserve"> SRRBL1.</w:t>
      </w:r>
      <w:r w:rsidRPr="001A15EE">
        <w:rPr>
          <w:rFonts w:ascii="Arial" w:hAnsi="Arial" w:cs="Arial"/>
          <w:i/>
          <w:iCs/>
          <w:shd w:val="clear" w:color="auto" w:fill="FFFFFF"/>
        </w:rPr>
        <w:t xml:space="preserve"> Journal of Cleaner Production</w:t>
      </w:r>
      <w:r w:rsidRPr="001A15EE">
        <w:rPr>
          <w:rFonts w:ascii="Arial" w:hAnsi="Arial" w:cs="Arial"/>
          <w:shd w:val="clear" w:color="auto" w:fill="FFFFFF"/>
        </w:rPr>
        <w:t>, </w:t>
      </w:r>
      <w:r w:rsidRPr="001A15EE">
        <w:rPr>
          <w:rFonts w:ascii="Arial" w:hAnsi="Arial" w:cs="Arial"/>
          <w:b/>
          <w:bCs/>
          <w:shd w:val="clear" w:color="auto" w:fill="FFFFFF"/>
        </w:rPr>
        <w:t>336</w:t>
      </w:r>
      <w:r w:rsidRPr="001A15EE">
        <w:rPr>
          <w:rFonts w:ascii="Arial" w:hAnsi="Arial" w:cs="Arial"/>
          <w:shd w:val="clear" w:color="auto" w:fill="FFFFFF"/>
        </w:rPr>
        <w:t>: 130429.</w:t>
      </w:r>
    </w:p>
    <w:p w:rsidR="00CA25A2" w:rsidRPr="00C637D5" w:rsidRDefault="00CA25A2" w:rsidP="00C637D5">
      <w:pPr>
        <w:spacing w:after="0"/>
        <w:ind w:right="-149"/>
        <w:jc w:val="both"/>
        <w:rPr>
          <w:rFonts w:ascii="Arial" w:hAnsi="Arial" w:cs="Arial"/>
          <w:b/>
          <w:bCs/>
          <w:i/>
          <w:iCs/>
          <w:sz w:val="28"/>
          <w:szCs w:val="28"/>
          <w:shd w:val="clear" w:color="auto" w:fill="FFFFFF"/>
        </w:rPr>
      </w:pPr>
      <w:r w:rsidRPr="00C637D5">
        <w:rPr>
          <w:rFonts w:ascii="Arial" w:hAnsi="Arial" w:cs="Arial"/>
          <w:sz w:val="24"/>
          <w:szCs w:val="24"/>
          <w:shd w:val="clear" w:color="auto" w:fill="FFFFFF"/>
        </w:rPr>
        <w:t>Sharma, S.; Sharma, A.; Singh, P. K.; Soni, P.; Sharma, S.; Sharma, P. and Sharma, K. P. (2007). Impact of distillery soil leachate on haematology of swiss albino mice (</w:t>
      </w:r>
      <w:r w:rsidRPr="00C637D5">
        <w:rPr>
          <w:rFonts w:ascii="Arial" w:hAnsi="Arial" w:cs="Arial"/>
          <w:i/>
          <w:iCs/>
          <w:sz w:val="24"/>
          <w:szCs w:val="24"/>
          <w:shd w:val="clear" w:color="auto" w:fill="FFFFFF"/>
        </w:rPr>
        <w:t>Mus musculus</w:t>
      </w:r>
      <w:r w:rsidRPr="00C637D5">
        <w:rPr>
          <w:rFonts w:ascii="Arial" w:hAnsi="Arial" w:cs="Arial"/>
          <w:sz w:val="24"/>
          <w:szCs w:val="24"/>
          <w:shd w:val="clear" w:color="auto" w:fill="FFFFFF"/>
        </w:rPr>
        <w:t>).</w:t>
      </w:r>
      <w:r w:rsidRPr="00C637D5">
        <w:rPr>
          <w:rStyle w:val="Strong"/>
          <w:rFonts w:ascii="Arial" w:hAnsi="Arial" w:cs="Arial"/>
          <w:b w:val="0"/>
          <w:bCs w:val="0"/>
          <w:i/>
          <w:iCs/>
          <w:sz w:val="24"/>
          <w:szCs w:val="24"/>
        </w:rPr>
        <w:t>Bulletin of Environmental Contamination and Toxicology</w:t>
      </w:r>
      <w:r w:rsidRPr="00C637D5">
        <w:rPr>
          <w:rFonts w:ascii="Arial" w:hAnsi="Arial" w:cs="Arial"/>
          <w:sz w:val="24"/>
          <w:szCs w:val="24"/>
          <w:shd w:val="clear" w:color="auto" w:fill="FFFFFF"/>
        </w:rPr>
        <w:t>, </w:t>
      </w:r>
      <w:r w:rsidRPr="00C637D5">
        <w:rPr>
          <w:rFonts w:ascii="Arial" w:hAnsi="Arial" w:cs="Arial"/>
          <w:b/>
          <w:bCs/>
          <w:sz w:val="24"/>
          <w:szCs w:val="24"/>
          <w:shd w:val="clear" w:color="auto" w:fill="FFFFFF"/>
        </w:rPr>
        <w:t>79</w:t>
      </w:r>
      <w:r w:rsidRPr="00C637D5">
        <w:rPr>
          <w:rFonts w:ascii="Arial" w:hAnsi="Arial" w:cs="Arial"/>
          <w:sz w:val="24"/>
          <w:szCs w:val="24"/>
          <w:shd w:val="clear" w:color="auto" w:fill="FFFFFF"/>
        </w:rPr>
        <w:t>: 273-277.</w:t>
      </w:r>
    </w:p>
    <w:p w:rsidR="00CA25A2" w:rsidRPr="00C637D5" w:rsidRDefault="00801F20" w:rsidP="00C637D5">
      <w:pPr>
        <w:spacing w:after="0"/>
        <w:jc w:val="both"/>
        <w:rPr>
          <w:rFonts w:ascii="Arial" w:hAnsi="Arial" w:cs="Arial"/>
          <w:sz w:val="24"/>
          <w:szCs w:val="24"/>
          <w:shd w:val="clear" w:color="auto" w:fill="FFFFFF"/>
        </w:rPr>
      </w:pPr>
      <w:r w:rsidRPr="00C637D5">
        <w:rPr>
          <w:rFonts w:ascii="Arial" w:hAnsi="Arial" w:cs="Arial"/>
          <w:sz w:val="24"/>
          <w:szCs w:val="24"/>
          <w:shd w:val="clear" w:color="auto" w:fill="FFFFFF"/>
        </w:rPr>
        <w:t xml:space="preserve">Shayegan, J., Pazouki, M., &amp;Afshari, A. (2005). Continuous decolorization of anaerobically digested distillery wastewater. Process Biochemistry, 40(3-4), 1323-1329. </w:t>
      </w:r>
      <w:hyperlink r:id="rId33" w:history="1">
        <w:r w:rsidRPr="00C637D5">
          <w:rPr>
            <w:rStyle w:val="Hyperlink"/>
            <w:rFonts w:ascii="Arial" w:hAnsi="Arial" w:cs="Arial"/>
            <w:sz w:val="24"/>
            <w:szCs w:val="24"/>
            <w:shd w:val="clear" w:color="auto" w:fill="FFFFFF"/>
          </w:rPr>
          <w:t>https://doi.org/10.1007/s11157-005-1246-z</w:t>
        </w:r>
      </w:hyperlink>
    </w:p>
    <w:p w:rsidR="00CA25A2" w:rsidRPr="00C637D5" w:rsidRDefault="00597CA7" w:rsidP="00C637D5">
      <w:pPr>
        <w:spacing w:after="0"/>
        <w:jc w:val="both"/>
        <w:rPr>
          <w:rFonts w:ascii="Arial" w:hAnsi="Arial" w:cs="Arial"/>
          <w:sz w:val="24"/>
          <w:szCs w:val="24"/>
          <w:shd w:val="clear" w:color="auto" w:fill="FFFFFF"/>
        </w:rPr>
      </w:pPr>
      <w:r w:rsidRPr="00C637D5">
        <w:rPr>
          <w:rFonts w:ascii="Arial" w:hAnsi="Arial" w:cs="Arial"/>
          <w:sz w:val="24"/>
          <w:szCs w:val="24"/>
          <w:shd w:val="clear" w:color="auto" w:fill="FFFFFF"/>
        </w:rPr>
        <w:t xml:space="preserve">Shugaba, A., Wuyep, P. A., Nok, A. J., Ameh, D. A., &amp; Lori, J. A. (2010). Bioremediation of hexavalent chromium and tannic acid in synthetic tannery wastewater using free and calcium alginate–immobilized spores and mycelia of Aspergillus niger and Aspergillus parasiticus. Bioremediation Journal, 14(3), 142-149. </w:t>
      </w:r>
      <w:hyperlink r:id="rId34" w:history="1">
        <w:r w:rsidRPr="00C637D5">
          <w:rPr>
            <w:rStyle w:val="Hyperlink"/>
            <w:rFonts w:ascii="Arial" w:hAnsi="Arial" w:cs="Arial"/>
            <w:sz w:val="24"/>
            <w:szCs w:val="24"/>
            <w:shd w:val="clear" w:color="auto" w:fill="FFFFFF"/>
          </w:rPr>
          <w:t>https://doi.org/10.1080/10889868.2010.495661</w:t>
        </w:r>
      </w:hyperlink>
    </w:p>
    <w:p w:rsidR="00CA25A2" w:rsidRPr="00C637D5" w:rsidRDefault="00CA25A2" w:rsidP="00C637D5">
      <w:pPr>
        <w:spacing w:before="120" w:after="120"/>
        <w:ind w:right="-57"/>
        <w:jc w:val="both"/>
        <w:rPr>
          <w:rFonts w:ascii="Arial" w:hAnsi="Arial" w:cs="Arial"/>
          <w:sz w:val="24"/>
          <w:szCs w:val="24"/>
          <w:shd w:val="clear" w:color="auto" w:fill="FFFFFF"/>
        </w:rPr>
      </w:pPr>
      <w:r w:rsidRPr="00C637D5">
        <w:rPr>
          <w:rFonts w:ascii="Arial" w:hAnsi="Arial" w:cs="Arial"/>
          <w:sz w:val="24"/>
          <w:szCs w:val="24"/>
          <w:shd w:val="clear" w:color="auto" w:fill="FFFFFF"/>
        </w:rPr>
        <w:t>Singh, P. N.; Robinson, T. and Dalel Singh, D. S. (2004). Treatment of industrial effluents-distillery effluent.</w:t>
      </w:r>
      <w:r w:rsidRPr="00C637D5">
        <w:rPr>
          <w:rFonts w:ascii="Arial" w:hAnsi="Arial" w:cs="Arial"/>
          <w:i/>
          <w:iCs/>
          <w:sz w:val="24"/>
          <w:szCs w:val="24"/>
          <w:shd w:val="clear" w:color="auto" w:fill="FFFFFF"/>
        </w:rPr>
        <w:t>Concise Encyclopedia of Bioresource Technology, Food Products Press, New York, USA</w:t>
      </w:r>
      <w:r w:rsidRPr="00C637D5">
        <w:rPr>
          <w:rFonts w:ascii="Arial" w:hAnsi="Arial" w:cs="Arial"/>
          <w:sz w:val="24"/>
          <w:szCs w:val="24"/>
          <w:shd w:val="clear" w:color="auto" w:fill="FFFFFF"/>
        </w:rPr>
        <w:t xml:space="preserve">, </w:t>
      </w:r>
      <w:r w:rsidRPr="00C637D5">
        <w:rPr>
          <w:rFonts w:ascii="Arial" w:hAnsi="Arial" w:cs="Arial"/>
          <w:sz w:val="24"/>
          <w:szCs w:val="24"/>
        </w:rPr>
        <w:t>135-142.</w:t>
      </w:r>
    </w:p>
    <w:p w:rsidR="00CA25A2" w:rsidRPr="001A15EE" w:rsidRDefault="00CA25A2" w:rsidP="00C637D5">
      <w:pPr>
        <w:pStyle w:val="BodyText"/>
        <w:tabs>
          <w:tab w:val="right" w:pos="9356"/>
        </w:tabs>
        <w:spacing w:line="276" w:lineRule="auto"/>
        <w:jc w:val="both"/>
        <w:rPr>
          <w:rFonts w:ascii="Arial" w:hAnsi="Arial" w:cs="Arial"/>
        </w:rPr>
      </w:pPr>
      <w:r w:rsidRPr="001A15EE">
        <w:rPr>
          <w:rFonts w:ascii="Arial" w:hAnsi="Arial" w:cs="Arial"/>
          <w:shd w:val="clear" w:color="auto" w:fill="FFFFFF"/>
        </w:rPr>
        <w:t>Symons, G. E. and Morey, B. (1941). The effect of drying time on the determination of solids in sewage and sewage sludges. </w:t>
      </w:r>
      <w:r w:rsidRPr="001A15EE">
        <w:rPr>
          <w:rFonts w:ascii="Arial" w:hAnsi="Arial" w:cs="Arial"/>
          <w:i/>
          <w:iCs/>
          <w:shd w:val="clear" w:color="auto" w:fill="FFFFFF"/>
        </w:rPr>
        <w:t>Sewage Works Journal</w:t>
      </w:r>
      <w:r w:rsidRPr="001A15EE">
        <w:rPr>
          <w:rFonts w:ascii="Arial" w:hAnsi="Arial" w:cs="Arial"/>
          <w:shd w:val="clear" w:color="auto" w:fill="FFFFFF"/>
        </w:rPr>
        <w:t xml:space="preserve">, </w:t>
      </w:r>
      <w:r w:rsidRPr="001A15EE">
        <w:rPr>
          <w:rFonts w:ascii="Arial" w:hAnsi="Arial" w:cs="Arial"/>
          <w:b/>
          <w:bCs/>
          <w:shd w:val="clear" w:color="auto" w:fill="FFFFFF"/>
        </w:rPr>
        <w:t>13</w:t>
      </w:r>
      <w:r w:rsidRPr="001A15EE">
        <w:rPr>
          <w:rFonts w:ascii="Arial" w:hAnsi="Arial" w:cs="Arial"/>
          <w:shd w:val="clear" w:color="auto" w:fill="FFFFFF"/>
        </w:rPr>
        <w:t>(5): 936-939.</w:t>
      </w:r>
    </w:p>
    <w:p w:rsidR="00CA25A2" w:rsidRPr="00C637D5" w:rsidRDefault="00CA25A2" w:rsidP="00C637D5">
      <w:pPr>
        <w:tabs>
          <w:tab w:val="left" w:pos="4026"/>
          <w:tab w:val="left" w:pos="4451"/>
          <w:tab w:val="left" w:pos="4877"/>
        </w:tabs>
        <w:spacing w:after="0"/>
        <w:jc w:val="both"/>
        <w:rPr>
          <w:rFonts w:ascii="Arial" w:hAnsi="Arial" w:cs="Arial"/>
          <w:sz w:val="24"/>
          <w:szCs w:val="24"/>
          <w:shd w:val="clear" w:color="auto" w:fill="FFFFFF"/>
        </w:rPr>
      </w:pPr>
      <w:r w:rsidRPr="00C637D5">
        <w:rPr>
          <w:rFonts w:ascii="Arial" w:hAnsi="Arial" w:cs="Arial"/>
          <w:sz w:val="24"/>
          <w:szCs w:val="24"/>
          <w:shd w:val="clear" w:color="auto" w:fill="FFFFFF"/>
        </w:rPr>
        <w:t xml:space="preserve">Verma, P.; Tripathi, S.; Yadav, S. and Chandra, R. (2022). Degradation and decolourization potential of ligninolytic enzyme producing </w:t>
      </w:r>
      <w:r w:rsidRPr="00C637D5">
        <w:rPr>
          <w:rFonts w:ascii="Arial" w:hAnsi="Arial" w:cs="Arial"/>
          <w:i/>
          <w:iCs/>
          <w:sz w:val="24"/>
          <w:szCs w:val="24"/>
          <w:shd w:val="clear" w:color="auto" w:fill="FFFFFF"/>
        </w:rPr>
        <w:t>Bacillus paramycoides</w:t>
      </w:r>
      <w:r w:rsidRPr="00C637D5">
        <w:rPr>
          <w:rFonts w:ascii="Arial" w:hAnsi="Arial" w:cs="Arial"/>
          <w:sz w:val="24"/>
          <w:szCs w:val="24"/>
          <w:shd w:val="clear" w:color="auto" w:fill="FFFFFF"/>
        </w:rPr>
        <w:t xml:space="preserve"> BL2 and </w:t>
      </w:r>
      <w:r w:rsidRPr="00C637D5">
        <w:rPr>
          <w:rFonts w:ascii="Arial" w:hAnsi="Arial" w:cs="Arial"/>
          <w:i/>
          <w:iCs/>
          <w:sz w:val="24"/>
          <w:szCs w:val="24"/>
          <w:shd w:val="clear" w:color="auto" w:fill="FFFFFF"/>
        </w:rPr>
        <w:t>Micrococcus luteus</w:t>
      </w:r>
      <w:r w:rsidRPr="00C637D5">
        <w:rPr>
          <w:rFonts w:ascii="Arial" w:hAnsi="Arial" w:cs="Arial"/>
          <w:sz w:val="24"/>
          <w:szCs w:val="24"/>
          <w:shd w:val="clear" w:color="auto" w:fill="FFFFFF"/>
        </w:rPr>
        <w:t xml:space="preserve"> BL3 for pulp paper industrial effluent and its toxicity evaluation.</w:t>
      </w:r>
      <w:r w:rsidRPr="00C637D5">
        <w:rPr>
          <w:rFonts w:ascii="Arial" w:hAnsi="Arial" w:cs="Arial"/>
          <w:i/>
          <w:iCs/>
          <w:sz w:val="24"/>
          <w:szCs w:val="24"/>
          <w:shd w:val="clear" w:color="auto" w:fill="FFFFFF"/>
        </w:rPr>
        <w:t> Archives of Microbiology</w:t>
      </w:r>
      <w:r w:rsidRPr="00C637D5">
        <w:rPr>
          <w:rFonts w:ascii="Arial" w:hAnsi="Arial" w:cs="Arial"/>
          <w:sz w:val="24"/>
          <w:szCs w:val="24"/>
          <w:shd w:val="clear" w:color="auto" w:fill="FFFFFF"/>
        </w:rPr>
        <w:t>, </w:t>
      </w:r>
      <w:r w:rsidRPr="00C637D5">
        <w:rPr>
          <w:rFonts w:ascii="Arial" w:hAnsi="Arial" w:cs="Arial"/>
          <w:b/>
          <w:bCs/>
          <w:sz w:val="24"/>
          <w:szCs w:val="24"/>
          <w:shd w:val="clear" w:color="auto" w:fill="FFFFFF"/>
        </w:rPr>
        <w:t xml:space="preserve">204 </w:t>
      </w:r>
      <w:r w:rsidRPr="00C637D5">
        <w:rPr>
          <w:rFonts w:ascii="Arial" w:hAnsi="Arial" w:cs="Arial"/>
          <w:sz w:val="24"/>
          <w:szCs w:val="24"/>
          <w:shd w:val="clear" w:color="auto" w:fill="FFFFFF"/>
        </w:rPr>
        <w:t>(10): 642.</w:t>
      </w:r>
    </w:p>
    <w:p w:rsidR="00CA25A2" w:rsidRPr="001A15EE" w:rsidRDefault="007B187A" w:rsidP="00C637D5">
      <w:pPr>
        <w:pStyle w:val="BodyText"/>
        <w:tabs>
          <w:tab w:val="right" w:pos="9356"/>
        </w:tabs>
        <w:spacing w:line="276" w:lineRule="auto"/>
        <w:jc w:val="both"/>
        <w:rPr>
          <w:rFonts w:ascii="Arial" w:hAnsi="Arial" w:cs="Arial"/>
          <w:shd w:val="clear" w:color="auto" w:fill="FFFFFF"/>
        </w:rPr>
      </w:pPr>
      <w:r w:rsidRPr="007B187A">
        <w:rPr>
          <w:rFonts w:ascii="Arial" w:hAnsi="Arial" w:cs="Arial"/>
          <w:shd w:val="clear" w:color="auto" w:fill="FFFFFF"/>
        </w:rPr>
        <w:t xml:space="preserve">Wagh, M. P., &amp;Nemade, P. D. (2018). Biodegradation of anaerobically treated distillery spent wash by Aspergillus species from a distillery effluent contaminated site. Desalination and Water Treatment. </w:t>
      </w:r>
      <w:hyperlink r:id="rId35" w:history="1">
        <w:r w:rsidRPr="00B57C88">
          <w:rPr>
            <w:rStyle w:val="Hyperlink"/>
            <w:rFonts w:ascii="Arial" w:hAnsi="Arial" w:cs="Arial"/>
            <w:shd w:val="clear" w:color="auto" w:fill="FFFFFF"/>
          </w:rPr>
          <w:t>https://doi.org/10.5004/dwt.2018.21838</w:t>
        </w:r>
      </w:hyperlink>
    </w:p>
    <w:p w:rsidR="00CA25A2" w:rsidRPr="00C637D5" w:rsidRDefault="00BE268E" w:rsidP="00C637D5">
      <w:pPr>
        <w:tabs>
          <w:tab w:val="left" w:pos="4026"/>
          <w:tab w:val="left" w:pos="4451"/>
          <w:tab w:val="left" w:pos="4877"/>
        </w:tabs>
        <w:spacing w:after="0"/>
        <w:jc w:val="both"/>
        <w:rPr>
          <w:rFonts w:ascii="Arial" w:hAnsi="Arial" w:cs="Arial"/>
          <w:sz w:val="24"/>
          <w:szCs w:val="24"/>
          <w:shd w:val="clear" w:color="auto" w:fill="FFFFFF"/>
        </w:rPr>
      </w:pPr>
      <w:r w:rsidRPr="00C637D5">
        <w:rPr>
          <w:rFonts w:ascii="Arial" w:hAnsi="Arial" w:cs="Arial"/>
          <w:sz w:val="24"/>
          <w:szCs w:val="24"/>
          <w:shd w:val="clear" w:color="auto" w:fill="FFFFFF"/>
        </w:rPr>
        <w:t xml:space="preserve">Yadav, S., &amp; Chandra, R. (2012). Biodegradation of organic compounds of molasses melanoidin (MM) from biomethanated distillery spent wash (BMDS) during the decolourisation by a potential bacterial consortium. Biodegradation, 23(4), 609-620. </w:t>
      </w:r>
      <w:hyperlink r:id="rId36" w:history="1">
        <w:r w:rsidRPr="00C637D5">
          <w:rPr>
            <w:rStyle w:val="Hyperlink"/>
            <w:rFonts w:ascii="Arial" w:hAnsi="Arial" w:cs="Arial"/>
            <w:sz w:val="24"/>
            <w:szCs w:val="24"/>
            <w:shd w:val="clear" w:color="auto" w:fill="FFFFFF"/>
          </w:rPr>
          <w:t>https://doi.org/10.1007/s10532-012-9537-x</w:t>
        </w:r>
      </w:hyperlink>
    </w:p>
    <w:p w:rsidR="00CA25A2" w:rsidRPr="001A15EE" w:rsidRDefault="00CA25A2" w:rsidP="00CA25A2">
      <w:pPr>
        <w:spacing w:before="120" w:after="120" w:line="360" w:lineRule="auto"/>
        <w:ind w:left="709" w:right="-7" w:hanging="709"/>
        <w:jc w:val="both"/>
        <w:rPr>
          <w:rFonts w:ascii="Arial" w:hAnsi="Arial" w:cs="Arial"/>
          <w:sz w:val="24"/>
          <w:szCs w:val="24"/>
        </w:rPr>
      </w:pPr>
    </w:p>
    <w:p w:rsidR="00CA25A2" w:rsidRPr="001A15EE" w:rsidRDefault="00CA25A2" w:rsidP="00E07B87">
      <w:pPr>
        <w:tabs>
          <w:tab w:val="left" w:pos="4026"/>
          <w:tab w:val="left" w:pos="4451"/>
          <w:tab w:val="left" w:pos="4877"/>
        </w:tabs>
        <w:spacing w:after="0"/>
        <w:ind w:left="709" w:hanging="709"/>
        <w:jc w:val="both"/>
        <w:rPr>
          <w:rFonts w:ascii="Times New Roman" w:hAnsi="Times New Roman" w:cs="Times New Roman"/>
          <w:sz w:val="44"/>
        </w:rPr>
      </w:pPr>
    </w:p>
    <w:sectPr w:rsidR="00CA25A2" w:rsidRPr="001A15EE" w:rsidSect="00535F85">
      <w:pgSz w:w="11907" w:h="16839" w:code="9"/>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User" w:date="2025-12-28T17:16:00Z" w:initials="U">
    <w:p w:rsidR="00501BCC" w:rsidRDefault="00501BCC">
      <w:pPr>
        <w:pStyle w:val="CommentText"/>
      </w:pPr>
      <w:r>
        <w:rPr>
          <w:rStyle w:val="CommentReference"/>
        </w:rPr>
        <w:annotationRef/>
      </w:r>
      <w:r>
        <w:t>Check spelling</w:t>
      </w:r>
    </w:p>
  </w:comment>
  <w:comment w:id="0" w:author="User" w:date="2025-12-28T17:20:00Z" w:initials="U">
    <w:p w:rsidR="00C35FF1" w:rsidRDefault="00C35FF1">
      <w:pPr>
        <w:pStyle w:val="CommentText"/>
      </w:pPr>
      <w:r>
        <w:rPr>
          <w:rStyle w:val="CommentReference"/>
        </w:rPr>
        <w:annotationRef/>
      </w:r>
      <w:r>
        <w:t>Let the title also capture the location of the research</w:t>
      </w:r>
    </w:p>
    <w:p w:rsidR="009E3A98" w:rsidRDefault="009E3A98">
      <w:pPr>
        <w:pStyle w:val="CommentText"/>
      </w:pPr>
      <w:r>
        <w:t>Suggested: Physico-chemical properties and heavy metal reduction of effluent from distillery spent wash by Aspergillus niger and Pseudomonas fluorescens</w:t>
      </w:r>
    </w:p>
  </w:comment>
  <w:comment w:id="3" w:author="User" w:date="2025-12-28T16:39:00Z" w:initials="U">
    <w:p w:rsidR="00C35FF1" w:rsidRDefault="00C35FF1">
      <w:pPr>
        <w:pStyle w:val="CommentText"/>
      </w:pPr>
      <w:r>
        <w:rPr>
          <w:rStyle w:val="CommentReference"/>
        </w:rPr>
        <w:annotationRef/>
      </w:r>
      <w:r>
        <w:t>Let the abstract capture important methodology and findings/results.</w:t>
      </w:r>
    </w:p>
    <w:p w:rsidR="00C35FF1" w:rsidRDefault="00C35FF1">
      <w:pPr>
        <w:pStyle w:val="CommentText"/>
      </w:pPr>
      <w:r>
        <w:t xml:space="preserve">It should be written stepwise in this order: a a sentence of introduction, important method and results, conclusion. </w:t>
      </w:r>
    </w:p>
  </w:comment>
  <w:comment w:id="4" w:author="User" w:date="2025-12-28T16:32:00Z" w:initials="U">
    <w:p w:rsidR="00C35FF1" w:rsidRDefault="00C35FF1">
      <w:pPr>
        <w:pStyle w:val="CommentText"/>
      </w:pPr>
      <w:r>
        <w:rPr>
          <w:rStyle w:val="CommentReference"/>
        </w:rPr>
        <w:annotationRef/>
      </w:r>
      <w:r>
        <w:t>effective</w:t>
      </w:r>
    </w:p>
  </w:comment>
  <w:comment w:id="5" w:author="User" w:date="2025-12-28T16:33:00Z" w:initials="U">
    <w:p w:rsidR="00C35FF1" w:rsidRDefault="00C35FF1">
      <w:pPr>
        <w:pStyle w:val="CommentText"/>
      </w:pPr>
      <w:r>
        <w:rPr>
          <w:rStyle w:val="CommentReference"/>
        </w:rPr>
        <w:annotationRef/>
      </w:r>
      <w:r>
        <w:t>write this in full. This is the first time you mention it</w:t>
      </w:r>
    </w:p>
  </w:comment>
  <w:comment w:id="6" w:author="User" w:date="2025-12-28T16:41:00Z" w:initials="U">
    <w:p w:rsidR="00C35FF1" w:rsidRDefault="00C35FF1">
      <w:pPr>
        <w:pStyle w:val="CommentText"/>
      </w:pPr>
      <w:r>
        <w:rPr>
          <w:rStyle w:val="CommentReference"/>
        </w:rPr>
        <w:annotationRef/>
      </w:r>
      <w:r>
        <w:t>References are too old. Replace with recent ones</w:t>
      </w:r>
    </w:p>
  </w:comment>
  <w:comment w:id="7" w:author="User" w:date="2025-12-28T16:42:00Z" w:initials="U">
    <w:p w:rsidR="00C35FF1" w:rsidRDefault="00C35FF1">
      <w:pPr>
        <w:pStyle w:val="CommentText"/>
      </w:pPr>
      <w:r>
        <w:rPr>
          <w:rStyle w:val="CommentReference"/>
        </w:rPr>
        <w:annotationRef/>
      </w:r>
      <w:r>
        <w:t>Too old referecnes</w:t>
      </w:r>
    </w:p>
  </w:comment>
  <w:comment w:id="8" w:author="User" w:date="2025-12-28T16:44:00Z" w:initials="U">
    <w:p w:rsidR="00C35FF1" w:rsidRDefault="00C35FF1">
      <w:pPr>
        <w:pStyle w:val="CommentText"/>
      </w:pPr>
      <w:r>
        <w:rPr>
          <w:rStyle w:val="CommentReference"/>
        </w:rPr>
        <w:annotationRef/>
      </w:r>
      <w:r>
        <w:t>Of the effluent from the distillery industry into aquatic environment reduces light penetration……..</w:t>
      </w:r>
    </w:p>
    <w:p w:rsidR="00C35FF1" w:rsidRDefault="00C35FF1">
      <w:pPr>
        <w:pStyle w:val="CommentText"/>
      </w:pPr>
      <w:r>
        <w:t>Also, replace old references here</w:t>
      </w:r>
    </w:p>
  </w:comment>
  <w:comment w:id="9" w:author="User" w:date="2025-12-28T16:45:00Z" w:initials="U">
    <w:p w:rsidR="00C35FF1" w:rsidRDefault="00C35FF1">
      <w:pPr>
        <w:pStyle w:val="CommentText"/>
      </w:pPr>
      <w:r>
        <w:rPr>
          <w:rStyle w:val="CommentReference"/>
        </w:rPr>
        <w:annotationRef/>
      </w:r>
      <w:r>
        <w:t>Link this statement with the research aim.</w:t>
      </w:r>
    </w:p>
  </w:comment>
  <w:comment w:id="10" w:author="User" w:date="2025-12-28T16:45:00Z" w:initials="U">
    <w:p w:rsidR="00C35FF1" w:rsidRDefault="00C35FF1">
      <w:pPr>
        <w:pStyle w:val="CommentText"/>
      </w:pPr>
      <w:r>
        <w:rPr>
          <w:rStyle w:val="CommentReference"/>
        </w:rPr>
        <w:annotationRef/>
      </w:r>
      <w:r>
        <w:t>MATERIALS AND METHODS</w:t>
      </w:r>
    </w:p>
  </w:comment>
  <w:comment w:id="11" w:author="User" w:date="2025-12-28T16:47:00Z" w:initials="U">
    <w:p w:rsidR="00C35FF1" w:rsidRDefault="00C35FF1">
      <w:pPr>
        <w:pStyle w:val="CommentText"/>
      </w:pPr>
      <w:r>
        <w:rPr>
          <w:rStyle w:val="CommentReference"/>
        </w:rPr>
        <w:annotationRef/>
      </w:r>
      <w:r>
        <w:t>What did you use for the collection of the spent wash?</w:t>
      </w:r>
    </w:p>
  </w:comment>
  <w:comment w:id="12" w:author="User" w:date="2025-12-28T16:48:00Z" w:initials="U">
    <w:p w:rsidR="00DE1886" w:rsidRDefault="00DE1886">
      <w:pPr>
        <w:pStyle w:val="CommentText"/>
      </w:pPr>
      <w:r>
        <w:rPr>
          <w:rStyle w:val="CommentReference"/>
        </w:rPr>
        <w:annotationRef/>
      </w:r>
      <w:r>
        <w:t>studies</w:t>
      </w:r>
    </w:p>
  </w:comment>
  <w:comment w:id="13" w:author="User" w:date="2025-12-28T16:49:00Z" w:initials="U">
    <w:p w:rsidR="00DE1886" w:rsidRDefault="00DE1886">
      <w:pPr>
        <w:pStyle w:val="CommentText"/>
      </w:pPr>
      <w:r>
        <w:rPr>
          <w:rStyle w:val="CommentReference"/>
        </w:rPr>
        <w:annotationRef/>
      </w:r>
      <w:r>
        <w:t>is it 25% or raw spent wash collected?</w:t>
      </w:r>
    </w:p>
  </w:comment>
  <w:comment w:id="14" w:author="User" w:date="2025-12-28T16:50:00Z" w:initials="U">
    <w:p w:rsidR="00DE1886" w:rsidRDefault="00DE1886">
      <w:pPr>
        <w:pStyle w:val="CommentText"/>
      </w:pPr>
      <w:r>
        <w:rPr>
          <w:rStyle w:val="CommentReference"/>
        </w:rPr>
        <w:annotationRef/>
      </w:r>
      <w:r>
        <w:t>Methodology for what?</w:t>
      </w:r>
    </w:p>
  </w:comment>
  <w:comment w:id="15" w:author="User" w:date="2025-12-28T16:57:00Z" w:initials="U">
    <w:p w:rsidR="00DE1886" w:rsidRDefault="00DE1886">
      <w:pPr>
        <w:pStyle w:val="CommentText"/>
      </w:pPr>
      <w:r>
        <w:rPr>
          <w:rStyle w:val="CommentReference"/>
        </w:rPr>
        <w:annotationRef/>
      </w:r>
      <w:r>
        <w:t>Microbial degradation of distillery spent wash by microorganisms</w:t>
      </w:r>
    </w:p>
  </w:comment>
  <w:comment w:id="16" w:author="User" w:date="2025-12-28T16:51:00Z" w:initials="U">
    <w:p w:rsidR="00DE1886" w:rsidRDefault="00DE1886">
      <w:pPr>
        <w:pStyle w:val="CommentText"/>
      </w:pPr>
      <w:r>
        <w:rPr>
          <w:rStyle w:val="CommentReference"/>
        </w:rPr>
        <w:annotationRef/>
      </w:r>
      <w:r>
        <w:t>microorganisms</w:t>
      </w:r>
    </w:p>
  </w:comment>
  <w:comment w:id="17" w:author="User" w:date="2025-12-28T16:52:00Z" w:initials="U">
    <w:p w:rsidR="00DE1886" w:rsidRDefault="00DE1886">
      <w:pPr>
        <w:pStyle w:val="CommentText"/>
      </w:pPr>
      <w:r>
        <w:rPr>
          <w:rStyle w:val="CommentReference"/>
        </w:rPr>
        <w:annotationRef/>
      </w:r>
      <w:r>
        <w:t>??</w:t>
      </w:r>
    </w:p>
  </w:comment>
  <w:comment w:id="18" w:author="User" w:date="2025-12-28T16:52:00Z" w:initials="U">
    <w:p w:rsidR="00DE1886" w:rsidRDefault="00DE1886">
      <w:pPr>
        <w:pStyle w:val="CommentText"/>
      </w:pPr>
      <w:r>
        <w:rPr>
          <w:rStyle w:val="CommentReference"/>
        </w:rPr>
        <w:annotationRef/>
      </w:r>
      <w:r>
        <w:t>??</w:t>
      </w:r>
    </w:p>
  </w:comment>
  <w:comment w:id="19" w:author="User" w:date="2025-12-28T16:53:00Z" w:initials="U">
    <w:p w:rsidR="00DE1886" w:rsidRDefault="00DE1886">
      <w:pPr>
        <w:pStyle w:val="CommentText"/>
      </w:pPr>
      <w:r>
        <w:rPr>
          <w:rStyle w:val="CommentReference"/>
        </w:rPr>
        <w:annotationRef/>
      </w:r>
    </w:p>
  </w:comment>
  <w:comment w:id="20" w:author="User" w:date="2025-12-28T16:53:00Z" w:initials="U">
    <w:p w:rsidR="00DE1886" w:rsidRDefault="00DE1886">
      <w:pPr>
        <w:pStyle w:val="CommentText"/>
      </w:pPr>
      <w:r>
        <w:rPr>
          <w:rStyle w:val="CommentReference"/>
        </w:rPr>
        <w:annotationRef/>
      </w:r>
      <w:r>
        <w:t>collected</w:t>
      </w:r>
    </w:p>
  </w:comment>
  <w:comment w:id="21" w:author="User" w:date="2025-12-28T16:55:00Z" w:initials="U">
    <w:p w:rsidR="00DE1886" w:rsidRDefault="00DE1886">
      <w:pPr>
        <w:pStyle w:val="CommentText"/>
      </w:pPr>
      <w:r>
        <w:rPr>
          <w:rStyle w:val="CommentReference"/>
        </w:rPr>
        <w:annotationRef/>
      </w:r>
      <w:r>
        <w:t>How did you determine the percentage degradation rate by the microorganisms.</w:t>
      </w:r>
    </w:p>
  </w:comment>
  <w:comment w:id="22" w:author="User" w:date="2025-12-28T16:54:00Z" w:initials="U">
    <w:p w:rsidR="00DE1886" w:rsidRDefault="00DE1886">
      <w:pPr>
        <w:pStyle w:val="CommentText"/>
      </w:pPr>
      <w:r>
        <w:rPr>
          <w:rStyle w:val="CommentReference"/>
        </w:rPr>
        <w:annotationRef/>
      </w:r>
      <w:r>
        <w:t>move this table to the appendix</w:t>
      </w:r>
    </w:p>
  </w:comment>
  <w:comment w:id="23" w:author="User" w:date="2025-12-28T17:02:00Z" w:initials="U">
    <w:p w:rsidR="00F235E0" w:rsidRDefault="00F235E0">
      <w:pPr>
        <w:pStyle w:val="CommentText"/>
      </w:pPr>
      <w:r>
        <w:rPr>
          <w:rStyle w:val="CommentReference"/>
        </w:rPr>
        <w:annotationRef/>
      </w:r>
      <w:r>
        <w:t>old references. Get recent research result related to this study</w:t>
      </w:r>
    </w:p>
  </w:comment>
  <w:comment w:id="24" w:author="User" w:date="2025-12-28T17:03:00Z" w:initials="U">
    <w:p w:rsidR="00F235E0" w:rsidRDefault="00F235E0">
      <w:pPr>
        <w:pStyle w:val="CommentText"/>
      </w:pPr>
      <w:r>
        <w:rPr>
          <w:rStyle w:val="CommentReference"/>
        </w:rPr>
        <w:annotationRef/>
      </w:r>
      <w:r>
        <w:t>This study incubation period should be done in duplicate or triplicate while also the mean and standard deviation should be calculated.</w:t>
      </w:r>
    </w:p>
  </w:comment>
  <w:comment w:id="25" w:author="User" w:date="2025-12-28T17:08:00Z" w:initials="U">
    <w:p w:rsidR="002F397F" w:rsidRDefault="002F397F">
      <w:pPr>
        <w:pStyle w:val="CommentText"/>
      </w:pPr>
      <w:r>
        <w:rPr>
          <w:rStyle w:val="CommentReference"/>
        </w:rPr>
        <w:annotationRef/>
      </w:r>
      <w:r>
        <w:t>remove</w:t>
      </w:r>
    </w:p>
  </w:comment>
  <w:comment w:id="26" w:author="User" w:date="2025-12-28T17:09:00Z" w:initials="U">
    <w:p w:rsidR="002F397F" w:rsidRDefault="002F397F">
      <w:pPr>
        <w:pStyle w:val="CommentText"/>
      </w:pPr>
      <w:r>
        <w:rPr>
          <w:rStyle w:val="CommentReference"/>
        </w:rPr>
        <w:annotationRef/>
      </w:r>
      <w:r>
        <w:t>how do you determine the percentage reduction . it should be reflected in the table and method</w:t>
      </w:r>
    </w:p>
  </w:comment>
  <w:comment w:id="27" w:author="User" w:date="2025-12-28T17:10:00Z" w:initials="U">
    <w:p w:rsidR="002F397F" w:rsidRDefault="002F397F">
      <w:pPr>
        <w:pStyle w:val="CommentText"/>
      </w:pPr>
      <w:r>
        <w:rPr>
          <w:rStyle w:val="CommentReference"/>
        </w:rPr>
        <w:annotationRef/>
      </w:r>
      <w:r>
        <w:t xml:space="preserve">what did they work on? </w:t>
      </w:r>
    </w:p>
  </w:comment>
  <w:comment w:id="28" w:author="User" w:date="2025-12-28T17:12:00Z" w:initials="U">
    <w:p w:rsidR="002F397F" w:rsidRDefault="002F397F">
      <w:pPr>
        <w:pStyle w:val="CommentText"/>
      </w:pPr>
      <w:r>
        <w:rPr>
          <w:rStyle w:val="CommentReference"/>
        </w:rPr>
        <w:annotationRef/>
      </w:r>
      <w:r>
        <w:t>At what value of optical density did you take your reading</w:t>
      </w:r>
    </w:p>
  </w:comment>
  <w:comment w:id="29" w:author="User" w:date="2025-12-28T17:22:00Z" w:initials="U">
    <w:p w:rsidR="00336FE7" w:rsidRDefault="00336FE7">
      <w:pPr>
        <w:pStyle w:val="CommentText"/>
      </w:pPr>
      <w:r>
        <w:rPr>
          <w:rStyle w:val="CommentReference"/>
        </w:rPr>
        <w:annotationRef/>
      </w:r>
      <w:r>
        <w:t>Heavy metal reduction in</w:t>
      </w:r>
    </w:p>
  </w:comment>
  <w:comment w:id="30" w:author="User" w:date="2025-12-28T17:24:00Z" w:initials="U">
    <w:p w:rsidR="00336FE7" w:rsidRDefault="00336FE7">
      <w:pPr>
        <w:pStyle w:val="CommentText"/>
      </w:pPr>
      <w:r>
        <w:rPr>
          <w:rStyle w:val="CommentReference"/>
        </w:rPr>
        <w:annotationRef/>
      </w:r>
      <w:r>
        <w:t>delete</w:t>
      </w:r>
    </w:p>
  </w:comment>
  <w:comment w:id="31" w:author="User" w:date="2025-12-28T17:25:00Z" w:initials="U">
    <w:p w:rsidR="00336FE7" w:rsidRDefault="00336FE7">
      <w:pPr>
        <w:pStyle w:val="CommentText"/>
      </w:pPr>
      <w:r>
        <w:rPr>
          <w:rStyle w:val="CommentReference"/>
        </w:rPr>
        <w:annotationRef/>
      </w:r>
      <w:r>
        <w:t>revisit all old references and replace with more recent ones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024F" w:rsidRDefault="00BA024F" w:rsidP="001B7D35">
      <w:pPr>
        <w:spacing w:after="0" w:line="240" w:lineRule="auto"/>
      </w:pPr>
      <w:r>
        <w:separator/>
      </w:r>
    </w:p>
  </w:endnote>
  <w:endnote w:type="continuationSeparator" w:id="1">
    <w:p w:rsidR="00BA024F" w:rsidRDefault="00BA024F" w:rsidP="001B7D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FF1" w:rsidRDefault="00C35FF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434959126"/>
      <w:docPartObj>
        <w:docPartGallery w:val="Page Numbers (Bottom of Page)"/>
        <w:docPartUnique/>
      </w:docPartObj>
    </w:sdtPr>
    <w:sdtContent>
      <w:p w:rsidR="00C35FF1" w:rsidRPr="00E91A01" w:rsidRDefault="00C35FF1">
        <w:pPr>
          <w:pStyle w:val="Footer"/>
          <w:jc w:val="center"/>
          <w:rPr>
            <w:rFonts w:ascii="Times New Roman" w:hAnsi="Times New Roman" w:cs="Times New Roman"/>
          </w:rPr>
        </w:pPr>
        <w:r w:rsidRPr="00E91A01">
          <w:rPr>
            <w:rFonts w:ascii="Times New Roman" w:hAnsi="Times New Roman" w:cs="Times New Roman"/>
            <w:b/>
          </w:rPr>
          <w:fldChar w:fldCharType="begin"/>
        </w:r>
        <w:r w:rsidRPr="00E91A01">
          <w:rPr>
            <w:rFonts w:ascii="Times New Roman" w:hAnsi="Times New Roman" w:cs="Times New Roman"/>
            <w:b/>
          </w:rPr>
          <w:instrText xml:space="preserve"> PAGE   \* MERGEFORMAT </w:instrText>
        </w:r>
        <w:r w:rsidRPr="00E91A01">
          <w:rPr>
            <w:rFonts w:ascii="Times New Roman" w:hAnsi="Times New Roman" w:cs="Times New Roman"/>
            <w:b/>
          </w:rPr>
          <w:fldChar w:fldCharType="separate"/>
        </w:r>
        <w:r w:rsidR="00336FE7">
          <w:rPr>
            <w:rFonts w:ascii="Times New Roman" w:hAnsi="Times New Roman" w:cs="Times New Roman"/>
            <w:b/>
            <w:noProof/>
          </w:rPr>
          <w:t>14</w:t>
        </w:r>
        <w:r w:rsidRPr="00E91A01">
          <w:rPr>
            <w:rFonts w:ascii="Times New Roman" w:hAnsi="Times New Roman" w:cs="Times New Roman"/>
            <w:b/>
          </w:rPr>
          <w:fldChar w:fldCharType="end"/>
        </w:r>
      </w:p>
    </w:sdtContent>
  </w:sdt>
  <w:p w:rsidR="00C35FF1" w:rsidRDefault="00C35FF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FF1" w:rsidRDefault="00C35F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024F" w:rsidRDefault="00BA024F" w:rsidP="001B7D35">
      <w:pPr>
        <w:spacing w:after="0" w:line="240" w:lineRule="auto"/>
      </w:pPr>
      <w:r>
        <w:separator/>
      </w:r>
    </w:p>
  </w:footnote>
  <w:footnote w:type="continuationSeparator" w:id="1">
    <w:p w:rsidR="00BA024F" w:rsidRDefault="00BA024F" w:rsidP="001B7D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FF1" w:rsidRDefault="00C35F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612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FF1" w:rsidRDefault="00C35F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612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FF1" w:rsidRDefault="00C35F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612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B5F9B"/>
    <w:multiLevelType w:val="hybridMultilevel"/>
    <w:tmpl w:val="CFB4BCE6"/>
    <w:lvl w:ilvl="0" w:tplc="7C6CE0D4">
      <w:start w:val="1"/>
      <w:numFmt w:val="decimal"/>
      <w:lvlText w:val="%1."/>
      <w:lvlJc w:val="left"/>
      <w:pPr>
        <w:ind w:left="644" w:hanging="360"/>
      </w:pPr>
      <w:rPr>
        <w:rFonts w:ascii="Times New Roman" w:hAnsi="Times New Roman" w:cs="Times New Roman" w:hint="default"/>
        <w:b/>
        <w:sz w:val="3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58057757"/>
    <w:multiLevelType w:val="multilevel"/>
    <w:tmpl w:val="6E9002E2"/>
    <w:lvl w:ilvl="0">
      <w:start w:val="3"/>
      <w:numFmt w:val="decimal"/>
      <w:lvlText w:val="%1."/>
      <w:lvlJc w:val="left"/>
      <w:pPr>
        <w:ind w:left="360" w:hanging="360"/>
      </w:pPr>
      <w:rPr>
        <w:rFonts w:hint="default"/>
        <w:b/>
        <w:sz w:val="24"/>
        <w:szCs w:val="2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F6898"/>
    <w:rsid w:val="00000FE1"/>
    <w:rsid w:val="000238A0"/>
    <w:rsid w:val="00026428"/>
    <w:rsid w:val="00050164"/>
    <w:rsid w:val="000544A5"/>
    <w:rsid w:val="000C2D26"/>
    <w:rsid w:val="000D07A3"/>
    <w:rsid w:val="00101CBF"/>
    <w:rsid w:val="0012367A"/>
    <w:rsid w:val="0012694F"/>
    <w:rsid w:val="00143EC9"/>
    <w:rsid w:val="0014797A"/>
    <w:rsid w:val="0015536A"/>
    <w:rsid w:val="0016205D"/>
    <w:rsid w:val="001A15EE"/>
    <w:rsid w:val="001B7D35"/>
    <w:rsid w:val="00225AE2"/>
    <w:rsid w:val="002643B2"/>
    <w:rsid w:val="00291A23"/>
    <w:rsid w:val="002D01DE"/>
    <w:rsid w:val="002E5044"/>
    <w:rsid w:val="002F397F"/>
    <w:rsid w:val="00336FE7"/>
    <w:rsid w:val="00394C15"/>
    <w:rsid w:val="003A1F08"/>
    <w:rsid w:val="0042612C"/>
    <w:rsid w:val="00426360"/>
    <w:rsid w:val="0044325A"/>
    <w:rsid w:val="00480FB5"/>
    <w:rsid w:val="00490AE7"/>
    <w:rsid w:val="004A3EE1"/>
    <w:rsid w:val="004C6229"/>
    <w:rsid w:val="004F79E0"/>
    <w:rsid w:val="00501BCC"/>
    <w:rsid w:val="00513541"/>
    <w:rsid w:val="0052059F"/>
    <w:rsid w:val="00535F85"/>
    <w:rsid w:val="00560D44"/>
    <w:rsid w:val="00577B8C"/>
    <w:rsid w:val="00582A1D"/>
    <w:rsid w:val="00597CA7"/>
    <w:rsid w:val="00603BF1"/>
    <w:rsid w:val="00620CA4"/>
    <w:rsid w:val="00624A20"/>
    <w:rsid w:val="006F6898"/>
    <w:rsid w:val="007037ED"/>
    <w:rsid w:val="007152DC"/>
    <w:rsid w:val="00743628"/>
    <w:rsid w:val="007814E4"/>
    <w:rsid w:val="007B187A"/>
    <w:rsid w:val="007B244F"/>
    <w:rsid w:val="007C4D7D"/>
    <w:rsid w:val="007F03DE"/>
    <w:rsid w:val="00800C10"/>
    <w:rsid w:val="00801F20"/>
    <w:rsid w:val="00834A52"/>
    <w:rsid w:val="00840416"/>
    <w:rsid w:val="00861BA4"/>
    <w:rsid w:val="008A10EF"/>
    <w:rsid w:val="008B60E4"/>
    <w:rsid w:val="008D223B"/>
    <w:rsid w:val="00943A65"/>
    <w:rsid w:val="009A05A6"/>
    <w:rsid w:val="009A454F"/>
    <w:rsid w:val="009B2BFB"/>
    <w:rsid w:val="009D5FC7"/>
    <w:rsid w:val="009E3A98"/>
    <w:rsid w:val="009F341D"/>
    <w:rsid w:val="00A901E6"/>
    <w:rsid w:val="00AF0395"/>
    <w:rsid w:val="00B25591"/>
    <w:rsid w:val="00B57DE5"/>
    <w:rsid w:val="00B63E43"/>
    <w:rsid w:val="00B807C5"/>
    <w:rsid w:val="00B82905"/>
    <w:rsid w:val="00B84EEB"/>
    <w:rsid w:val="00B973F3"/>
    <w:rsid w:val="00BA024F"/>
    <w:rsid w:val="00BE268E"/>
    <w:rsid w:val="00BF319B"/>
    <w:rsid w:val="00C07398"/>
    <w:rsid w:val="00C07BAC"/>
    <w:rsid w:val="00C35FF1"/>
    <w:rsid w:val="00C637D5"/>
    <w:rsid w:val="00C662B3"/>
    <w:rsid w:val="00C673D6"/>
    <w:rsid w:val="00C73287"/>
    <w:rsid w:val="00C82E27"/>
    <w:rsid w:val="00CA25A2"/>
    <w:rsid w:val="00CB3E42"/>
    <w:rsid w:val="00CC79AF"/>
    <w:rsid w:val="00CD7AE8"/>
    <w:rsid w:val="00CE6C67"/>
    <w:rsid w:val="00D01B2B"/>
    <w:rsid w:val="00D25314"/>
    <w:rsid w:val="00DB7809"/>
    <w:rsid w:val="00DE1886"/>
    <w:rsid w:val="00E04B03"/>
    <w:rsid w:val="00E04B62"/>
    <w:rsid w:val="00E07B87"/>
    <w:rsid w:val="00E4544B"/>
    <w:rsid w:val="00E6200E"/>
    <w:rsid w:val="00E70C93"/>
    <w:rsid w:val="00E83BBF"/>
    <w:rsid w:val="00E91A01"/>
    <w:rsid w:val="00E96213"/>
    <w:rsid w:val="00ED0D79"/>
    <w:rsid w:val="00ED2078"/>
    <w:rsid w:val="00EE4323"/>
    <w:rsid w:val="00F235E0"/>
    <w:rsid w:val="00F81713"/>
    <w:rsid w:val="00FC273B"/>
    <w:rsid w:val="00FF0E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3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CE6C67"/>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CE6C67"/>
    <w:pPr>
      <w:spacing w:after="240" w:line="240" w:lineRule="exact"/>
      <w:jc w:val="right"/>
    </w:pPr>
    <w:rPr>
      <w:rFonts w:ascii="Helvetica" w:eastAsia="Times New Roman" w:hAnsi="Helvetica" w:cs="Times New Roman"/>
      <w:sz w:val="20"/>
      <w:szCs w:val="20"/>
    </w:rPr>
  </w:style>
  <w:style w:type="character" w:styleId="Strong">
    <w:name w:val="Strong"/>
    <w:basedOn w:val="DefaultParagraphFont"/>
    <w:uiPriority w:val="22"/>
    <w:qFormat/>
    <w:rsid w:val="00CE6C67"/>
    <w:rPr>
      <w:b/>
      <w:bCs/>
    </w:rPr>
  </w:style>
  <w:style w:type="character" w:customStyle="1" w:styleId="green">
    <w:name w:val="green"/>
    <w:basedOn w:val="DefaultParagraphFont"/>
    <w:rsid w:val="00CE6C67"/>
  </w:style>
  <w:style w:type="table" w:customStyle="1" w:styleId="TableGrid1">
    <w:name w:val="Table Grid1"/>
    <w:basedOn w:val="TableNormal"/>
    <w:uiPriority w:val="59"/>
    <w:rsid w:val="00CE6C67"/>
    <w:pPr>
      <w:widowControl w:val="0"/>
      <w:autoSpaceDE w:val="0"/>
      <w:autoSpaceDN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CE6C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5536A"/>
    <w:pPr>
      <w:ind w:left="720"/>
      <w:contextualSpacing/>
    </w:pPr>
    <w:rPr>
      <w:lang w:bidi="gu-IN"/>
    </w:rPr>
  </w:style>
  <w:style w:type="paragraph" w:styleId="BalloonText">
    <w:name w:val="Balloon Text"/>
    <w:basedOn w:val="Normal"/>
    <w:link w:val="BalloonTextChar"/>
    <w:uiPriority w:val="99"/>
    <w:semiHidden/>
    <w:unhideWhenUsed/>
    <w:rsid w:val="000D0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7A3"/>
    <w:rPr>
      <w:rFonts w:ascii="Tahoma" w:hAnsi="Tahoma" w:cs="Tahoma"/>
      <w:sz w:val="16"/>
      <w:szCs w:val="16"/>
    </w:rPr>
  </w:style>
  <w:style w:type="paragraph" w:styleId="Header">
    <w:name w:val="header"/>
    <w:basedOn w:val="Normal"/>
    <w:link w:val="HeaderChar"/>
    <w:uiPriority w:val="99"/>
    <w:unhideWhenUsed/>
    <w:rsid w:val="001B7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D35"/>
  </w:style>
  <w:style w:type="paragraph" w:styleId="Footer">
    <w:name w:val="footer"/>
    <w:basedOn w:val="Normal"/>
    <w:link w:val="FooterChar"/>
    <w:uiPriority w:val="99"/>
    <w:unhideWhenUsed/>
    <w:rsid w:val="001B7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D35"/>
  </w:style>
  <w:style w:type="paragraph" w:styleId="BodyText">
    <w:name w:val="Body Text"/>
    <w:basedOn w:val="Normal"/>
    <w:link w:val="BodyTextChar"/>
    <w:uiPriority w:val="1"/>
    <w:unhideWhenUsed/>
    <w:qFormat/>
    <w:rsid w:val="00535F8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35F85"/>
    <w:rPr>
      <w:rFonts w:ascii="Times New Roman" w:eastAsia="Times New Roman" w:hAnsi="Times New Roman" w:cs="Times New Roman"/>
      <w:sz w:val="24"/>
      <w:szCs w:val="24"/>
    </w:rPr>
  </w:style>
  <w:style w:type="character" w:customStyle="1" w:styleId="html-italic">
    <w:name w:val="html-italic"/>
    <w:basedOn w:val="DefaultParagraphFont"/>
    <w:rsid w:val="00E07B87"/>
  </w:style>
  <w:style w:type="paragraph" w:styleId="NormalWeb">
    <w:name w:val="Normal (Web)"/>
    <w:basedOn w:val="Normal"/>
    <w:uiPriority w:val="99"/>
    <w:semiHidden/>
    <w:unhideWhenUsed/>
    <w:rsid w:val="00E07B8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7B87"/>
    <w:rPr>
      <w:i/>
      <w:iCs/>
    </w:rPr>
  </w:style>
  <w:style w:type="character" w:styleId="Hyperlink">
    <w:name w:val="Hyperlink"/>
    <w:basedOn w:val="DefaultParagraphFont"/>
    <w:uiPriority w:val="99"/>
    <w:unhideWhenUsed/>
    <w:rsid w:val="00CA25A2"/>
    <w:rPr>
      <w:color w:val="0000FF" w:themeColor="hyperlink"/>
      <w:u w:val="single"/>
    </w:rPr>
  </w:style>
  <w:style w:type="character" w:customStyle="1" w:styleId="UnresolvedMention">
    <w:name w:val="Unresolved Mention"/>
    <w:basedOn w:val="DefaultParagraphFont"/>
    <w:uiPriority w:val="99"/>
    <w:semiHidden/>
    <w:unhideWhenUsed/>
    <w:rsid w:val="0012367A"/>
    <w:rPr>
      <w:color w:val="605E5C"/>
      <w:shd w:val="clear" w:color="auto" w:fill="E1DFDD"/>
    </w:rPr>
  </w:style>
  <w:style w:type="character" w:styleId="CommentReference">
    <w:name w:val="annotation reference"/>
    <w:basedOn w:val="DefaultParagraphFont"/>
    <w:uiPriority w:val="99"/>
    <w:semiHidden/>
    <w:unhideWhenUsed/>
    <w:rsid w:val="00834A52"/>
    <w:rPr>
      <w:sz w:val="16"/>
      <w:szCs w:val="16"/>
    </w:rPr>
  </w:style>
  <w:style w:type="paragraph" w:styleId="CommentText">
    <w:name w:val="annotation text"/>
    <w:basedOn w:val="Normal"/>
    <w:link w:val="CommentTextChar"/>
    <w:uiPriority w:val="99"/>
    <w:semiHidden/>
    <w:unhideWhenUsed/>
    <w:rsid w:val="00834A52"/>
    <w:pPr>
      <w:spacing w:line="240" w:lineRule="auto"/>
    </w:pPr>
    <w:rPr>
      <w:sz w:val="20"/>
      <w:szCs w:val="20"/>
    </w:rPr>
  </w:style>
  <w:style w:type="character" w:customStyle="1" w:styleId="CommentTextChar">
    <w:name w:val="Comment Text Char"/>
    <w:basedOn w:val="DefaultParagraphFont"/>
    <w:link w:val="CommentText"/>
    <w:uiPriority w:val="99"/>
    <w:semiHidden/>
    <w:rsid w:val="00834A52"/>
    <w:rPr>
      <w:sz w:val="20"/>
      <w:szCs w:val="20"/>
    </w:rPr>
  </w:style>
  <w:style w:type="paragraph" w:styleId="CommentSubject">
    <w:name w:val="annotation subject"/>
    <w:basedOn w:val="CommentText"/>
    <w:next w:val="CommentText"/>
    <w:link w:val="CommentSubjectChar"/>
    <w:uiPriority w:val="99"/>
    <w:semiHidden/>
    <w:unhideWhenUsed/>
    <w:rsid w:val="00834A52"/>
    <w:rPr>
      <w:b/>
      <w:bCs/>
    </w:rPr>
  </w:style>
  <w:style w:type="character" w:customStyle="1" w:styleId="CommentSubjectChar">
    <w:name w:val="Comment Subject Char"/>
    <w:basedOn w:val="CommentTextChar"/>
    <w:link w:val="CommentSubject"/>
    <w:uiPriority w:val="99"/>
    <w:semiHidden/>
    <w:rsid w:val="00834A52"/>
    <w:rPr>
      <w:b/>
      <w:bCs/>
    </w:rPr>
  </w:style>
</w:styles>
</file>

<file path=word/webSettings.xml><?xml version="1.0" encoding="utf-8"?>
<w:webSettings xmlns:r="http://schemas.openxmlformats.org/officeDocument/2006/relationships" xmlns:w="http://schemas.openxmlformats.org/wordprocessingml/2006/main">
  <w:divs>
    <w:div w:id="1351570415">
      <w:bodyDiv w:val="1"/>
      <w:marLeft w:val="0"/>
      <w:marRight w:val="0"/>
      <w:marTop w:val="0"/>
      <w:marBottom w:val="0"/>
      <w:divBdr>
        <w:top w:val="none" w:sz="0" w:space="0" w:color="auto"/>
        <w:left w:val="none" w:sz="0" w:space="0" w:color="auto"/>
        <w:bottom w:val="none" w:sz="0" w:space="0" w:color="auto"/>
        <w:right w:val="none" w:sz="0" w:space="0" w:color="auto"/>
      </w:divBdr>
      <w:divsChild>
        <w:div w:id="173687446">
          <w:marLeft w:val="0"/>
          <w:marRight w:val="0"/>
          <w:marTop w:val="0"/>
          <w:marBottom w:val="0"/>
          <w:divBdr>
            <w:top w:val="single" w:sz="2" w:space="9" w:color="E5E7EB"/>
            <w:left w:val="single" w:sz="2" w:space="18" w:color="E5E7EB"/>
            <w:bottom w:val="single" w:sz="2" w:space="0" w:color="E5E7EB"/>
            <w:right w:val="single" w:sz="2" w:space="18" w:color="E5E7EB"/>
          </w:divBdr>
        </w:div>
      </w:divsChild>
    </w:div>
    <w:div w:id="165074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yperlink" Target="https://doi.org/10.1016/j.envres.2023.116275"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s://doi.org/10.1080/10889868.2010.495661"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https://doi.org/10.1016/j.ecoleng.2006.02.008" TargetMode="External"/><Relationship Id="rId33" Type="http://schemas.openxmlformats.org/officeDocument/2006/relationships/hyperlink" Target="https://doi.org/10.1007/s11157-005-1246-z"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yperlink" Target="https://doi.org/10.1021/ac50081a0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1016/B978-1-85573-457-9.50012-3" TargetMode="External"/><Relationship Id="rId32" Type="http://schemas.openxmlformats.org/officeDocument/2006/relationships/hyperlink" Target="https://www.researchgate.net/publication/267370006_Screening_of_microorganisms_for_decolorization_of_treated_distillery_wastewate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hyperlink" Target="https://doi.org/10.4491/eer.2016.024" TargetMode="External"/><Relationship Id="rId36" Type="http://schemas.openxmlformats.org/officeDocument/2006/relationships/hyperlink" Target="https://doi.org/10.1007/s10532-012-9537-x"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yperlink" Target="https://doi.org/10.2134/agronmonogr9.2.2ed"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3.xml"/><Relationship Id="rId22" Type="http://schemas.openxmlformats.org/officeDocument/2006/relationships/chart" Target="charts/chart3.xml"/><Relationship Id="rId27" Type="http://schemas.openxmlformats.org/officeDocument/2006/relationships/hyperlink" Target="http://nopr.niscpr.res.in/handle/123456789/38" TargetMode="External"/><Relationship Id="rId30" Type="http://schemas.openxmlformats.org/officeDocument/2006/relationships/hyperlink" Target="https://doi.org/10.1006/jema.2001.0505" TargetMode="External"/><Relationship Id="rId35" Type="http://schemas.openxmlformats.org/officeDocument/2006/relationships/hyperlink" Target="https://doi.org/10.5004/dwt.2018.2183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Graph%20data%20reduction%2028-5-25%20(for%20edi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Graph%20data%20reduction%2028-5-25%20(for%20edi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Graph%20data%20reduction%2028-5-25%20(for%20edi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Graph%20data%20reduction%2028-5-25%20(for%20edi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8"/>
  <c:chart>
    <c:view3D>
      <c:rAngAx val="1"/>
    </c:view3D>
    <c:plotArea>
      <c:layout>
        <c:manualLayout>
          <c:layoutTarget val="inner"/>
          <c:xMode val="edge"/>
          <c:yMode val="edge"/>
          <c:x val="0.13140620754668791"/>
          <c:y val="5.0925925925925951E-2"/>
          <c:w val="0.77413894795835569"/>
          <c:h val="0.65281571339739808"/>
        </c:manualLayout>
      </c:layout>
      <c:bar3DChart>
        <c:barDir val="col"/>
        <c:grouping val="percentStacked"/>
        <c:ser>
          <c:idx val="0"/>
          <c:order val="0"/>
          <c:tx>
            <c:strRef>
              <c:f>Sheet1!$C$101</c:f>
              <c:strCache>
                <c:ptCount val="1"/>
                <c:pt idx="0">
                  <c:v>BOD</c:v>
                </c:pt>
              </c:strCache>
            </c:strRef>
          </c:tx>
          <c:spPr>
            <a:solidFill>
              <a:srgbClr val="E06A4A"/>
            </a:solidFill>
          </c:spPr>
          <c:dLbls>
            <c:spPr>
              <a:noFill/>
              <a:ln>
                <a:noFill/>
              </a:ln>
              <a:effectLst/>
            </c:spPr>
            <c:txPr>
              <a:bodyPr rot="-5400000" vert="horz"/>
              <a:lstStyle/>
              <a:p>
                <a:pPr>
                  <a:defRPr b="1">
                    <a:latin typeface="Times New Roman" pitchFamily="18" charset="0"/>
                    <a:cs typeface="Times New Roman" pitchFamily="18"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Sheet1!$B$102:$B$111</c:f>
              <c:strCache>
                <c:ptCount val="10"/>
                <c:pt idx="0">
                  <c:v>M1 over M0</c:v>
                </c:pt>
                <c:pt idx="1">
                  <c:v>M2 over M0</c:v>
                </c:pt>
                <c:pt idx="2">
                  <c:v>D3 over D1</c:v>
                </c:pt>
                <c:pt idx="3">
                  <c:v>D3 over D2</c:v>
                </c:pt>
                <c:pt idx="4">
                  <c:v>M2D3 over M0D1</c:v>
                </c:pt>
                <c:pt idx="5">
                  <c:v>M2D3 over M0D2</c:v>
                </c:pt>
                <c:pt idx="6">
                  <c:v>M2D3 over M0D3</c:v>
                </c:pt>
                <c:pt idx="7">
                  <c:v>M2D2 over M0D1</c:v>
                </c:pt>
                <c:pt idx="8">
                  <c:v>M2D2 over M0D2</c:v>
                </c:pt>
                <c:pt idx="9">
                  <c:v>M2D2 over M0D3</c:v>
                </c:pt>
              </c:strCache>
            </c:strRef>
          </c:cat>
          <c:val>
            <c:numRef>
              <c:f>Sheet1!$C$102:$C$111</c:f>
              <c:numCache>
                <c:formatCode>General</c:formatCode>
                <c:ptCount val="10"/>
                <c:pt idx="0">
                  <c:v>47.02</c:v>
                </c:pt>
                <c:pt idx="1">
                  <c:v>54.61</c:v>
                </c:pt>
                <c:pt idx="2">
                  <c:v>12.93</c:v>
                </c:pt>
                <c:pt idx="3">
                  <c:v>5.1199999999999966</c:v>
                </c:pt>
                <c:pt idx="4">
                  <c:v>59.260000000000012</c:v>
                </c:pt>
                <c:pt idx="5">
                  <c:v>57.220000000000013</c:v>
                </c:pt>
                <c:pt idx="6">
                  <c:v>54.54</c:v>
                </c:pt>
                <c:pt idx="7">
                  <c:v>56.47</c:v>
                </c:pt>
                <c:pt idx="8">
                  <c:v>54.290000000000013</c:v>
                </c:pt>
                <c:pt idx="9">
                  <c:v>51.42</c:v>
                </c:pt>
              </c:numCache>
            </c:numRef>
          </c:val>
          <c:extLst xmlns:c16r2="http://schemas.microsoft.com/office/drawing/2015/06/chart">
            <c:ext xmlns:c16="http://schemas.microsoft.com/office/drawing/2014/chart" uri="{C3380CC4-5D6E-409C-BE32-E72D297353CC}">
              <c16:uniqueId val="{00000000-160B-49BA-8CD4-1D554FA6B99A}"/>
            </c:ext>
          </c:extLst>
        </c:ser>
        <c:ser>
          <c:idx val="1"/>
          <c:order val="1"/>
          <c:tx>
            <c:strRef>
              <c:f>Sheet1!$D$101</c:f>
              <c:strCache>
                <c:ptCount val="1"/>
                <c:pt idx="0">
                  <c:v>COD</c:v>
                </c:pt>
              </c:strCache>
            </c:strRef>
          </c:tx>
          <c:spPr>
            <a:solidFill>
              <a:srgbClr val="20CEB1"/>
            </a:solidFill>
          </c:spPr>
          <c:dLbls>
            <c:spPr>
              <a:noFill/>
              <a:ln>
                <a:noFill/>
              </a:ln>
              <a:effectLst/>
            </c:spPr>
            <c:txPr>
              <a:bodyPr rot="-5400000" vert="horz"/>
              <a:lstStyle/>
              <a:p>
                <a:pPr>
                  <a:defRPr b="1">
                    <a:latin typeface="Times New Roman" pitchFamily="18" charset="0"/>
                    <a:cs typeface="Times New Roman" pitchFamily="18"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Sheet1!$B$102:$B$111</c:f>
              <c:strCache>
                <c:ptCount val="10"/>
                <c:pt idx="0">
                  <c:v>M1 over M0</c:v>
                </c:pt>
                <c:pt idx="1">
                  <c:v>M2 over M0</c:v>
                </c:pt>
                <c:pt idx="2">
                  <c:v>D3 over D1</c:v>
                </c:pt>
                <c:pt idx="3">
                  <c:v>D3 over D2</c:v>
                </c:pt>
                <c:pt idx="4">
                  <c:v>M2D3 over M0D1</c:v>
                </c:pt>
                <c:pt idx="5">
                  <c:v>M2D3 over M0D2</c:v>
                </c:pt>
                <c:pt idx="6">
                  <c:v>M2D3 over M0D3</c:v>
                </c:pt>
                <c:pt idx="7">
                  <c:v>M2D2 over M0D1</c:v>
                </c:pt>
                <c:pt idx="8">
                  <c:v>M2D2 over M0D2</c:v>
                </c:pt>
                <c:pt idx="9">
                  <c:v>M2D2 over M0D3</c:v>
                </c:pt>
              </c:strCache>
            </c:strRef>
          </c:cat>
          <c:val>
            <c:numRef>
              <c:f>Sheet1!$D$102:$D$111</c:f>
              <c:numCache>
                <c:formatCode>General</c:formatCode>
                <c:ptCount val="10"/>
                <c:pt idx="0">
                  <c:v>48.11</c:v>
                </c:pt>
                <c:pt idx="1">
                  <c:v>58.57</c:v>
                </c:pt>
                <c:pt idx="2">
                  <c:v>15.139999999999999</c:v>
                </c:pt>
                <c:pt idx="3">
                  <c:v>4.03</c:v>
                </c:pt>
                <c:pt idx="4">
                  <c:v>63.25</c:v>
                </c:pt>
                <c:pt idx="5">
                  <c:v>62.61</c:v>
                </c:pt>
                <c:pt idx="6">
                  <c:v>61.21</c:v>
                </c:pt>
                <c:pt idx="7">
                  <c:v>62.06</c:v>
                </c:pt>
                <c:pt idx="8">
                  <c:v>61.39</c:v>
                </c:pt>
                <c:pt idx="9">
                  <c:v>59.949999999999996</c:v>
                </c:pt>
              </c:numCache>
            </c:numRef>
          </c:val>
          <c:extLst xmlns:c16r2="http://schemas.microsoft.com/office/drawing/2015/06/chart">
            <c:ext xmlns:c16="http://schemas.microsoft.com/office/drawing/2014/chart" uri="{C3380CC4-5D6E-409C-BE32-E72D297353CC}">
              <c16:uniqueId val="{00000001-160B-49BA-8CD4-1D554FA6B99A}"/>
            </c:ext>
          </c:extLst>
        </c:ser>
        <c:shape val="box"/>
        <c:axId val="71976064"/>
        <c:axId val="72107136"/>
        <c:axId val="0"/>
      </c:bar3DChart>
      <c:catAx>
        <c:axId val="71976064"/>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Treatment</a:t>
                </a:r>
              </a:p>
            </c:rich>
          </c:tx>
          <c:layout>
            <c:manualLayout>
              <c:xMode val="edge"/>
              <c:yMode val="edge"/>
              <c:x val="0.46303725087755315"/>
              <c:y val="0.90000524863246434"/>
            </c:manualLayout>
          </c:layout>
        </c:title>
        <c:numFmt formatCode="General" sourceLinked="0"/>
        <c:tickLblPos val="nextTo"/>
        <c:txPr>
          <a:bodyPr/>
          <a:lstStyle/>
          <a:p>
            <a:pPr>
              <a:defRPr b="1">
                <a:latin typeface="Times New Roman" pitchFamily="18" charset="0"/>
                <a:cs typeface="Times New Roman" pitchFamily="18" charset="0"/>
              </a:defRPr>
            </a:pPr>
            <a:endParaRPr lang="en-US"/>
          </a:p>
        </c:txPr>
        <c:crossAx val="72107136"/>
        <c:crosses val="autoZero"/>
        <c:auto val="1"/>
        <c:lblAlgn val="ctr"/>
        <c:lblOffset val="100"/>
      </c:catAx>
      <c:valAx>
        <c:axId val="72107136"/>
        <c:scaling>
          <c:orientation val="minMax"/>
        </c:scaling>
        <c:axPos val="l"/>
        <c:majorGridlines/>
        <c:title>
          <c:tx>
            <c:rich>
              <a:bodyPr rot="-5400000" vert="horz"/>
              <a:lstStyle/>
              <a:p>
                <a:pPr>
                  <a:defRPr/>
                </a:pPr>
                <a:r>
                  <a:rPr lang="en-US">
                    <a:latin typeface="Times New Roman" pitchFamily="18" charset="0"/>
                    <a:cs typeface="Times New Roman" pitchFamily="18" charset="0"/>
                  </a:rPr>
                  <a:t>Reduction in content</a:t>
                </a:r>
              </a:p>
            </c:rich>
          </c:tx>
          <c:layout>
            <c:manualLayout>
              <c:xMode val="edge"/>
              <c:yMode val="edge"/>
              <c:x val="2.2554013063917428E-2"/>
              <c:y val="0.21552474629621995"/>
            </c:manualLayout>
          </c:layout>
        </c:title>
        <c:numFmt formatCode="0%" sourceLinked="1"/>
        <c:tickLblPos val="nextTo"/>
        <c:txPr>
          <a:bodyPr/>
          <a:lstStyle/>
          <a:p>
            <a:pPr>
              <a:defRPr b="1">
                <a:latin typeface="Times New Roman" pitchFamily="18" charset="0"/>
                <a:cs typeface="Times New Roman" pitchFamily="18" charset="0"/>
              </a:defRPr>
            </a:pPr>
            <a:endParaRPr lang="en-US"/>
          </a:p>
        </c:txPr>
        <c:crossAx val="71976064"/>
        <c:crosses val="autoZero"/>
        <c:crossBetween val="between"/>
      </c:valAx>
    </c:plotArea>
    <c:legend>
      <c:legendPos val="r"/>
      <c:txPr>
        <a:bodyPr/>
        <a:lstStyle/>
        <a:p>
          <a:pPr>
            <a:defRPr b="1">
              <a:latin typeface="Times New Roman" pitchFamily="18" charset="0"/>
              <a:cs typeface="Times New Roman" pitchFamily="18" charset="0"/>
            </a:defRPr>
          </a:pPr>
          <a:endParaRPr lang="en-US"/>
        </a:p>
      </c:txPr>
    </c:legend>
    <c:plotVisOnly val="1"/>
    <c:dispBlanksAs val="gap"/>
  </c:chart>
  <c:spPr>
    <a:solidFill>
      <a:srgbClr val="FFFFCC"/>
    </a:solidFill>
    <a:ln>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9"/>
  <c:chart>
    <c:autoTitleDeleted val="1"/>
    <c:view3D>
      <c:rAngAx val="1"/>
    </c:view3D>
    <c:plotArea>
      <c:layout>
        <c:manualLayout>
          <c:layoutTarget val="inner"/>
          <c:xMode val="edge"/>
          <c:yMode val="edge"/>
          <c:x val="8.9432118948413464E-2"/>
          <c:y val="5.9423986979857034E-2"/>
          <c:w val="0.83492569381090065"/>
          <c:h val="0.60994204077911562"/>
        </c:manualLayout>
      </c:layout>
      <c:bar3DChart>
        <c:barDir val="col"/>
        <c:grouping val="percentStacked"/>
        <c:ser>
          <c:idx val="0"/>
          <c:order val="0"/>
          <c:tx>
            <c:strRef>
              <c:f>Sheet1!$C$67</c:f>
              <c:strCache>
                <c:ptCount val="1"/>
                <c:pt idx="0">
                  <c:v>TS</c:v>
                </c:pt>
              </c:strCache>
            </c:strRef>
          </c:tx>
          <c:dLbls>
            <c:spPr>
              <a:noFill/>
              <a:ln>
                <a:noFill/>
              </a:ln>
              <a:effectLst/>
            </c:spPr>
            <c:txPr>
              <a:bodyPr rot="-5400000" vert="horz"/>
              <a:lstStyle/>
              <a:p>
                <a:pPr>
                  <a:defRPr b="1">
                    <a:latin typeface="Times New Roman" pitchFamily="18" charset="0"/>
                    <a:cs typeface="Times New Roman" pitchFamily="18"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Sheet1!$B$68:$B$77</c:f>
              <c:strCache>
                <c:ptCount val="10"/>
                <c:pt idx="0">
                  <c:v>M1 over M0</c:v>
                </c:pt>
                <c:pt idx="1">
                  <c:v>M2 over M0</c:v>
                </c:pt>
                <c:pt idx="2">
                  <c:v>D3 over D1</c:v>
                </c:pt>
                <c:pt idx="3">
                  <c:v>D2 over D1</c:v>
                </c:pt>
                <c:pt idx="4">
                  <c:v>M2D3 over M0D1</c:v>
                </c:pt>
                <c:pt idx="5">
                  <c:v>M2D3 over M0D2</c:v>
                </c:pt>
                <c:pt idx="6">
                  <c:v>M2D3 over M0D3</c:v>
                </c:pt>
                <c:pt idx="7">
                  <c:v>M2D2 over M0D1</c:v>
                </c:pt>
                <c:pt idx="8">
                  <c:v>M2D2 over M0D2</c:v>
                </c:pt>
                <c:pt idx="9">
                  <c:v>M2D2 over M0D3</c:v>
                </c:pt>
              </c:strCache>
            </c:strRef>
          </c:cat>
          <c:val>
            <c:numRef>
              <c:f>Sheet1!$C$68:$C$77</c:f>
              <c:numCache>
                <c:formatCode>General</c:formatCode>
                <c:ptCount val="10"/>
                <c:pt idx="0">
                  <c:v>67.239999999999995</c:v>
                </c:pt>
                <c:pt idx="1">
                  <c:v>78.66</c:v>
                </c:pt>
                <c:pt idx="2">
                  <c:v>19.72</c:v>
                </c:pt>
                <c:pt idx="3">
                  <c:v>18.62</c:v>
                </c:pt>
                <c:pt idx="4">
                  <c:v>84.460000000000022</c:v>
                </c:pt>
                <c:pt idx="5">
                  <c:v>84.09</c:v>
                </c:pt>
                <c:pt idx="6">
                  <c:v>83.98</c:v>
                </c:pt>
                <c:pt idx="7">
                  <c:v>83.82</c:v>
                </c:pt>
                <c:pt idx="8">
                  <c:v>83.440000000000026</c:v>
                </c:pt>
                <c:pt idx="9">
                  <c:v>83.32</c:v>
                </c:pt>
              </c:numCache>
            </c:numRef>
          </c:val>
          <c:extLst xmlns:c16r2="http://schemas.microsoft.com/office/drawing/2015/06/chart">
            <c:ext xmlns:c16="http://schemas.microsoft.com/office/drawing/2014/chart" uri="{C3380CC4-5D6E-409C-BE32-E72D297353CC}">
              <c16:uniqueId val="{00000000-D859-480F-BB91-810256B60059}"/>
            </c:ext>
          </c:extLst>
        </c:ser>
        <c:shape val="box"/>
        <c:axId val="80685312"/>
        <c:axId val="80768384"/>
        <c:axId val="0"/>
      </c:bar3DChart>
      <c:catAx>
        <c:axId val="80685312"/>
        <c:scaling>
          <c:orientation val="minMax"/>
        </c:scaling>
        <c:axPos val="b"/>
        <c:title>
          <c:tx>
            <c:rich>
              <a:bodyPr/>
              <a:lstStyle/>
              <a:p>
                <a:pPr>
                  <a:defRPr/>
                </a:pPr>
                <a:r>
                  <a:rPr lang="en-US">
                    <a:latin typeface="Times New Roman" pitchFamily="18" charset="0"/>
                    <a:cs typeface="Times New Roman" pitchFamily="18" charset="0"/>
                  </a:rPr>
                  <a:t>Treatment</a:t>
                </a:r>
              </a:p>
            </c:rich>
          </c:tx>
          <c:layout>
            <c:manualLayout>
              <c:xMode val="edge"/>
              <c:yMode val="edge"/>
              <c:x val="0.45156510474577116"/>
              <c:y val="0.89792795363262334"/>
            </c:manualLayout>
          </c:layout>
        </c:title>
        <c:numFmt formatCode="General" sourceLinked="0"/>
        <c:tickLblPos val="nextTo"/>
        <c:txPr>
          <a:bodyPr/>
          <a:lstStyle/>
          <a:p>
            <a:pPr>
              <a:defRPr b="1">
                <a:latin typeface="Times New Roman" pitchFamily="18" charset="0"/>
                <a:cs typeface="Times New Roman" pitchFamily="18" charset="0"/>
              </a:defRPr>
            </a:pPr>
            <a:endParaRPr lang="en-US"/>
          </a:p>
        </c:txPr>
        <c:crossAx val="80768384"/>
        <c:crosses val="autoZero"/>
        <c:auto val="1"/>
        <c:lblAlgn val="ctr"/>
        <c:lblOffset val="100"/>
      </c:catAx>
      <c:valAx>
        <c:axId val="80768384"/>
        <c:scaling>
          <c:orientation val="minMax"/>
        </c:scaling>
        <c:axPos val="l"/>
        <c:majorGridlines/>
        <c:title>
          <c:tx>
            <c:rich>
              <a:bodyPr rot="-5400000" vert="horz"/>
              <a:lstStyle/>
              <a:p>
                <a:pPr>
                  <a:defRPr/>
                </a:pPr>
                <a:r>
                  <a:rPr lang="en-US">
                    <a:latin typeface="Times New Roman" pitchFamily="18" charset="0"/>
                    <a:cs typeface="Times New Roman" pitchFamily="18" charset="0"/>
                  </a:rPr>
                  <a:t>Reduction in content</a:t>
                </a:r>
              </a:p>
            </c:rich>
          </c:tx>
          <c:layout>
            <c:manualLayout>
              <c:xMode val="edge"/>
              <c:yMode val="edge"/>
              <c:x val="9.3553938650603793E-3"/>
              <c:y val="0.16701731135591821"/>
            </c:manualLayout>
          </c:layout>
        </c:title>
        <c:numFmt formatCode="0%" sourceLinked="1"/>
        <c:tickLblPos val="nextTo"/>
        <c:txPr>
          <a:bodyPr/>
          <a:lstStyle/>
          <a:p>
            <a:pPr>
              <a:defRPr b="1">
                <a:latin typeface="Times New Roman" pitchFamily="18" charset="0"/>
                <a:cs typeface="Times New Roman" pitchFamily="18" charset="0"/>
              </a:defRPr>
            </a:pPr>
            <a:endParaRPr lang="en-US"/>
          </a:p>
        </c:txPr>
        <c:crossAx val="80685312"/>
        <c:crosses val="autoZero"/>
        <c:crossBetween val="between"/>
      </c:valAx>
    </c:plotArea>
    <c:legend>
      <c:legendPos val="r"/>
      <c:layout>
        <c:manualLayout>
          <c:xMode val="edge"/>
          <c:yMode val="edge"/>
          <c:x val="0.92879297131243532"/>
          <c:y val="0.46362649477556978"/>
          <c:w val="6.2360742830285934E-2"/>
          <c:h val="7.2747010448867402E-2"/>
        </c:manualLayout>
      </c:layout>
      <c:txPr>
        <a:bodyPr/>
        <a:lstStyle/>
        <a:p>
          <a:pPr>
            <a:defRPr b="1">
              <a:latin typeface="Times New Roman" pitchFamily="18" charset="0"/>
              <a:cs typeface="Times New Roman" pitchFamily="18" charset="0"/>
            </a:defRPr>
          </a:pPr>
          <a:endParaRPr lang="en-US"/>
        </a:p>
      </c:txPr>
    </c:legend>
    <c:plotVisOnly val="1"/>
    <c:dispBlanksAs val="gap"/>
  </c:chart>
  <c:spPr>
    <a:solidFill>
      <a:srgbClr val="FFFFCC"/>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0.13294749710675424"/>
          <c:y val="2.4949806967647731E-2"/>
          <c:w val="0.80843459776041549"/>
          <c:h val="0.5392340690137275"/>
        </c:manualLayout>
      </c:layout>
      <c:bar3DChart>
        <c:barDir val="col"/>
        <c:grouping val="percentStacked"/>
        <c:ser>
          <c:idx val="0"/>
          <c:order val="0"/>
          <c:tx>
            <c:strRef>
              <c:f>Sheet1!$C$85</c:f>
              <c:strCache>
                <c:ptCount val="1"/>
                <c:pt idx="0">
                  <c:v>TDS</c:v>
                </c:pt>
              </c:strCache>
            </c:strRef>
          </c:tx>
          <c:spPr>
            <a:solidFill>
              <a:srgbClr val="20CECE"/>
            </a:solidFill>
          </c:spPr>
          <c:dLbls>
            <c:spPr>
              <a:noFill/>
              <a:ln>
                <a:noFill/>
              </a:ln>
              <a:effectLst/>
            </c:spPr>
            <c:txPr>
              <a:bodyPr rot="-5400000" vert="horz"/>
              <a:lstStyle/>
              <a:p>
                <a:pPr>
                  <a:defRPr b="1">
                    <a:latin typeface="Times New Roman" pitchFamily="18" charset="0"/>
                    <a:cs typeface="Times New Roman" pitchFamily="18"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Sheet1!$B$86:$B$95</c:f>
              <c:strCache>
                <c:ptCount val="10"/>
                <c:pt idx="0">
                  <c:v>M1 over M0</c:v>
                </c:pt>
                <c:pt idx="1">
                  <c:v>M2 over M0</c:v>
                </c:pt>
                <c:pt idx="2">
                  <c:v>D1 over D2</c:v>
                </c:pt>
                <c:pt idx="3">
                  <c:v>D1 over D3</c:v>
                </c:pt>
                <c:pt idx="4">
                  <c:v>M1D1over M0D1</c:v>
                </c:pt>
                <c:pt idx="5">
                  <c:v>M1D1 over M0D2</c:v>
                </c:pt>
                <c:pt idx="6">
                  <c:v>M1D1over M0D3</c:v>
                </c:pt>
                <c:pt idx="7">
                  <c:v>M2D1over M0D1</c:v>
                </c:pt>
                <c:pt idx="8">
                  <c:v>M2D1 over M0D2</c:v>
                </c:pt>
                <c:pt idx="9">
                  <c:v>M2D1over M0D3</c:v>
                </c:pt>
              </c:strCache>
            </c:strRef>
          </c:cat>
          <c:val>
            <c:numRef>
              <c:f>Sheet1!$C$86:$C$95</c:f>
              <c:numCache>
                <c:formatCode>General</c:formatCode>
                <c:ptCount val="10"/>
                <c:pt idx="0">
                  <c:v>76.88</c:v>
                </c:pt>
                <c:pt idx="1">
                  <c:v>84.38</c:v>
                </c:pt>
                <c:pt idx="2">
                  <c:v>8.4700000000000006</c:v>
                </c:pt>
                <c:pt idx="3">
                  <c:v>7.4700000000000024</c:v>
                </c:pt>
                <c:pt idx="4">
                  <c:v>85.11999999999999</c:v>
                </c:pt>
                <c:pt idx="5">
                  <c:v>84.89</c:v>
                </c:pt>
                <c:pt idx="6" formatCode="0.00">
                  <c:v>84.85</c:v>
                </c:pt>
                <c:pt idx="7">
                  <c:v>85.14</c:v>
                </c:pt>
                <c:pt idx="8">
                  <c:v>84.92</c:v>
                </c:pt>
                <c:pt idx="9" formatCode="0.00">
                  <c:v>84.86999999999999</c:v>
                </c:pt>
              </c:numCache>
            </c:numRef>
          </c:val>
          <c:extLst xmlns:c16r2="http://schemas.microsoft.com/office/drawing/2015/06/chart">
            <c:ext xmlns:c16="http://schemas.microsoft.com/office/drawing/2014/chart" uri="{C3380CC4-5D6E-409C-BE32-E72D297353CC}">
              <c16:uniqueId val="{00000000-1FE4-4E81-A2EF-A3CEB24B0BC1}"/>
            </c:ext>
          </c:extLst>
        </c:ser>
        <c:shape val="box"/>
        <c:axId val="81801984"/>
        <c:axId val="81804288"/>
        <c:axId val="0"/>
      </c:bar3DChart>
      <c:catAx>
        <c:axId val="81801984"/>
        <c:scaling>
          <c:orientation val="minMax"/>
        </c:scaling>
        <c:axPos val="b"/>
        <c:title>
          <c:tx>
            <c:rich>
              <a:bodyPr/>
              <a:lstStyle/>
              <a:p>
                <a:pPr>
                  <a:defRPr>
                    <a:latin typeface="Times New Roman" pitchFamily="18" charset="0"/>
                    <a:cs typeface="Times New Roman" pitchFamily="18" charset="0"/>
                  </a:defRPr>
                </a:pPr>
                <a:r>
                  <a:rPr lang="en-US" b="1">
                    <a:latin typeface="Times New Roman" pitchFamily="18" charset="0"/>
                    <a:cs typeface="Times New Roman" pitchFamily="18" charset="0"/>
                  </a:rPr>
                  <a:t>Treatment</a:t>
                </a:r>
              </a:p>
            </c:rich>
          </c:tx>
          <c:layout>
            <c:manualLayout>
              <c:xMode val="edge"/>
              <c:yMode val="edge"/>
              <c:x val="0.44994152473023519"/>
              <c:y val="0.90667446035270283"/>
            </c:manualLayout>
          </c:layout>
        </c:title>
        <c:numFmt formatCode="General" sourceLinked="0"/>
        <c:tickLblPos val="nextTo"/>
        <c:txPr>
          <a:bodyPr/>
          <a:lstStyle/>
          <a:p>
            <a:pPr>
              <a:defRPr lang="en-IN" b="1">
                <a:latin typeface="Times New Roman" pitchFamily="18" charset="0"/>
                <a:cs typeface="Times New Roman" pitchFamily="18" charset="0"/>
              </a:defRPr>
            </a:pPr>
            <a:endParaRPr lang="en-US"/>
          </a:p>
        </c:txPr>
        <c:crossAx val="81804288"/>
        <c:crosses val="autoZero"/>
        <c:auto val="1"/>
        <c:lblAlgn val="ctr"/>
        <c:lblOffset val="100"/>
      </c:catAx>
      <c:valAx>
        <c:axId val="81804288"/>
        <c:scaling>
          <c:orientation val="minMax"/>
        </c:scaling>
        <c:axPos val="l"/>
        <c:majorGridlines/>
        <c:title>
          <c:tx>
            <c:rich>
              <a:bodyPr rot="-5400000" vert="horz"/>
              <a:lstStyle/>
              <a:p>
                <a:pPr>
                  <a:defRPr/>
                </a:pPr>
                <a:r>
                  <a:rPr lang="en-US">
                    <a:latin typeface="Times New Roman" pitchFamily="18" charset="0"/>
                    <a:cs typeface="Times New Roman" pitchFamily="18" charset="0"/>
                  </a:rPr>
                  <a:t>Reduction in content</a:t>
                </a:r>
              </a:p>
            </c:rich>
          </c:tx>
          <c:layout>
            <c:manualLayout>
              <c:xMode val="edge"/>
              <c:yMode val="edge"/>
              <c:x val="4.3126690054085814E-2"/>
              <c:y val="0.12899935968110587"/>
            </c:manualLayout>
          </c:layout>
        </c:title>
        <c:numFmt formatCode="0%" sourceLinked="1"/>
        <c:tickLblPos val="nextTo"/>
        <c:txPr>
          <a:bodyPr/>
          <a:lstStyle/>
          <a:p>
            <a:pPr>
              <a:defRPr lang="en-IN" b="1">
                <a:latin typeface="Times New Roman" pitchFamily="18" charset="0"/>
                <a:cs typeface="Times New Roman" pitchFamily="18" charset="0"/>
              </a:defRPr>
            </a:pPr>
            <a:endParaRPr lang="en-US"/>
          </a:p>
        </c:txPr>
        <c:crossAx val="81801984"/>
        <c:crosses val="autoZero"/>
        <c:crossBetween val="between"/>
      </c:valAx>
    </c:plotArea>
    <c:legend>
      <c:legendPos val="r"/>
      <c:layout>
        <c:manualLayout>
          <c:xMode val="edge"/>
          <c:yMode val="edge"/>
          <c:x val="0.9192178141461157"/>
          <c:y val="0.43044448764491344"/>
          <c:w val="7.8545301386131555E-2"/>
          <c:h val="7.8537839020122513E-2"/>
        </c:manualLayout>
      </c:layout>
      <c:txPr>
        <a:bodyPr/>
        <a:lstStyle/>
        <a:p>
          <a:pPr>
            <a:defRPr lang="en-IN" b="1">
              <a:latin typeface="Times New Roman" pitchFamily="18" charset="0"/>
              <a:cs typeface="Times New Roman" pitchFamily="18" charset="0"/>
            </a:defRPr>
          </a:pPr>
          <a:endParaRPr lang="en-US"/>
        </a:p>
      </c:txPr>
    </c:legend>
    <c:plotVisOnly val="1"/>
    <c:dispBlanksAs val="gap"/>
  </c:chart>
  <c:spPr>
    <a:solidFill>
      <a:srgbClr val="FFFFCC"/>
    </a:solidFill>
    <a:ln>
      <a:solidFill>
        <a:schemeClr val="tx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9.3381750355503071E-2"/>
          <c:y val="4.7832293200659133E-2"/>
          <c:w val="0.85526481309758218"/>
          <c:h val="0.7129204529483385"/>
        </c:manualLayout>
      </c:layout>
      <c:bar3DChart>
        <c:barDir val="col"/>
        <c:grouping val="percentStacked"/>
        <c:ser>
          <c:idx val="0"/>
          <c:order val="0"/>
          <c:tx>
            <c:strRef>
              <c:f>Sheet1!$C$50</c:f>
              <c:strCache>
                <c:ptCount val="1"/>
                <c:pt idx="0">
                  <c:v>Fe</c:v>
                </c:pt>
              </c:strCache>
            </c:strRef>
          </c:tx>
          <c:dLbls>
            <c:spPr>
              <a:noFill/>
              <a:ln>
                <a:noFill/>
              </a:ln>
              <a:effectLst/>
            </c:spPr>
            <c:txPr>
              <a:bodyPr rot="-5400000" vert="horz"/>
              <a:lstStyle/>
              <a:p>
                <a:pPr>
                  <a:defRPr b="1">
                    <a:latin typeface="Times New Roman" pitchFamily="18" charset="0"/>
                    <a:cs typeface="Times New Roman" pitchFamily="18"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Sheet1!$B$51:$B$55</c:f>
              <c:strCache>
                <c:ptCount val="5"/>
                <c:pt idx="0">
                  <c:v>M1 over M0</c:v>
                </c:pt>
                <c:pt idx="1">
                  <c:v>M2 over M0</c:v>
                </c:pt>
                <c:pt idx="2">
                  <c:v>M1D1 over M0D1</c:v>
                </c:pt>
                <c:pt idx="3">
                  <c:v>M1D1 over M0D2</c:v>
                </c:pt>
                <c:pt idx="4">
                  <c:v>M1D1 over M0D3</c:v>
                </c:pt>
              </c:strCache>
            </c:strRef>
          </c:cat>
          <c:val>
            <c:numRef>
              <c:f>Sheet1!$C$51:$C$55</c:f>
              <c:numCache>
                <c:formatCode>0.00</c:formatCode>
                <c:ptCount val="5"/>
                <c:pt idx="0">
                  <c:v>41.55</c:v>
                </c:pt>
                <c:pt idx="1">
                  <c:v>37.200000000000003</c:v>
                </c:pt>
                <c:pt idx="2">
                  <c:v>53.120000000000012</c:v>
                </c:pt>
                <c:pt idx="3">
                  <c:v>50.58</c:v>
                </c:pt>
                <c:pt idx="4">
                  <c:v>43.230000000000011</c:v>
                </c:pt>
              </c:numCache>
            </c:numRef>
          </c:val>
          <c:extLst xmlns:c16r2="http://schemas.microsoft.com/office/drawing/2015/06/chart">
            <c:ext xmlns:c16="http://schemas.microsoft.com/office/drawing/2014/chart" uri="{C3380CC4-5D6E-409C-BE32-E72D297353CC}">
              <c16:uniqueId val="{00000000-C332-4591-8A33-FE60ACF40ABA}"/>
            </c:ext>
          </c:extLst>
        </c:ser>
        <c:ser>
          <c:idx val="1"/>
          <c:order val="1"/>
          <c:tx>
            <c:strRef>
              <c:f>Sheet1!$D$50</c:f>
              <c:strCache>
                <c:ptCount val="1"/>
                <c:pt idx="0">
                  <c:v>Mn</c:v>
                </c:pt>
              </c:strCache>
            </c:strRef>
          </c:tx>
          <c:dLbls>
            <c:spPr>
              <a:noFill/>
              <a:ln>
                <a:noFill/>
              </a:ln>
              <a:effectLst/>
            </c:spPr>
            <c:txPr>
              <a:bodyPr rot="-5400000" vert="horz"/>
              <a:lstStyle/>
              <a:p>
                <a:pPr>
                  <a:defRPr b="1">
                    <a:latin typeface="Times New Roman" pitchFamily="18" charset="0"/>
                    <a:cs typeface="Times New Roman" pitchFamily="18"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Sheet1!$B$51:$B$55</c:f>
              <c:strCache>
                <c:ptCount val="5"/>
                <c:pt idx="0">
                  <c:v>M1 over M0</c:v>
                </c:pt>
                <c:pt idx="1">
                  <c:v>M2 over M0</c:v>
                </c:pt>
                <c:pt idx="2">
                  <c:v>M1D1 over M0D1</c:v>
                </c:pt>
                <c:pt idx="3">
                  <c:v>M1D1 over M0D2</c:v>
                </c:pt>
                <c:pt idx="4">
                  <c:v>M1D1 over M0D3</c:v>
                </c:pt>
              </c:strCache>
            </c:strRef>
          </c:cat>
          <c:val>
            <c:numRef>
              <c:f>Sheet1!$D$51:$D$55</c:f>
              <c:numCache>
                <c:formatCode>0.00</c:formatCode>
                <c:ptCount val="5"/>
                <c:pt idx="0">
                  <c:v>39.379999999999995</c:v>
                </c:pt>
                <c:pt idx="1">
                  <c:v>22.79</c:v>
                </c:pt>
                <c:pt idx="2">
                  <c:v>75.149999999999991</c:v>
                </c:pt>
                <c:pt idx="3">
                  <c:v>55.879999999999995</c:v>
                </c:pt>
                <c:pt idx="4">
                  <c:v>48.11</c:v>
                </c:pt>
              </c:numCache>
            </c:numRef>
          </c:val>
          <c:extLst xmlns:c16r2="http://schemas.microsoft.com/office/drawing/2015/06/chart">
            <c:ext xmlns:c16="http://schemas.microsoft.com/office/drawing/2014/chart" uri="{C3380CC4-5D6E-409C-BE32-E72D297353CC}">
              <c16:uniqueId val="{00000001-C332-4591-8A33-FE60ACF40ABA}"/>
            </c:ext>
          </c:extLst>
        </c:ser>
        <c:ser>
          <c:idx val="2"/>
          <c:order val="2"/>
          <c:tx>
            <c:strRef>
              <c:f>Sheet1!$E$50</c:f>
              <c:strCache>
                <c:ptCount val="1"/>
                <c:pt idx="0">
                  <c:v>Zn</c:v>
                </c:pt>
              </c:strCache>
            </c:strRef>
          </c:tx>
          <c:dLbls>
            <c:spPr>
              <a:noFill/>
              <a:ln>
                <a:noFill/>
              </a:ln>
              <a:effectLst/>
            </c:spPr>
            <c:txPr>
              <a:bodyPr rot="-5400000" vert="horz"/>
              <a:lstStyle/>
              <a:p>
                <a:pPr>
                  <a:defRPr b="1">
                    <a:latin typeface="Times New Roman" pitchFamily="18" charset="0"/>
                    <a:cs typeface="Times New Roman" pitchFamily="18"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Sheet1!$B$51:$B$55</c:f>
              <c:strCache>
                <c:ptCount val="5"/>
                <c:pt idx="0">
                  <c:v>M1 over M0</c:v>
                </c:pt>
                <c:pt idx="1">
                  <c:v>M2 over M0</c:v>
                </c:pt>
                <c:pt idx="2">
                  <c:v>M1D1 over M0D1</c:v>
                </c:pt>
                <c:pt idx="3">
                  <c:v>M1D1 over M0D2</c:v>
                </c:pt>
                <c:pt idx="4">
                  <c:v>M1D1 over M0D3</c:v>
                </c:pt>
              </c:strCache>
            </c:strRef>
          </c:cat>
          <c:val>
            <c:numRef>
              <c:f>Sheet1!$E$51:$E$55</c:f>
              <c:numCache>
                <c:formatCode>0.00</c:formatCode>
                <c:ptCount val="5"/>
                <c:pt idx="0">
                  <c:v>55.46</c:v>
                </c:pt>
                <c:pt idx="1">
                  <c:v>50.7</c:v>
                </c:pt>
                <c:pt idx="2">
                  <c:v>71.89</c:v>
                </c:pt>
                <c:pt idx="3">
                  <c:v>67.58</c:v>
                </c:pt>
                <c:pt idx="4">
                  <c:v>65.77</c:v>
                </c:pt>
              </c:numCache>
            </c:numRef>
          </c:val>
          <c:extLst xmlns:c16r2="http://schemas.microsoft.com/office/drawing/2015/06/chart">
            <c:ext xmlns:c16="http://schemas.microsoft.com/office/drawing/2014/chart" uri="{C3380CC4-5D6E-409C-BE32-E72D297353CC}">
              <c16:uniqueId val="{00000002-C332-4591-8A33-FE60ACF40ABA}"/>
            </c:ext>
          </c:extLst>
        </c:ser>
        <c:ser>
          <c:idx val="3"/>
          <c:order val="3"/>
          <c:tx>
            <c:strRef>
              <c:f>Sheet1!$F$50</c:f>
              <c:strCache>
                <c:ptCount val="1"/>
                <c:pt idx="0">
                  <c:v>Cu</c:v>
                </c:pt>
              </c:strCache>
            </c:strRef>
          </c:tx>
          <c:dLbls>
            <c:spPr>
              <a:noFill/>
              <a:ln>
                <a:noFill/>
              </a:ln>
              <a:effectLst/>
            </c:spPr>
            <c:txPr>
              <a:bodyPr rot="-5400000" vert="horz"/>
              <a:lstStyle/>
              <a:p>
                <a:pPr>
                  <a:defRPr b="1">
                    <a:latin typeface="Times New Roman" pitchFamily="18" charset="0"/>
                    <a:cs typeface="Times New Roman" pitchFamily="18"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Sheet1!$B$51:$B$55</c:f>
              <c:strCache>
                <c:ptCount val="5"/>
                <c:pt idx="0">
                  <c:v>M1 over M0</c:v>
                </c:pt>
                <c:pt idx="1">
                  <c:v>M2 over M0</c:v>
                </c:pt>
                <c:pt idx="2">
                  <c:v>M1D1 over M0D1</c:v>
                </c:pt>
                <c:pt idx="3">
                  <c:v>M1D1 over M0D2</c:v>
                </c:pt>
                <c:pt idx="4">
                  <c:v>M1D1 over M0D3</c:v>
                </c:pt>
              </c:strCache>
            </c:strRef>
          </c:cat>
          <c:val>
            <c:numRef>
              <c:f>Sheet1!$F$51:$F$55</c:f>
              <c:numCache>
                <c:formatCode>0.00</c:formatCode>
                <c:ptCount val="5"/>
                <c:pt idx="0">
                  <c:v>28.18</c:v>
                </c:pt>
                <c:pt idx="1">
                  <c:v>18.779999999999987</c:v>
                </c:pt>
                <c:pt idx="2">
                  <c:v>40.82</c:v>
                </c:pt>
                <c:pt idx="3">
                  <c:v>29.27</c:v>
                </c:pt>
                <c:pt idx="4">
                  <c:v>36.260000000000012</c:v>
                </c:pt>
              </c:numCache>
            </c:numRef>
          </c:val>
          <c:extLst xmlns:c16r2="http://schemas.microsoft.com/office/drawing/2015/06/chart">
            <c:ext xmlns:c16="http://schemas.microsoft.com/office/drawing/2014/chart" uri="{C3380CC4-5D6E-409C-BE32-E72D297353CC}">
              <c16:uniqueId val="{00000003-C332-4591-8A33-FE60ACF40ABA}"/>
            </c:ext>
          </c:extLst>
        </c:ser>
        <c:shape val="box"/>
        <c:axId val="98908416"/>
        <c:axId val="98918784"/>
        <c:axId val="0"/>
      </c:bar3DChart>
      <c:catAx>
        <c:axId val="98908416"/>
        <c:scaling>
          <c:orientation val="minMax"/>
        </c:scaling>
        <c:axPos val="b"/>
        <c:title>
          <c:tx>
            <c:rich>
              <a:bodyPr/>
              <a:lstStyle/>
              <a:p>
                <a:pPr>
                  <a:defRPr/>
                </a:pPr>
                <a:r>
                  <a:rPr lang="en-US">
                    <a:latin typeface="Times New Roman" pitchFamily="18" charset="0"/>
                    <a:cs typeface="Times New Roman" pitchFamily="18" charset="0"/>
                  </a:rPr>
                  <a:t>Treatment</a:t>
                </a:r>
              </a:p>
            </c:rich>
          </c:tx>
          <c:layout>
            <c:manualLayout>
              <c:xMode val="edge"/>
              <c:yMode val="edge"/>
              <c:x val="0.48857031791870364"/>
              <c:y val="0.92623659734899988"/>
            </c:manualLayout>
          </c:layout>
        </c:title>
        <c:numFmt formatCode="General" sourceLinked="0"/>
        <c:tickLblPos val="nextTo"/>
        <c:txPr>
          <a:bodyPr/>
          <a:lstStyle/>
          <a:p>
            <a:pPr>
              <a:defRPr lang="en-IN" b="1">
                <a:latin typeface="Times New Roman" pitchFamily="18" charset="0"/>
                <a:cs typeface="Times New Roman" pitchFamily="18" charset="0"/>
              </a:defRPr>
            </a:pPr>
            <a:endParaRPr lang="en-US"/>
          </a:p>
        </c:txPr>
        <c:crossAx val="98918784"/>
        <c:crosses val="autoZero"/>
        <c:auto val="1"/>
        <c:lblAlgn val="ctr"/>
        <c:lblOffset val="100"/>
      </c:catAx>
      <c:valAx>
        <c:axId val="98918784"/>
        <c:scaling>
          <c:orientation val="minMax"/>
        </c:scaling>
        <c:axPos val="l"/>
        <c:majorGridlines/>
        <c:title>
          <c:tx>
            <c:rich>
              <a:bodyPr rot="-5400000" vert="horz"/>
              <a:lstStyle/>
              <a:p>
                <a:pPr>
                  <a:defRPr/>
                </a:pPr>
                <a:r>
                  <a:rPr lang="en-US">
                    <a:latin typeface="Times New Roman" pitchFamily="18" charset="0"/>
                    <a:cs typeface="Times New Roman" pitchFamily="18" charset="0"/>
                  </a:rPr>
                  <a:t>Reduction in content</a:t>
                </a:r>
              </a:p>
            </c:rich>
          </c:tx>
          <c:layout>
            <c:manualLayout>
              <c:xMode val="edge"/>
              <c:yMode val="edge"/>
              <c:x val="1.6601036488035441E-2"/>
              <c:y val="0.22529780569562374"/>
            </c:manualLayout>
          </c:layout>
        </c:title>
        <c:numFmt formatCode="0%" sourceLinked="1"/>
        <c:tickLblPos val="nextTo"/>
        <c:txPr>
          <a:bodyPr/>
          <a:lstStyle/>
          <a:p>
            <a:pPr>
              <a:defRPr lang="en-IN" b="1">
                <a:latin typeface="Times New Roman" pitchFamily="18" charset="0"/>
                <a:cs typeface="Times New Roman" pitchFamily="18" charset="0"/>
              </a:defRPr>
            </a:pPr>
            <a:endParaRPr lang="en-US"/>
          </a:p>
        </c:txPr>
        <c:crossAx val="98908416"/>
        <c:crosses val="autoZero"/>
        <c:crossBetween val="between"/>
      </c:valAx>
      <c:spPr>
        <a:ln>
          <a:noFill/>
        </a:ln>
      </c:spPr>
    </c:plotArea>
    <c:legend>
      <c:legendPos val="r"/>
      <c:txPr>
        <a:bodyPr/>
        <a:lstStyle/>
        <a:p>
          <a:pPr>
            <a:defRPr lang="en-IN" b="1">
              <a:latin typeface="Times New Roman" pitchFamily="18" charset="0"/>
              <a:cs typeface="Times New Roman" pitchFamily="18" charset="0"/>
            </a:defRPr>
          </a:pPr>
          <a:endParaRPr lang="en-US"/>
        </a:p>
      </c:txPr>
    </c:legend>
    <c:plotVisOnly val="1"/>
    <c:dispBlanksAs val="gap"/>
  </c:chart>
  <c:spPr>
    <a:solidFill>
      <a:srgbClr val="FFFFCC"/>
    </a:solidFill>
    <a:ln>
      <a:solidFill>
        <a:schemeClr val="tx1"/>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6B84A-DF3A-4286-9DE8-3D0084514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15</Pages>
  <Words>4522</Words>
  <Characters>25780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35</cp:revision>
  <dcterms:created xsi:type="dcterms:W3CDTF">2025-12-23T16:50:00Z</dcterms:created>
  <dcterms:modified xsi:type="dcterms:W3CDTF">2025-12-28T16:25:00Z</dcterms:modified>
</cp:coreProperties>
</file>